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C10E1" w14:paraId="48948018" w14:textId="77777777">
        <w:tc>
          <w:tcPr>
            <w:tcW w:w="9288" w:type="dxa"/>
          </w:tcPr>
          <w:p w14:paraId="119E9D1D" w14:textId="03A65AE3" w:rsidR="002C10E1" w:rsidRPr="002C10E1" w:rsidRDefault="002C10E1">
            <w:pPr>
              <w:spacing w:after="0" w:line="240" w:lineRule="auto"/>
              <w:ind w:left="0" w:firstLine="0"/>
              <w:rPr>
                <w:color w:val="auto"/>
                <w:lang w:val="bg-BG"/>
              </w:rPr>
            </w:pPr>
            <w:r w:rsidRPr="002C10E1">
              <w:rPr>
                <w:color w:val="auto"/>
                <w:lang w:val="bg-BG"/>
              </w:rPr>
              <w:t xml:space="preserve">Este documento es la información </w:t>
            </w:r>
            <w:r w:rsidRPr="002C10E1">
              <w:rPr>
                <w:color w:val="auto"/>
                <w:lang w:val="es-ES"/>
              </w:rPr>
              <w:t>d</w:t>
            </w:r>
            <w:r w:rsidRPr="002C10E1">
              <w:rPr>
                <w:color w:val="auto"/>
                <w:lang w:val="bg-BG"/>
              </w:rPr>
              <w:t xml:space="preserve">el producto aprobada para </w:t>
            </w:r>
            <w:proofErr w:type="spellStart"/>
            <w:r>
              <w:rPr>
                <w:color w:val="auto"/>
              </w:rPr>
              <w:t>Mvasi</w:t>
            </w:r>
            <w:proofErr w:type="spellEnd"/>
            <w:r w:rsidRPr="002C10E1">
              <w:rPr>
                <w:color w:val="auto"/>
                <w:lang w:val="bg-BG"/>
              </w:rPr>
              <w:t xml:space="preserve"> en el que se destacan las modificaciones introducidas</w:t>
            </w:r>
            <w:r w:rsidRPr="002C10E1">
              <w:rPr>
                <w:color w:val="auto"/>
                <w:lang w:val="es-ES"/>
              </w:rPr>
              <w:t>, respecto de</w:t>
            </w:r>
            <w:r w:rsidRPr="002C10E1">
              <w:rPr>
                <w:color w:val="auto"/>
                <w:lang w:val="bg-BG"/>
              </w:rPr>
              <w:t>l procedimiento anterior</w:t>
            </w:r>
            <w:r w:rsidRPr="002C10E1">
              <w:rPr>
                <w:color w:val="auto"/>
                <w:lang w:val="es-ES"/>
              </w:rPr>
              <w:t>,</w:t>
            </w:r>
            <w:r w:rsidRPr="002C10E1">
              <w:rPr>
                <w:color w:val="auto"/>
                <w:lang w:val="bg-BG"/>
              </w:rPr>
              <w:t xml:space="preserve"> que afectan a la información </w:t>
            </w:r>
            <w:r w:rsidRPr="002C10E1">
              <w:rPr>
                <w:color w:val="auto"/>
                <w:lang w:val="es-ES"/>
              </w:rPr>
              <w:t>d</w:t>
            </w:r>
            <w:r w:rsidRPr="002C10E1">
              <w:rPr>
                <w:color w:val="auto"/>
                <w:lang w:val="bg-BG"/>
              </w:rPr>
              <w:t>el producto (</w:t>
            </w:r>
            <w:r>
              <w:rPr>
                <w:color w:val="auto"/>
                <w:lang w:val="bg-BG"/>
              </w:rPr>
              <w:t>EMEA/H/C/PSUSA/00000403/202202</w:t>
            </w:r>
            <w:r w:rsidRPr="002C10E1">
              <w:rPr>
                <w:color w:val="auto"/>
                <w:lang w:val="bg-BG"/>
              </w:rPr>
              <w:t>).</w:t>
            </w:r>
          </w:p>
          <w:p w14:paraId="0CFE1CE2" w14:textId="77777777" w:rsidR="002C10E1" w:rsidRPr="002C10E1" w:rsidRDefault="002C10E1">
            <w:pPr>
              <w:spacing w:after="0" w:line="240" w:lineRule="auto"/>
              <w:ind w:left="0" w:firstLine="0"/>
              <w:rPr>
                <w:color w:val="auto"/>
                <w:lang w:val="bg-BG"/>
              </w:rPr>
            </w:pPr>
          </w:p>
          <w:p w14:paraId="449FFC07" w14:textId="2AD28A68" w:rsidR="002C10E1" w:rsidRDefault="002C10E1">
            <w:pPr>
              <w:spacing w:after="0" w:line="240" w:lineRule="auto"/>
              <w:ind w:left="0" w:firstLine="0"/>
              <w:rPr>
                <w:color w:val="auto"/>
                <w:lang w:val="bg-BG"/>
              </w:rPr>
            </w:pPr>
            <w:r>
              <w:rPr>
                <w:color w:val="auto"/>
                <w:lang w:val="bg-BG"/>
              </w:rPr>
              <w:t xml:space="preserve">Para más información, consulte </w:t>
            </w:r>
            <w:r>
              <w:rPr>
                <w:color w:val="auto"/>
                <w:lang w:val="es-ES"/>
              </w:rPr>
              <w:t>la página</w:t>
            </w:r>
            <w:r>
              <w:rPr>
                <w:color w:val="auto"/>
                <w:lang w:val="bg-BG"/>
              </w:rPr>
              <w:t xml:space="preserve"> web de la Agencia Europea de Medicamentos: </w:t>
            </w:r>
            <w:r>
              <w:rPr>
                <w:color w:val="auto"/>
                <w:u w:val="single"/>
                <w:lang w:val="bg-BG"/>
              </w:rPr>
              <w:fldChar w:fldCharType="begin"/>
            </w:r>
            <w:r>
              <w:rPr>
                <w:color w:val="auto"/>
                <w:u w:val="single"/>
                <w:lang w:val="bg-BG"/>
              </w:rPr>
              <w:instrText>HYPERLINK "</w:instrText>
            </w:r>
            <w:r>
              <w:rPr>
                <w:color w:val="auto"/>
                <w:u w:val="single"/>
                <w:lang w:val="bg-BG"/>
              </w:rPr>
              <w:instrText>https://www.ema.europa.eu/en/medicines/human/EPAR</w:instrText>
            </w:r>
            <w:r>
              <w:rPr>
                <w:color w:val="auto"/>
                <w:u w:val="single"/>
                <w:lang w:val="bg-BG"/>
              </w:rPr>
              <w:instrText>/</w:instrText>
            </w:r>
            <w:r>
              <w:rPr>
                <w:color w:val="auto"/>
                <w:u w:val="single"/>
              </w:rPr>
              <w:instrText>mvasi</w:instrText>
            </w:r>
            <w:r>
              <w:rPr>
                <w:color w:val="auto"/>
                <w:u w:val="single"/>
                <w:lang w:val="bg-BG"/>
              </w:rPr>
              <w:instrText>"</w:instrText>
            </w:r>
            <w:r>
              <w:rPr>
                <w:color w:val="auto"/>
                <w:u w:val="single"/>
                <w:lang w:val="bg-BG"/>
              </w:rPr>
              <w:fldChar w:fldCharType="separate"/>
            </w:r>
            <w:r>
              <w:rPr>
                <w:rStyle w:val="Hyperlink"/>
                <w:lang w:val="bg-BG"/>
              </w:rPr>
              <w:t>https://www.ema.europa.eu/en/medicines/human/EPAR</w:t>
            </w:r>
            <w:r>
              <w:rPr>
                <w:rStyle w:val="Hyperlink"/>
                <w:lang w:val="bg-BG"/>
              </w:rPr>
              <w:t>/</w:t>
            </w:r>
            <w:proofErr w:type="spellStart"/>
            <w:r w:rsidRPr="00BD4DDB">
              <w:rPr>
                <w:rStyle w:val="Hyperlink"/>
              </w:rPr>
              <w:t>mvasi</w:t>
            </w:r>
            <w:proofErr w:type="spellEnd"/>
            <w:r>
              <w:rPr>
                <w:color w:val="auto"/>
                <w:u w:val="single"/>
                <w:lang w:val="bg-BG"/>
              </w:rPr>
              <w:fldChar w:fldCharType="end"/>
            </w:r>
          </w:p>
        </w:tc>
      </w:tr>
    </w:tbl>
    <w:p w14:paraId="19DD3FA6" w14:textId="2012D9A3" w:rsidR="00FB24C0" w:rsidRPr="00443040" w:rsidRDefault="00FB24C0" w:rsidP="00FB24C0">
      <w:pPr>
        <w:spacing w:after="0" w:line="240" w:lineRule="auto"/>
        <w:ind w:left="0" w:firstLine="0"/>
        <w:jc w:val="center"/>
        <w:rPr>
          <w:color w:val="auto"/>
          <w:lang w:val="es-ES"/>
        </w:rPr>
      </w:pPr>
    </w:p>
    <w:p w14:paraId="57DF914E" w14:textId="77777777" w:rsidR="00FB24C0" w:rsidRPr="00443040" w:rsidRDefault="00FB24C0" w:rsidP="00FB24C0">
      <w:pPr>
        <w:spacing w:after="0" w:line="240" w:lineRule="auto"/>
        <w:ind w:left="0" w:firstLine="0"/>
        <w:jc w:val="center"/>
        <w:rPr>
          <w:color w:val="auto"/>
          <w:lang w:val="es-ES"/>
        </w:rPr>
      </w:pPr>
    </w:p>
    <w:p w14:paraId="36D63A8C" w14:textId="77777777" w:rsidR="00FB24C0" w:rsidRPr="00443040" w:rsidRDefault="00FB24C0" w:rsidP="00FB24C0">
      <w:pPr>
        <w:spacing w:after="0" w:line="240" w:lineRule="auto"/>
        <w:ind w:left="0" w:firstLine="0"/>
        <w:jc w:val="center"/>
        <w:rPr>
          <w:color w:val="auto"/>
          <w:lang w:val="es-ES"/>
        </w:rPr>
      </w:pPr>
    </w:p>
    <w:p w14:paraId="5390E533" w14:textId="77777777" w:rsidR="00FB24C0" w:rsidRPr="00443040" w:rsidRDefault="00FB24C0" w:rsidP="00FB24C0">
      <w:pPr>
        <w:spacing w:after="0" w:line="240" w:lineRule="auto"/>
        <w:ind w:left="0" w:firstLine="0"/>
        <w:jc w:val="center"/>
        <w:rPr>
          <w:color w:val="auto"/>
          <w:lang w:val="es-ES"/>
        </w:rPr>
      </w:pPr>
    </w:p>
    <w:p w14:paraId="78B5B548" w14:textId="77777777" w:rsidR="00FB24C0" w:rsidRPr="00443040" w:rsidRDefault="00FB24C0" w:rsidP="00FB24C0">
      <w:pPr>
        <w:spacing w:after="0" w:line="240" w:lineRule="auto"/>
        <w:ind w:left="0" w:firstLine="0"/>
        <w:jc w:val="center"/>
        <w:rPr>
          <w:color w:val="auto"/>
          <w:lang w:val="es-ES"/>
        </w:rPr>
      </w:pPr>
    </w:p>
    <w:p w14:paraId="6DF8909A" w14:textId="77777777" w:rsidR="00FB24C0" w:rsidRPr="00443040" w:rsidRDefault="00FB24C0" w:rsidP="00FB24C0">
      <w:pPr>
        <w:spacing w:after="0" w:line="240" w:lineRule="auto"/>
        <w:ind w:left="0" w:firstLine="0"/>
        <w:jc w:val="center"/>
        <w:rPr>
          <w:color w:val="auto"/>
          <w:lang w:val="es-ES"/>
        </w:rPr>
      </w:pPr>
    </w:p>
    <w:p w14:paraId="73D0511D" w14:textId="77777777" w:rsidR="00FB24C0" w:rsidRPr="00443040" w:rsidRDefault="00FB24C0" w:rsidP="00FB24C0">
      <w:pPr>
        <w:spacing w:after="0" w:line="240" w:lineRule="auto"/>
        <w:ind w:left="0" w:firstLine="0"/>
        <w:jc w:val="center"/>
        <w:rPr>
          <w:color w:val="auto"/>
          <w:lang w:val="es-ES"/>
        </w:rPr>
      </w:pPr>
    </w:p>
    <w:p w14:paraId="19C4B867" w14:textId="77777777" w:rsidR="00FB24C0" w:rsidRPr="00443040" w:rsidRDefault="00FB24C0" w:rsidP="00FB24C0">
      <w:pPr>
        <w:spacing w:after="0" w:line="240" w:lineRule="auto"/>
        <w:ind w:left="0" w:firstLine="0"/>
        <w:jc w:val="center"/>
        <w:rPr>
          <w:color w:val="auto"/>
          <w:lang w:val="es-ES"/>
        </w:rPr>
      </w:pPr>
    </w:p>
    <w:p w14:paraId="2AE30C6E" w14:textId="77777777" w:rsidR="00FB24C0" w:rsidRPr="00443040" w:rsidRDefault="00FB24C0" w:rsidP="00FB24C0">
      <w:pPr>
        <w:spacing w:after="0" w:line="240" w:lineRule="auto"/>
        <w:ind w:left="0" w:firstLine="0"/>
        <w:jc w:val="center"/>
        <w:rPr>
          <w:color w:val="auto"/>
          <w:lang w:val="es-ES"/>
        </w:rPr>
      </w:pPr>
    </w:p>
    <w:p w14:paraId="63609699" w14:textId="77777777" w:rsidR="00FB24C0" w:rsidRPr="00443040" w:rsidRDefault="00FB24C0" w:rsidP="00FB24C0">
      <w:pPr>
        <w:spacing w:after="0" w:line="240" w:lineRule="auto"/>
        <w:ind w:left="0" w:firstLine="0"/>
        <w:jc w:val="center"/>
        <w:rPr>
          <w:color w:val="auto"/>
          <w:lang w:val="es-ES"/>
        </w:rPr>
      </w:pPr>
    </w:p>
    <w:p w14:paraId="0B7E6618" w14:textId="77777777" w:rsidR="00FB24C0" w:rsidRPr="00443040" w:rsidRDefault="00FB24C0" w:rsidP="00FB24C0">
      <w:pPr>
        <w:spacing w:after="0" w:line="240" w:lineRule="auto"/>
        <w:ind w:left="0" w:firstLine="0"/>
        <w:jc w:val="center"/>
        <w:rPr>
          <w:color w:val="auto"/>
          <w:lang w:val="es-ES"/>
        </w:rPr>
      </w:pPr>
    </w:p>
    <w:p w14:paraId="0B1F5986" w14:textId="77777777" w:rsidR="00FB24C0" w:rsidRPr="00443040" w:rsidRDefault="00FB24C0" w:rsidP="00FB24C0">
      <w:pPr>
        <w:spacing w:after="0" w:line="240" w:lineRule="auto"/>
        <w:ind w:left="0" w:firstLine="0"/>
        <w:jc w:val="center"/>
        <w:rPr>
          <w:color w:val="auto"/>
          <w:lang w:val="es-ES"/>
        </w:rPr>
      </w:pPr>
    </w:p>
    <w:p w14:paraId="4CBA2300" w14:textId="77777777" w:rsidR="00FB24C0" w:rsidRPr="00443040" w:rsidRDefault="00FB24C0" w:rsidP="00FB24C0">
      <w:pPr>
        <w:spacing w:after="0" w:line="240" w:lineRule="auto"/>
        <w:ind w:left="0" w:firstLine="0"/>
        <w:jc w:val="center"/>
        <w:rPr>
          <w:color w:val="auto"/>
          <w:lang w:val="es-ES"/>
        </w:rPr>
      </w:pPr>
    </w:p>
    <w:p w14:paraId="1BDD8F1E" w14:textId="77777777" w:rsidR="00FB24C0" w:rsidRPr="00443040" w:rsidRDefault="00FB24C0" w:rsidP="00FB24C0">
      <w:pPr>
        <w:spacing w:after="0" w:line="240" w:lineRule="auto"/>
        <w:ind w:left="0" w:firstLine="0"/>
        <w:jc w:val="center"/>
        <w:rPr>
          <w:color w:val="auto"/>
          <w:lang w:val="es-ES"/>
        </w:rPr>
      </w:pPr>
    </w:p>
    <w:p w14:paraId="1DC83CC1" w14:textId="77777777" w:rsidR="00FB24C0" w:rsidRPr="00443040" w:rsidRDefault="00FB24C0" w:rsidP="00FB24C0">
      <w:pPr>
        <w:spacing w:after="0" w:line="240" w:lineRule="auto"/>
        <w:ind w:left="0" w:firstLine="0"/>
        <w:jc w:val="center"/>
        <w:rPr>
          <w:color w:val="auto"/>
          <w:lang w:val="es-ES"/>
        </w:rPr>
      </w:pPr>
    </w:p>
    <w:p w14:paraId="25CF7D33" w14:textId="77777777" w:rsidR="00FB24C0" w:rsidRPr="00443040" w:rsidRDefault="00FB24C0" w:rsidP="00FB24C0">
      <w:pPr>
        <w:spacing w:after="0" w:line="240" w:lineRule="auto"/>
        <w:ind w:left="0" w:firstLine="0"/>
        <w:jc w:val="center"/>
        <w:rPr>
          <w:color w:val="auto"/>
          <w:lang w:val="es-ES"/>
        </w:rPr>
      </w:pPr>
    </w:p>
    <w:p w14:paraId="2402D323" w14:textId="77777777" w:rsidR="00FB24C0" w:rsidRPr="00443040" w:rsidRDefault="00FB24C0" w:rsidP="00FB24C0">
      <w:pPr>
        <w:spacing w:after="0" w:line="240" w:lineRule="auto"/>
        <w:ind w:left="0" w:firstLine="0"/>
        <w:jc w:val="center"/>
        <w:rPr>
          <w:color w:val="auto"/>
          <w:lang w:val="es-ES"/>
        </w:rPr>
      </w:pPr>
    </w:p>
    <w:p w14:paraId="345132C5" w14:textId="77777777" w:rsidR="00FB24C0" w:rsidRPr="00443040" w:rsidRDefault="00FB24C0" w:rsidP="00FB24C0">
      <w:pPr>
        <w:spacing w:after="0" w:line="240" w:lineRule="auto"/>
        <w:ind w:left="0" w:firstLine="0"/>
        <w:jc w:val="center"/>
        <w:rPr>
          <w:b/>
          <w:color w:val="auto"/>
          <w:lang w:val="es-ES"/>
        </w:rPr>
      </w:pPr>
      <w:r w:rsidRPr="00443040">
        <w:rPr>
          <w:b/>
          <w:color w:val="auto"/>
          <w:lang w:val="es-ES"/>
        </w:rPr>
        <w:t>ANEXO I</w:t>
      </w:r>
    </w:p>
    <w:p w14:paraId="2A158955" w14:textId="77777777" w:rsidR="00FB24C0" w:rsidRPr="00443040" w:rsidRDefault="00FB24C0" w:rsidP="00FB24C0">
      <w:pPr>
        <w:spacing w:after="0" w:line="240" w:lineRule="auto"/>
        <w:ind w:left="0" w:firstLine="0"/>
        <w:jc w:val="center"/>
        <w:rPr>
          <w:b/>
          <w:color w:val="auto"/>
          <w:lang w:val="es-ES"/>
        </w:rPr>
      </w:pPr>
    </w:p>
    <w:p w14:paraId="17424C96" w14:textId="77777777" w:rsidR="00FB24C0" w:rsidRPr="00443040" w:rsidRDefault="00FB24C0" w:rsidP="00FB24C0">
      <w:pPr>
        <w:pStyle w:val="TitleA"/>
        <w:rPr>
          <w:color w:val="auto"/>
        </w:rPr>
      </w:pPr>
      <w:r w:rsidRPr="00443040">
        <w:rPr>
          <w:color w:val="auto"/>
        </w:rPr>
        <w:t>FICHA TÉCNICA O RESUMEN DE LAS CARACTERÍSTICAS DEL PRODUCTO</w:t>
      </w:r>
    </w:p>
    <w:p w14:paraId="6580CDA3" w14:textId="77777777" w:rsidR="00FB24C0" w:rsidRPr="00B43B7E" w:rsidRDefault="00FB24C0" w:rsidP="00FB24C0">
      <w:pPr>
        <w:spacing w:after="0" w:line="240" w:lineRule="auto"/>
        <w:ind w:left="0" w:firstLine="0"/>
        <w:jc w:val="center"/>
        <w:rPr>
          <w:b/>
          <w:color w:val="auto"/>
          <w:lang w:val="es-ES"/>
        </w:rPr>
      </w:pPr>
      <w:r w:rsidRPr="00B43B7E">
        <w:rPr>
          <w:b/>
          <w:color w:val="auto"/>
          <w:lang w:val="es-ES"/>
        </w:rPr>
        <w:br w:type="page"/>
      </w:r>
    </w:p>
    <w:p w14:paraId="287E4762" w14:textId="77777777" w:rsidR="00FB24C0" w:rsidRPr="00FB24C0" w:rsidRDefault="00FB24C0" w:rsidP="00FB24C0">
      <w:pPr>
        <w:keepNext/>
        <w:spacing w:after="0" w:line="240" w:lineRule="auto"/>
        <w:ind w:left="567" w:hanging="567"/>
        <w:rPr>
          <w:b/>
          <w:color w:val="auto"/>
          <w:lang w:val="es-ES"/>
        </w:rPr>
      </w:pPr>
      <w:r>
        <w:rPr>
          <w:b/>
          <w:color w:val="auto"/>
          <w:lang w:val="es-ES"/>
        </w:rPr>
        <w:t>1.</w:t>
      </w:r>
      <w:r>
        <w:rPr>
          <w:b/>
          <w:color w:val="auto"/>
          <w:lang w:val="es-ES"/>
        </w:rPr>
        <w:tab/>
      </w:r>
      <w:r w:rsidRPr="00FB24C0">
        <w:rPr>
          <w:b/>
          <w:color w:val="auto"/>
          <w:lang w:val="es-ES"/>
        </w:rPr>
        <w:t>NOMBRE DEL MEDICAMENTO</w:t>
      </w:r>
    </w:p>
    <w:p w14:paraId="0F853340" w14:textId="77777777" w:rsidR="00FB24C0" w:rsidRPr="00FB24C0" w:rsidRDefault="00FB24C0" w:rsidP="00B43B7E">
      <w:pPr>
        <w:keepNext/>
        <w:spacing w:after="0" w:line="240" w:lineRule="auto"/>
        <w:ind w:left="0" w:firstLine="0"/>
        <w:rPr>
          <w:color w:val="auto"/>
          <w:lang w:val="es-ES"/>
        </w:rPr>
      </w:pPr>
    </w:p>
    <w:p w14:paraId="040BDE05" w14:textId="77777777" w:rsidR="00FB24C0" w:rsidRPr="00FB24C0" w:rsidRDefault="00AA71D6" w:rsidP="00FB24C0">
      <w:pPr>
        <w:spacing w:after="0" w:line="240" w:lineRule="auto"/>
        <w:ind w:left="0" w:firstLine="0"/>
        <w:rPr>
          <w:color w:val="auto"/>
          <w:lang w:val="es-ES"/>
        </w:rPr>
      </w:pPr>
      <w:r>
        <w:rPr>
          <w:color w:val="auto"/>
          <w:lang w:val="es-ES"/>
        </w:rPr>
        <w:t>MVASI</w:t>
      </w:r>
      <w:r w:rsidR="00FB24C0" w:rsidRPr="00FB24C0">
        <w:rPr>
          <w:color w:val="auto"/>
          <w:lang w:val="es-ES"/>
        </w:rPr>
        <w:t xml:space="preserve"> 25</w:t>
      </w:r>
      <w:r w:rsidR="0094370F">
        <w:rPr>
          <w:color w:val="auto"/>
          <w:lang w:val="es-ES"/>
        </w:rPr>
        <w:t> mg</w:t>
      </w:r>
      <w:r w:rsidR="00FB24C0" w:rsidRPr="00FB24C0">
        <w:rPr>
          <w:color w:val="auto"/>
          <w:lang w:val="es-ES"/>
        </w:rPr>
        <w:t>/ml concentrado para solución para perfusión.</w:t>
      </w:r>
    </w:p>
    <w:p w14:paraId="56510908" w14:textId="77777777" w:rsidR="00FB24C0" w:rsidRPr="00FB24C0" w:rsidRDefault="00FB24C0" w:rsidP="00FB24C0">
      <w:pPr>
        <w:spacing w:after="0" w:line="240" w:lineRule="auto"/>
        <w:ind w:left="0" w:firstLine="0"/>
        <w:rPr>
          <w:color w:val="auto"/>
          <w:lang w:val="es-ES"/>
        </w:rPr>
      </w:pPr>
    </w:p>
    <w:p w14:paraId="7DD45FFA" w14:textId="77777777" w:rsidR="00FB24C0" w:rsidRPr="00FB24C0" w:rsidRDefault="00FB24C0" w:rsidP="00FB24C0">
      <w:pPr>
        <w:spacing w:after="0" w:line="240" w:lineRule="auto"/>
        <w:ind w:left="0" w:firstLine="0"/>
        <w:rPr>
          <w:color w:val="auto"/>
          <w:lang w:val="es-ES"/>
        </w:rPr>
      </w:pPr>
    </w:p>
    <w:p w14:paraId="5773057C" w14:textId="77777777" w:rsidR="00FB24C0" w:rsidRPr="00443040" w:rsidRDefault="00FB24C0" w:rsidP="00FB24C0">
      <w:pPr>
        <w:keepNext/>
        <w:spacing w:after="0" w:line="240" w:lineRule="auto"/>
        <w:ind w:left="567" w:hanging="567"/>
        <w:rPr>
          <w:b/>
          <w:color w:val="auto"/>
          <w:lang w:val="es-ES"/>
        </w:rPr>
      </w:pPr>
      <w:r w:rsidRPr="00443040">
        <w:rPr>
          <w:b/>
          <w:color w:val="auto"/>
          <w:lang w:val="es-ES"/>
        </w:rPr>
        <w:t>2.</w:t>
      </w:r>
      <w:r w:rsidRPr="00443040">
        <w:rPr>
          <w:b/>
          <w:color w:val="auto"/>
          <w:lang w:val="es-ES"/>
        </w:rPr>
        <w:tab/>
        <w:t>COMPOSICIÓN CUALITATIVA Y CUANTITATIVA</w:t>
      </w:r>
    </w:p>
    <w:p w14:paraId="72A65610" w14:textId="77777777" w:rsidR="00FB24C0" w:rsidRPr="00443040" w:rsidRDefault="00FB24C0" w:rsidP="00B43B7E">
      <w:pPr>
        <w:keepNext/>
        <w:spacing w:after="0" w:line="240" w:lineRule="auto"/>
        <w:ind w:left="0" w:firstLine="0"/>
        <w:rPr>
          <w:color w:val="auto"/>
          <w:lang w:val="es-ES"/>
        </w:rPr>
      </w:pPr>
    </w:p>
    <w:p w14:paraId="724092DA" w14:textId="77777777" w:rsidR="00FB24C0" w:rsidRPr="00443040" w:rsidRDefault="00FB24C0" w:rsidP="00FB24C0">
      <w:pPr>
        <w:spacing w:after="0" w:line="240" w:lineRule="auto"/>
        <w:ind w:left="0" w:firstLine="0"/>
        <w:rPr>
          <w:color w:val="auto"/>
          <w:lang w:val="es-ES"/>
        </w:rPr>
      </w:pPr>
      <w:r w:rsidRPr="00443040">
        <w:rPr>
          <w:color w:val="auto"/>
          <w:lang w:val="es-ES"/>
        </w:rPr>
        <w:t>Cada ml de concentrado contiene 25</w:t>
      </w:r>
      <w:r w:rsidR="0094370F">
        <w:rPr>
          <w:color w:val="auto"/>
          <w:lang w:val="es-ES"/>
        </w:rPr>
        <w:t> mg</w:t>
      </w:r>
      <w:r w:rsidRPr="00443040">
        <w:rPr>
          <w:color w:val="auto"/>
          <w:lang w:val="es-ES"/>
        </w:rPr>
        <w:t xml:space="preserve"> de bevacizumab</w:t>
      </w:r>
      <w:r w:rsidR="00617D86">
        <w:rPr>
          <w:color w:val="auto"/>
          <w:lang w:val="es-ES"/>
        </w:rPr>
        <w:t>*</w:t>
      </w:r>
      <w:r w:rsidRPr="00443040">
        <w:rPr>
          <w:color w:val="auto"/>
          <w:lang w:val="es-ES"/>
        </w:rPr>
        <w:t>.</w:t>
      </w:r>
    </w:p>
    <w:p w14:paraId="324EBCE4" w14:textId="77777777" w:rsidR="00FB24C0" w:rsidRPr="00443040" w:rsidRDefault="00FB24C0" w:rsidP="00FB24C0">
      <w:pPr>
        <w:spacing w:after="0" w:line="240" w:lineRule="auto"/>
        <w:ind w:left="0" w:firstLine="0"/>
        <w:rPr>
          <w:color w:val="auto"/>
          <w:lang w:val="es-ES"/>
        </w:rPr>
      </w:pPr>
    </w:p>
    <w:p w14:paraId="11B14EDF" w14:textId="77777777" w:rsidR="00FB24C0" w:rsidRPr="00443040" w:rsidRDefault="00FB24C0" w:rsidP="00FB24C0">
      <w:pPr>
        <w:spacing w:after="0" w:line="240" w:lineRule="auto"/>
        <w:ind w:left="0" w:firstLine="0"/>
        <w:rPr>
          <w:color w:val="auto"/>
          <w:lang w:val="es-ES"/>
        </w:rPr>
      </w:pPr>
      <w:r w:rsidRPr="00443040">
        <w:rPr>
          <w:color w:val="auto"/>
          <w:lang w:val="es-ES"/>
        </w:rPr>
        <w:t xml:space="preserve">Cada vial de 4 ml </w:t>
      </w:r>
      <w:r w:rsidR="00F150D8">
        <w:rPr>
          <w:color w:val="auto"/>
          <w:lang w:val="es-ES"/>
        </w:rPr>
        <w:t xml:space="preserve">de concentrado </w:t>
      </w:r>
      <w:r w:rsidRPr="00443040">
        <w:rPr>
          <w:color w:val="auto"/>
          <w:lang w:val="es-ES"/>
        </w:rPr>
        <w:t>contiene 100</w:t>
      </w:r>
      <w:r w:rsidR="0094370F">
        <w:rPr>
          <w:color w:val="auto"/>
          <w:lang w:val="es-ES"/>
        </w:rPr>
        <w:t> mg</w:t>
      </w:r>
      <w:r w:rsidRPr="00443040">
        <w:rPr>
          <w:color w:val="auto"/>
          <w:lang w:val="es-ES"/>
        </w:rPr>
        <w:t xml:space="preserve"> de bevacizumab.</w:t>
      </w:r>
    </w:p>
    <w:p w14:paraId="5A2B84E5" w14:textId="77777777" w:rsidR="00FB24C0" w:rsidRPr="00443040" w:rsidRDefault="00FB24C0" w:rsidP="00FB24C0">
      <w:pPr>
        <w:spacing w:after="0" w:line="240" w:lineRule="auto"/>
        <w:ind w:left="0" w:firstLine="0"/>
        <w:rPr>
          <w:color w:val="auto"/>
          <w:lang w:val="es-ES"/>
        </w:rPr>
      </w:pPr>
      <w:r w:rsidRPr="00443040">
        <w:rPr>
          <w:color w:val="auto"/>
          <w:lang w:val="es-ES"/>
        </w:rPr>
        <w:t xml:space="preserve">Cada vial de 16 ml </w:t>
      </w:r>
      <w:r w:rsidR="00F150D8">
        <w:rPr>
          <w:color w:val="auto"/>
          <w:lang w:val="es-ES"/>
        </w:rPr>
        <w:t xml:space="preserve">de concentrado </w:t>
      </w:r>
      <w:r w:rsidRPr="00443040">
        <w:rPr>
          <w:color w:val="auto"/>
          <w:lang w:val="es-ES"/>
        </w:rPr>
        <w:t>contiene 400</w:t>
      </w:r>
      <w:r w:rsidR="0094370F">
        <w:rPr>
          <w:color w:val="auto"/>
          <w:lang w:val="es-ES"/>
        </w:rPr>
        <w:t> mg</w:t>
      </w:r>
      <w:r w:rsidRPr="00443040">
        <w:rPr>
          <w:color w:val="auto"/>
          <w:lang w:val="es-ES"/>
        </w:rPr>
        <w:t xml:space="preserve"> de bevacizumab.</w:t>
      </w:r>
    </w:p>
    <w:p w14:paraId="529634C2" w14:textId="77777777" w:rsidR="00FB24C0" w:rsidRPr="00443040" w:rsidRDefault="00FB24C0" w:rsidP="00FB24C0">
      <w:pPr>
        <w:spacing w:after="0" w:line="240" w:lineRule="auto"/>
        <w:ind w:left="0" w:firstLine="0"/>
        <w:rPr>
          <w:color w:val="auto"/>
          <w:lang w:val="es-ES"/>
        </w:rPr>
      </w:pPr>
    </w:p>
    <w:p w14:paraId="6772E212" w14:textId="77777777" w:rsidR="00FB24C0" w:rsidRPr="00443040" w:rsidRDefault="00FB24C0" w:rsidP="00FB24C0">
      <w:pPr>
        <w:spacing w:after="0" w:line="240" w:lineRule="auto"/>
        <w:ind w:left="0" w:firstLine="0"/>
        <w:rPr>
          <w:color w:val="auto"/>
          <w:lang w:val="es-ES"/>
        </w:rPr>
      </w:pPr>
      <w:r w:rsidRPr="00443040">
        <w:rPr>
          <w:color w:val="auto"/>
          <w:lang w:val="es-ES"/>
        </w:rPr>
        <w:t>Para diluir y otras recomendaciones de manipulación, ver sección 6.6.</w:t>
      </w:r>
    </w:p>
    <w:p w14:paraId="3D57C673" w14:textId="77777777" w:rsidR="00FB24C0" w:rsidRPr="00443040" w:rsidRDefault="00FB24C0" w:rsidP="00FB24C0">
      <w:pPr>
        <w:spacing w:after="0" w:line="240" w:lineRule="auto"/>
        <w:ind w:left="0" w:firstLine="0"/>
        <w:rPr>
          <w:color w:val="auto"/>
          <w:lang w:val="es-ES"/>
        </w:rPr>
      </w:pPr>
    </w:p>
    <w:p w14:paraId="6B64F18E" w14:textId="77777777" w:rsidR="00FB24C0" w:rsidRPr="00443040" w:rsidRDefault="00FB24C0" w:rsidP="00FB24C0">
      <w:pPr>
        <w:spacing w:after="0" w:line="240" w:lineRule="auto"/>
        <w:ind w:left="0" w:firstLine="0"/>
        <w:rPr>
          <w:color w:val="auto"/>
          <w:lang w:val="es-ES"/>
        </w:rPr>
      </w:pPr>
      <w:r w:rsidRPr="00443040">
        <w:rPr>
          <w:color w:val="auto"/>
          <w:lang w:val="es-ES"/>
        </w:rPr>
        <w:t>*Bevacizumab es un anticuerpo monoclonal humanizado producido por tecnología del ADN recombinante en células ováricas de hámster chino.</w:t>
      </w:r>
    </w:p>
    <w:p w14:paraId="51D91537" w14:textId="77777777" w:rsidR="004915A6" w:rsidRDefault="004915A6" w:rsidP="004915A6">
      <w:pPr>
        <w:spacing w:after="0" w:line="240" w:lineRule="auto"/>
        <w:ind w:left="0" w:firstLine="0"/>
        <w:rPr>
          <w:color w:val="auto"/>
          <w:lang w:val="es-ES"/>
        </w:rPr>
      </w:pPr>
    </w:p>
    <w:p w14:paraId="100FC590" w14:textId="77777777" w:rsidR="004915A6" w:rsidRDefault="004915A6" w:rsidP="004915A6">
      <w:pPr>
        <w:spacing w:after="0" w:line="240" w:lineRule="auto"/>
        <w:ind w:left="0" w:firstLine="0"/>
        <w:rPr>
          <w:color w:val="auto"/>
          <w:u w:val="single"/>
          <w:lang w:val="es-ES"/>
        </w:rPr>
      </w:pPr>
      <w:r>
        <w:rPr>
          <w:color w:val="auto"/>
          <w:u w:val="single"/>
          <w:lang w:val="es-ES"/>
        </w:rPr>
        <w:t>Excipientes con efecto conocido</w:t>
      </w:r>
    </w:p>
    <w:p w14:paraId="481ACBFA" w14:textId="77777777" w:rsidR="004915A6" w:rsidRDefault="004915A6" w:rsidP="004915A6">
      <w:pPr>
        <w:spacing w:after="0" w:line="240" w:lineRule="auto"/>
        <w:ind w:left="0" w:firstLine="0"/>
        <w:rPr>
          <w:i/>
          <w:color w:val="auto"/>
          <w:u w:val="single"/>
          <w:lang w:val="es-ES"/>
        </w:rPr>
      </w:pPr>
    </w:p>
    <w:p w14:paraId="4CA32A2C" w14:textId="2B265AF9" w:rsidR="004915A6" w:rsidRDefault="004915A6" w:rsidP="004915A6">
      <w:pPr>
        <w:spacing w:after="0" w:line="240" w:lineRule="auto"/>
        <w:ind w:left="0" w:firstLine="0"/>
        <w:rPr>
          <w:color w:val="auto"/>
          <w:lang w:val="es-ES"/>
        </w:rPr>
      </w:pPr>
      <w:r>
        <w:rPr>
          <w:color w:val="auto"/>
          <w:lang w:val="es-ES"/>
        </w:rPr>
        <w:t xml:space="preserve">Cada vial </w:t>
      </w:r>
      <w:r w:rsidR="00CA437C">
        <w:rPr>
          <w:color w:val="auto"/>
          <w:lang w:val="es-ES"/>
        </w:rPr>
        <w:t xml:space="preserve">de 4 ml </w:t>
      </w:r>
      <w:r>
        <w:rPr>
          <w:color w:val="auto"/>
          <w:lang w:val="es-ES"/>
        </w:rPr>
        <w:t xml:space="preserve">contiene </w:t>
      </w:r>
      <w:r w:rsidR="003A3BC9">
        <w:rPr>
          <w:color w:val="auto"/>
          <w:lang w:val="es-ES"/>
        </w:rPr>
        <w:t xml:space="preserve">5,4 </w:t>
      </w:r>
      <w:r>
        <w:rPr>
          <w:color w:val="auto"/>
          <w:lang w:val="es-ES"/>
        </w:rPr>
        <w:t>mg de sodio.</w:t>
      </w:r>
    </w:p>
    <w:p w14:paraId="1C684F03" w14:textId="035915D9" w:rsidR="004915A6" w:rsidRDefault="004915A6" w:rsidP="004915A6">
      <w:pPr>
        <w:spacing w:after="0" w:line="240" w:lineRule="auto"/>
        <w:ind w:left="0" w:firstLine="0"/>
        <w:rPr>
          <w:color w:val="auto"/>
          <w:lang w:val="es-ES"/>
        </w:rPr>
      </w:pPr>
      <w:r>
        <w:rPr>
          <w:color w:val="auto"/>
          <w:lang w:val="es-ES"/>
        </w:rPr>
        <w:t xml:space="preserve">Cada vial </w:t>
      </w:r>
      <w:r w:rsidR="00CA437C">
        <w:rPr>
          <w:color w:val="auto"/>
          <w:lang w:val="es-ES"/>
        </w:rPr>
        <w:t xml:space="preserve">de 16 ml </w:t>
      </w:r>
      <w:r>
        <w:rPr>
          <w:color w:val="auto"/>
          <w:lang w:val="es-ES"/>
        </w:rPr>
        <w:t xml:space="preserve">contiene </w:t>
      </w:r>
      <w:r w:rsidR="003A3BC9">
        <w:rPr>
          <w:color w:val="auto"/>
          <w:lang w:val="es-ES"/>
        </w:rPr>
        <w:t xml:space="preserve">21,7 </w:t>
      </w:r>
      <w:r>
        <w:rPr>
          <w:color w:val="auto"/>
          <w:lang w:val="es-ES"/>
        </w:rPr>
        <w:t>mg de sodio.</w:t>
      </w:r>
    </w:p>
    <w:p w14:paraId="1A93D53E" w14:textId="77777777" w:rsidR="00FB24C0" w:rsidRPr="00443040" w:rsidRDefault="00FB24C0" w:rsidP="00FB24C0">
      <w:pPr>
        <w:spacing w:after="0" w:line="240" w:lineRule="auto"/>
        <w:ind w:left="0" w:firstLine="0"/>
        <w:rPr>
          <w:color w:val="auto"/>
          <w:lang w:val="es-ES"/>
        </w:rPr>
      </w:pPr>
    </w:p>
    <w:p w14:paraId="34685A5B" w14:textId="77777777" w:rsidR="00FB24C0" w:rsidRPr="00443040" w:rsidRDefault="00FB24C0" w:rsidP="00FB24C0">
      <w:pPr>
        <w:spacing w:after="0" w:line="240" w:lineRule="auto"/>
        <w:ind w:left="0" w:firstLine="0"/>
        <w:rPr>
          <w:color w:val="auto"/>
          <w:lang w:val="es-ES"/>
        </w:rPr>
      </w:pPr>
      <w:r w:rsidRPr="00443040">
        <w:rPr>
          <w:color w:val="auto"/>
          <w:lang w:val="es-ES"/>
        </w:rPr>
        <w:t>Para consultar la lista completa de excipientes, ver sección 6.1.</w:t>
      </w:r>
    </w:p>
    <w:p w14:paraId="225F1CB1" w14:textId="77777777" w:rsidR="00FB24C0" w:rsidRPr="00443040" w:rsidRDefault="00FB24C0" w:rsidP="00FB24C0">
      <w:pPr>
        <w:spacing w:after="0" w:line="240" w:lineRule="auto"/>
        <w:ind w:left="0" w:firstLine="0"/>
        <w:rPr>
          <w:color w:val="auto"/>
          <w:lang w:val="es-ES"/>
        </w:rPr>
      </w:pPr>
    </w:p>
    <w:p w14:paraId="35DC7EA7" w14:textId="77777777" w:rsidR="00FB24C0" w:rsidRPr="00443040" w:rsidRDefault="00FB24C0" w:rsidP="00FB24C0">
      <w:pPr>
        <w:spacing w:after="0" w:line="240" w:lineRule="auto"/>
        <w:ind w:left="0" w:firstLine="0"/>
        <w:rPr>
          <w:color w:val="auto"/>
          <w:lang w:val="es-ES"/>
        </w:rPr>
      </w:pPr>
    </w:p>
    <w:p w14:paraId="66F3AA07" w14:textId="77777777" w:rsidR="00FB24C0" w:rsidRPr="00443040" w:rsidRDefault="00FB24C0" w:rsidP="00FB24C0">
      <w:pPr>
        <w:keepNext/>
        <w:spacing w:after="0" w:line="240" w:lineRule="auto"/>
        <w:ind w:left="567" w:hanging="567"/>
        <w:rPr>
          <w:b/>
          <w:color w:val="auto"/>
          <w:lang w:val="es-ES"/>
        </w:rPr>
      </w:pPr>
      <w:r w:rsidRPr="00443040">
        <w:rPr>
          <w:b/>
          <w:color w:val="auto"/>
          <w:lang w:val="es-ES"/>
        </w:rPr>
        <w:t>3.</w:t>
      </w:r>
      <w:r w:rsidRPr="00443040">
        <w:rPr>
          <w:b/>
          <w:color w:val="auto"/>
          <w:lang w:val="es-ES"/>
        </w:rPr>
        <w:tab/>
        <w:t>FORMA FARMACÉUTICA</w:t>
      </w:r>
    </w:p>
    <w:p w14:paraId="2CCEB4D2" w14:textId="77777777" w:rsidR="00FB24C0" w:rsidRPr="00443040" w:rsidRDefault="00FB24C0" w:rsidP="00FB24C0">
      <w:pPr>
        <w:keepNext/>
        <w:spacing w:after="0" w:line="240" w:lineRule="auto"/>
        <w:ind w:left="0" w:firstLine="0"/>
        <w:rPr>
          <w:color w:val="auto"/>
          <w:lang w:val="es-ES"/>
        </w:rPr>
      </w:pPr>
    </w:p>
    <w:p w14:paraId="10FBB3CF" w14:textId="0A03E5B8" w:rsidR="00FB24C0" w:rsidRPr="00443040" w:rsidRDefault="00FB24C0" w:rsidP="00FB24C0">
      <w:pPr>
        <w:spacing w:after="0" w:line="240" w:lineRule="auto"/>
        <w:ind w:left="0" w:firstLine="0"/>
        <w:rPr>
          <w:color w:val="auto"/>
          <w:lang w:val="es-ES"/>
        </w:rPr>
      </w:pPr>
      <w:r w:rsidRPr="00443040">
        <w:rPr>
          <w:color w:val="auto"/>
          <w:lang w:val="es-ES"/>
        </w:rPr>
        <w:t>Concentrado para solución para perfusión</w:t>
      </w:r>
      <w:r w:rsidR="00CA437C">
        <w:rPr>
          <w:color w:val="auto"/>
          <w:lang w:val="es-ES"/>
        </w:rPr>
        <w:t xml:space="preserve"> (concentrado estéril)</w:t>
      </w:r>
      <w:r w:rsidRPr="00443040">
        <w:rPr>
          <w:color w:val="auto"/>
          <w:lang w:val="es-ES"/>
        </w:rPr>
        <w:t>.</w:t>
      </w:r>
    </w:p>
    <w:p w14:paraId="232DC5AC" w14:textId="77777777" w:rsidR="00FB24C0" w:rsidRPr="00443040" w:rsidRDefault="00FB24C0" w:rsidP="00FB24C0">
      <w:pPr>
        <w:spacing w:after="0" w:line="240" w:lineRule="auto"/>
        <w:ind w:left="0" w:firstLine="0"/>
        <w:rPr>
          <w:color w:val="auto"/>
          <w:lang w:val="es-ES"/>
        </w:rPr>
      </w:pPr>
    </w:p>
    <w:p w14:paraId="2E05172D" w14:textId="10662904" w:rsidR="00FB24C0" w:rsidRPr="00443040" w:rsidRDefault="00FB24C0" w:rsidP="00FB24C0">
      <w:pPr>
        <w:spacing w:after="0" w:line="240" w:lineRule="auto"/>
        <w:ind w:left="0" w:firstLine="0"/>
        <w:rPr>
          <w:color w:val="auto"/>
          <w:lang w:val="es-ES"/>
        </w:rPr>
      </w:pPr>
      <w:r w:rsidRPr="00443040">
        <w:rPr>
          <w:color w:val="auto"/>
          <w:lang w:val="es-ES"/>
        </w:rPr>
        <w:t>Líquido</w:t>
      </w:r>
      <w:r w:rsidR="007C6704" w:rsidRPr="005864F3">
        <w:rPr>
          <w:lang w:val="es-ES"/>
        </w:rPr>
        <w:t xml:space="preserve"> </w:t>
      </w:r>
      <w:r w:rsidR="007C6704">
        <w:rPr>
          <w:color w:val="auto"/>
          <w:lang w:val="es-ES"/>
        </w:rPr>
        <w:t xml:space="preserve">transparente </w:t>
      </w:r>
      <w:r w:rsidR="007C6704" w:rsidRPr="007C6704">
        <w:rPr>
          <w:color w:val="auto"/>
          <w:lang w:val="es-ES"/>
        </w:rPr>
        <w:t>a ligeramente opalescente</w:t>
      </w:r>
      <w:r w:rsidR="007C6704">
        <w:rPr>
          <w:color w:val="auto"/>
          <w:lang w:val="es-ES"/>
        </w:rPr>
        <w:t>,</w:t>
      </w:r>
      <w:r w:rsidRPr="00443040">
        <w:rPr>
          <w:color w:val="auto"/>
          <w:lang w:val="es-ES"/>
        </w:rPr>
        <w:t xml:space="preserve"> incoloro a </w:t>
      </w:r>
      <w:r w:rsidR="00A51019">
        <w:rPr>
          <w:color w:val="auto"/>
          <w:lang w:val="es-ES"/>
        </w:rPr>
        <w:t>ligeramente amarill</w:t>
      </w:r>
      <w:r w:rsidR="003D6202">
        <w:rPr>
          <w:color w:val="auto"/>
          <w:lang w:val="es-ES"/>
        </w:rPr>
        <w:t>ent</w:t>
      </w:r>
      <w:r w:rsidR="00A51019">
        <w:rPr>
          <w:color w:val="auto"/>
          <w:lang w:val="es-ES"/>
        </w:rPr>
        <w:t>o</w:t>
      </w:r>
      <w:r w:rsidRPr="00443040">
        <w:rPr>
          <w:color w:val="auto"/>
          <w:lang w:val="es-ES"/>
        </w:rPr>
        <w:t>.</w:t>
      </w:r>
    </w:p>
    <w:p w14:paraId="1456DBF6" w14:textId="77777777" w:rsidR="00FB24C0" w:rsidRPr="00443040" w:rsidRDefault="00FB24C0" w:rsidP="00FB24C0">
      <w:pPr>
        <w:spacing w:after="0" w:line="240" w:lineRule="auto"/>
        <w:ind w:left="0" w:firstLine="0"/>
        <w:rPr>
          <w:i/>
          <w:color w:val="auto"/>
          <w:lang w:val="es-ES"/>
        </w:rPr>
      </w:pPr>
    </w:p>
    <w:p w14:paraId="63413233" w14:textId="77777777" w:rsidR="00FB24C0" w:rsidRPr="00443040" w:rsidRDefault="00FB24C0" w:rsidP="00FB24C0">
      <w:pPr>
        <w:spacing w:after="0" w:line="240" w:lineRule="auto"/>
        <w:ind w:left="0" w:firstLine="0"/>
        <w:rPr>
          <w:color w:val="auto"/>
          <w:lang w:val="es-ES"/>
        </w:rPr>
      </w:pPr>
    </w:p>
    <w:p w14:paraId="572FB374" w14:textId="77777777" w:rsidR="00FB24C0" w:rsidRPr="00443040" w:rsidRDefault="00FB24C0" w:rsidP="00FB24C0">
      <w:pPr>
        <w:keepNext/>
        <w:spacing w:after="0" w:line="240" w:lineRule="auto"/>
        <w:ind w:left="567" w:hanging="567"/>
        <w:rPr>
          <w:b/>
          <w:color w:val="auto"/>
          <w:lang w:val="es-ES"/>
        </w:rPr>
      </w:pPr>
      <w:r w:rsidRPr="00443040">
        <w:rPr>
          <w:b/>
          <w:color w:val="auto"/>
          <w:lang w:val="es-ES"/>
        </w:rPr>
        <w:t>4.</w:t>
      </w:r>
      <w:r w:rsidRPr="00443040">
        <w:rPr>
          <w:b/>
          <w:color w:val="auto"/>
          <w:lang w:val="es-ES"/>
        </w:rPr>
        <w:tab/>
        <w:t>DATOS CLÍNICOS</w:t>
      </w:r>
    </w:p>
    <w:p w14:paraId="5C045CAE" w14:textId="77777777" w:rsidR="00FB24C0" w:rsidRPr="00443040" w:rsidRDefault="00FB24C0" w:rsidP="00FB24C0">
      <w:pPr>
        <w:keepNext/>
        <w:spacing w:after="0" w:line="240" w:lineRule="auto"/>
        <w:ind w:left="0" w:firstLine="0"/>
        <w:rPr>
          <w:color w:val="auto"/>
          <w:lang w:val="es-ES"/>
        </w:rPr>
      </w:pPr>
    </w:p>
    <w:p w14:paraId="2E645C80" w14:textId="77777777" w:rsidR="00FB24C0" w:rsidRPr="00443040" w:rsidRDefault="00FB24C0" w:rsidP="00FB24C0">
      <w:pPr>
        <w:keepNext/>
        <w:spacing w:after="0" w:line="240" w:lineRule="auto"/>
        <w:ind w:left="567" w:hanging="567"/>
        <w:rPr>
          <w:color w:val="auto"/>
          <w:lang w:val="es-ES"/>
        </w:rPr>
      </w:pPr>
      <w:r w:rsidRPr="00443040">
        <w:rPr>
          <w:b/>
          <w:color w:val="auto"/>
          <w:lang w:val="es-ES"/>
        </w:rPr>
        <w:t>4.1</w:t>
      </w:r>
      <w:r w:rsidRPr="00443040">
        <w:rPr>
          <w:b/>
          <w:color w:val="auto"/>
          <w:lang w:val="es-ES"/>
        </w:rPr>
        <w:tab/>
        <w:t>Indicaciones terapéuticas</w:t>
      </w:r>
    </w:p>
    <w:p w14:paraId="5B3D5372" w14:textId="77777777" w:rsidR="00FB24C0" w:rsidRPr="00443040" w:rsidRDefault="00FB24C0" w:rsidP="00FB24C0">
      <w:pPr>
        <w:keepNext/>
        <w:spacing w:after="0" w:line="240" w:lineRule="auto"/>
        <w:ind w:left="0" w:firstLine="0"/>
        <w:rPr>
          <w:color w:val="auto"/>
          <w:lang w:val="es-ES"/>
        </w:rPr>
      </w:pPr>
    </w:p>
    <w:p w14:paraId="5AB7180D" w14:textId="77777777" w:rsidR="00FB24C0" w:rsidRPr="00443040" w:rsidRDefault="00AA71D6" w:rsidP="00FB24C0">
      <w:pPr>
        <w:spacing w:after="0" w:line="240" w:lineRule="auto"/>
        <w:ind w:left="0" w:firstLine="0"/>
        <w:rPr>
          <w:color w:val="auto"/>
          <w:lang w:val="es-ES"/>
        </w:rPr>
      </w:pPr>
      <w:r>
        <w:rPr>
          <w:rFonts w:eastAsia="Calibri"/>
          <w:lang w:val="es-ES"/>
        </w:rPr>
        <w:t>MVASI</w:t>
      </w:r>
      <w:r w:rsidR="00FB24C0" w:rsidRPr="00443040">
        <w:rPr>
          <w:color w:val="auto"/>
          <w:lang w:val="es-ES"/>
        </w:rPr>
        <w:t xml:space="preserve"> está indicado en combinación con quimioterapia basada en </w:t>
      </w:r>
      <w:proofErr w:type="spellStart"/>
      <w:r w:rsidR="00FB24C0" w:rsidRPr="00443040">
        <w:rPr>
          <w:color w:val="auto"/>
          <w:lang w:val="es-ES"/>
        </w:rPr>
        <w:t>fluoropirimidinas</w:t>
      </w:r>
      <w:proofErr w:type="spellEnd"/>
      <w:r w:rsidR="00FB24C0" w:rsidRPr="00443040">
        <w:rPr>
          <w:color w:val="auto"/>
          <w:lang w:val="es-ES"/>
        </w:rPr>
        <w:t xml:space="preserve"> para el tratamiento de pacientes adultos con carcinoma metastásico de colon o recto.</w:t>
      </w:r>
    </w:p>
    <w:p w14:paraId="3D228A2F" w14:textId="77777777" w:rsidR="00FB24C0" w:rsidRPr="00443040" w:rsidRDefault="00FB24C0" w:rsidP="00FB24C0">
      <w:pPr>
        <w:spacing w:after="0" w:line="240" w:lineRule="auto"/>
        <w:ind w:left="0" w:firstLine="0"/>
        <w:rPr>
          <w:color w:val="auto"/>
          <w:lang w:val="es-ES"/>
        </w:rPr>
      </w:pPr>
    </w:p>
    <w:p w14:paraId="711BF048" w14:textId="1F7BE793" w:rsidR="00FB24C0" w:rsidRDefault="00AA71D6" w:rsidP="00FB24C0">
      <w:pPr>
        <w:spacing w:after="0" w:line="240" w:lineRule="auto"/>
        <w:ind w:left="0" w:firstLine="0"/>
        <w:rPr>
          <w:color w:val="auto"/>
          <w:lang w:val="es-ES"/>
        </w:rPr>
      </w:pPr>
      <w:r>
        <w:rPr>
          <w:rFonts w:eastAsia="Calibri"/>
          <w:lang w:val="es-ES"/>
        </w:rPr>
        <w:t>MVASI</w:t>
      </w:r>
      <w:r w:rsidR="00FB24C0" w:rsidRPr="00443040">
        <w:rPr>
          <w:color w:val="auto"/>
          <w:lang w:val="es-ES"/>
        </w:rPr>
        <w:t xml:space="preserve"> está indicado en combinación con </w:t>
      </w:r>
      <w:proofErr w:type="spellStart"/>
      <w:r w:rsidR="00FB24C0" w:rsidRPr="00443040">
        <w:rPr>
          <w:color w:val="auto"/>
          <w:lang w:val="es-ES"/>
        </w:rPr>
        <w:t>paclitaxel</w:t>
      </w:r>
      <w:proofErr w:type="spellEnd"/>
      <w:r w:rsidR="00FB24C0" w:rsidRPr="00443040">
        <w:rPr>
          <w:color w:val="auto"/>
          <w:lang w:val="es-ES"/>
        </w:rPr>
        <w:t xml:space="preserve"> para el tratamiento en primera línea de pacientes adultos con cáncer de mama metastásico. Para más información sobre el estado del receptor 2 del factor de crecimiento epidérmico humano (HER2</w:t>
      </w:r>
      <w:r w:rsidR="007C6704">
        <w:rPr>
          <w:color w:val="auto"/>
          <w:lang w:val="es-ES"/>
        </w:rPr>
        <w:t>, por sus siglas en inglés</w:t>
      </w:r>
      <w:r w:rsidR="00FB24C0" w:rsidRPr="00443040">
        <w:rPr>
          <w:color w:val="auto"/>
          <w:lang w:val="es-ES"/>
        </w:rPr>
        <w:t>), ver sección 5.1.</w:t>
      </w:r>
    </w:p>
    <w:p w14:paraId="1470F58F" w14:textId="77777777" w:rsidR="0045125C" w:rsidRDefault="0045125C" w:rsidP="00FB24C0">
      <w:pPr>
        <w:spacing w:after="0" w:line="240" w:lineRule="auto"/>
        <w:ind w:left="0" w:firstLine="0"/>
        <w:rPr>
          <w:color w:val="auto"/>
          <w:lang w:val="es-ES"/>
        </w:rPr>
      </w:pPr>
    </w:p>
    <w:p w14:paraId="1601E68B" w14:textId="28888164" w:rsidR="0045125C" w:rsidRPr="0045125C" w:rsidRDefault="006B22D9" w:rsidP="00FB24C0">
      <w:pPr>
        <w:spacing w:after="0" w:line="240" w:lineRule="auto"/>
        <w:ind w:left="0" w:firstLine="0"/>
        <w:rPr>
          <w:color w:val="auto"/>
          <w:lang w:val="es-ES"/>
        </w:rPr>
      </w:pPr>
      <w:r>
        <w:rPr>
          <w:lang w:val="es-ES"/>
        </w:rPr>
        <w:t>MVASI</w:t>
      </w:r>
      <w:r w:rsidR="0045125C" w:rsidRPr="005F3B14">
        <w:rPr>
          <w:lang w:val="es-ES"/>
        </w:rPr>
        <w:t xml:space="preserve"> está indicado, en combinación con </w:t>
      </w:r>
      <w:proofErr w:type="spellStart"/>
      <w:r w:rsidR="0045125C" w:rsidRPr="005F3B14">
        <w:rPr>
          <w:lang w:val="es-ES"/>
        </w:rPr>
        <w:t>capecitabina</w:t>
      </w:r>
      <w:proofErr w:type="spellEnd"/>
      <w:r w:rsidR="0045125C" w:rsidRPr="005F3B14">
        <w:rPr>
          <w:lang w:val="es-ES"/>
        </w:rPr>
        <w:t xml:space="preserve">, para el tratamiento en primera línea de pacientes adultos con cáncer de mama metastásico en los que no se considere apropiado el tratamiento con otras opciones de quimioterapia que incluyan </w:t>
      </w:r>
      <w:proofErr w:type="spellStart"/>
      <w:r w:rsidR="0045125C" w:rsidRPr="005F3B14">
        <w:rPr>
          <w:lang w:val="es-ES"/>
        </w:rPr>
        <w:t>taxanos</w:t>
      </w:r>
      <w:proofErr w:type="spellEnd"/>
      <w:r w:rsidR="0045125C" w:rsidRPr="005F3B14">
        <w:rPr>
          <w:lang w:val="es-ES"/>
        </w:rPr>
        <w:t xml:space="preserve"> o antraciclinas. Los pacientes que han recibido regímenes de tratamiento que contienen </w:t>
      </w:r>
      <w:proofErr w:type="spellStart"/>
      <w:r w:rsidR="0045125C" w:rsidRPr="005F3B14">
        <w:rPr>
          <w:lang w:val="es-ES"/>
        </w:rPr>
        <w:t>taxanos</w:t>
      </w:r>
      <w:proofErr w:type="spellEnd"/>
      <w:r w:rsidR="0045125C" w:rsidRPr="005F3B14">
        <w:rPr>
          <w:lang w:val="es-ES"/>
        </w:rPr>
        <w:t xml:space="preserve"> y antraciclinas en el entorno adyuvante en los últimos 12</w:t>
      </w:r>
      <w:r w:rsidR="0045125C">
        <w:rPr>
          <w:lang w:val="es-ES"/>
        </w:rPr>
        <w:t> </w:t>
      </w:r>
      <w:r w:rsidR="0045125C" w:rsidRPr="005F3B14">
        <w:rPr>
          <w:lang w:val="es-ES"/>
        </w:rPr>
        <w:t xml:space="preserve">meses deben ser excluidos del tratamiento con </w:t>
      </w:r>
      <w:r w:rsidR="0045125C">
        <w:rPr>
          <w:lang w:val="es-ES"/>
        </w:rPr>
        <w:t>MVASI</w:t>
      </w:r>
      <w:r w:rsidR="0045125C" w:rsidRPr="005F3B14">
        <w:rPr>
          <w:lang w:val="es-ES"/>
        </w:rPr>
        <w:t xml:space="preserve"> en combinación con </w:t>
      </w:r>
      <w:proofErr w:type="spellStart"/>
      <w:r w:rsidR="0045125C" w:rsidRPr="005F3B14">
        <w:rPr>
          <w:lang w:val="es-ES"/>
        </w:rPr>
        <w:t>capecitabina</w:t>
      </w:r>
      <w:proofErr w:type="spellEnd"/>
      <w:r w:rsidR="0045125C" w:rsidRPr="005F3B14">
        <w:rPr>
          <w:lang w:val="es-ES"/>
        </w:rPr>
        <w:t>. Para más información sobre el estado del HER2, ver sección</w:t>
      </w:r>
      <w:r w:rsidR="0045125C">
        <w:rPr>
          <w:lang w:val="es-ES"/>
        </w:rPr>
        <w:t> </w:t>
      </w:r>
      <w:r w:rsidR="0045125C" w:rsidRPr="005F3B14">
        <w:rPr>
          <w:lang w:val="es-ES"/>
        </w:rPr>
        <w:t>5.1</w:t>
      </w:r>
      <w:r w:rsidR="0045125C">
        <w:rPr>
          <w:lang w:val="es-ES"/>
        </w:rPr>
        <w:t>.</w:t>
      </w:r>
    </w:p>
    <w:p w14:paraId="57DDF7BC" w14:textId="77777777" w:rsidR="00FB24C0" w:rsidRPr="00443040" w:rsidRDefault="00FB24C0" w:rsidP="00FB24C0">
      <w:pPr>
        <w:spacing w:after="0" w:line="240" w:lineRule="auto"/>
        <w:ind w:left="0" w:firstLine="0"/>
        <w:rPr>
          <w:color w:val="auto"/>
          <w:lang w:val="es-ES"/>
        </w:rPr>
      </w:pPr>
    </w:p>
    <w:p w14:paraId="7975D19E" w14:textId="77777777" w:rsidR="00FB24C0" w:rsidRDefault="00AA71D6" w:rsidP="00FB24C0">
      <w:pPr>
        <w:spacing w:after="0" w:line="240" w:lineRule="auto"/>
        <w:ind w:left="0" w:firstLine="0"/>
        <w:rPr>
          <w:color w:val="auto"/>
          <w:lang w:val="es-ES"/>
        </w:rPr>
      </w:pPr>
      <w:r>
        <w:rPr>
          <w:rFonts w:eastAsia="Calibri"/>
          <w:lang w:val="es-ES"/>
        </w:rPr>
        <w:t>MVASI</w:t>
      </w:r>
      <w:r w:rsidR="00FB24C0" w:rsidRPr="00443040">
        <w:rPr>
          <w:color w:val="auto"/>
          <w:lang w:val="es-ES"/>
        </w:rPr>
        <w:t xml:space="preserve"> está indicado, asociado a quimioterapia basada en platino, para el tratamiento en primera línea de pacientes adultos con cáncer de pulmón no microcítico avanzado no resecable, metastásico o recidivante, salvo los que tengan un tipo histológico con predominio de células escamosas.</w:t>
      </w:r>
    </w:p>
    <w:p w14:paraId="62FDE4AB" w14:textId="77777777" w:rsidR="0045125C" w:rsidRDefault="0045125C" w:rsidP="00FB24C0">
      <w:pPr>
        <w:spacing w:after="0" w:line="240" w:lineRule="auto"/>
        <w:ind w:left="0" w:firstLine="0"/>
        <w:rPr>
          <w:color w:val="auto"/>
          <w:lang w:val="es-ES"/>
        </w:rPr>
      </w:pPr>
    </w:p>
    <w:p w14:paraId="17E84260" w14:textId="3CF5C57F" w:rsidR="0045125C" w:rsidRPr="0045125C" w:rsidRDefault="0045125C" w:rsidP="00FB24C0">
      <w:pPr>
        <w:spacing w:after="0" w:line="240" w:lineRule="auto"/>
        <w:ind w:left="0" w:firstLine="0"/>
        <w:rPr>
          <w:color w:val="auto"/>
          <w:lang w:val="es-ES"/>
        </w:rPr>
      </w:pPr>
      <w:r>
        <w:rPr>
          <w:lang w:val="es-ES"/>
        </w:rPr>
        <w:t>MVASI</w:t>
      </w:r>
      <w:r w:rsidRPr="005F3B14">
        <w:rPr>
          <w:lang w:val="es-ES"/>
        </w:rPr>
        <w:t xml:space="preserve">, en combinación con </w:t>
      </w:r>
      <w:proofErr w:type="spellStart"/>
      <w:r w:rsidRPr="005F3B14">
        <w:rPr>
          <w:lang w:val="es-ES"/>
        </w:rPr>
        <w:t>erlotinib</w:t>
      </w:r>
      <w:proofErr w:type="spellEnd"/>
      <w:r w:rsidRPr="005F3B14">
        <w:rPr>
          <w:lang w:val="es-ES"/>
        </w:rPr>
        <w:t xml:space="preserve">, está indicado para el tratamiento en primera línea de pacientes adultos con cáncer de pulmón no microcítico no escamoso avanzado no resecable, metastásico o </w:t>
      </w:r>
      <w:r w:rsidRPr="005F3B14">
        <w:rPr>
          <w:lang w:val="es-ES"/>
        </w:rPr>
        <w:lastRenderedPageBreak/>
        <w:t>recidivante con mutaciones activadoras del receptor del factor de crecimiento epidérmico (EGFR) (ver sección</w:t>
      </w:r>
      <w:r>
        <w:rPr>
          <w:lang w:val="es-ES"/>
        </w:rPr>
        <w:t> </w:t>
      </w:r>
      <w:r w:rsidRPr="005F3B14">
        <w:rPr>
          <w:lang w:val="es-ES"/>
        </w:rPr>
        <w:t>5.1).</w:t>
      </w:r>
    </w:p>
    <w:p w14:paraId="5DD105A2" w14:textId="77777777" w:rsidR="00FB24C0" w:rsidRPr="00443040" w:rsidRDefault="00FB24C0" w:rsidP="00FB24C0">
      <w:pPr>
        <w:spacing w:after="0" w:line="240" w:lineRule="auto"/>
        <w:ind w:left="0" w:firstLine="0"/>
        <w:rPr>
          <w:color w:val="auto"/>
          <w:lang w:val="es-ES"/>
        </w:rPr>
      </w:pPr>
    </w:p>
    <w:p w14:paraId="36D1FA3C" w14:textId="77777777" w:rsidR="00FB24C0" w:rsidRPr="001C30B1" w:rsidRDefault="00AA71D6" w:rsidP="00FB24C0">
      <w:pPr>
        <w:spacing w:after="0" w:line="240" w:lineRule="auto"/>
        <w:ind w:left="0" w:firstLine="0"/>
        <w:rPr>
          <w:color w:val="auto"/>
          <w:lang w:val="es-ES"/>
        </w:rPr>
      </w:pPr>
      <w:r>
        <w:rPr>
          <w:rFonts w:eastAsia="Calibri"/>
          <w:lang w:val="es-ES"/>
        </w:rPr>
        <w:t>MVASI</w:t>
      </w:r>
      <w:r w:rsidR="00FB24C0" w:rsidRPr="001C30B1">
        <w:rPr>
          <w:color w:val="auto"/>
          <w:lang w:val="es-ES"/>
        </w:rPr>
        <w:t xml:space="preserve"> está indicado en combinación con interferón alfa-2a para el tratamiento en primera línea de pacientes adultos con cáncer de células renales avanzado y/o metastásico.</w:t>
      </w:r>
    </w:p>
    <w:p w14:paraId="3079963B" w14:textId="77777777" w:rsidR="00FB24C0" w:rsidRPr="001C30B1" w:rsidRDefault="00FB24C0" w:rsidP="00FB24C0">
      <w:pPr>
        <w:spacing w:after="0" w:line="240" w:lineRule="auto"/>
        <w:ind w:left="0" w:firstLine="0"/>
        <w:rPr>
          <w:color w:val="auto"/>
          <w:lang w:val="es-ES"/>
        </w:rPr>
      </w:pPr>
    </w:p>
    <w:p w14:paraId="43852562" w14:textId="19389D61" w:rsidR="00FB24C0" w:rsidRPr="001C30B1" w:rsidRDefault="00AA71D6" w:rsidP="00CA437C">
      <w:pPr>
        <w:spacing w:after="0" w:line="240" w:lineRule="auto"/>
        <w:ind w:left="0" w:firstLine="0"/>
        <w:rPr>
          <w:color w:val="auto"/>
          <w:lang w:val="es-ES"/>
        </w:rPr>
      </w:pPr>
      <w:r>
        <w:rPr>
          <w:rFonts w:eastAsia="Calibri"/>
          <w:lang w:val="es-ES"/>
        </w:rPr>
        <w:t>MVASI</w:t>
      </w:r>
      <w:r w:rsidR="00FB24C0" w:rsidRPr="001C30B1">
        <w:rPr>
          <w:color w:val="auto"/>
          <w:lang w:val="es-ES"/>
        </w:rPr>
        <w:t xml:space="preserve"> está indicado en combinación con carboplatino y </w:t>
      </w:r>
      <w:proofErr w:type="spellStart"/>
      <w:r w:rsidR="00FB24C0" w:rsidRPr="001C30B1">
        <w:rPr>
          <w:color w:val="auto"/>
          <w:lang w:val="es-ES"/>
        </w:rPr>
        <w:t>paclitaxel</w:t>
      </w:r>
      <w:proofErr w:type="spellEnd"/>
      <w:r w:rsidR="00FB24C0" w:rsidRPr="001C30B1">
        <w:rPr>
          <w:color w:val="auto"/>
          <w:lang w:val="es-ES"/>
        </w:rPr>
        <w:t xml:space="preserve"> para el tratamiento en primera línea de pacientes adultos con cáncer avanzado (estadios de la Federación Internacional de Ginecología y Obstetricia </w:t>
      </w:r>
      <w:r w:rsidR="00CA437C">
        <w:rPr>
          <w:color w:val="auto"/>
          <w:lang w:val="es-ES"/>
        </w:rPr>
        <w:t>[</w:t>
      </w:r>
      <w:r w:rsidR="00FB24C0" w:rsidRPr="001C30B1">
        <w:rPr>
          <w:color w:val="auto"/>
          <w:lang w:val="es-ES"/>
        </w:rPr>
        <w:t>FIGO</w:t>
      </w:r>
      <w:r w:rsidR="00CA437C">
        <w:rPr>
          <w:color w:val="auto"/>
          <w:lang w:val="es-ES"/>
        </w:rPr>
        <w:t>]</w:t>
      </w:r>
      <w:r w:rsidR="00FB24C0" w:rsidRPr="001C30B1">
        <w:rPr>
          <w:color w:val="auto"/>
          <w:lang w:val="es-ES"/>
        </w:rPr>
        <w:t xml:space="preserve"> IIIB, IIIC y IV) de ovario epitelial, trompa de Falopio, o peritoneal primario (ver sección 5.1).</w:t>
      </w:r>
    </w:p>
    <w:p w14:paraId="65F7F32C" w14:textId="77777777" w:rsidR="00FB24C0" w:rsidRPr="001C30B1" w:rsidRDefault="00FB24C0" w:rsidP="00FB24C0">
      <w:pPr>
        <w:spacing w:after="0" w:line="240" w:lineRule="auto"/>
        <w:ind w:left="0" w:firstLine="0"/>
        <w:rPr>
          <w:color w:val="auto"/>
          <w:lang w:val="es-ES"/>
        </w:rPr>
      </w:pPr>
    </w:p>
    <w:p w14:paraId="7438BF44" w14:textId="77777777" w:rsidR="00FB24C0" w:rsidRPr="001C30B1" w:rsidRDefault="00AA71D6" w:rsidP="00FB24C0">
      <w:pPr>
        <w:spacing w:after="0" w:line="240" w:lineRule="auto"/>
        <w:ind w:left="0" w:firstLine="0"/>
        <w:rPr>
          <w:color w:val="auto"/>
          <w:lang w:val="es-ES"/>
        </w:rPr>
      </w:pPr>
      <w:r>
        <w:rPr>
          <w:rFonts w:eastAsia="Calibri"/>
          <w:lang w:val="es-ES"/>
        </w:rPr>
        <w:t>MVASI</w:t>
      </w:r>
      <w:r w:rsidR="00FB24C0" w:rsidRPr="001C30B1">
        <w:rPr>
          <w:color w:val="auto"/>
          <w:lang w:val="es-ES"/>
        </w:rPr>
        <w:t xml:space="preserve"> está indicado en combinación con carboplatino y </w:t>
      </w:r>
      <w:proofErr w:type="spellStart"/>
      <w:r w:rsidR="00FB24C0" w:rsidRPr="001C30B1">
        <w:rPr>
          <w:color w:val="auto"/>
          <w:lang w:val="es-ES"/>
        </w:rPr>
        <w:t>gemcitabina</w:t>
      </w:r>
      <w:proofErr w:type="spellEnd"/>
      <w:r w:rsidR="00FB24C0" w:rsidRPr="001C30B1">
        <w:rPr>
          <w:color w:val="auto"/>
          <w:lang w:val="es-ES"/>
        </w:rPr>
        <w:t xml:space="preserve"> o en combinación con carboplatino y </w:t>
      </w:r>
      <w:proofErr w:type="spellStart"/>
      <w:r w:rsidR="00FB24C0" w:rsidRPr="001C30B1">
        <w:rPr>
          <w:color w:val="auto"/>
          <w:lang w:val="es-ES"/>
        </w:rPr>
        <w:t>paclitaxel</w:t>
      </w:r>
      <w:proofErr w:type="spellEnd"/>
      <w:r w:rsidR="00FB24C0" w:rsidRPr="001C30B1">
        <w:rPr>
          <w:color w:val="auto"/>
          <w:lang w:val="es-ES"/>
        </w:rPr>
        <w:t xml:space="preserve"> para el tratamiento de pacientes adultos con cáncer de ovario epitelial sensible a platino tras primera recaída, carcinoma de la trompa de Falopio, o carcinoma peritoneal primario que no hayan recibido tratamiento previo con bevacizumab, otros inhibidores VEGF o agentes dirigidos frente a receptores VEGF.</w:t>
      </w:r>
    </w:p>
    <w:p w14:paraId="400E7D34" w14:textId="77777777" w:rsidR="00FB24C0" w:rsidRPr="001C30B1" w:rsidRDefault="00FB24C0" w:rsidP="00FB24C0">
      <w:pPr>
        <w:spacing w:after="0" w:line="240" w:lineRule="auto"/>
        <w:ind w:left="0" w:firstLine="0"/>
        <w:rPr>
          <w:color w:val="auto"/>
          <w:lang w:val="es-ES"/>
        </w:rPr>
      </w:pPr>
    </w:p>
    <w:p w14:paraId="06E60425" w14:textId="3C346BBC" w:rsidR="00FB24C0" w:rsidRPr="001C30B1" w:rsidRDefault="00AA71D6" w:rsidP="00FB24C0">
      <w:pPr>
        <w:spacing w:after="0" w:line="240" w:lineRule="auto"/>
        <w:ind w:left="0" w:firstLine="0"/>
        <w:rPr>
          <w:color w:val="auto"/>
          <w:lang w:val="es-ES"/>
        </w:rPr>
      </w:pPr>
      <w:r>
        <w:rPr>
          <w:rFonts w:eastAsia="Calibri"/>
          <w:lang w:val="es-ES"/>
        </w:rPr>
        <w:t>MVASI</w:t>
      </w:r>
      <w:r w:rsidR="00FB24C0" w:rsidRPr="001C30B1">
        <w:rPr>
          <w:color w:val="auto"/>
          <w:lang w:val="es-ES"/>
        </w:rPr>
        <w:t xml:space="preserve"> en combinación con</w:t>
      </w:r>
      <w:r w:rsidR="00D03D1C">
        <w:rPr>
          <w:color w:val="auto"/>
          <w:lang w:val="es-ES"/>
        </w:rPr>
        <w:t xml:space="preserve"> </w:t>
      </w:r>
      <w:proofErr w:type="spellStart"/>
      <w:r w:rsidR="00D03D1C">
        <w:rPr>
          <w:color w:val="auto"/>
          <w:lang w:val="es-ES"/>
        </w:rPr>
        <w:t>paclitaxel</w:t>
      </w:r>
      <w:proofErr w:type="spellEnd"/>
      <w:r w:rsidR="00D03D1C">
        <w:rPr>
          <w:color w:val="auto"/>
          <w:lang w:val="es-ES"/>
        </w:rPr>
        <w:t>,</w:t>
      </w:r>
      <w:r w:rsidR="00FB24C0" w:rsidRPr="001C30B1">
        <w:rPr>
          <w:color w:val="auto"/>
          <w:lang w:val="es-ES"/>
        </w:rPr>
        <w:t xml:space="preserve"> </w:t>
      </w:r>
      <w:proofErr w:type="spellStart"/>
      <w:r w:rsidR="00FB24C0" w:rsidRPr="001C30B1">
        <w:rPr>
          <w:color w:val="auto"/>
          <w:lang w:val="es-ES"/>
        </w:rPr>
        <w:t>topotecán</w:t>
      </w:r>
      <w:proofErr w:type="spellEnd"/>
      <w:r w:rsidR="001408E2">
        <w:rPr>
          <w:color w:val="auto"/>
          <w:lang w:val="es-ES"/>
        </w:rPr>
        <w:t>,</w:t>
      </w:r>
      <w:r w:rsidR="00FB24C0" w:rsidRPr="001C30B1">
        <w:rPr>
          <w:color w:val="auto"/>
          <w:lang w:val="es-ES"/>
        </w:rPr>
        <w:t xml:space="preserve"> o doxorrubicina </w:t>
      </w:r>
      <w:proofErr w:type="spellStart"/>
      <w:r w:rsidR="00FB24C0" w:rsidRPr="001C30B1">
        <w:rPr>
          <w:color w:val="auto"/>
          <w:lang w:val="es-ES"/>
        </w:rPr>
        <w:t>liposomal</w:t>
      </w:r>
      <w:proofErr w:type="spellEnd"/>
      <w:r w:rsidR="00FB24C0" w:rsidRPr="001C30B1">
        <w:rPr>
          <w:color w:val="auto"/>
          <w:lang w:val="es-ES"/>
        </w:rPr>
        <w:t xml:space="preserve"> </w:t>
      </w:r>
      <w:proofErr w:type="spellStart"/>
      <w:r w:rsidR="00FB24C0" w:rsidRPr="001C30B1">
        <w:rPr>
          <w:color w:val="auto"/>
          <w:lang w:val="es-ES"/>
        </w:rPr>
        <w:t>pegilada</w:t>
      </w:r>
      <w:proofErr w:type="spellEnd"/>
      <w:r w:rsidR="00FB24C0" w:rsidRPr="001C30B1">
        <w:rPr>
          <w:color w:val="auto"/>
          <w:lang w:val="es-ES"/>
        </w:rPr>
        <w:t xml:space="preserve"> está indicado para el tratamiento de pacientes adultos con cáncer de ovario epitelial recurrente resistente a platino, de trompa de Falopio o peritoneal primario que no hayan recibido más de dos </w:t>
      </w:r>
      <w:r w:rsidR="007C6704">
        <w:rPr>
          <w:color w:val="auto"/>
          <w:lang w:val="es-ES"/>
        </w:rPr>
        <w:t xml:space="preserve">tratamientos </w:t>
      </w:r>
      <w:r w:rsidR="00FB24C0" w:rsidRPr="001C30B1">
        <w:rPr>
          <w:color w:val="auto"/>
          <w:lang w:val="es-ES"/>
        </w:rPr>
        <w:t>de quimioterapia previos y no hayan recibido tratamiento previo con bevacizumab u otros inhibidores VEGF o agentes dirigidos frente a receptores VEGF (ver sección 5.1).</w:t>
      </w:r>
    </w:p>
    <w:p w14:paraId="4139A129" w14:textId="77777777" w:rsidR="00FB24C0" w:rsidRPr="001C30B1" w:rsidRDefault="00FB24C0" w:rsidP="00FB24C0">
      <w:pPr>
        <w:spacing w:after="0" w:line="240" w:lineRule="auto"/>
        <w:ind w:left="0" w:firstLine="0"/>
        <w:rPr>
          <w:color w:val="auto"/>
          <w:lang w:val="es-ES"/>
        </w:rPr>
      </w:pPr>
    </w:p>
    <w:p w14:paraId="5AE871B1" w14:textId="70CA1F8F" w:rsidR="00FB24C0" w:rsidRPr="001C30B1" w:rsidRDefault="00AA71D6" w:rsidP="00FB24C0">
      <w:pPr>
        <w:spacing w:after="0" w:line="240" w:lineRule="auto"/>
        <w:ind w:left="0" w:firstLine="0"/>
        <w:rPr>
          <w:color w:val="auto"/>
          <w:lang w:val="es-ES"/>
        </w:rPr>
      </w:pPr>
      <w:r>
        <w:rPr>
          <w:rFonts w:eastAsia="Calibri"/>
          <w:lang w:val="es-ES"/>
        </w:rPr>
        <w:t>MVASI</w:t>
      </w:r>
      <w:r w:rsidR="00FB24C0" w:rsidRPr="001C30B1">
        <w:rPr>
          <w:color w:val="auto"/>
          <w:lang w:val="es-ES"/>
        </w:rPr>
        <w:t xml:space="preserve"> en combinación con </w:t>
      </w:r>
      <w:proofErr w:type="spellStart"/>
      <w:r w:rsidR="00FB24C0" w:rsidRPr="001C30B1">
        <w:rPr>
          <w:color w:val="auto"/>
          <w:lang w:val="es-ES"/>
        </w:rPr>
        <w:t>paclitaxel</w:t>
      </w:r>
      <w:proofErr w:type="spellEnd"/>
      <w:r w:rsidR="00FB24C0" w:rsidRPr="001C30B1">
        <w:rPr>
          <w:color w:val="auto"/>
          <w:lang w:val="es-ES"/>
        </w:rPr>
        <w:t xml:space="preserve"> y cisplatino o, alternativamente, </w:t>
      </w:r>
      <w:proofErr w:type="spellStart"/>
      <w:r w:rsidR="00FB24C0" w:rsidRPr="001C30B1">
        <w:rPr>
          <w:color w:val="auto"/>
          <w:lang w:val="es-ES"/>
        </w:rPr>
        <w:t>paclitaxel</w:t>
      </w:r>
      <w:proofErr w:type="spellEnd"/>
      <w:r w:rsidR="00FB24C0" w:rsidRPr="001C30B1">
        <w:rPr>
          <w:color w:val="auto"/>
          <w:lang w:val="es-ES"/>
        </w:rPr>
        <w:t xml:space="preserve"> y </w:t>
      </w:r>
      <w:proofErr w:type="spellStart"/>
      <w:r w:rsidR="00FB24C0" w:rsidRPr="001C30B1">
        <w:rPr>
          <w:color w:val="auto"/>
          <w:lang w:val="es-ES"/>
        </w:rPr>
        <w:t>topotec</w:t>
      </w:r>
      <w:r w:rsidR="00B675B7">
        <w:rPr>
          <w:color w:val="auto"/>
          <w:lang w:val="es-ES"/>
        </w:rPr>
        <w:t>á</w:t>
      </w:r>
      <w:r w:rsidR="00FB24C0" w:rsidRPr="001C30B1">
        <w:rPr>
          <w:color w:val="auto"/>
          <w:lang w:val="es-ES"/>
        </w:rPr>
        <w:t>n</w:t>
      </w:r>
      <w:proofErr w:type="spellEnd"/>
      <w:r w:rsidR="00FB24C0" w:rsidRPr="001C30B1">
        <w:rPr>
          <w:color w:val="auto"/>
          <w:lang w:val="es-ES"/>
        </w:rPr>
        <w:t xml:space="preserve"> en pacientes que no puedan recibir terapia con platino, está indicado para el tratamiento de pacientes adultos con carcinoma de cérvix </w:t>
      </w:r>
      <w:r w:rsidR="009959A2" w:rsidRPr="001C30B1">
        <w:rPr>
          <w:color w:val="auto"/>
          <w:lang w:val="es-ES"/>
        </w:rPr>
        <w:t>persistente</w:t>
      </w:r>
      <w:r w:rsidR="00FB24C0" w:rsidRPr="001C30B1">
        <w:rPr>
          <w:color w:val="auto"/>
          <w:lang w:val="es-ES"/>
        </w:rPr>
        <w:t>, recurrente o metastásico (ver sección 5.1).</w:t>
      </w:r>
    </w:p>
    <w:p w14:paraId="225E7E4D" w14:textId="77777777" w:rsidR="00FB24C0" w:rsidRPr="001C30B1" w:rsidRDefault="00FB24C0" w:rsidP="00FB24C0">
      <w:pPr>
        <w:spacing w:after="0" w:line="240" w:lineRule="auto"/>
        <w:ind w:left="0" w:firstLine="0"/>
        <w:rPr>
          <w:color w:val="auto"/>
          <w:lang w:val="es-ES"/>
        </w:rPr>
      </w:pPr>
    </w:p>
    <w:p w14:paraId="1E201223" w14:textId="77777777" w:rsidR="00FB24C0" w:rsidRPr="00443040" w:rsidRDefault="00FB24C0" w:rsidP="00FB24C0">
      <w:pPr>
        <w:keepNext/>
        <w:spacing w:after="0" w:line="240" w:lineRule="auto"/>
        <w:ind w:left="567" w:hanging="567"/>
        <w:rPr>
          <w:b/>
          <w:color w:val="auto"/>
          <w:lang w:val="es-ES"/>
        </w:rPr>
      </w:pPr>
      <w:r w:rsidRPr="00443040">
        <w:rPr>
          <w:b/>
          <w:color w:val="auto"/>
          <w:lang w:val="es-ES"/>
        </w:rPr>
        <w:t>4.2</w:t>
      </w:r>
      <w:r w:rsidRPr="00443040">
        <w:rPr>
          <w:b/>
          <w:color w:val="auto"/>
          <w:lang w:val="es-ES"/>
        </w:rPr>
        <w:tab/>
        <w:t>Posología y forma de administración</w:t>
      </w:r>
    </w:p>
    <w:p w14:paraId="4F648B1A" w14:textId="77777777" w:rsidR="00FB24C0" w:rsidRPr="00443040" w:rsidRDefault="00FB24C0" w:rsidP="00FB24C0">
      <w:pPr>
        <w:keepNext/>
        <w:spacing w:after="0" w:line="240" w:lineRule="auto"/>
        <w:ind w:left="0" w:firstLine="0"/>
        <w:rPr>
          <w:color w:val="auto"/>
          <w:lang w:val="es-ES"/>
        </w:rPr>
      </w:pPr>
    </w:p>
    <w:p w14:paraId="5F393BBC" w14:textId="75046008" w:rsidR="00FB24C0" w:rsidRPr="00443040" w:rsidRDefault="00AA71D6" w:rsidP="00FB24C0">
      <w:pPr>
        <w:spacing w:after="0" w:line="240" w:lineRule="auto"/>
        <w:ind w:left="0" w:firstLine="0"/>
        <w:rPr>
          <w:color w:val="auto"/>
          <w:lang w:val="es-ES"/>
        </w:rPr>
      </w:pPr>
      <w:r>
        <w:rPr>
          <w:rFonts w:eastAsia="Calibri"/>
          <w:lang w:val="es-ES"/>
        </w:rPr>
        <w:t>MVASI</w:t>
      </w:r>
      <w:r w:rsidR="00FB24C0" w:rsidRPr="00443040">
        <w:rPr>
          <w:color w:val="auto"/>
          <w:lang w:val="es-ES"/>
        </w:rPr>
        <w:t xml:space="preserve"> </w:t>
      </w:r>
      <w:r w:rsidR="007C6704">
        <w:rPr>
          <w:color w:val="auto"/>
          <w:lang w:val="es-ES"/>
        </w:rPr>
        <w:t xml:space="preserve">se </w:t>
      </w:r>
      <w:r w:rsidR="00FB24C0" w:rsidRPr="00443040">
        <w:rPr>
          <w:color w:val="auto"/>
          <w:lang w:val="es-ES"/>
        </w:rPr>
        <w:t>debe administrar bajo la supervisión de un médico con experiencia en el empleo de medicamentos antineoplásicos.</w:t>
      </w:r>
    </w:p>
    <w:p w14:paraId="31B58C97" w14:textId="77777777" w:rsidR="00FB24C0" w:rsidRPr="00443040" w:rsidRDefault="00FB24C0" w:rsidP="00FB24C0">
      <w:pPr>
        <w:spacing w:after="0" w:line="240" w:lineRule="auto"/>
        <w:ind w:left="0" w:firstLine="0"/>
        <w:rPr>
          <w:color w:val="auto"/>
          <w:lang w:val="es-ES"/>
        </w:rPr>
      </w:pPr>
      <w:bookmarkStart w:id="0" w:name="_Hlk490910220"/>
    </w:p>
    <w:p w14:paraId="1CDF48E9" w14:textId="77777777" w:rsidR="00FB24C0" w:rsidRPr="00443040" w:rsidRDefault="00FB24C0" w:rsidP="00FB24C0">
      <w:pPr>
        <w:keepNext/>
        <w:spacing w:after="0" w:line="240" w:lineRule="auto"/>
        <w:ind w:left="0" w:firstLine="0"/>
        <w:rPr>
          <w:color w:val="auto"/>
          <w:u w:val="single"/>
          <w:lang w:val="es-ES"/>
        </w:rPr>
      </w:pPr>
      <w:r w:rsidRPr="00443040">
        <w:rPr>
          <w:color w:val="auto"/>
          <w:u w:val="single"/>
          <w:lang w:val="es-ES"/>
        </w:rPr>
        <w:t>Posología</w:t>
      </w:r>
    </w:p>
    <w:p w14:paraId="3CFCD422" w14:textId="77777777" w:rsidR="00FB24C0" w:rsidRPr="00443040" w:rsidRDefault="00FB24C0" w:rsidP="00FB24C0">
      <w:pPr>
        <w:keepNext/>
        <w:spacing w:after="0" w:line="240" w:lineRule="auto"/>
        <w:ind w:left="0" w:firstLine="0"/>
        <w:rPr>
          <w:color w:val="auto"/>
          <w:lang w:val="es-ES"/>
        </w:rPr>
      </w:pPr>
    </w:p>
    <w:p w14:paraId="4A62ECC0" w14:textId="77777777" w:rsidR="00FB24C0" w:rsidRPr="00443040" w:rsidRDefault="00FB24C0" w:rsidP="00FB24C0">
      <w:pPr>
        <w:keepNext/>
        <w:spacing w:after="0" w:line="240" w:lineRule="auto"/>
        <w:ind w:left="0" w:firstLine="0"/>
        <w:rPr>
          <w:i/>
          <w:color w:val="auto"/>
          <w:u w:val="single"/>
          <w:lang w:val="es-ES"/>
        </w:rPr>
      </w:pPr>
      <w:r w:rsidRPr="00443040">
        <w:rPr>
          <w:i/>
          <w:color w:val="auto"/>
          <w:u w:val="single"/>
          <w:lang w:val="es-ES"/>
        </w:rPr>
        <w:t xml:space="preserve">Carcinoma </w:t>
      </w:r>
      <w:bookmarkEnd w:id="0"/>
      <w:r w:rsidRPr="00443040">
        <w:rPr>
          <w:i/>
          <w:color w:val="auto"/>
          <w:u w:val="single"/>
          <w:lang w:val="es-ES"/>
        </w:rPr>
        <w:t>metastásico de colon o recto (</w:t>
      </w:r>
      <w:proofErr w:type="spellStart"/>
      <w:r w:rsidRPr="00443040">
        <w:rPr>
          <w:i/>
          <w:color w:val="auto"/>
          <w:u w:val="single"/>
          <w:lang w:val="es-ES"/>
        </w:rPr>
        <w:t>CCRm</w:t>
      </w:r>
      <w:proofErr w:type="spellEnd"/>
      <w:r w:rsidRPr="00443040">
        <w:rPr>
          <w:i/>
          <w:color w:val="auto"/>
          <w:u w:val="single"/>
          <w:lang w:val="es-ES"/>
        </w:rPr>
        <w:t>)</w:t>
      </w:r>
    </w:p>
    <w:p w14:paraId="502157C4" w14:textId="77777777" w:rsidR="00FB24C0" w:rsidRPr="00443040" w:rsidRDefault="00FB24C0" w:rsidP="00FB24C0">
      <w:pPr>
        <w:keepNext/>
        <w:spacing w:after="0" w:line="240" w:lineRule="auto"/>
        <w:ind w:left="0" w:firstLine="0"/>
        <w:rPr>
          <w:color w:val="auto"/>
          <w:lang w:val="es-ES"/>
        </w:rPr>
      </w:pPr>
    </w:p>
    <w:p w14:paraId="2A30E820" w14:textId="77777777" w:rsidR="00FB24C0" w:rsidRPr="00443040" w:rsidRDefault="00FB24C0" w:rsidP="00FB24C0">
      <w:pPr>
        <w:spacing w:after="0" w:line="240" w:lineRule="auto"/>
        <w:ind w:left="0" w:firstLine="0"/>
        <w:rPr>
          <w:color w:val="auto"/>
          <w:lang w:val="es-ES"/>
        </w:rPr>
      </w:pPr>
      <w:r w:rsidRPr="00443040">
        <w:rPr>
          <w:color w:val="auto"/>
          <w:lang w:val="es-ES"/>
        </w:rPr>
        <w:t xml:space="preserve">La dosis recomendada de </w:t>
      </w:r>
      <w:r w:rsidR="00AA71D6">
        <w:rPr>
          <w:rFonts w:eastAsia="Calibri"/>
          <w:lang w:val="es-ES"/>
        </w:rPr>
        <w:t>MVASI</w:t>
      </w:r>
      <w:r w:rsidRPr="00443040">
        <w:rPr>
          <w:color w:val="auto"/>
          <w:lang w:val="es-ES"/>
        </w:rPr>
        <w:t xml:space="preserve"> es de 5</w:t>
      </w:r>
      <w:r w:rsidR="0094370F">
        <w:rPr>
          <w:color w:val="auto"/>
          <w:lang w:val="es-ES"/>
        </w:rPr>
        <w:t> mg</w:t>
      </w:r>
      <w:r w:rsidRPr="00443040">
        <w:rPr>
          <w:color w:val="auto"/>
          <w:lang w:val="es-ES"/>
        </w:rPr>
        <w:t>/kg o 10</w:t>
      </w:r>
      <w:r w:rsidR="0094370F">
        <w:rPr>
          <w:color w:val="auto"/>
          <w:lang w:val="es-ES"/>
        </w:rPr>
        <w:t> mg</w:t>
      </w:r>
      <w:r w:rsidRPr="00443040">
        <w:rPr>
          <w:color w:val="auto"/>
          <w:lang w:val="es-ES"/>
        </w:rPr>
        <w:t>/kg</w:t>
      </w:r>
      <w:r w:rsidRPr="00443040">
        <w:rPr>
          <w:i/>
          <w:color w:val="auto"/>
          <w:lang w:val="es-ES"/>
        </w:rPr>
        <w:t xml:space="preserve"> </w:t>
      </w:r>
      <w:r w:rsidRPr="00443040">
        <w:rPr>
          <w:color w:val="auto"/>
          <w:lang w:val="es-ES"/>
        </w:rPr>
        <w:t xml:space="preserve">de peso corporal administrados como perfusión intravenosa una vez </w:t>
      </w:r>
      <w:r w:rsidRPr="00443040">
        <w:rPr>
          <w:color w:val="auto"/>
          <w:u w:val="single" w:color="000000"/>
          <w:lang w:val="es-ES"/>
        </w:rPr>
        <w:t>cada 2 semanas</w:t>
      </w:r>
      <w:r w:rsidRPr="00443040">
        <w:rPr>
          <w:color w:val="auto"/>
          <w:lang w:val="es-ES"/>
        </w:rPr>
        <w:t xml:space="preserve"> o de 7,5 mg/kg o 15 mg/kg de peso corporal administrados una vez </w:t>
      </w:r>
      <w:r w:rsidRPr="00443040">
        <w:rPr>
          <w:color w:val="auto"/>
          <w:u w:val="single" w:color="000000"/>
          <w:lang w:val="es-ES"/>
        </w:rPr>
        <w:t>cada 3 semanas</w:t>
      </w:r>
      <w:r w:rsidRPr="00443040">
        <w:rPr>
          <w:color w:val="auto"/>
          <w:lang w:val="es-ES"/>
        </w:rPr>
        <w:t>.</w:t>
      </w:r>
    </w:p>
    <w:p w14:paraId="3145D903" w14:textId="77777777" w:rsidR="00FB24C0" w:rsidRPr="00443040" w:rsidRDefault="00FB24C0" w:rsidP="00FB24C0">
      <w:pPr>
        <w:spacing w:after="0" w:line="240" w:lineRule="auto"/>
        <w:ind w:left="0" w:firstLine="0"/>
        <w:rPr>
          <w:color w:val="auto"/>
          <w:lang w:val="es-ES"/>
        </w:rPr>
      </w:pPr>
    </w:p>
    <w:p w14:paraId="5FA30335" w14:textId="77777777" w:rsidR="00FB24C0" w:rsidRPr="00443040" w:rsidRDefault="00FB24C0" w:rsidP="00FB24C0">
      <w:pPr>
        <w:spacing w:after="0" w:line="240" w:lineRule="auto"/>
        <w:ind w:left="0" w:firstLine="0"/>
        <w:rPr>
          <w:color w:val="auto"/>
          <w:lang w:val="es-ES"/>
        </w:rPr>
      </w:pPr>
      <w:r w:rsidRPr="00443040">
        <w:rPr>
          <w:color w:val="auto"/>
          <w:lang w:val="es-ES"/>
        </w:rPr>
        <w:t>Se recomienda continuar el tratamiento hasta la progresión de la enfermedad subyacente o hasta toxicidad inaceptable.</w:t>
      </w:r>
    </w:p>
    <w:p w14:paraId="0BBEEE29" w14:textId="77777777" w:rsidR="00FB24C0" w:rsidRPr="00443040" w:rsidRDefault="00FB24C0" w:rsidP="00FB24C0">
      <w:pPr>
        <w:spacing w:after="0" w:line="240" w:lineRule="auto"/>
        <w:ind w:left="0" w:firstLine="0"/>
        <w:rPr>
          <w:i/>
          <w:color w:val="auto"/>
          <w:lang w:val="es-ES"/>
        </w:rPr>
      </w:pPr>
    </w:p>
    <w:p w14:paraId="36C34F92" w14:textId="77777777" w:rsidR="00FB24C0" w:rsidRPr="00443040" w:rsidRDefault="00FB24C0" w:rsidP="00FB24C0">
      <w:pPr>
        <w:keepNext/>
        <w:spacing w:after="0" w:line="240" w:lineRule="auto"/>
        <w:ind w:left="0" w:firstLine="0"/>
        <w:rPr>
          <w:i/>
          <w:color w:val="auto"/>
          <w:lang w:val="es-ES"/>
        </w:rPr>
      </w:pPr>
      <w:r w:rsidRPr="00443040">
        <w:rPr>
          <w:i/>
          <w:color w:val="auto"/>
          <w:u w:val="single" w:color="000000"/>
          <w:lang w:val="es-ES"/>
        </w:rPr>
        <w:t>Cáncer de mama metastásico (</w:t>
      </w:r>
      <w:proofErr w:type="spellStart"/>
      <w:r w:rsidRPr="00443040">
        <w:rPr>
          <w:i/>
          <w:color w:val="auto"/>
          <w:u w:val="single" w:color="000000"/>
          <w:lang w:val="es-ES"/>
        </w:rPr>
        <w:t>CMm</w:t>
      </w:r>
      <w:proofErr w:type="spellEnd"/>
      <w:r w:rsidRPr="00443040">
        <w:rPr>
          <w:i/>
          <w:color w:val="auto"/>
          <w:u w:val="single" w:color="000000"/>
          <w:lang w:val="es-ES"/>
        </w:rPr>
        <w:t>)</w:t>
      </w:r>
    </w:p>
    <w:p w14:paraId="7DD0621C" w14:textId="77777777" w:rsidR="00FB24C0" w:rsidRPr="00443040" w:rsidRDefault="00FB24C0" w:rsidP="00FB24C0">
      <w:pPr>
        <w:keepNext/>
        <w:spacing w:after="0" w:line="240" w:lineRule="auto"/>
        <w:ind w:left="0" w:firstLine="0"/>
        <w:rPr>
          <w:i/>
          <w:color w:val="auto"/>
          <w:lang w:val="es-ES"/>
        </w:rPr>
      </w:pPr>
    </w:p>
    <w:p w14:paraId="3E50D6B7" w14:textId="77777777" w:rsidR="00FB24C0" w:rsidRPr="00443040" w:rsidRDefault="00FB24C0" w:rsidP="00FB24C0">
      <w:pPr>
        <w:spacing w:after="0" w:line="240" w:lineRule="auto"/>
        <w:ind w:left="0" w:firstLine="0"/>
        <w:rPr>
          <w:color w:val="auto"/>
          <w:lang w:val="es-ES"/>
        </w:rPr>
      </w:pPr>
      <w:r w:rsidRPr="00443040">
        <w:rPr>
          <w:color w:val="auto"/>
          <w:lang w:val="es-ES"/>
        </w:rPr>
        <w:t xml:space="preserve">La dosis recomendada de </w:t>
      </w:r>
      <w:r w:rsidR="00AA71D6">
        <w:rPr>
          <w:rFonts w:eastAsia="Calibri"/>
          <w:lang w:val="es-ES"/>
        </w:rPr>
        <w:t>MVASI</w:t>
      </w:r>
      <w:r w:rsidRPr="00443040">
        <w:rPr>
          <w:color w:val="auto"/>
          <w:lang w:val="es-ES"/>
        </w:rPr>
        <w:t xml:space="preserve"> es de 10 mg/kg de peso corporal una vez cada 2</w:t>
      </w:r>
      <w:r w:rsidR="000C673C" w:rsidRPr="00D1096C">
        <w:rPr>
          <w:lang w:val="es-ES"/>
        </w:rPr>
        <w:t> </w:t>
      </w:r>
      <w:r w:rsidRPr="00443040">
        <w:rPr>
          <w:color w:val="auto"/>
          <w:lang w:val="es-ES"/>
        </w:rPr>
        <w:t>semanas o de 15 mg/kg de peso corporal una vez cada 3</w:t>
      </w:r>
      <w:r w:rsidR="000C673C" w:rsidRPr="00D1096C">
        <w:rPr>
          <w:lang w:val="es-ES"/>
        </w:rPr>
        <w:t> </w:t>
      </w:r>
      <w:r w:rsidRPr="00443040">
        <w:rPr>
          <w:color w:val="auto"/>
          <w:lang w:val="es-ES"/>
        </w:rPr>
        <w:t>semanas administrados como perfusión intravenosa.</w:t>
      </w:r>
    </w:p>
    <w:p w14:paraId="3E49FEC6" w14:textId="77777777" w:rsidR="00FB24C0" w:rsidRPr="00443040" w:rsidRDefault="00FB24C0" w:rsidP="00FB24C0">
      <w:pPr>
        <w:spacing w:after="0" w:line="240" w:lineRule="auto"/>
        <w:ind w:left="0" w:firstLine="0"/>
        <w:rPr>
          <w:color w:val="auto"/>
          <w:lang w:val="es-ES"/>
        </w:rPr>
      </w:pPr>
    </w:p>
    <w:p w14:paraId="37BFD908" w14:textId="77777777" w:rsidR="00FB24C0" w:rsidRPr="00443040" w:rsidRDefault="00FB24C0" w:rsidP="00FB24C0">
      <w:pPr>
        <w:spacing w:after="0" w:line="240" w:lineRule="auto"/>
        <w:ind w:left="0" w:firstLine="0"/>
        <w:rPr>
          <w:color w:val="auto"/>
          <w:lang w:val="es-ES"/>
        </w:rPr>
      </w:pPr>
      <w:r w:rsidRPr="00443040">
        <w:rPr>
          <w:color w:val="auto"/>
          <w:lang w:val="es-ES"/>
        </w:rPr>
        <w:t>Se recomienda continuar el tratamiento hasta la progresión de la enfermedad subyacente o hasta toxicidad inaceptable.</w:t>
      </w:r>
    </w:p>
    <w:p w14:paraId="55F5DF59" w14:textId="77777777" w:rsidR="00FB24C0" w:rsidRPr="00443040" w:rsidRDefault="00FB24C0" w:rsidP="00FB24C0">
      <w:pPr>
        <w:spacing w:after="0" w:line="240" w:lineRule="auto"/>
        <w:ind w:left="0" w:firstLine="0"/>
        <w:rPr>
          <w:color w:val="auto"/>
          <w:lang w:val="es-ES"/>
        </w:rPr>
      </w:pPr>
    </w:p>
    <w:p w14:paraId="54863232" w14:textId="77777777" w:rsidR="00FB24C0" w:rsidRPr="00443040" w:rsidRDefault="00FB24C0" w:rsidP="00FB24C0">
      <w:pPr>
        <w:keepNext/>
        <w:spacing w:after="0" w:line="240" w:lineRule="auto"/>
        <w:ind w:left="0" w:firstLine="0"/>
        <w:rPr>
          <w:i/>
          <w:color w:val="auto"/>
          <w:lang w:val="es-ES"/>
        </w:rPr>
      </w:pPr>
      <w:r w:rsidRPr="00443040">
        <w:rPr>
          <w:i/>
          <w:color w:val="auto"/>
          <w:u w:val="single" w:color="000000"/>
          <w:lang w:val="es-ES"/>
        </w:rPr>
        <w:lastRenderedPageBreak/>
        <w:t>Cáncer de pulmón no microcítico (CPNM)</w:t>
      </w:r>
    </w:p>
    <w:p w14:paraId="3B409257" w14:textId="77777777" w:rsidR="00FB24C0" w:rsidRPr="00443040" w:rsidRDefault="00FB24C0" w:rsidP="00FB24C0">
      <w:pPr>
        <w:keepNext/>
        <w:spacing w:after="0" w:line="240" w:lineRule="auto"/>
        <w:ind w:left="0" w:firstLine="0"/>
        <w:rPr>
          <w:b/>
          <w:i/>
          <w:color w:val="auto"/>
          <w:lang w:val="es-ES"/>
        </w:rPr>
      </w:pPr>
    </w:p>
    <w:p w14:paraId="373AD5D8" w14:textId="77777777" w:rsidR="00FB24C0" w:rsidRPr="00443040" w:rsidRDefault="00FB24C0" w:rsidP="00FB24C0">
      <w:pPr>
        <w:keepNext/>
        <w:spacing w:after="0" w:line="240" w:lineRule="auto"/>
        <w:ind w:left="0" w:firstLine="0"/>
        <w:rPr>
          <w:i/>
          <w:color w:val="auto"/>
          <w:lang w:val="es-ES"/>
        </w:rPr>
      </w:pPr>
      <w:r w:rsidRPr="00443040">
        <w:rPr>
          <w:i/>
          <w:color w:val="auto"/>
          <w:u w:color="000000"/>
          <w:lang w:val="es-ES"/>
        </w:rPr>
        <w:t>Primera línea de tratamiento para CPNM no escamoso en combinación con quimioterapia basada en</w:t>
      </w:r>
      <w:r w:rsidRPr="00443040">
        <w:rPr>
          <w:i/>
          <w:color w:val="auto"/>
          <w:lang w:val="es-ES"/>
        </w:rPr>
        <w:t xml:space="preserve"> </w:t>
      </w:r>
      <w:r w:rsidRPr="00443040">
        <w:rPr>
          <w:i/>
          <w:color w:val="auto"/>
          <w:u w:color="000000"/>
          <w:lang w:val="es-ES"/>
        </w:rPr>
        <w:t>platino</w:t>
      </w:r>
    </w:p>
    <w:p w14:paraId="672A88D2" w14:textId="77777777" w:rsidR="00FB24C0" w:rsidRPr="00443040" w:rsidRDefault="00FB24C0" w:rsidP="00FB24C0">
      <w:pPr>
        <w:keepNext/>
        <w:spacing w:after="0" w:line="240" w:lineRule="auto"/>
        <w:ind w:left="0" w:firstLine="0"/>
        <w:rPr>
          <w:b/>
          <w:i/>
          <w:color w:val="auto"/>
          <w:lang w:val="es-ES"/>
        </w:rPr>
      </w:pPr>
    </w:p>
    <w:p w14:paraId="65CFD9D2" w14:textId="77777777" w:rsidR="00FB24C0" w:rsidRPr="00443040" w:rsidRDefault="00AA71D6" w:rsidP="00FB24C0">
      <w:pPr>
        <w:spacing w:after="0" w:line="240" w:lineRule="auto"/>
        <w:ind w:left="0" w:firstLine="0"/>
        <w:rPr>
          <w:color w:val="auto"/>
          <w:lang w:val="es-ES"/>
        </w:rPr>
      </w:pPr>
      <w:r>
        <w:rPr>
          <w:rFonts w:eastAsia="Calibri"/>
          <w:lang w:val="es-ES"/>
        </w:rPr>
        <w:t>MVASI</w:t>
      </w:r>
      <w:r w:rsidR="00FB24C0" w:rsidRPr="00443040">
        <w:rPr>
          <w:color w:val="auto"/>
          <w:lang w:val="es-ES"/>
        </w:rPr>
        <w:t xml:space="preserve"> se administra en combinación con quimioterapia basada en platino durante 6</w:t>
      </w:r>
      <w:r w:rsidR="000C673C" w:rsidRPr="00D1096C">
        <w:rPr>
          <w:lang w:val="es-ES"/>
        </w:rPr>
        <w:t> </w:t>
      </w:r>
      <w:r w:rsidR="00FB24C0" w:rsidRPr="00443040">
        <w:rPr>
          <w:color w:val="auto"/>
          <w:lang w:val="es-ES"/>
        </w:rPr>
        <w:t xml:space="preserve">ciclos de tratamiento, seguido de </w:t>
      </w:r>
      <w:r>
        <w:rPr>
          <w:rFonts w:eastAsia="Calibri"/>
          <w:lang w:val="es-ES"/>
        </w:rPr>
        <w:t>MVASI</w:t>
      </w:r>
      <w:r w:rsidR="00FB24C0" w:rsidRPr="00443040">
        <w:rPr>
          <w:color w:val="auto"/>
          <w:lang w:val="es-ES"/>
        </w:rPr>
        <w:t xml:space="preserve"> en monoterapia hasta la progresión de la enfermedad.</w:t>
      </w:r>
    </w:p>
    <w:p w14:paraId="71E43EF4" w14:textId="77777777" w:rsidR="00FB24C0" w:rsidRPr="00443040" w:rsidRDefault="00FB24C0" w:rsidP="00FB24C0">
      <w:pPr>
        <w:spacing w:after="0" w:line="240" w:lineRule="auto"/>
        <w:ind w:left="0" w:firstLine="0"/>
        <w:rPr>
          <w:color w:val="auto"/>
          <w:lang w:val="es-ES"/>
        </w:rPr>
      </w:pPr>
    </w:p>
    <w:p w14:paraId="5C500588" w14:textId="77777777" w:rsidR="00FB24C0" w:rsidRPr="00443040" w:rsidRDefault="00FB24C0" w:rsidP="00FB24C0">
      <w:pPr>
        <w:spacing w:after="0" w:line="240" w:lineRule="auto"/>
        <w:ind w:left="0" w:firstLine="0"/>
        <w:rPr>
          <w:color w:val="auto"/>
          <w:lang w:val="es-ES"/>
        </w:rPr>
      </w:pPr>
      <w:r w:rsidRPr="00443040">
        <w:rPr>
          <w:color w:val="auto"/>
          <w:lang w:val="es-ES"/>
        </w:rPr>
        <w:t xml:space="preserve">La dosis recomendada de </w:t>
      </w:r>
      <w:r w:rsidR="00AA71D6">
        <w:rPr>
          <w:rFonts w:eastAsia="Calibri"/>
          <w:lang w:val="es-ES"/>
        </w:rPr>
        <w:t>MVASI</w:t>
      </w:r>
      <w:r w:rsidRPr="00443040">
        <w:rPr>
          <w:color w:val="auto"/>
          <w:lang w:val="es-ES"/>
        </w:rPr>
        <w:t xml:space="preserve"> es de 7,5 mg/kg o 15 mg/kg de peso corporal administrados como perfusión intravenosa una vez cada 3</w:t>
      </w:r>
      <w:r w:rsidR="000C673C" w:rsidRPr="00D1096C">
        <w:rPr>
          <w:lang w:val="es-ES"/>
        </w:rPr>
        <w:t> </w:t>
      </w:r>
      <w:r w:rsidRPr="00443040">
        <w:rPr>
          <w:color w:val="auto"/>
          <w:lang w:val="es-ES"/>
        </w:rPr>
        <w:t>semanas.</w:t>
      </w:r>
    </w:p>
    <w:p w14:paraId="04F12C05" w14:textId="77777777" w:rsidR="00FB24C0" w:rsidRPr="00443040" w:rsidRDefault="00FB24C0" w:rsidP="00FB24C0">
      <w:pPr>
        <w:spacing w:after="0" w:line="240" w:lineRule="auto"/>
        <w:ind w:left="0" w:firstLine="0"/>
        <w:rPr>
          <w:color w:val="auto"/>
          <w:lang w:val="es-ES"/>
        </w:rPr>
      </w:pPr>
    </w:p>
    <w:p w14:paraId="333267BA" w14:textId="77777777" w:rsidR="00FB24C0" w:rsidRPr="00443040" w:rsidRDefault="00FB24C0" w:rsidP="00FB24C0">
      <w:pPr>
        <w:spacing w:after="0" w:line="240" w:lineRule="auto"/>
        <w:ind w:left="0" w:firstLine="0"/>
        <w:rPr>
          <w:color w:val="auto"/>
          <w:lang w:val="es-ES"/>
        </w:rPr>
      </w:pPr>
      <w:r w:rsidRPr="00443040">
        <w:rPr>
          <w:color w:val="auto"/>
          <w:lang w:val="es-ES"/>
        </w:rPr>
        <w:t>En los pacientes con CPNM se ha demostrado el beneficio clínico con las dosis tanto de 7,5 mg/kg como de 15 mg/kg (ver sección 5.1).</w:t>
      </w:r>
    </w:p>
    <w:p w14:paraId="2FC20EFB" w14:textId="77777777" w:rsidR="00FB24C0" w:rsidRPr="00443040" w:rsidRDefault="00FB24C0" w:rsidP="00FB24C0">
      <w:pPr>
        <w:spacing w:after="0" w:line="240" w:lineRule="auto"/>
        <w:ind w:left="0" w:firstLine="0"/>
        <w:rPr>
          <w:color w:val="auto"/>
          <w:lang w:val="es-ES"/>
        </w:rPr>
      </w:pPr>
    </w:p>
    <w:p w14:paraId="42C586CE" w14:textId="77777777" w:rsidR="00FB24C0" w:rsidRDefault="00FB24C0" w:rsidP="00FB24C0">
      <w:pPr>
        <w:spacing w:after="0" w:line="240" w:lineRule="auto"/>
        <w:ind w:left="0" w:firstLine="0"/>
        <w:rPr>
          <w:color w:val="auto"/>
          <w:lang w:val="es-ES"/>
        </w:rPr>
      </w:pPr>
      <w:r w:rsidRPr="00443040">
        <w:rPr>
          <w:color w:val="auto"/>
          <w:lang w:val="es-ES"/>
        </w:rPr>
        <w:t>Se recomienda continuar el tratamiento hasta la progresión de la enfermedad subyacente o hasta toxicidad inaceptable.</w:t>
      </w:r>
    </w:p>
    <w:p w14:paraId="35D8169C" w14:textId="77777777" w:rsidR="0045125C" w:rsidRDefault="0045125C" w:rsidP="00FB24C0">
      <w:pPr>
        <w:spacing w:after="0" w:line="240" w:lineRule="auto"/>
        <w:ind w:left="0" w:firstLine="0"/>
        <w:rPr>
          <w:color w:val="auto"/>
          <w:lang w:val="es-ES"/>
        </w:rPr>
      </w:pPr>
    </w:p>
    <w:p w14:paraId="3329FD8A" w14:textId="7B8B050C" w:rsidR="0045125C" w:rsidRPr="00C33F4C" w:rsidRDefault="0045125C" w:rsidP="0045125C">
      <w:pPr>
        <w:autoSpaceDE w:val="0"/>
        <w:autoSpaceDN w:val="0"/>
        <w:adjustRightInd w:val="0"/>
        <w:spacing w:after="0" w:line="240" w:lineRule="auto"/>
        <w:ind w:left="0" w:firstLine="0"/>
        <w:rPr>
          <w:rFonts w:eastAsia="Calibri"/>
          <w:lang w:val="es-ES" w:eastAsia="en-US"/>
        </w:rPr>
      </w:pPr>
      <w:r w:rsidRPr="00C33F4C">
        <w:rPr>
          <w:rFonts w:eastAsia="Calibri"/>
          <w:i/>
          <w:iCs/>
          <w:lang w:val="es-ES" w:eastAsia="en-US"/>
        </w:rPr>
        <w:t xml:space="preserve">Primera línea de tratamiento para CPNM no escamoso con mutaciones activadoras en EGFR en combinación con </w:t>
      </w:r>
      <w:proofErr w:type="spellStart"/>
      <w:r w:rsidRPr="00C33F4C">
        <w:rPr>
          <w:rFonts w:eastAsia="Calibri"/>
          <w:i/>
          <w:iCs/>
          <w:lang w:val="es-ES" w:eastAsia="en-US"/>
        </w:rPr>
        <w:t>erlotinib</w:t>
      </w:r>
      <w:proofErr w:type="spellEnd"/>
    </w:p>
    <w:p w14:paraId="04406678" w14:textId="77777777" w:rsidR="0045125C" w:rsidRPr="00C33F4C" w:rsidRDefault="0045125C" w:rsidP="0045125C">
      <w:pPr>
        <w:autoSpaceDE w:val="0"/>
        <w:autoSpaceDN w:val="0"/>
        <w:adjustRightInd w:val="0"/>
        <w:spacing w:after="0" w:line="240" w:lineRule="auto"/>
        <w:ind w:left="0" w:firstLine="0"/>
        <w:rPr>
          <w:rFonts w:eastAsia="Calibri"/>
          <w:lang w:val="es-ES" w:eastAsia="en-US"/>
        </w:rPr>
      </w:pPr>
    </w:p>
    <w:p w14:paraId="6CF06FC5" w14:textId="56D5D45B" w:rsidR="0045125C" w:rsidRPr="00C33F4C" w:rsidRDefault="0045125C" w:rsidP="0045125C">
      <w:pPr>
        <w:autoSpaceDE w:val="0"/>
        <w:autoSpaceDN w:val="0"/>
        <w:adjustRightInd w:val="0"/>
        <w:spacing w:after="0" w:line="240" w:lineRule="auto"/>
        <w:ind w:left="0" w:firstLine="0"/>
        <w:rPr>
          <w:rFonts w:eastAsia="Calibri"/>
          <w:lang w:val="es-ES" w:eastAsia="en-US"/>
        </w:rPr>
      </w:pPr>
      <w:r w:rsidRPr="00C33F4C">
        <w:rPr>
          <w:rFonts w:eastAsia="Calibri"/>
          <w:lang w:val="es-ES" w:eastAsia="en-US"/>
        </w:rPr>
        <w:t xml:space="preserve">Se debe llevar a cabo </w:t>
      </w:r>
      <w:proofErr w:type="gramStart"/>
      <w:r w:rsidRPr="00C33F4C">
        <w:rPr>
          <w:rFonts w:eastAsia="Calibri"/>
          <w:lang w:val="es-ES" w:eastAsia="en-US"/>
        </w:rPr>
        <w:t>el test</w:t>
      </w:r>
      <w:proofErr w:type="gramEnd"/>
      <w:r w:rsidRPr="00C33F4C">
        <w:rPr>
          <w:rFonts w:eastAsia="Calibri"/>
          <w:lang w:val="es-ES" w:eastAsia="en-US"/>
        </w:rPr>
        <w:t xml:space="preserve"> de la mutación de EGFR antes de iniciar el tratamiento con la combinación de MVASI y </w:t>
      </w:r>
      <w:proofErr w:type="spellStart"/>
      <w:r w:rsidRPr="00C33F4C">
        <w:rPr>
          <w:rFonts w:eastAsia="Calibri"/>
          <w:lang w:val="es-ES" w:eastAsia="en-US"/>
        </w:rPr>
        <w:t>erlotinib</w:t>
      </w:r>
      <w:proofErr w:type="spellEnd"/>
      <w:r w:rsidRPr="00C33F4C">
        <w:rPr>
          <w:rFonts w:eastAsia="Calibri"/>
          <w:lang w:val="es-ES" w:eastAsia="en-US"/>
        </w:rPr>
        <w:t>. Cuando se evalúa el estado de mutación del EGFR de un paciente, es importante elegir una metodología adecuadamente validada y robusta para evitar la obtención de falsos negativos o falsos positivos.</w:t>
      </w:r>
    </w:p>
    <w:p w14:paraId="74E02AC6" w14:textId="77777777" w:rsidR="0045125C" w:rsidRPr="00C33F4C" w:rsidRDefault="0045125C" w:rsidP="0045125C">
      <w:pPr>
        <w:autoSpaceDE w:val="0"/>
        <w:autoSpaceDN w:val="0"/>
        <w:adjustRightInd w:val="0"/>
        <w:spacing w:after="0" w:line="240" w:lineRule="auto"/>
        <w:ind w:left="0" w:firstLine="0"/>
        <w:rPr>
          <w:rFonts w:eastAsia="Calibri"/>
          <w:lang w:val="es-ES" w:eastAsia="en-US"/>
        </w:rPr>
      </w:pPr>
    </w:p>
    <w:p w14:paraId="5EFCD432" w14:textId="285F9E31" w:rsidR="0045125C" w:rsidRPr="00C33F4C" w:rsidRDefault="0045125C" w:rsidP="0045125C">
      <w:pPr>
        <w:autoSpaceDE w:val="0"/>
        <w:autoSpaceDN w:val="0"/>
        <w:adjustRightInd w:val="0"/>
        <w:spacing w:after="0" w:line="240" w:lineRule="auto"/>
        <w:ind w:left="0" w:firstLine="0"/>
        <w:rPr>
          <w:rFonts w:eastAsia="Calibri"/>
          <w:lang w:val="es-ES" w:eastAsia="en-US"/>
        </w:rPr>
      </w:pPr>
      <w:r w:rsidRPr="00C33F4C">
        <w:rPr>
          <w:rFonts w:eastAsia="Calibri"/>
          <w:lang w:val="es-ES" w:eastAsia="en-US"/>
        </w:rPr>
        <w:t xml:space="preserve">La dosis recomendada de MVASI cuando se utiliza en combinación con </w:t>
      </w:r>
      <w:proofErr w:type="spellStart"/>
      <w:r w:rsidRPr="00C33F4C">
        <w:rPr>
          <w:rFonts w:eastAsia="Calibri"/>
          <w:lang w:val="es-ES" w:eastAsia="en-US"/>
        </w:rPr>
        <w:t>erlotinib</w:t>
      </w:r>
      <w:proofErr w:type="spellEnd"/>
      <w:r w:rsidRPr="00C33F4C">
        <w:rPr>
          <w:rFonts w:eastAsia="Calibri"/>
          <w:lang w:val="es-ES" w:eastAsia="en-US"/>
        </w:rPr>
        <w:t xml:space="preserve"> es de 15 mg/kg de peso corporal administrados como perfusión intravenosa una vez cada 3 semanas.</w:t>
      </w:r>
    </w:p>
    <w:p w14:paraId="1C5B5F1F" w14:textId="77777777" w:rsidR="0045125C" w:rsidRPr="00C33F4C" w:rsidRDefault="0045125C" w:rsidP="0045125C">
      <w:pPr>
        <w:autoSpaceDE w:val="0"/>
        <w:autoSpaceDN w:val="0"/>
        <w:adjustRightInd w:val="0"/>
        <w:spacing w:after="0" w:line="240" w:lineRule="auto"/>
        <w:ind w:left="0" w:firstLine="0"/>
        <w:rPr>
          <w:rFonts w:eastAsia="Calibri"/>
          <w:lang w:val="es-ES" w:eastAsia="en-US"/>
        </w:rPr>
      </w:pPr>
    </w:p>
    <w:p w14:paraId="24657747" w14:textId="72B9E97E" w:rsidR="0045125C" w:rsidRPr="00C33F4C" w:rsidRDefault="0045125C" w:rsidP="0045125C">
      <w:pPr>
        <w:autoSpaceDE w:val="0"/>
        <w:autoSpaceDN w:val="0"/>
        <w:adjustRightInd w:val="0"/>
        <w:spacing w:after="0" w:line="240" w:lineRule="auto"/>
        <w:ind w:left="0" w:firstLine="0"/>
        <w:rPr>
          <w:rFonts w:eastAsia="Calibri"/>
          <w:lang w:val="es-ES" w:eastAsia="en-US"/>
        </w:rPr>
      </w:pPr>
      <w:r w:rsidRPr="00C33F4C">
        <w:rPr>
          <w:rFonts w:eastAsia="Calibri"/>
          <w:lang w:val="es-ES" w:eastAsia="en-US"/>
        </w:rPr>
        <w:t xml:space="preserve">Se recomienda continuar el tratamiento con MVASI en combinación con </w:t>
      </w:r>
      <w:proofErr w:type="spellStart"/>
      <w:r w:rsidRPr="00C33F4C">
        <w:rPr>
          <w:rFonts w:eastAsia="Calibri"/>
          <w:lang w:val="es-ES" w:eastAsia="en-US"/>
        </w:rPr>
        <w:t>erlotinib</w:t>
      </w:r>
      <w:proofErr w:type="spellEnd"/>
      <w:r w:rsidRPr="00C33F4C">
        <w:rPr>
          <w:rFonts w:eastAsia="Calibri"/>
          <w:lang w:val="es-ES" w:eastAsia="en-US"/>
        </w:rPr>
        <w:t xml:space="preserve"> hasta progresión de la enfermedad.</w:t>
      </w:r>
    </w:p>
    <w:p w14:paraId="7D6A5132" w14:textId="77777777" w:rsidR="0045125C" w:rsidRPr="00C33F4C" w:rsidRDefault="0045125C" w:rsidP="0045125C">
      <w:pPr>
        <w:autoSpaceDE w:val="0"/>
        <w:autoSpaceDN w:val="0"/>
        <w:adjustRightInd w:val="0"/>
        <w:spacing w:after="0" w:line="240" w:lineRule="auto"/>
        <w:ind w:left="0" w:firstLine="0"/>
        <w:rPr>
          <w:rFonts w:eastAsia="Calibri"/>
          <w:lang w:val="es-ES" w:eastAsia="en-US"/>
        </w:rPr>
      </w:pPr>
    </w:p>
    <w:p w14:paraId="05006AC8" w14:textId="639DB4F5" w:rsidR="0045125C" w:rsidRPr="00443040" w:rsidRDefault="0045125C" w:rsidP="0045125C">
      <w:pPr>
        <w:spacing w:after="0" w:line="240" w:lineRule="auto"/>
        <w:ind w:left="0" w:firstLine="0"/>
        <w:rPr>
          <w:color w:val="auto"/>
          <w:lang w:val="es-ES"/>
        </w:rPr>
      </w:pPr>
      <w:r w:rsidRPr="00C33F4C">
        <w:rPr>
          <w:rFonts w:eastAsia="Calibri"/>
          <w:lang w:val="es-ES" w:eastAsia="en-US"/>
        </w:rPr>
        <w:t xml:space="preserve">Para la posología y método de administración de </w:t>
      </w:r>
      <w:proofErr w:type="spellStart"/>
      <w:r w:rsidRPr="00C33F4C">
        <w:rPr>
          <w:rFonts w:eastAsia="Calibri"/>
          <w:lang w:val="es-ES" w:eastAsia="en-US"/>
        </w:rPr>
        <w:t>erlotinib</w:t>
      </w:r>
      <w:proofErr w:type="spellEnd"/>
      <w:r w:rsidRPr="00C33F4C">
        <w:rPr>
          <w:rFonts w:eastAsia="Calibri"/>
          <w:lang w:val="es-ES" w:eastAsia="en-US"/>
        </w:rPr>
        <w:t xml:space="preserve">, por favor consultar la ficha técnica de </w:t>
      </w:r>
      <w:proofErr w:type="spellStart"/>
      <w:r w:rsidRPr="00C33F4C">
        <w:rPr>
          <w:rFonts w:eastAsia="Calibri"/>
          <w:lang w:val="es-ES" w:eastAsia="en-US"/>
        </w:rPr>
        <w:t>erlotinib</w:t>
      </w:r>
      <w:proofErr w:type="spellEnd"/>
      <w:r w:rsidRPr="00C33F4C">
        <w:rPr>
          <w:rFonts w:eastAsia="Calibri"/>
          <w:lang w:val="es-ES" w:eastAsia="en-US"/>
        </w:rPr>
        <w:t>.</w:t>
      </w:r>
    </w:p>
    <w:p w14:paraId="4D0809C1" w14:textId="77777777" w:rsidR="00FB24C0" w:rsidRPr="00443040" w:rsidRDefault="00FB24C0" w:rsidP="00FB24C0">
      <w:pPr>
        <w:spacing w:after="0" w:line="240" w:lineRule="auto"/>
        <w:ind w:left="0" w:firstLine="0"/>
        <w:rPr>
          <w:color w:val="auto"/>
          <w:lang w:val="es-ES"/>
        </w:rPr>
      </w:pPr>
    </w:p>
    <w:p w14:paraId="486B184A" w14:textId="77777777" w:rsidR="00FB24C0" w:rsidRPr="00443040" w:rsidRDefault="00FB24C0" w:rsidP="00FB24C0">
      <w:pPr>
        <w:keepNext/>
        <w:spacing w:after="0" w:line="240" w:lineRule="auto"/>
        <w:ind w:left="0" w:firstLine="0"/>
        <w:rPr>
          <w:i/>
          <w:color w:val="auto"/>
          <w:lang w:val="es-ES"/>
        </w:rPr>
      </w:pPr>
      <w:r w:rsidRPr="00443040">
        <w:rPr>
          <w:i/>
          <w:color w:val="auto"/>
          <w:u w:val="single" w:color="000000"/>
          <w:lang w:val="es-ES"/>
        </w:rPr>
        <w:t>Cáncer de células renales avanzado y/o metastásico (</w:t>
      </w:r>
      <w:proofErr w:type="spellStart"/>
      <w:r w:rsidRPr="00443040">
        <w:rPr>
          <w:i/>
          <w:color w:val="auto"/>
          <w:u w:val="single" w:color="000000"/>
          <w:lang w:val="es-ES"/>
        </w:rPr>
        <w:t>CRm</w:t>
      </w:r>
      <w:proofErr w:type="spellEnd"/>
      <w:r w:rsidRPr="00443040">
        <w:rPr>
          <w:i/>
          <w:color w:val="auto"/>
          <w:u w:val="single" w:color="000000"/>
          <w:lang w:val="es-ES"/>
        </w:rPr>
        <w:t>)</w:t>
      </w:r>
    </w:p>
    <w:p w14:paraId="4F8FAD4B" w14:textId="77777777" w:rsidR="00FB24C0" w:rsidRPr="00443040" w:rsidRDefault="00FB24C0" w:rsidP="00FB24C0">
      <w:pPr>
        <w:keepNext/>
        <w:spacing w:after="0" w:line="240" w:lineRule="auto"/>
        <w:ind w:left="0" w:firstLine="0"/>
        <w:rPr>
          <w:b/>
          <w:i/>
          <w:color w:val="auto"/>
          <w:lang w:val="es-ES"/>
        </w:rPr>
      </w:pPr>
    </w:p>
    <w:p w14:paraId="55F7EAFD" w14:textId="77777777" w:rsidR="00FB24C0" w:rsidRPr="00443040" w:rsidRDefault="00FB24C0" w:rsidP="00FB24C0">
      <w:pPr>
        <w:spacing w:after="0" w:line="240" w:lineRule="auto"/>
        <w:ind w:left="0" w:firstLine="0"/>
        <w:rPr>
          <w:color w:val="auto"/>
          <w:lang w:val="es-ES"/>
        </w:rPr>
      </w:pPr>
      <w:r w:rsidRPr="00443040">
        <w:rPr>
          <w:color w:val="auto"/>
          <w:lang w:val="es-ES"/>
        </w:rPr>
        <w:t xml:space="preserve">La dosis recomendada de </w:t>
      </w:r>
      <w:r w:rsidR="00AA71D6">
        <w:rPr>
          <w:rFonts w:eastAsia="Calibri"/>
          <w:lang w:val="es-ES"/>
        </w:rPr>
        <w:t>MVASI</w:t>
      </w:r>
      <w:r w:rsidRPr="00443040">
        <w:rPr>
          <w:color w:val="auto"/>
          <w:lang w:val="es-ES"/>
        </w:rPr>
        <w:t xml:space="preserve"> es de 10 mg/kg de peso corporal administrados como perfusión intravenosa una vez cada 2</w:t>
      </w:r>
      <w:r w:rsidR="000C673C" w:rsidRPr="00D1096C">
        <w:rPr>
          <w:lang w:val="es-ES"/>
        </w:rPr>
        <w:t> </w:t>
      </w:r>
      <w:r w:rsidRPr="00443040">
        <w:rPr>
          <w:color w:val="auto"/>
          <w:lang w:val="es-ES"/>
        </w:rPr>
        <w:t>semanas.</w:t>
      </w:r>
    </w:p>
    <w:p w14:paraId="22FED676" w14:textId="77777777" w:rsidR="00FB24C0" w:rsidRPr="00443040" w:rsidRDefault="00FB24C0" w:rsidP="00FB24C0">
      <w:pPr>
        <w:spacing w:after="0" w:line="240" w:lineRule="auto"/>
        <w:ind w:left="0" w:firstLine="0"/>
        <w:rPr>
          <w:color w:val="auto"/>
          <w:lang w:val="es-ES"/>
        </w:rPr>
      </w:pPr>
    </w:p>
    <w:p w14:paraId="25762B96" w14:textId="77777777" w:rsidR="00FB24C0" w:rsidRPr="00443040" w:rsidRDefault="00FB24C0" w:rsidP="00FB24C0">
      <w:pPr>
        <w:spacing w:after="0" w:line="240" w:lineRule="auto"/>
        <w:ind w:left="0" w:firstLine="0"/>
        <w:rPr>
          <w:color w:val="auto"/>
          <w:lang w:val="es-ES"/>
        </w:rPr>
      </w:pPr>
      <w:r w:rsidRPr="00443040">
        <w:rPr>
          <w:color w:val="auto"/>
          <w:lang w:val="es-ES"/>
        </w:rPr>
        <w:t>Se recomienda continuar el tratamiento hasta la progresión de la enfermedad subyacente o hasta toxicidad inaceptable.</w:t>
      </w:r>
    </w:p>
    <w:p w14:paraId="4172CE3E" w14:textId="77777777" w:rsidR="00FB24C0" w:rsidRPr="00443040" w:rsidRDefault="00FB24C0" w:rsidP="00FB24C0">
      <w:pPr>
        <w:spacing w:after="0" w:line="240" w:lineRule="auto"/>
        <w:ind w:left="0" w:firstLine="0"/>
        <w:rPr>
          <w:color w:val="auto"/>
          <w:lang w:val="es-ES"/>
        </w:rPr>
      </w:pPr>
    </w:p>
    <w:p w14:paraId="6C5EF591" w14:textId="77777777" w:rsidR="00FB24C0" w:rsidRPr="00443040" w:rsidRDefault="00FB24C0" w:rsidP="00FB24C0">
      <w:pPr>
        <w:keepNext/>
        <w:spacing w:after="0" w:line="240" w:lineRule="auto"/>
        <w:ind w:left="0" w:firstLine="0"/>
        <w:rPr>
          <w:i/>
          <w:color w:val="auto"/>
          <w:lang w:val="es-ES"/>
        </w:rPr>
      </w:pPr>
      <w:r w:rsidRPr="00443040">
        <w:rPr>
          <w:i/>
          <w:color w:val="auto"/>
          <w:u w:val="single" w:color="000000"/>
          <w:lang w:val="es-ES"/>
        </w:rPr>
        <w:t>Cáncer de ovario epitelial, trompa de Falopio y peritoneal primario</w:t>
      </w:r>
    </w:p>
    <w:p w14:paraId="11FF9BBD" w14:textId="77777777" w:rsidR="00FB24C0" w:rsidRPr="00443040" w:rsidRDefault="00FB24C0" w:rsidP="00FB24C0">
      <w:pPr>
        <w:keepNext/>
        <w:spacing w:after="0" w:line="240" w:lineRule="auto"/>
        <w:ind w:left="0" w:firstLine="0"/>
        <w:rPr>
          <w:color w:val="auto"/>
          <w:lang w:val="es-ES"/>
        </w:rPr>
      </w:pPr>
    </w:p>
    <w:p w14:paraId="37111BCA" w14:textId="6E59B56E" w:rsidR="00FB24C0" w:rsidRPr="00443040" w:rsidRDefault="00FB24C0" w:rsidP="00E257B9">
      <w:pPr>
        <w:spacing w:after="0" w:line="240" w:lineRule="auto"/>
        <w:ind w:left="0" w:firstLine="0"/>
        <w:rPr>
          <w:color w:val="auto"/>
          <w:lang w:val="es-ES"/>
        </w:rPr>
      </w:pPr>
      <w:r w:rsidRPr="00443040">
        <w:rPr>
          <w:i/>
          <w:color w:val="auto"/>
          <w:lang w:val="es-ES"/>
        </w:rPr>
        <w:t>Tratamiento en primera línea</w:t>
      </w:r>
      <w:r w:rsidRPr="00443040">
        <w:rPr>
          <w:color w:val="auto"/>
          <w:lang w:val="es-ES"/>
        </w:rPr>
        <w:t xml:space="preserve">: </w:t>
      </w:r>
      <w:r w:rsidR="00AA71D6">
        <w:rPr>
          <w:rFonts w:eastAsia="Calibri"/>
          <w:lang w:val="es-ES"/>
        </w:rPr>
        <w:t>MVASI</w:t>
      </w:r>
      <w:r w:rsidRPr="00443040">
        <w:rPr>
          <w:color w:val="auto"/>
          <w:lang w:val="es-ES"/>
        </w:rPr>
        <w:t xml:space="preserve"> se administra en combinación con carb</w:t>
      </w:r>
      <w:r w:rsidR="00933865">
        <w:rPr>
          <w:color w:val="auto"/>
          <w:lang w:val="es-ES"/>
        </w:rPr>
        <w:t xml:space="preserve">oplatino y </w:t>
      </w:r>
      <w:proofErr w:type="spellStart"/>
      <w:r w:rsidR="00933865">
        <w:rPr>
          <w:color w:val="auto"/>
          <w:lang w:val="es-ES"/>
        </w:rPr>
        <w:t>paclitaxel</w:t>
      </w:r>
      <w:proofErr w:type="spellEnd"/>
      <w:r w:rsidR="00933865">
        <w:rPr>
          <w:color w:val="auto"/>
          <w:lang w:val="es-ES"/>
        </w:rPr>
        <w:t xml:space="preserve"> durante 6</w:t>
      </w:r>
      <w:r w:rsidR="00933865" w:rsidRPr="00933865">
        <w:rPr>
          <w:lang w:val="es-ES"/>
        </w:rPr>
        <w:t> </w:t>
      </w:r>
      <w:r w:rsidRPr="00443040">
        <w:rPr>
          <w:color w:val="auto"/>
          <w:lang w:val="es-ES"/>
        </w:rPr>
        <w:t xml:space="preserve">ciclos de tratamiento, seguido de un uso continuado de </w:t>
      </w:r>
      <w:r w:rsidR="00AA71D6">
        <w:rPr>
          <w:rFonts w:eastAsia="Calibri"/>
          <w:lang w:val="es-ES"/>
        </w:rPr>
        <w:t>MVASI</w:t>
      </w:r>
      <w:r w:rsidRPr="00443040">
        <w:rPr>
          <w:color w:val="auto"/>
          <w:lang w:val="es-ES"/>
        </w:rPr>
        <w:t xml:space="preserve"> en monoterapia hasta progresión de la enf</w:t>
      </w:r>
      <w:r w:rsidR="00933865">
        <w:rPr>
          <w:color w:val="auto"/>
          <w:lang w:val="es-ES"/>
        </w:rPr>
        <w:t>ermedad o hasta un máximo de 15</w:t>
      </w:r>
      <w:r w:rsidR="00933865" w:rsidRPr="00933865">
        <w:rPr>
          <w:lang w:val="es-ES"/>
        </w:rPr>
        <w:t> </w:t>
      </w:r>
      <w:r w:rsidRPr="00443040">
        <w:rPr>
          <w:color w:val="auto"/>
          <w:lang w:val="es-ES"/>
        </w:rPr>
        <w:t>meses o toxicidad inaceptable, lo que ocurra primero.</w:t>
      </w:r>
      <w:r w:rsidR="007C6704">
        <w:rPr>
          <w:color w:val="auto"/>
          <w:lang w:val="es-ES"/>
        </w:rPr>
        <w:t xml:space="preserve"> </w:t>
      </w:r>
      <w:r w:rsidRPr="00443040">
        <w:rPr>
          <w:color w:val="auto"/>
          <w:lang w:val="es-ES"/>
        </w:rPr>
        <w:t xml:space="preserve">La dosis recomendada de </w:t>
      </w:r>
      <w:r w:rsidR="00AA71D6">
        <w:rPr>
          <w:rFonts w:eastAsia="Calibri"/>
          <w:lang w:val="es-ES"/>
        </w:rPr>
        <w:t>MVASI</w:t>
      </w:r>
      <w:r w:rsidRPr="00443040">
        <w:rPr>
          <w:color w:val="auto"/>
          <w:lang w:val="es-ES"/>
        </w:rPr>
        <w:t xml:space="preserve"> es de 15 mg/kg de peso corpor</w:t>
      </w:r>
      <w:r w:rsidR="00E257B9">
        <w:rPr>
          <w:color w:val="auto"/>
          <w:lang w:val="es-ES"/>
        </w:rPr>
        <w:t>al administrados una vez cada 3 </w:t>
      </w:r>
      <w:r w:rsidRPr="00443040">
        <w:rPr>
          <w:color w:val="auto"/>
          <w:lang w:val="es-ES"/>
        </w:rPr>
        <w:t>semanas como perfusión intravenosa.</w:t>
      </w:r>
    </w:p>
    <w:p w14:paraId="2663EF7F" w14:textId="77777777" w:rsidR="00FB24C0" w:rsidRPr="00443040" w:rsidRDefault="00FB24C0" w:rsidP="00FB24C0">
      <w:pPr>
        <w:spacing w:after="0" w:line="240" w:lineRule="auto"/>
        <w:ind w:left="0" w:firstLine="0"/>
        <w:rPr>
          <w:color w:val="auto"/>
          <w:lang w:val="es-ES"/>
        </w:rPr>
      </w:pPr>
    </w:p>
    <w:p w14:paraId="62E7B02E" w14:textId="368B99D5" w:rsidR="00FB24C0" w:rsidRPr="00443040" w:rsidRDefault="00FB24C0" w:rsidP="00246678">
      <w:pPr>
        <w:spacing w:after="0" w:line="240" w:lineRule="auto"/>
        <w:ind w:left="0" w:firstLine="0"/>
        <w:rPr>
          <w:color w:val="auto"/>
          <w:lang w:val="es-ES"/>
        </w:rPr>
      </w:pPr>
      <w:r w:rsidRPr="00443040">
        <w:rPr>
          <w:i/>
          <w:color w:val="auto"/>
          <w:lang w:val="es-ES"/>
        </w:rPr>
        <w:t>Tratamiento de la enfermedad recurrente sensible a platino:</w:t>
      </w:r>
      <w:r w:rsidRPr="00443040">
        <w:rPr>
          <w:color w:val="auto"/>
          <w:lang w:val="es-ES"/>
        </w:rPr>
        <w:t xml:space="preserve"> </w:t>
      </w:r>
      <w:r w:rsidR="00AA71D6">
        <w:rPr>
          <w:rFonts w:eastAsia="Calibri"/>
          <w:lang w:val="es-ES"/>
        </w:rPr>
        <w:t>MVASI</w:t>
      </w:r>
      <w:r w:rsidRPr="00443040">
        <w:rPr>
          <w:color w:val="auto"/>
          <w:lang w:val="es-ES"/>
        </w:rPr>
        <w:t xml:space="preserve"> se administra en combinación con carbo</w:t>
      </w:r>
      <w:r w:rsidR="00933865">
        <w:rPr>
          <w:color w:val="auto"/>
          <w:lang w:val="es-ES"/>
        </w:rPr>
        <w:t xml:space="preserve">platino y </w:t>
      </w:r>
      <w:proofErr w:type="spellStart"/>
      <w:r w:rsidR="00933865">
        <w:rPr>
          <w:color w:val="auto"/>
          <w:lang w:val="es-ES"/>
        </w:rPr>
        <w:t>gemcitabina</w:t>
      </w:r>
      <w:proofErr w:type="spellEnd"/>
      <w:r w:rsidR="00933865">
        <w:rPr>
          <w:color w:val="auto"/>
          <w:lang w:val="es-ES"/>
        </w:rPr>
        <w:t xml:space="preserve"> durante 6</w:t>
      </w:r>
      <w:r w:rsidR="00933865" w:rsidRPr="00933865">
        <w:rPr>
          <w:lang w:val="es-ES"/>
        </w:rPr>
        <w:t> </w:t>
      </w:r>
      <w:r w:rsidR="00933865">
        <w:rPr>
          <w:color w:val="auto"/>
          <w:lang w:val="es-ES"/>
        </w:rPr>
        <w:t>ciclos y hasta 10</w:t>
      </w:r>
      <w:r w:rsidR="00933865" w:rsidRPr="00814EA5">
        <w:rPr>
          <w:lang w:val="es-ES"/>
        </w:rPr>
        <w:t> </w:t>
      </w:r>
      <w:r w:rsidRPr="00443040">
        <w:rPr>
          <w:color w:val="auto"/>
          <w:lang w:val="es-ES"/>
        </w:rPr>
        <w:t xml:space="preserve">ciclos de tratamiento o en combinación con carboplatino y </w:t>
      </w:r>
      <w:proofErr w:type="spellStart"/>
      <w:r w:rsidRPr="00443040">
        <w:rPr>
          <w:color w:val="auto"/>
          <w:lang w:val="es-ES"/>
        </w:rPr>
        <w:t>paclitaxel</w:t>
      </w:r>
      <w:proofErr w:type="spellEnd"/>
      <w:r w:rsidRPr="00443040">
        <w:rPr>
          <w:color w:val="auto"/>
          <w:lang w:val="es-ES"/>
        </w:rPr>
        <w:t xml:space="preserve"> durante 6 ciclos y hasta 8 ciclos de tratamiento, seguido de un uso continuado de </w:t>
      </w:r>
      <w:r w:rsidR="00AA71D6">
        <w:rPr>
          <w:rFonts w:eastAsia="Calibri"/>
          <w:lang w:val="es-ES"/>
        </w:rPr>
        <w:t>MVASI</w:t>
      </w:r>
      <w:r w:rsidRPr="00443040">
        <w:rPr>
          <w:color w:val="auto"/>
          <w:lang w:val="es-ES"/>
        </w:rPr>
        <w:t xml:space="preserve"> en monoterapia hasta la progresión de la enfermedad. La dosis recomendada de </w:t>
      </w:r>
      <w:r w:rsidR="00AA71D6">
        <w:rPr>
          <w:rFonts w:eastAsia="Calibri"/>
          <w:lang w:val="es-ES"/>
        </w:rPr>
        <w:t>MVASI</w:t>
      </w:r>
      <w:r w:rsidRPr="00443040">
        <w:rPr>
          <w:color w:val="auto"/>
          <w:lang w:val="es-ES"/>
        </w:rPr>
        <w:t xml:space="preserve"> es de 15 mg/kg de peso corporal administrados como perfusión intravenosa una vez cada 3</w:t>
      </w:r>
      <w:r>
        <w:rPr>
          <w:color w:val="auto"/>
          <w:lang w:val="es-ES"/>
        </w:rPr>
        <w:t> </w:t>
      </w:r>
      <w:r w:rsidRPr="00443040">
        <w:rPr>
          <w:color w:val="auto"/>
          <w:lang w:val="es-ES"/>
        </w:rPr>
        <w:t>semanas.</w:t>
      </w:r>
    </w:p>
    <w:p w14:paraId="6D5EB4C4" w14:textId="77777777" w:rsidR="00FB24C0" w:rsidRPr="00443040" w:rsidRDefault="00FB24C0" w:rsidP="00FB24C0">
      <w:pPr>
        <w:spacing w:after="0" w:line="240" w:lineRule="auto"/>
        <w:ind w:left="0" w:firstLine="0"/>
        <w:rPr>
          <w:color w:val="auto"/>
          <w:lang w:val="es-ES"/>
        </w:rPr>
      </w:pPr>
    </w:p>
    <w:p w14:paraId="6549BE29" w14:textId="72651E86" w:rsidR="00FB24C0" w:rsidRPr="001C30B1" w:rsidRDefault="00FB24C0" w:rsidP="00FB24C0">
      <w:pPr>
        <w:keepNext/>
        <w:spacing w:after="0" w:line="240" w:lineRule="auto"/>
        <w:ind w:left="0" w:firstLine="0"/>
        <w:rPr>
          <w:color w:val="auto"/>
          <w:lang w:val="es-ES"/>
        </w:rPr>
      </w:pPr>
      <w:r w:rsidRPr="00443040">
        <w:rPr>
          <w:i/>
          <w:color w:val="auto"/>
          <w:lang w:val="es-ES"/>
        </w:rPr>
        <w:lastRenderedPageBreak/>
        <w:t>Tratamiento de la enfermedad recurrente resistente a platino:</w:t>
      </w:r>
      <w:r w:rsidRPr="00443040">
        <w:rPr>
          <w:color w:val="auto"/>
          <w:lang w:val="es-ES"/>
        </w:rPr>
        <w:t xml:space="preserve"> </w:t>
      </w:r>
      <w:r w:rsidR="00AA71D6">
        <w:rPr>
          <w:rFonts w:eastAsia="Calibri"/>
          <w:lang w:val="es-ES"/>
        </w:rPr>
        <w:t>MVASI</w:t>
      </w:r>
      <w:r w:rsidRPr="00443040">
        <w:rPr>
          <w:color w:val="auto"/>
          <w:lang w:val="es-ES"/>
        </w:rPr>
        <w:t xml:space="preserve"> se administra en combinación con uno de los siguientes fármacos: </w:t>
      </w:r>
      <w:proofErr w:type="spellStart"/>
      <w:r w:rsidR="00D03D1C">
        <w:rPr>
          <w:color w:val="auto"/>
          <w:lang w:val="es-ES"/>
        </w:rPr>
        <w:t>paclitaxel</w:t>
      </w:r>
      <w:proofErr w:type="spellEnd"/>
      <w:r w:rsidR="00D03D1C">
        <w:rPr>
          <w:color w:val="auto"/>
          <w:lang w:val="es-ES"/>
        </w:rPr>
        <w:t xml:space="preserve">, </w:t>
      </w:r>
      <w:proofErr w:type="spellStart"/>
      <w:r w:rsidRPr="00443040">
        <w:rPr>
          <w:color w:val="auto"/>
          <w:lang w:val="es-ES"/>
        </w:rPr>
        <w:t>topotecán</w:t>
      </w:r>
      <w:proofErr w:type="spellEnd"/>
      <w:r w:rsidRPr="00443040">
        <w:rPr>
          <w:color w:val="auto"/>
          <w:lang w:val="es-ES"/>
        </w:rPr>
        <w:t xml:space="preserve"> (administrado semanalmente) o doxorrubicina </w:t>
      </w:r>
      <w:proofErr w:type="spellStart"/>
      <w:r w:rsidRPr="00443040">
        <w:rPr>
          <w:color w:val="auto"/>
          <w:lang w:val="es-ES"/>
        </w:rPr>
        <w:t>liposomal</w:t>
      </w:r>
      <w:proofErr w:type="spellEnd"/>
      <w:r w:rsidRPr="00443040">
        <w:rPr>
          <w:color w:val="auto"/>
          <w:lang w:val="es-ES"/>
        </w:rPr>
        <w:t xml:space="preserve"> </w:t>
      </w:r>
      <w:proofErr w:type="spellStart"/>
      <w:r w:rsidRPr="00443040">
        <w:rPr>
          <w:color w:val="auto"/>
          <w:lang w:val="es-ES"/>
        </w:rPr>
        <w:t>pegilada</w:t>
      </w:r>
      <w:proofErr w:type="spellEnd"/>
      <w:r w:rsidRPr="00443040">
        <w:rPr>
          <w:color w:val="auto"/>
          <w:lang w:val="es-ES"/>
        </w:rPr>
        <w:t xml:space="preserve">. La dosis recomendada de </w:t>
      </w:r>
      <w:r w:rsidR="00AA71D6">
        <w:rPr>
          <w:rFonts w:eastAsia="Calibri"/>
          <w:lang w:val="es-ES"/>
        </w:rPr>
        <w:t>MVASI</w:t>
      </w:r>
      <w:r w:rsidRPr="00443040">
        <w:rPr>
          <w:color w:val="auto"/>
          <w:lang w:val="es-ES"/>
        </w:rPr>
        <w:t xml:space="preserve"> es de 10 mg/kg de peso corporal administrado una vez cada 2 semanas como perfusión intravenosa. Cuando </w:t>
      </w:r>
      <w:r w:rsidR="00AA71D6">
        <w:rPr>
          <w:rFonts w:eastAsia="Calibri"/>
          <w:lang w:val="es-ES"/>
        </w:rPr>
        <w:t>MVASI</w:t>
      </w:r>
      <w:r w:rsidRPr="00443040">
        <w:rPr>
          <w:color w:val="auto"/>
          <w:lang w:val="es-ES"/>
        </w:rPr>
        <w:t xml:space="preserve"> se administra en combinación con </w:t>
      </w:r>
      <w:proofErr w:type="spellStart"/>
      <w:r w:rsidRPr="00443040">
        <w:rPr>
          <w:color w:val="auto"/>
          <w:lang w:val="es-ES"/>
        </w:rPr>
        <w:t>topotecán</w:t>
      </w:r>
      <w:proofErr w:type="spellEnd"/>
      <w:r w:rsidRPr="00443040">
        <w:rPr>
          <w:color w:val="auto"/>
          <w:lang w:val="es-ES"/>
        </w:rPr>
        <w:t xml:space="preserve"> (administrado los días 1-5, cada 3 semanas), la dosis recomendada de </w:t>
      </w:r>
      <w:r w:rsidR="00AA71D6">
        <w:rPr>
          <w:rFonts w:eastAsia="Calibri"/>
          <w:lang w:val="es-ES"/>
        </w:rPr>
        <w:t>MVASI</w:t>
      </w:r>
      <w:r w:rsidRPr="00443040">
        <w:rPr>
          <w:color w:val="auto"/>
          <w:lang w:val="es-ES"/>
        </w:rPr>
        <w:t xml:space="preserve"> es de 15 mg/kg de peso corporal administrado una vez cada 3 semanas como perfusión </w:t>
      </w:r>
      <w:r w:rsidRPr="001C30B1">
        <w:rPr>
          <w:color w:val="auto"/>
          <w:lang w:val="es-ES"/>
        </w:rPr>
        <w:t>intravenosa. Se recomienda continuar el tratamiento hasta progresión de la enfermedad o toxicidad inaceptable (ver sección 5.1, ensayo clínico MO22224).</w:t>
      </w:r>
    </w:p>
    <w:p w14:paraId="59110794" w14:textId="77777777" w:rsidR="00FB24C0" w:rsidRPr="001C30B1" w:rsidRDefault="00FB24C0" w:rsidP="00FB24C0">
      <w:pPr>
        <w:spacing w:after="0" w:line="240" w:lineRule="auto"/>
        <w:ind w:left="0" w:firstLine="0"/>
        <w:rPr>
          <w:color w:val="auto"/>
          <w:lang w:val="es-ES"/>
        </w:rPr>
      </w:pPr>
    </w:p>
    <w:p w14:paraId="7D5CAD0D" w14:textId="77777777" w:rsidR="00FB24C0" w:rsidRPr="001C30B1" w:rsidRDefault="00FB24C0" w:rsidP="00FB24C0">
      <w:pPr>
        <w:keepNext/>
        <w:spacing w:after="0" w:line="240" w:lineRule="auto"/>
        <w:ind w:left="0" w:firstLine="0"/>
        <w:rPr>
          <w:i/>
          <w:color w:val="auto"/>
          <w:lang w:val="es-ES"/>
        </w:rPr>
      </w:pPr>
      <w:r w:rsidRPr="001C30B1">
        <w:rPr>
          <w:i/>
          <w:color w:val="auto"/>
          <w:u w:val="single" w:color="000000"/>
          <w:lang w:val="es-ES"/>
        </w:rPr>
        <w:t>Cáncer de cérvix</w:t>
      </w:r>
    </w:p>
    <w:p w14:paraId="6767C854" w14:textId="77777777" w:rsidR="00FB24C0" w:rsidRPr="001C30B1" w:rsidRDefault="00FB24C0" w:rsidP="00FB24C0">
      <w:pPr>
        <w:keepNext/>
        <w:spacing w:after="0" w:line="240" w:lineRule="auto"/>
        <w:ind w:left="0" w:firstLine="0"/>
        <w:rPr>
          <w:color w:val="auto"/>
          <w:lang w:val="es-ES"/>
        </w:rPr>
      </w:pPr>
    </w:p>
    <w:p w14:paraId="137D1B0E" w14:textId="0292353A" w:rsidR="00FB24C0" w:rsidRPr="001C30B1" w:rsidRDefault="00AA71D6" w:rsidP="00FB24C0">
      <w:pPr>
        <w:spacing w:after="0" w:line="240" w:lineRule="auto"/>
        <w:ind w:left="0" w:firstLine="0"/>
        <w:rPr>
          <w:color w:val="auto"/>
          <w:lang w:val="es-ES"/>
        </w:rPr>
      </w:pPr>
      <w:r>
        <w:rPr>
          <w:rFonts w:eastAsia="Calibri"/>
          <w:lang w:val="es-ES"/>
        </w:rPr>
        <w:t>MVASI</w:t>
      </w:r>
      <w:r w:rsidR="00FB24C0" w:rsidRPr="001C30B1">
        <w:rPr>
          <w:color w:val="auto"/>
          <w:lang w:val="es-ES"/>
        </w:rPr>
        <w:t xml:space="preserve"> se administra en combinación con uno de los siguientes </w:t>
      </w:r>
      <w:r w:rsidR="007C6704">
        <w:rPr>
          <w:color w:val="auto"/>
          <w:lang w:val="es-ES"/>
        </w:rPr>
        <w:t xml:space="preserve">tratamientos </w:t>
      </w:r>
      <w:r w:rsidR="00FB24C0" w:rsidRPr="001C30B1">
        <w:rPr>
          <w:color w:val="auto"/>
          <w:lang w:val="es-ES"/>
        </w:rPr>
        <w:t xml:space="preserve">de quimioterapia: </w:t>
      </w:r>
      <w:proofErr w:type="spellStart"/>
      <w:r w:rsidR="00FB24C0" w:rsidRPr="001C30B1">
        <w:rPr>
          <w:color w:val="auto"/>
          <w:lang w:val="es-ES"/>
        </w:rPr>
        <w:t>paclitaxel</w:t>
      </w:r>
      <w:proofErr w:type="spellEnd"/>
      <w:r w:rsidR="00FB24C0" w:rsidRPr="001C30B1">
        <w:rPr>
          <w:color w:val="auto"/>
          <w:lang w:val="es-ES"/>
        </w:rPr>
        <w:t xml:space="preserve"> y cisplatino o </w:t>
      </w:r>
      <w:proofErr w:type="spellStart"/>
      <w:r w:rsidR="00FB24C0" w:rsidRPr="001C30B1">
        <w:rPr>
          <w:color w:val="auto"/>
          <w:lang w:val="es-ES"/>
        </w:rPr>
        <w:t>paclitaxel</w:t>
      </w:r>
      <w:proofErr w:type="spellEnd"/>
      <w:r w:rsidR="00FB24C0" w:rsidRPr="001C30B1">
        <w:rPr>
          <w:color w:val="auto"/>
          <w:lang w:val="es-ES"/>
        </w:rPr>
        <w:t xml:space="preserve"> y </w:t>
      </w:r>
      <w:proofErr w:type="spellStart"/>
      <w:r w:rsidR="00FB24C0" w:rsidRPr="001C30B1">
        <w:rPr>
          <w:color w:val="auto"/>
          <w:lang w:val="es-ES"/>
        </w:rPr>
        <w:t>topotecán</w:t>
      </w:r>
      <w:proofErr w:type="spellEnd"/>
      <w:r w:rsidR="00FB24C0" w:rsidRPr="001C30B1">
        <w:rPr>
          <w:color w:val="auto"/>
          <w:lang w:val="es-ES"/>
        </w:rPr>
        <w:t>.</w:t>
      </w:r>
    </w:p>
    <w:p w14:paraId="4183A813" w14:textId="77777777" w:rsidR="00FB24C0" w:rsidRPr="001C30B1" w:rsidRDefault="00FB24C0" w:rsidP="00FB24C0">
      <w:pPr>
        <w:spacing w:after="0" w:line="240" w:lineRule="auto"/>
        <w:ind w:left="0" w:firstLine="0"/>
        <w:rPr>
          <w:color w:val="auto"/>
          <w:lang w:val="es-ES"/>
        </w:rPr>
      </w:pPr>
    </w:p>
    <w:p w14:paraId="72D3BF62" w14:textId="77777777" w:rsidR="00FB24C0" w:rsidRPr="001C30B1" w:rsidRDefault="00FB24C0" w:rsidP="00FB24C0">
      <w:pPr>
        <w:spacing w:after="0" w:line="240" w:lineRule="auto"/>
        <w:ind w:left="0" w:firstLine="0"/>
        <w:rPr>
          <w:color w:val="auto"/>
          <w:lang w:val="es-ES"/>
        </w:rPr>
      </w:pPr>
      <w:r w:rsidRPr="001C30B1">
        <w:rPr>
          <w:color w:val="auto"/>
          <w:lang w:val="es-ES"/>
        </w:rPr>
        <w:t xml:space="preserve">La dosis recomendada de </w:t>
      </w:r>
      <w:r w:rsidR="00AA71D6">
        <w:rPr>
          <w:rFonts w:eastAsia="Calibri"/>
          <w:lang w:val="es-ES"/>
        </w:rPr>
        <w:t>MVASI</w:t>
      </w:r>
      <w:r w:rsidRPr="001C30B1">
        <w:rPr>
          <w:color w:val="auto"/>
          <w:lang w:val="es-ES"/>
        </w:rPr>
        <w:t xml:space="preserve"> es de 15 mg/kg de peso corporal administrado una vez cada 3 semanas como perfusión intravenosa.</w:t>
      </w:r>
    </w:p>
    <w:p w14:paraId="406214AD" w14:textId="77777777" w:rsidR="00FB24C0" w:rsidRPr="001C30B1" w:rsidRDefault="00FB24C0" w:rsidP="00FB24C0">
      <w:pPr>
        <w:spacing w:after="0" w:line="240" w:lineRule="auto"/>
        <w:ind w:left="0" w:firstLine="0"/>
        <w:rPr>
          <w:color w:val="auto"/>
          <w:lang w:val="es-ES"/>
        </w:rPr>
      </w:pPr>
    </w:p>
    <w:p w14:paraId="0DC01747" w14:textId="77777777" w:rsidR="00FB24C0" w:rsidRPr="001C30B1" w:rsidRDefault="00FB24C0" w:rsidP="00FB24C0">
      <w:pPr>
        <w:spacing w:after="0" w:line="240" w:lineRule="auto"/>
        <w:ind w:left="0" w:firstLine="0"/>
        <w:rPr>
          <w:color w:val="auto"/>
          <w:lang w:val="es-ES"/>
        </w:rPr>
      </w:pPr>
      <w:r w:rsidRPr="001C30B1">
        <w:rPr>
          <w:color w:val="auto"/>
          <w:lang w:val="es-ES"/>
        </w:rPr>
        <w:t>Se recomienda continuar el tratamiento hasta progresión de la enfermedad subyacente o hasta toxicidad inaceptable (ver sección 5.1).</w:t>
      </w:r>
    </w:p>
    <w:p w14:paraId="1D49BDE3" w14:textId="77777777" w:rsidR="00FB24C0" w:rsidRPr="001C30B1" w:rsidRDefault="00FB24C0" w:rsidP="00FB24C0">
      <w:pPr>
        <w:spacing w:after="0" w:line="240" w:lineRule="auto"/>
        <w:ind w:left="0" w:firstLine="0"/>
        <w:rPr>
          <w:color w:val="auto"/>
          <w:lang w:val="es-ES"/>
        </w:rPr>
      </w:pPr>
    </w:p>
    <w:p w14:paraId="31065EB2" w14:textId="77777777" w:rsidR="00FB24C0" w:rsidRPr="00535C81" w:rsidRDefault="00FB24C0" w:rsidP="00FB24C0">
      <w:pPr>
        <w:keepNext/>
        <w:spacing w:after="0" w:line="240" w:lineRule="auto"/>
        <w:ind w:left="0" w:firstLine="0"/>
        <w:rPr>
          <w:iCs/>
          <w:color w:val="auto"/>
          <w:lang w:val="es-ES"/>
        </w:rPr>
      </w:pPr>
      <w:r w:rsidRPr="00535C81">
        <w:rPr>
          <w:iCs/>
          <w:color w:val="auto"/>
          <w:u w:val="single" w:color="000000"/>
          <w:lang w:val="es-ES"/>
        </w:rPr>
        <w:t>Poblaciones especiales</w:t>
      </w:r>
    </w:p>
    <w:p w14:paraId="5C6B931A" w14:textId="77777777" w:rsidR="00FB24C0" w:rsidRPr="001C30B1" w:rsidRDefault="00FB24C0" w:rsidP="00FB24C0">
      <w:pPr>
        <w:keepNext/>
        <w:spacing w:after="0" w:line="240" w:lineRule="auto"/>
        <w:ind w:left="0" w:firstLine="0"/>
        <w:rPr>
          <w:color w:val="auto"/>
          <w:lang w:val="es-ES"/>
        </w:rPr>
      </w:pPr>
    </w:p>
    <w:p w14:paraId="650278C1" w14:textId="03AD2DCE" w:rsidR="00CA437C" w:rsidRPr="00535C81" w:rsidRDefault="00CA437C" w:rsidP="00CA437C">
      <w:pPr>
        <w:keepNext/>
        <w:spacing w:after="0" w:line="240" w:lineRule="auto"/>
        <w:ind w:left="0" w:firstLine="0"/>
        <w:rPr>
          <w:i/>
          <w:color w:val="auto"/>
          <w:u w:val="single"/>
          <w:lang w:val="es-ES"/>
        </w:rPr>
      </w:pPr>
      <w:r>
        <w:rPr>
          <w:i/>
          <w:color w:val="auto"/>
          <w:u w:val="single"/>
          <w:lang w:val="es-ES"/>
        </w:rPr>
        <w:t>E</w:t>
      </w:r>
      <w:r w:rsidR="00FB24C0" w:rsidRPr="00535C81">
        <w:rPr>
          <w:i/>
          <w:color w:val="auto"/>
          <w:u w:val="single"/>
          <w:lang w:val="es-ES"/>
        </w:rPr>
        <w:t>dad avanzada</w:t>
      </w:r>
    </w:p>
    <w:p w14:paraId="3341691B" w14:textId="77777777" w:rsidR="00CA437C" w:rsidRDefault="00CA437C" w:rsidP="00FB24C0">
      <w:pPr>
        <w:keepNext/>
        <w:spacing w:after="0" w:line="240" w:lineRule="auto"/>
        <w:ind w:left="0" w:firstLine="0"/>
        <w:rPr>
          <w:i/>
          <w:color w:val="auto"/>
          <w:lang w:val="es-ES"/>
        </w:rPr>
      </w:pPr>
    </w:p>
    <w:p w14:paraId="25F72E61" w14:textId="25C2F581" w:rsidR="00FB24C0" w:rsidRPr="001C30B1" w:rsidRDefault="00FB24C0" w:rsidP="00FB24C0">
      <w:pPr>
        <w:keepNext/>
        <w:spacing w:after="0" w:line="240" w:lineRule="auto"/>
        <w:ind w:left="0" w:firstLine="0"/>
        <w:rPr>
          <w:color w:val="auto"/>
          <w:lang w:val="es-ES"/>
        </w:rPr>
      </w:pPr>
      <w:r w:rsidRPr="001C30B1">
        <w:rPr>
          <w:color w:val="auto"/>
          <w:lang w:val="es-ES"/>
        </w:rPr>
        <w:t xml:space="preserve">No es necesario un ajuste de la dosis en pacientes </w:t>
      </w:r>
      <w:r w:rsidR="00D03D1C" w:rsidRPr="00DD428F">
        <w:rPr>
          <w:lang w:val="es-ES"/>
        </w:rPr>
        <w:t>≥ 6</w:t>
      </w:r>
      <w:r w:rsidR="00D03D1C">
        <w:rPr>
          <w:lang w:val="es-ES"/>
        </w:rPr>
        <w:t xml:space="preserve">5 </w:t>
      </w:r>
      <w:proofErr w:type="gramStart"/>
      <w:r w:rsidR="00D03D1C">
        <w:rPr>
          <w:lang w:val="es-ES"/>
        </w:rPr>
        <w:t>años de edad</w:t>
      </w:r>
      <w:proofErr w:type="gramEnd"/>
      <w:r w:rsidRPr="001C30B1">
        <w:rPr>
          <w:color w:val="auto"/>
          <w:lang w:val="es-ES"/>
        </w:rPr>
        <w:t>.</w:t>
      </w:r>
    </w:p>
    <w:p w14:paraId="16BB023A" w14:textId="77777777" w:rsidR="00FB24C0" w:rsidRPr="001C30B1" w:rsidRDefault="00FB24C0" w:rsidP="00FB24C0">
      <w:pPr>
        <w:spacing w:after="0" w:line="240" w:lineRule="auto"/>
        <w:ind w:left="0" w:firstLine="0"/>
        <w:rPr>
          <w:color w:val="auto"/>
          <w:lang w:val="es-ES"/>
        </w:rPr>
      </w:pPr>
    </w:p>
    <w:p w14:paraId="09EEC3AF" w14:textId="19B19FD2" w:rsidR="00CA437C" w:rsidRPr="00535C81" w:rsidRDefault="00CA437C" w:rsidP="00CA437C">
      <w:pPr>
        <w:keepNext/>
        <w:spacing w:after="0" w:line="240" w:lineRule="auto"/>
        <w:ind w:left="0" w:firstLine="0"/>
        <w:rPr>
          <w:i/>
          <w:color w:val="auto"/>
          <w:u w:val="single"/>
          <w:lang w:val="es-ES"/>
        </w:rPr>
      </w:pPr>
      <w:r>
        <w:rPr>
          <w:i/>
          <w:color w:val="auto"/>
          <w:u w:val="single"/>
          <w:lang w:val="es-ES"/>
        </w:rPr>
        <w:t>I</w:t>
      </w:r>
      <w:r w:rsidR="00FB24C0" w:rsidRPr="00535C81">
        <w:rPr>
          <w:i/>
          <w:color w:val="auto"/>
          <w:u w:val="single"/>
          <w:lang w:val="es-ES"/>
        </w:rPr>
        <w:t>nsuficiencia renal</w:t>
      </w:r>
    </w:p>
    <w:p w14:paraId="6A3E5E4F" w14:textId="4E4CEFBD" w:rsidR="00CA437C" w:rsidRDefault="00CA437C" w:rsidP="00FB24C0">
      <w:pPr>
        <w:keepNext/>
        <w:spacing w:after="0" w:line="240" w:lineRule="auto"/>
        <w:ind w:left="0" w:firstLine="0"/>
        <w:rPr>
          <w:color w:val="auto"/>
          <w:lang w:val="es-ES"/>
        </w:rPr>
      </w:pPr>
    </w:p>
    <w:p w14:paraId="1F512D62" w14:textId="75B4DBEE" w:rsidR="00FB24C0" w:rsidRPr="001C30B1" w:rsidRDefault="00FB24C0" w:rsidP="00FB24C0">
      <w:pPr>
        <w:keepNext/>
        <w:spacing w:after="0" w:line="240" w:lineRule="auto"/>
        <w:ind w:left="0" w:firstLine="0"/>
        <w:rPr>
          <w:color w:val="auto"/>
          <w:lang w:val="es-ES"/>
        </w:rPr>
      </w:pPr>
      <w:r w:rsidRPr="001C30B1">
        <w:rPr>
          <w:color w:val="auto"/>
          <w:lang w:val="es-ES"/>
        </w:rPr>
        <w:t>No se han estudiado la seguridad y la eficacia en pacientes con insuficiencia renal (ver sección 5.2).</w:t>
      </w:r>
    </w:p>
    <w:p w14:paraId="0846D8EE" w14:textId="77777777" w:rsidR="00FB24C0" w:rsidRPr="001C30B1" w:rsidRDefault="00FB24C0" w:rsidP="00FB24C0">
      <w:pPr>
        <w:spacing w:after="0" w:line="240" w:lineRule="auto"/>
        <w:ind w:left="0" w:firstLine="0"/>
        <w:rPr>
          <w:color w:val="auto"/>
          <w:lang w:val="es-ES"/>
        </w:rPr>
      </w:pPr>
    </w:p>
    <w:p w14:paraId="4EA03478" w14:textId="2E521958" w:rsidR="00CA437C" w:rsidRPr="00535C81" w:rsidRDefault="00CA437C" w:rsidP="00CA437C">
      <w:pPr>
        <w:keepNext/>
        <w:spacing w:after="0" w:line="240" w:lineRule="auto"/>
        <w:ind w:left="0" w:firstLine="0"/>
        <w:rPr>
          <w:i/>
          <w:color w:val="auto"/>
          <w:u w:val="single"/>
          <w:lang w:val="es-ES"/>
        </w:rPr>
      </w:pPr>
      <w:r>
        <w:rPr>
          <w:i/>
          <w:color w:val="auto"/>
          <w:u w:val="single"/>
          <w:lang w:val="es-ES"/>
        </w:rPr>
        <w:t>I</w:t>
      </w:r>
      <w:r w:rsidR="00FB24C0" w:rsidRPr="00535C81">
        <w:rPr>
          <w:i/>
          <w:color w:val="auto"/>
          <w:u w:val="single"/>
          <w:lang w:val="es-ES"/>
        </w:rPr>
        <w:t>nsuficiencia hepática</w:t>
      </w:r>
    </w:p>
    <w:p w14:paraId="05C16B19" w14:textId="77777777" w:rsidR="00CA437C" w:rsidRDefault="00CA437C" w:rsidP="00FB24C0">
      <w:pPr>
        <w:keepNext/>
        <w:spacing w:after="0" w:line="240" w:lineRule="auto"/>
        <w:ind w:left="0" w:firstLine="0"/>
        <w:rPr>
          <w:i/>
          <w:color w:val="auto"/>
          <w:lang w:val="es-ES"/>
        </w:rPr>
      </w:pPr>
    </w:p>
    <w:p w14:paraId="20FCCB26" w14:textId="1EA31837" w:rsidR="00FB24C0" w:rsidRPr="001C30B1" w:rsidRDefault="00FB24C0" w:rsidP="00FB24C0">
      <w:pPr>
        <w:keepNext/>
        <w:spacing w:after="0" w:line="240" w:lineRule="auto"/>
        <w:ind w:left="0" w:firstLine="0"/>
        <w:rPr>
          <w:color w:val="auto"/>
          <w:lang w:val="es-ES"/>
        </w:rPr>
      </w:pPr>
      <w:r w:rsidRPr="001C30B1">
        <w:rPr>
          <w:color w:val="auto"/>
          <w:lang w:val="es-ES"/>
        </w:rPr>
        <w:t>No se han estudiado la seguridad y la eficacia en pacientes con insuficiencia hepática (ver sección 5.2).</w:t>
      </w:r>
    </w:p>
    <w:p w14:paraId="1D0A3C7C" w14:textId="77777777" w:rsidR="00FB24C0" w:rsidRPr="001C30B1" w:rsidRDefault="00FB24C0" w:rsidP="00FB24C0">
      <w:pPr>
        <w:spacing w:after="0" w:line="240" w:lineRule="auto"/>
        <w:ind w:left="0" w:firstLine="0"/>
        <w:rPr>
          <w:color w:val="auto"/>
          <w:lang w:val="es-ES"/>
        </w:rPr>
      </w:pPr>
    </w:p>
    <w:p w14:paraId="2CBF260F" w14:textId="77777777" w:rsidR="00FB24C0" w:rsidRPr="001C30B1" w:rsidRDefault="00FB24C0" w:rsidP="00FB24C0">
      <w:pPr>
        <w:keepNext/>
        <w:spacing w:after="0" w:line="240" w:lineRule="auto"/>
        <w:ind w:left="0" w:firstLine="0"/>
        <w:rPr>
          <w:i/>
          <w:color w:val="auto"/>
          <w:lang w:val="es-ES"/>
        </w:rPr>
      </w:pPr>
      <w:r w:rsidRPr="001C30B1">
        <w:rPr>
          <w:i/>
          <w:color w:val="auto"/>
          <w:u w:val="single" w:color="000000"/>
          <w:lang w:val="es-ES"/>
        </w:rPr>
        <w:t>Población pediátrica</w:t>
      </w:r>
    </w:p>
    <w:p w14:paraId="3C23CC17" w14:textId="77777777" w:rsidR="00FB24C0" w:rsidRPr="001C30B1" w:rsidRDefault="00FB24C0" w:rsidP="00FB24C0">
      <w:pPr>
        <w:keepNext/>
        <w:spacing w:after="0" w:line="240" w:lineRule="auto"/>
        <w:ind w:left="0" w:firstLine="0"/>
        <w:rPr>
          <w:color w:val="auto"/>
          <w:lang w:val="es-ES"/>
        </w:rPr>
      </w:pPr>
    </w:p>
    <w:p w14:paraId="44596280" w14:textId="77777777" w:rsidR="00FB24C0" w:rsidRPr="001C30B1" w:rsidRDefault="00FB24C0" w:rsidP="00FB24C0">
      <w:pPr>
        <w:spacing w:after="0" w:line="240" w:lineRule="auto"/>
        <w:ind w:left="0" w:firstLine="0"/>
        <w:rPr>
          <w:color w:val="auto"/>
          <w:lang w:val="es-ES"/>
        </w:rPr>
      </w:pPr>
      <w:r w:rsidRPr="001C30B1">
        <w:rPr>
          <w:color w:val="auto"/>
          <w:lang w:val="es-ES"/>
        </w:rPr>
        <w:t xml:space="preserve">No se ha establecido la seguridad y eficacia de bevacizumab </w:t>
      </w:r>
      <w:r w:rsidRPr="001408E2">
        <w:rPr>
          <w:color w:val="auto"/>
          <w:lang w:val="es-ES"/>
        </w:rPr>
        <w:t>en niños menores</w:t>
      </w:r>
      <w:r w:rsidRPr="001C30B1">
        <w:rPr>
          <w:color w:val="auto"/>
          <w:lang w:val="es-ES"/>
        </w:rPr>
        <w:t xml:space="preserve"> de 18 años. Los datos actualmente disponibles están descritos en las secciones 4.8, 5.1 y 5.2, sin </w:t>
      </w:r>
      <w:proofErr w:type="gramStart"/>
      <w:r w:rsidRPr="001C30B1">
        <w:rPr>
          <w:color w:val="auto"/>
          <w:lang w:val="es-ES"/>
        </w:rPr>
        <w:t>embargo</w:t>
      </w:r>
      <w:proofErr w:type="gramEnd"/>
      <w:r w:rsidRPr="001C30B1">
        <w:rPr>
          <w:color w:val="auto"/>
          <w:lang w:val="es-ES"/>
        </w:rPr>
        <w:t xml:space="preserve"> no se puede hacer una recomendación posológica.</w:t>
      </w:r>
    </w:p>
    <w:p w14:paraId="3424A1AA" w14:textId="77777777" w:rsidR="00FB24C0" w:rsidRPr="001C30B1" w:rsidRDefault="00FB24C0" w:rsidP="00FB24C0">
      <w:pPr>
        <w:spacing w:after="0" w:line="240" w:lineRule="auto"/>
        <w:ind w:left="0" w:firstLine="0"/>
        <w:rPr>
          <w:color w:val="auto"/>
          <w:lang w:val="es-ES"/>
        </w:rPr>
      </w:pPr>
    </w:p>
    <w:p w14:paraId="7C5AD670" w14:textId="03E02579" w:rsidR="00FB24C0" w:rsidRPr="001C30B1" w:rsidRDefault="00FB24C0" w:rsidP="00FB24C0">
      <w:pPr>
        <w:spacing w:after="0" w:line="240" w:lineRule="auto"/>
        <w:ind w:left="0" w:firstLine="0"/>
        <w:rPr>
          <w:color w:val="auto"/>
          <w:lang w:val="es-ES"/>
        </w:rPr>
      </w:pPr>
      <w:r w:rsidRPr="001C30B1">
        <w:rPr>
          <w:color w:val="auto"/>
          <w:lang w:val="es-ES"/>
        </w:rPr>
        <w:t>El uso de bevacizumab en la población pediátrica para las indicaciones del tratamiento de cánceres de colon, recto,</w:t>
      </w:r>
      <w:r w:rsidR="00E13F6C">
        <w:rPr>
          <w:color w:val="auto"/>
          <w:lang w:val="es-ES"/>
        </w:rPr>
        <w:t xml:space="preserve"> mama,</w:t>
      </w:r>
      <w:r w:rsidRPr="001C30B1">
        <w:rPr>
          <w:color w:val="auto"/>
          <w:lang w:val="es-ES"/>
        </w:rPr>
        <w:t xml:space="preserve"> pulmón, ovario, trompa de Falopio, peritoneo, cérvix y riñón no es relevante.</w:t>
      </w:r>
    </w:p>
    <w:p w14:paraId="43E1852B" w14:textId="77777777" w:rsidR="00FB24C0" w:rsidRPr="001C30B1" w:rsidRDefault="00FB24C0" w:rsidP="00FB24C0">
      <w:pPr>
        <w:spacing w:after="0" w:line="240" w:lineRule="auto"/>
        <w:ind w:left="0" w:firstLine="0"/>
        <w:rPr>
          <w:color w:val="auto"/>
          <w:lang w:val="es-ES"/>
        </w:rPr>
      </w:pPr>
    </w:p>
    <w:p w14:paraId="3DBE8D7A" w14:textId="77777777" w:rsidR="00FB24C0" w:rsidRPr="001C30B1" w:rsidRDefault="00FB24C0" w:rsidP="00FB24C0">
      <w:pPr>
        <w:keepNext/>
        <w:spacing w:after="0" w:line="240" w:lineRule="auto"/>
        <w:ind w:left="0" w:firstLine="0"/>
        <w:rPr>
          <w:color w:val="auto"/>
          <w:lang w:val="es-ES"/>
        </w:rPr>
      </w:pPr>
      <w:r w:rsidRPr="001C30B1">
        <w:rPr>
          <w:color w:val="auto"/>
          <w:u w:val="single" w:color="000000"/>
          <w:lang w:val="es-ES"/>
        </w:rPr>
        <w:t>Forma de administración</w:t>
      </w:r>
    </w:p>
    <w:p w14:paraId="52464667" w14:textId="77777777" w:rsidR="00FB24C0" w:rsidRPr="001C30B1" w:rsidRDefault="00FB24C0" w:rsidP="00FB24C0">
      <w:pPr>
        <w:keepNext/>
        <w:spacing w:after="0" w:line="240" w:lineRule="auto"/>
        <w:ind w:left="0" w:firstLine="0"/>
        <w:rPr>
          <w:i/>
          <w:color w:val="auto"/>
          <w:lang w:val="es-ES"/>
        </w:rPr>
      </w:pPr>
    </w:p>
    <w:p w14:paraId="6D07C963" w14:textId="1CFF9C51" w:rsidR="00FB24C0" w:rsidRPr="001C30B1" w:rsidRDefault="00273C0C" w:rsidP="00FB24C0">
      <w:pPr>
        <w:spacing w:after="0" w:line="240" w:lineRule="auto"/>
        <w:ind w:left="0" w:firstLine="0"/>
        <w:rPr>
          <w:color w:val="auto"/>
          <w:lang w:val="es-ES"/>
        </w:rPr>
      </w:pPr>
      <w:r>
        <w:rPr>
          <w:color w:val="auto"/>
          <w:lang w:val="es-ES"/>
        </w:rPr>
        <w:t>MVASI se administra por v</w:t>
      </w:r>
      <w:r w:rsidRPr="00443040">
        <w:rPr>
          <w:color w:val="auto"/>
          <w:lang w:val="es-ES"/>
        </w:rPr>
        <w:t>ía intravenosa</w:t>
      </w:r>
      <w:r>
        <w:rPr>
          <w:color w:val="auto"/>
          <w:lang w:val="es-ES"/>
        </w:rPr>
        <w:t xml:space="preserve">. </w:t>
      </w:r>
      <w:r w:rsidR="00FB24C0" w:rsidRPr="001C30B1">
        <w:rPr>
          <w:color w:val="auto"/>
          <w:lang w:val="es-ES"/>
        </w:rPr>
        <w:t xml:space="preserve">La dosis inicial </w:t>
      </w:r>
      <w:r w:rsidR="007C6704">
        <w:rPr>
          <w:color w:val="auto"/>
          <w:lang w:val="es-ES"/>
        </w:rPr>
        <w:t xml:space="preserve">se </w:t>
      </w:r>
      <w:r w:rsidR="00FB24C0" w:rsidRPr="001C30B1">
        <w:rPr>
          <w:color w:val="auto"/>
          <w:lang w:val="es-ES"/>
        </w:rPr>
        <w:t>debe administrar en perfusión intravenosa durante 90</w:t>
      </w:r>
      <w:r w:rsidR="00814EA5" w:rsidRPr="00814EA5">
        <w:rPr>
          <w:lang w:val="es-ES"/>
        </w:rPr>
        <w:t> </w:t>
      </w:r>
      <w:r w:rsidR="00FB24C0" w:rsidRPr="001C30B1">
        <w:rPr>
          <w:color w:val="auto"/>
          <w:lang w:val="es-ES"/>
        </w:rPr>
        <w:t xml:space="preserve">minutos. Si se tolera bien la primera perfusión, la segunda </w:t>
      </w:r>
      <w:r w:rsidR="007C6704">
        <w:rPr>
          <w:color w:val="auto"/>
          <w:lang w:val="es-ES"/>
        </w:rPr>
        <w:t xml:space="preserve">se </w:t>
      </w:r>
      <w:r w:rsidR="00FB24C0" w:rsidRPr="001C30B1">
        <w:rPr>
          <w:color w:val="auto"/>
          <w:lang w:val="es-ES"/>
        </w:rPr>
        <w:t>puede administrar durante 60</w:t>
      </w:r>
      <w:r w:rsidR="00814EA5" w:rsidRPr="00814EA5">
        <w:rPr>
          <w:lang w:val="es-ES"/>
        </w:rPr>
        <w:t> </w:t>
      </w:r>
      <w:r w:rsidR="00FB24C0" w:rsidRPr="001C30B1">
        <w:rPr>
          <w:color w:val="auto"/>
          <w:lang w:val="es-ES"/>
        </w:rPr>
        <w:t>minutos. Si se</w:t>
      </w:r>
      <w:r w:rsidR="00814EA5">
        <w:rPr>
          <w:color w:val="auto"/>
          <w:lang w:val="es-ES"/>
        </w:rPr>
        <w:t xml:space="preserve"> tolera bien la perfusión de 60</w:t>
      </w:r>
      <w:r w:rsidR="00814EA5" w:rsidRPr="00814EA5">
        <w:rPr>
          <w:lang w:val="es-ES"/>
        </w:rPr>
        <w:t> </w:t>
      </w:r>
      <w:r w:rsidR="00FB24C0" w:rsidRPr="001C30B1">
        <w:rPr>
          <w:color w:val="auto"/>
          <w:lang w:val="es-ES"/>
        </w:rPr>
        <w:t>minutos, todas las perfusiones siguientes se pueden administrar durante 30</w:t>
      </w:r>
      <w:r w:rsidR="00814EA5" w:rsidRPr="00814EA5">
        <w:rPr>
          <w:lang w:val="es-ES"/>
        </w:rPr>
        <w:t> </w:t>
      </w:r>
      <w:r w:rsidR="00FB24C0" w:rsidRPr="001C30B1">
        <w:rPr>
          <w:color w:val="auto"/>
          <w:lang w:val="es-ES"/>
        </w:rPr>
        <w:t>minutos.</w:t>
      </w:r>
    </w:p>
    <w:p w14:paraId="5EC5D15A" w14:textId="77777777" w:rsidR="00FB24C0" w:rsidRPr="001C30B1" w:rsidRDefault="00FB24C0" w:rsidP="00FB24C0">
      <w:pPr>
        <w:spacing w:after="0" w:line="240" w:lineRule="auto"/>
        <w:ind w:left="0" w:firstLine="0"/>
        <w:rPr>
          <w:color w:val="auto"/>
          <w:lang w:val="es-ES"/>
        </w:rPr>
      </w:pPr>
    </w:p>
    <w:p w14:paraId="65FD433C" w14:textId="77777777" w:rsidR="00FB24C0" w:rsidRPr="001C30B1" w:rsidRDefault="00FB24C0" w:rsidP="00FB24C0">
      <w:pPr>
        <w:spacing w:after="0" w:line="240" w:lineRule="auto"/>
        <w:ind w:left="0" w:firstLine="0"/>
        <w:rPr>
          <w:color w:val="auto"/>
          <w:lang w:val="es-ES"/>
        </w:rPr>
      </w:pPr>
      <w:r w:rsidRPr="001C30B1">
        <w:rPr>
          <w:color w:val="auto"/>
          <w:lang w:val="es-ES"/>
        </w:rPr>
        <w:t>No debe administrarse como pulso o bolo intravenoso.</w:t>
      </w:r>
    </w:p>
    <w:p w14:paraId="400930F6" w14:textId="77777777" w:rsidR="00FB24C0" w:rsidRPr="001C30B1" w:rsidRDefault="00FB24C0" w:rsidP="00FB24C0">
      <w:pPr>
        <w:spacing w:after="0" w:line="240" w:lineRule="auto"/>
        <w:ind w:left="0" w:firstLine="0"/>
        <w:rPr>
          <w:color w:val="auto"/>
          <w:lang w:val="es-ES"/>
        </w:rPr>
      </w:pPr>
    </w:p>
    <w:p w14:paraId="3BA810E1" w14:textId="77777777" w:rsidR="00FB24C0" w:rsidRPr="001C30B1" w:rsidRDefault="00FB24C0" w:rsidP="00FB24C0">
      <w:pPr>
        <w:spacing w:after="0" w:line="240" w:lineRule="auto"/>
        <w:ind w:left="0" w:firstLine="0"/>
        <w:rPr>
          <w:color w:val="auto"/>
          <w:lang w:val="es-ES"/>
        </w:rPr>
      </w:pPr>
      <w:r w:rsidRPr="001C30B1">
        <w:rPr>
          <w:color w:val="auto"/>
          <w:lang w:val="es-ES"/>
        </w:rPr>
        <w:t>No se recomienda la reducción de la dosis en caso de aparición de reacciones adversas. Si es necesario, el tratamiento debe interrumpirse permanente o temporalmente como se indica en la sección 4.4.</w:t>
      </w:r>
    </w:p>
    <w:p w14:paraId="399C5477" w14:textId="77777777" w:rsidR="00FB24C0" w:rsidRPr="001C30B1" w:rsidRDefault="00FB24C0" w:rsidP="00FB24C0">
      <w:pPr>
        <w:spacing w:after="0" w:line="240" w:lineRule="auto"/>
        <w:ind w:left="0" w:firstLine="0"/>
        <w:rPr>
          <w:color w:val="auto"/>
          <w:lang w:val="es-ES"/>
        </w:rPr>
      </w:pPr>
    </w:p>
    <w:p w14:paraId="3D613312" w14:textId="77777777" w:rsidR="00FB24C0" w:rsidRPr="001C30B1" w:rsidRDefault="00FB24C0" w:rsidP="00FB24C0">
      <w:pPr>
        <w:keepNext/>
        <w:spacing w:after="0" w:line="240" w:lineRule="auto"/>
        <w:ind w:left="0" w:firstLine="0"/>
        <w:rPr>
          <w:i/>
          <w:color w:val="auto"/>
          <w:lang w:val="es-ES"/>
        </w:rPr>
      </w:pPr>
      <w:r w:rsidRPr="001C30B1">
        <w:rPr>
          <w:i/>
          <w:color w:val="auto"/>
          <w:u w:val="single" w:color="000000"/>
          <w:lang w:val="es-ES"/>
        </w:rPr>
        <w:lastRenderedPageBreak/>
        <w:t>Precauciones que deben tomarse antes de manipular o administrar este medicamento</w:t>
      </w:r>
    </w:p>
    <w:p w14:paraId="54F10B36" w14:textId="77777777" w:rsidR="00FB24C0" w:rsidRPr="001C30B1" w:rsidRDefault="00FB24C0" w:rsidP="00FB24C0">
      <w:pPr>
        <w:keepNext/>
        <w:spacing w:after="0" w:line="240" w:lineRule="auto"/>
        <w:ind w:left="0" w:firstLine="0"/>
        <w:rPr>
          <w:i/>
          <w:color w:val="auto"/>
          <w:lang w:val="es-ES"/>
        </w:rPr>
      </w:pPr>
    </w:p>
    <w:p w14:paraId="3E47F002" w14:textId="2AEF8C9C" w:rsidR="00FB24C0" w:rsidRPr="001C30B1" w:rsidRDefault="00FB24C0" w:rsidP="00FB24C0">
      <w:pPr>
        <w:spacing w:after="0" w:line="240" w:lineRule="auto"/>
        <w:ind w:left="0" w:firstLine="0"/>
        <w:rPr>
          <w:color w:val="auto"/>
          <w:lang w:val="es-ES"/>
        </w:rPr>
      </w:pPr>
      <w:r w:rsidRPr="001C30B1">
        <w:rPr>
          <w:color w:val="auto"/>
          <w:lang w:val="es-ES"/>
        </w:rPr>
        <w:t xml:space="preserve">Para consultar las instrucciones de dilución del medicamento antes de la administración, ver sección 6.6. Las perfusiones de </w:t>
      </w:r>
      <w:r w:rsidR="00AA71D6">
        <w:rPr>
          <w:rFonts w:eastAsia="Calibri"/>
          <w:lang w:val="es-ES"/>
        </w:rPr>
        <w:t>MVASI</w:t>
      </w:r>
      <w:r w:rsidR="005E0D28" w:rsidRPr="001C30B1" w:rsidDel="005E0D28">
        <w:rPr>
          <w:color w:val="auto"/>
          <w:lang w:val="es-ES"/>
        </w:rPr>
        <w:t xml:space="preserve"> </w:t>
      </w:r>
      <w:r w:rsidRPr="001C30B1">
        <w:rPr>
          <w:color w:val="auto"/>
          <w:lang w:val="es-ES"/>
        </w:rPr>
        <w:t>no</w:t>
      </w:r>
      <w:r w:rsidR="007C6704">
        <w:rPr>
          <w:color w:val="auto"/>
          <w:lang w:val="es-ES"/>
        </w:rPr>
        <w:t xml:space="preserve"> se</w:t>
      </w:r>
      <w:r w:rsidRPr="001C30B1">
        <w:rPr>
          <w:color w:val="auto"/>
          <w:lang w:val="es-ES"/>
        </w:rPr>
        <w:t xml:space="preserve"> deben administrar o mezclar con soluciones de</w:t>
      </w:r>
      <w:r w:rsidRPr="001C30B1">
        <w:rPr>
          <w:i/>
          <w:color w:val="auto"/>
          <w:lang w:val="es-ES"/>
        </w:rPr>
        <w:t xml:space="preserve"> </w:t>
      </w:r>
      <w:r w:rsidRPr="001C30B1">
        <w:rPr>
          <w:color w:val="auto"/>
          <w:lang w:val="es-ES"/>
        </w:rPr>
        <w:t>glucosa. Este medicamento no</w:t>
      </w:r>
      <w:r w:rsidR="007C6704">
        <w:rPr>
          <w:color w:val="auto"/>
          <w:lang w:val="es-ES"/>
        </w:rPr>
        <w:t xml:space="preserve"> se</w:t>
      </w:r>
      <w:r w:rsidRPr="001C30B1">
        <w:rPr>
          <w:color w:val="auto"/>
          <w:lang w:val="es-ES"/>
        </w:rPr>
        <w:t xml:space="preserve"> debe mezclar con otros medicamentos excepto los mencionados en la sección 6.6.</w:t>
      </w:r>
    </w:p>
    <w:p w14:paraId="68CF4AF3" w14:textId="77777777" w:rsidR="00FB24C0" w:rsidRPr="001C30B1" w:rsidRDefault="00FB24C0" w:rsidP="00FB24C0">
      <w:pPr>
        <w:spacing w:after="0" w:line="240" w:lineRule="auto"/>
        <w:ind w:left="0" w:firstLine="0"/>
        <w:rPr>
          <w:i/>
          <w:color w:val="auto"/>
          <w:lang w:val="es-ES"/>
        </w:rPr>
      </w:pPr>
    </w:p>
    <w:p w14:paraId="737B3E64" w14:textId="77777777" w:rsidR="00FB24C0" w:rsidRPr="00443040" w:rsidRDefault="00FB24C0" w:rsidP="00FB24C0">
      <w:pPr>
        <w:keepNext/>
        <w:spacing w:after="0" w:line="240" w:lineRule="auto"/>
        <w:ind w:left="567" w:hanging="567"/>
        <w:rPr>
          <w:b/>
          <w:color w:val="auto"/>
          <w:lang w:val="es-ES"/>
        </w:rPr>
      </w:pPr>
      <w:r w:rsidRPr="00443040">
        <w:rPr>
          <w:b/>
          <w:color w:val="auto"/>
          <w:lang w:val="es-ES"/>
        </w:rPr>
        <w:t>4.3</w:t>
      </w:r>
      <w:r w:rsidRPr="00443040">
        <w:rPr>
          <w:b/>
          <w:color w:val="auto"/>
          <w:lang w:val="es-ES"/>
        </w:rPr>
        <w:tab/>
        <w:t>Contraindicaciones</w:t>
      </w:r>
    </w:p>
    <w:p w14:paraId="5A1574AB" w14:textId="77777777" w:rsidR="00FB24C0" w:rsidRPr="00443040" w:rsidRDefault="00FB24C0" w:rsidP="00FB24C0">
      <w:pPr>
        <w:keepNext/>
        <w:spacing w:after="0" w:line="240" w:lineRule="auto"/>
        <w:ind w:left="0" w:firstLine="0"/>
        <w:rPr>
          <w:color w:val="auto"/>
          <w:lang w:val="es-ES"/>
        </w:rPr>
      </w:pPr>
    </w:p>
    <w:p w14:paraId="0429A528" w14:textId="77777777" w:rsidR="00FB24C0" w:rsidRPr="00443040" w:rsidRDefault="00FB24C0" w:rsidP="00B43B7E">
      <w:pPr>
        <w:keepNext/>
        <w:numPr>
          <w:ilvl w:val="0"/>
          <w:numId w:val="1"/>
        </w:numPr>
        <w:spacing w:after="0" w:line="240" w:lineRule="auto"/>
        <w:ind w:left="567" w:hanging="567"/>
        <w:rPr>
          <w:color w:val="auto"/>
          <w:lang w:val="es-ES"/>
        </w:rPr>
      </w:pPr>
      <w:r w:rsidRPr="00443040">
        <w:rPr>
          <w:color w:val="auto"/>
          <w:lang w:val="es-ES"/>
        </w:rPr>
        <w:t>Hipersensibilidad al principio activo o a alguno de los excipientes incluidos en la sección 6.1.</w:t>
      </w:r>
    </w:p>
    <w:p w14:paraId="4CB1ABA0" w14:textId="77777777" w:rsidR="00FB24C0" w:rsidRPr="00443040" w:rsidRDefault="00FB24C0" w:rsidP="00B43B7E">
      <w:pPr>
        <w:keepNext/>
        <w:numPr>
          <w:ilvl w:val="0"/>
          <w:numId w:val="1"/>
        </w:numPr>
        <w:spacing w:after="0" w:line="240" w:lineRule="auto"/>
        <w:ind w:left="567" w:hanging="567"/>
        <w:rPr>
          <w:color w:val="auto"/>
          <w:lang w:val="es-ES"/>
        </w:rPr>
      </w:pPr>
      <w:r w:rsidRPr="00443040">
        <w:rPr>
          <w:color w:val="auto"/>
          <w:lang w:val="es-ES"/>
        </w:rPr>
        <w:t>Hipersensibilidad a productos derivados de células de ovario de hámster chino (CHO) o a otros anticuerpos recombinantes humanos o humanizados.</w:t>
      </w:r>
    </w:p>
    <w:p w14:paraId="5711E686" w14:textId="77777777" w:rsidR="00FB24C0" w:rsidRPr="00443040" w:rsidRDefault="00FB24C0" w:rsidP="00FB24C0">
      <w:pPr>
        <w:numPr>
          <w:ilvl w:val="0"/>
          <w:numId w:val="1"/>
        </w:numPr>
        <w:spacing w:after="0" w:line="240" w:lineRule="auto"/>
        <w:ind w:left="567" w:hanging="567"/>
        <w:rPr>
          <w:color w:val="auto"/>
          <w:lang w:val="es-ES"/>
        </w:rPr>
      </w:pPr>
      <w:r w:rsidRPr="00443040">
        <w:rPr>
          <w:color w:val="auto"/>
          <w:lang w:val="es-ES"/>
        </w:rPr>
        <w:t>Embarazo (ver sección 4.6).</w:t>
      </w:r>
    </w:p>
    <w:p w14:paraId="64C594DE" w14:textId="77777777" w:rsidR="00FB24C0" w:rsidRPr="00443040" w:rsidRDefault="00FB24C0" w:rsidP="00FB24C0">
      <w:pPr>
        <w:spacing w:after="0" w:line="240" w:lineRule="auto"/>
        <w:ind w:left="0" w:firstLine="0"/>
        <w:rPr>
          <w:color w:val="auto"/>
          <w:lang w:val="es-ES"/>
        </w:rPr>
      </w:pPr>
    </w:p>
    <w:p w14:paraId="0AED01F6" w14:textId="2FEFB334" w:rsidR="00FB24C0" w:rsidRDefault="00FB24C0" w:rsidP="00FB24C0">
      <w:pPr>
        <w:keepNext/>
        <w:spacing w:after="0" w:line="240" w:lineRule="auto"/>
        <w:ind w:left="567" w:hanging="567"/>
        <w:rPr>
          <w:b/>
          <w:color w:val="auto"/>
          <w:lang w:val="es-ES"/>
        </w:rPr>
      </w:pPr>
      <w:r w:rsidRPr="00443040">
        <w:rPr>
          <w:b/>
          <w:color w:val="auto"/>
          <w:lang w:val="es-ES"/>
        </w:rPr>
        <w:t>4.4</w:t>
      </w:r>
      <w:r w:rsidRPr="00443040">
        <w:rPr>
          <w:b/>
          <w:color w:val="auto"/>
          <w:lang w:val="es-ES"/>
        </w:rPr>
        <w:tab/>
        <w:t>Advertencias y precauciones especiales de empleo</w:t>
      </w:r>
    </w:p>
    <w:p w14:paraId="19BAAE94" w14:textId="29C831B1" w:rsidR="00D03D1C" w:rsidRDefault="00D03D1C" w:rsidP="00FB24C0">
      <w:pPr>
        <w:keepNext/>
        <w:spacing w:after="0" w:line="240" w:lineRule="auto"/>
        <w:ind w:left="567" w:hanging="567"/>
        <w:rPr>
          <w:b/>
          <w:color w:val="auto"/>
          <w:lang w:val="es-ES"/>
        </w:rPr>
      </w:pPr>
    </w:p>
    <w:p w14:paraId="0027298C" w14:textId="526B26A3" w:rsidR="00D03D1C" w:rsidRPr="00DD428F" w:rsidRDefault="00D03D1C" w:rsidP="00FB24C0">
      <w:pPr>
        <w:keepNext/>
        <w:spacing w:after="0" w:line="240" w:lineRule="auto"/>
        <w:ind w:left="567" w:hanging="567"/>
        <w:rPr>
          <w:color w:val="auto"/>
          <w:u w:val="single"/>
          <w:lang w:val="es-ES"/>
        </w:rPr>
      </w:pPr>
      <w:r w:rsidRPr="00DD428F">
        <w:rPr>
          <w:color w:val="auto"/>
          <w:u w:val="single"/>
          <w:lang w:val="es-ES"/>
        </w:rPr>
        <w:t>Trazabilidad</w:t>
      </w:r>
    </w:p>
    <w:p w14:paraId="4170F0C4" w14:textId="77777777" w:rsidR="00FB24C0" w:rsidRPr="00AB40E2" w:rsidRDefault="00FB24C0" w:rsidP="00FB24C0">
      <w:pPr>
        <w:keepNext/>
        <w:spacing w:after="0" w:line="240" w:lineRule="auto"/>
        <w:ind w:left="0" w:firstLine="0"/>
        <w:rPr>
          <w:color w:val="auto"/>
          <w:lang w:val="es-ES"/>
        </w:rPr>
      </w:pPr>
    </w:p>
    <w:p w14:paraId="24D16419" w14:textId="3C83BBAE" w:rsidR="00FB24C0" w:rsidRPr="00AB40E2" w:rsidRDefault="0084016D" w:rsidP="00FB24C0">
      <w:pPr>
        <w:spacing w:after="0" w:line="240" w:lineRule="auto"/>
        <w:ind w:left="0" w:firstLine="0"/>
        <w:rPr>
          <w:color w:val="auto"/>
          <w:lang w:val="es-ES"/>
        </w:rPr>
      </w:pPr>
      <w:r>
        <w:rPr>
          <w:color w:val="auto"/>
          <w:lang w:val="es-ES"/>
        </w:rPr>
        <w:t>Con objeto de</w:t>
      </w:r>
      <w:r w:rsidRPr="00AB40E2">
        <w:rPr>
          <w:color w:val="auto"/>
          <w:lang w:val="es-ES"/>
        </w:rPr>
        <w:t xml:space="preserve"> </w:t>
      </w:r>
      <w:r w:rsidR="00FB24C0" w:rsidRPr="00AB40E2">
        <w:rPr>
          <w:color w:val="auto"/>
          <w:lang w:val="es-ES"/>
        </w:rPr>
        <w:t>mejorar la trazabilidad de los medicamentos biológicos, el nombre</w:t>
      </w:r>
      <w:r>
        <w:rPr>
          <w:color w:val="auto"/>
          <w:lang w:val="es-ES"/>
        </w:rPr>
        <w:t xml:space="preserve"> </w:t>
      </w:r>
      <w:r w:rsidR="00FB24C0" w:rsidRPr="00AB40E2">
        <w:rPr>
          <w:color w:val="auto"/>
          <w:lang w:val="es-ES"/>
        </w:rPr>
        <w:t xml:space="preserve">y el número de lote </w:t>
      </w:r>
      <w:r>
        <w:rPr>
          <w:color w:val="auto"/>
          <w:lang w:val="es-ES"/>
        </w:rPr>
        <w:t xml:space="preserve">del medicamento </w:t>
      </w:r>
      <w:r w:rsidR="00FB24C0" w:rsidRPr="00AB40E2">
        <w:rPr>
          <w:color w:val="auto"/>
          <w:lang w:val="es-ES"/>
        </w:rPr>
        <w:t xml:space="preserve">administrado </w:t>
      </w:r>
      <w:r>
        <w:rPr>
          <w:color w:val="auto"/>
          <w:lang w:val="es-ES"/>
        </w:rPr>
        <w:t>deben estar claramente registrados.</w:t>
      </w:r>
      <w:r w:rsidR="00FB24C0" w:rsidRPr="00AB40E2">
        <w:rPr>
          <w:color w:val="auto"/>
          <w:lang w:val="es-ES"/>
        </w:rPr>
        <w:t xml:space="preserve"> </w:t>
      </w:r>
    </w:p>
    <w:p w14:paraId="0FF9E535" w14:textId="77777777" w:rsidR="00FB24C0" w:rsidRPr="00AB40E2" w:rsidRDefault="00FB24C0" w:rsidP="00FB24C0">
      <w:pPr>
        <w:spacing w:after="0" w:line="240" w:lineRule="auto"/>
        <w:ind w:left="0" w:firstLine="0"/>
        <w:rPr>
          <w:color w:val="auto"/>
          <w:lang w:val="es-ES"/>
        </w:rPr>
      </w:pPr>
    </w:p>
    <w:p w14:paraId="00DAD8BB" w14:textId="77777777" w:rsidR="00FB24C0" w:rsidRPr="00AB40E2" w:rsidRDefault="00FB24C0" w:rsidP="00FB24C0">
      <w:pPr>
        <w:keepNext/>
        <w:spacing w:after="0" w:line="240" w:lineRule="auto"/>
        <w:ind w:left="0" w:firstLine="0"/>
        <w:rPr>
          <w:color w:val="auto"/>
          <w:u w:val="single"/>
          <w:lang w:val="es-ES"/>
        </w:rPr>
      </w:pPr>
      <w:r w:rsidRPr="00AB40E2">
        <w:rPr>
          <w:color w:val="auto"/>
          <w:u w:val="single"/>
          <w:lang w:val="es-ES"/>
        </w:rPr>
        <w:t>Perforaciones gastrointestinales (GI) y fístulas (ver sección 4.8)</w:t>
      </w:r>
    </w:p>
    <w:p w14:paraId="66B9336E" w14:textId="77777777" w:rsidR="00FB24C0" w:rsidRPr="00AB40E2" w:rsidRDefault="00FB24C0" w:rsidP="00FB24C0">
      <w:pPr>
        <w:keepNext/>
        <w:spacing w:after="0" w:line="240" w:lineRule="auto"/>
        <w:ind w:left="0" w:firstLine="0"/>
        <w:rPr>
          <w:color w:val="auto"/>
          <w:lang w:val="es-ES"/>
        </w:rPr>
      </w:pPr>
    </w:p>
    <w:p w14:paraId="69F6F753" w14:textId="77777777" w:rsidR="00FB24C0" w:rsidRPr="00AB40E2" w:rsidRDefault="00FB24C0" w:rsidP="00FB24C0">
      <w:pPr>
        <w:spacing w:after="0" w:line="240" w:lineRule="auto"/>
        <w:ind w:left="0" w:firstLine="0"/>
        <w:rPr>
          <w:color w:val="auto"/>
          <w:lang w:val="es-ES"/>
        </w:rPr>
      </w:pPr>
      <w:r w:rsidRPr="00AB40E2">
        <w:rPr>
          <w:color w:val="auto"/>
          <w:lang w:val="es-ES"/>
        </w:rPr>
        <w:t xml:space="preserve">Los pacientes pueden tener un riesgo aumentado de perforación gastrointestinal y perforación de la vesícula biliar durante el tratamiento con </w:t>
      </w:r>
      <w:r w:rsidR="005E0D28">
        <w:rPr>
          <w:color w:val="auto"/>
          <w:lang w:val="es-ES"/>
        </w:rPr>
        <w:t>bevacizumab</w:t>
      </w:r>
      <w:r w:rsidRPr="00AB40E2">
        <w:rPr>
          <w:color w:val="auto"/>
          <w:lang w:val="es-ES"/>
        </w:rPr>
        <w:t xml:space="preserve">. En pacientes con carcinoma metastásico de colon o recto, el proceso inflamatorio </w:t>
      </w:r>
      <w:proofErr w:type="spellStart"/>
      <w:r w:rsidRPr="00AB40E2">
        <w:rPr>
          <w:color w:val="auto"/>
          <w:lang w:val="es-ES"/>
        </w:rPr>
        <w:t>intra-abdominal</w:t>
      </w:r>
      <w:proofErr w:type="spellEnd"/>
      <w:r w:rsidRPr="00AB40E2">
        <w:rPr>
          <w:color w:val="auto"/>
          <w:lang w:val="es-ES"/>
        </w:rPr>
        <w:t xml:space="preserve"> puede ser un factor de riesgo para perforaciones gastrointestinales, por lo que se debe tener precaución cuando se trate a estos pacientes. La radiación previa es un factor de riesgo para la perforación GI en pacientes con cáncer de cérvix persistente, recurrente o metastásico tratados con </w:t>
      </w:r>
      <w:r w:rsidR="00AA71D6">
        <w:rPr>
          <w:rFonts w:eastAsia="Calibri"/>
          <w:lang w:val="es-ES"/>
        </w:rPr>
        <w:t>MVASI</w:t>
      </w:r>
      <w:r w:rsidRPr="00AB40E2">
        <w:rPr>
          <w:color w:val="auto"/>
          <w:lang w:val="es-ES"/>
        </w:rPr>
        <w:t xml:space="preserve"> y todos los pacientes con perforación GI tenían antecedentes de radiación previa. Se debe interrumpir de forma permanente el tratamiento en pacientes que desarrollen una perforación gastrointestinal.</w:t>
      </w:r>
    </w:p>
    <w:p w14:paraId="427B13D4" w14:textId="77777777" w:rsidR="00FB24C0" w:rsidRPr="00AB40E2" w:rsidRDefault="00FB24C0" w:rsidP="00FB24C0">
      <w:pPr>
        <w:spacing w:after="0" w:line="240" w:lineRule="auto"/>
        <w:ind w:left="0" w:firstLine="0"/>
        <w:rPr>
          <w:color w:val="auto"/>
          <w:lang w:val="es-ES"/>
        </w:rPr>
      </w:pPr>
    </w:p>
    <w:p w14:paraId="06B47C58" w14:textId="77777777" w:rsidR="00FB24C0" w:rsidRPr="00AB40E2" w:rsidRDefault="00FB24C0" w:rsidP="00FB24C0">
      <w:pPr>
        <w:keepNext/>
        <w:spacing w:after="0" w:line="240" w:lineRule="auto"/>
        <w:ind w:left="0" w:firstLine="0"/>
        <w:rPr>
          <w:color w:val="auto"/>
          <w:u w:val="single"/>
          <w:lang w:val="es-ES"/>
        </w:rPr>
      </w:pPr>
      <w:r w:rsidRPr="00AB40E2">
        <w:rPr>
          <w:color w:val="auto"/>
          <w:u w:val="single"/>
          <w:lang w:val="es-ES"/>
        </w:rPr>
        <w:t>Fístulas GI-vaginales en el estudio GOG-0240</w:t>
      </w:r>
    </w:p>
    <w:p w14:paraId="5512E4A7" w14:textId="77777777" w:rsidR="00FB24C0" w:rsidRPr="00AB40E2" w:rsidRDefault="00FB24C0" w:rsidP="00FB24C0">
      <w:pPr>
        <w:keepNext/>
        <w:spacing w:after="0" w:line="240" w:lineRule="auto"/>
        <w:ind w:left="0" w:firstLine="0"/>
        <w:rPr>
          <w:color w:val="auto"/>
          <w:lang w:val="es-ES"/>
        </w:rPr>
      </w:pPr>
    </w:p>
    <w:p w14:paraId="50DACCB5" w14:textId="0B3AB2DC" w:rsidR="00FB24C0" w:rsidRPr="00AB40E2" w:rsidRDefault="00FB24C0" w:rsidP="00E257B9">
      <w:pPr>
        <w:spacing w:after="0" w:line="240" w:lineRule="auto"/>
        <w:ind w:left="0" w:firstLine="0"/>
        <w:rPr>
          <w:color w:val="auto"/>
          <w:lang w:val="es-ES"/>
        </w:rPr>
      </w:pPr>
      <w:r w:rsidRPr="00AB40E2">
        <w:rPr>
          <w:color w:val="auto"/>
          <w:lang w:val="es-ES"/>
        </w:rPr>
        <w:t xml:space="preserve">Los pacientes con cáncer de cérvix persistente, recurrente o metastásico tratados con </w:t>
      </w:r>
      <w:r w:rsidR="004C79A1" w:rsidRPr="00D1096C">
        <w:rPr>
          <w:lang w:val="es-ES"/>
        </w:rPr>
        <w:t>bevacizumab</w:t>
      </w:r>
      <w:r w:rsidRPr="00AB40E2">
        <w:rPr>
          <w:color w:val="auto"/>
          <w:lang w:val="es-ES"/>
        </w:rPr>
        <w:t xml:space="preserve"> tienen un mayor riesgo de fístulas entre la vagina y cualquier parte del tracto GI (fístulas gastrointestinales</w:t>
      </w:r>
      <w:r w:rsidR="002D4D20">
        <w:rPr>
          <w:color w:val="auto"/>
          <w:lang w:val="es-ES"/>
        </w:rPr>
        <w:t xml:space="preserve"> </w:t>
      </w:r>
      <w:r w:rsidRPr="00AB40E2">
        <w:rPr>
          <w:color w:val="auto"/>
          <w:lang w:val="es-ES"/>
        </w:rPr>
        <w:t>vaginales). La radiación previa es un factor de riesgo importante para el desarrollo de fístula GI</w:t>
      </w:r>
      <w:r w:rsidR="00487019">
        <w:rPr>
          <w:color w:val="auto"/>
          <w:lang w:val="es-ES"/>
        </w:rPr>
        <w:t>-</w:t>
      </w:r>
      <w:r w:rsidRPr="00AB40E2">
        <w:rPr>
          <w:color w:val="auto"/>
          <w:lang w:val="es-ES"/>
        </w:rPr>
        <w:t>vaginal y todos los pacientes con fístula GI-vaginal han tenido antecedentes de radiación previa. La recurrencia del cáncer en la zona previamente irradiada es un importante factor de riesgo adicional para el desarrollo de fístulas GI-vaginales.</w:t>
      </w:r>
    </w:p>
    <w:p w14:paraId="74EC2720" w14:textId="77777777" w:rsidR="00FB24C0" w:rsidRPr="00AB40E2" w:rsidRDefault="00FB24C0" w:rsidP="00FB24C0">
      <w:pPr>
        <w:spacing w:after="0" w:line="240" w:lineRule="auto"/>
        <w:ind w:left="0" w:firstLine="0"/>
        <w:rPr>
          <w:i/>
          <w:color w:val="auto"/>
          <w:lang w:val="es-ES"/>
        </w:rPr>
      </w:pPr>
    </w:p>
    <w:p w14:paraId="22A5DBA1" w14:textId="77777777" w:rsidR="00FB24C0" w:rsidRPr="00AB40E2" w:rsidRDefault="00FB24C0" w:rsidP="00FB24C0">
      <w:pPr>
        <w:keepNext/>
        <w:spacing w:after="0" w:line="240" w:lineRule="auto"/>
        <w:ind w:left="0" w:firstLine="0"/>
        <w:rPr>
          <w:color w:val="auto"/>
          <w:u w:val="single"/>
          <w:lang w:val="es-ES"/>
        </w:rPr>
      </w:pPr>
      <w:r w:rsidRPr="00AB40E2">
        <w:rPr>
          <w:color w:val="auto"/>
          <w:u w:val="single"/>
          <w:lang w:val="es-ES"/>
        </w:rPr>
        <w:t>Fístulas no-GI (ver sección</w:t>
      </w:r>
      <w:r w:rsidR="007C371C" w:rsidRPr="00D1096C">
        <w:rPr>
          <w:u w:val="single"/>
          <w:lang w:val="es-ES"/>
        </w:rPr>
        <w:t> </w:t>
      </w:r>
      <w:r w:rsidRPr="00AB40E2">
        <w:rPr>
          <w:color w:val="auto"/>
          <w:u w:val="single"/>
          <w:lang w:val="es-ES"/>
        </w:rPr>
        <w:t>4.8)</w:t>
      </w:r>
    </w:p>
    <w:p w14:paraId="4FE783A2" w14:textId="77777777" w:rsidR="00FB24C0" w:rsidRPr="00AB40E2" w:rsidRDefault="00FB24C0" w:rsidP="00FB24C0">
      <w:pPr>
        <w:keepNext/>
        <w:spacing w:after="0" w:line="240" w:lineRule="auto"/>
        <w:ind w:left="0" w:firstLine="0"/>
        <w:rPr>
          <w:color w:val="auto"/>
          <w:lang w:val="es-ES"/>
        </w:rPr>
      </w:pPr>
    </w:p>
    <w:p w14:paraId="7FB1B703" w14:textId="6A660C12" w:rsidR="00FB24C0" w:rsidRPr="00AB40E2" w:rsidRDefault="00FB24C0" w:rsidP="00FB24C0">
      <w:pPr>
        <w:spacing w:after="0" w:line="240" w:lineRule="auto"/>
        <w:ind w:left="0" w:firstLine="0"/>
        <w:rPr>
          <w:color w:val="auto"/>
          <w:lang w:val="es-ES"/>
        </w:rPr>
      </w:pPr>
      <w:r w:rsidRPr="00AB40E2">
        <w:rPr>
          <w:color w:val="auto"/>
          <w:lang w:val="es-ES"/>
        </w:rPr>
        <w:t xml:space="preserve">Los pacientes pueden tener un riesgo aumentado de desarrollar fístulas durante el tratamiento con </w:t>
      </w:r>
      <w:r w:rsidR="004C79A1">
        <w:rPr>
          <w:color w:val="auto"/>
          <w:lang w:val="es-ES"/>
        </w:rPr>
        <w:t>bevacizumab</w:t>
      </w:r>
      <w:r w:rsidRPr="00AB40E2">
        <w:rPr>
          <w:color w:val="auto"/>
          <w:lang w:val="es-ES"/>
        </w:rPr>
        <w:t>.</w:t>
      </w:r>
      <w:r w:rsidR="001F2C51">
        <w:rPr>
          <w:color w:val="auto"/>
          <w:lang w:val="es-ES"/>
        </w:rPr>
        <w:t xml:space="preserve"> </w:t>
      </w:r>
      <w:r w:rsidRPr="00AB40E2">
        <w:rPr>
          <w:color w:val="auto"/>
          <w:lang w:val="es-ES"/>
        </w:rPr>
        <w:t xml:space="preserve">En pacientes con fístula traqueoesofágica (TE) o con cualquier fístula de Grado 4 [(US </w:t>
      </w:r>
      <w:proofErr w:type="spellStart"/>
      <w:r w:rsidRPr="00AB40E2">
        <w:rPr>
          <w:color w:val="auto"/>
          <w:lang w:val="es-ES"/>
        </w:rPr>
        <w:t>National</w:t>
      </w:r>
      <w:proofErr w:type="spellEnd"/>
      <w:r w:rsidRPr="00AB40E2">
        <w:rPr>
          <w:color w:val="auto"/>
          <w:lang w:val="es-ES"/>
        </w:rPr>
        <w:t xml:space="preserve"> </w:t>
      </w:r>
      <w:proofErr w:type="spellStart"/>
      <w:r w:rsidRPr="00AB40E2">
        <w:rPr>
          <w:color w:val="auto"/>
          <w:lang w:val="es-ES"/>
        </w:rPr>
        <w:t>Cancer</w:t>
      </w:r>
      <w:proofErr w:type="spellEnd"/>
      <w:r w:rsidRPr="00AB40E2">
        <w:rPr>
          <w:color w:val="auto"/>
          <w:lang w:val="es-ES"/>
        </w:rPr>
        <w:t xml:space="preserve"> </w:t>
      </w:r>
      <w:proofErr w:type="spellStart"/>
      <w:r w:rsidRPr="00AB40E2">
        <w:rPr>
          <w:color w:val="auto"/>
          <w:lang w:val="es-ES"/>
        </w:rPr>
        <w:t>Institute-Common</w:t>
      </w:r>
      <w:proofErr w:type="spellEnd"/>
      <w:r w:rsidRPr="00AB40E2">
        <w:rPr>
          <w:color w:val="auto"/>
          <w:lang w:val="es-ES"/>
        </w:rPr>
        <w:t xml:space="preserve"> </w:t>
      </w:r>
      <w:proofErr w:type="spellStart"/>
      <w:r w:rsidRPr="00AB40E2">
        <w:rPr>
          <w:color w:val="auto"/>
          <w:lang w:val="es-ES"/>
        </w:rPr>
        <w:t>Terminology</w:t>
      </w:r>
      <w:proofErr w:type="spellEnd"/>
      <w:r w:rsidRPr="00AB40E2">
        <w:rPr>
          <w:color w:val="auto"/>
          <w:lang w:val="es-ES"/>
        </w:rPr>
        <w:t xml:space="preserve"> </w:t>
      </w:r>
      <w:proofErr w:type="spellStart"/>
      <w:r w:rsidRPr="00AB40E2">
        <w:rPr>
          <w:color w:val="auto"/>
          <w:lang w:val="es-ES"/>
        </w:rPr>
        <w:t>Criteria</w:t>
      </w:r>
      <w:proofErr w:type="spellEnd"/>
      <w:r w:rsidRPr="00AB40E2">
        <w:rPr>
          <w:color w:val="auto"/>
          <w:lang w:val="es-ES"/>
        </w:rPr>
        <w:t xml:space="preserve"> </w:t>
      </w:r>
      <w:proofErr w:type="spellStart"/>
      <w:r w:rsidRPr="00AB40E2">
        <w:rPr>
          <w:color w:val="auto"/>
          <w:lang w:val="es-ES"/>
        </w:rPr>
        <w:t>for</w:t>
      </w:r>
      <w:proofErr w:type="spellEnd"/>
      <w:r w:rsidRPr="00AB40E2">
        <w:rPr>
          <w:color w:val="auto"/>
          <w:lang w:val="es-ES"/>
        </w:rPr>
        <w:t xml:space="preserve"> Adverse </w:t>
      </w:r>
      <w:proofErr w:type="spellStart"/>
      <w:r w:rsidRPr="00AB40E2">
        <w:rPr>
          <w:color w:val="auto"/>
          <w:lang w:val="es-ES"/>
        </w:rPr>
        <w:t>Events</w:t>
      </w:r>
      <w:proofErr w:type="spellEnd"/>
      <w:r w:rsidRPr="00AB40E2">
        <w:rPr>
          <w:color w:val="auto"/>
          <w:lang w:val="es-ES"/>
        </w:rPr>
        <w:t xml:space="preserve"> </w:t>
      </w:r>
      <w:r w:rsidRPr="00E13F6C">
        <w:rPr>
          <w:color w:val="auto"/>
          <w:lang w:val="es-ES"/>
        </w:rPr>
        <w:t>(NCI-CTCAE v</w:t>
      </w:r>
      <w:r w:rsidR="00275010">
        <w:rPr>
          <w:color w:val="auto"/>
          <w:lang w:val="es-ES"/>
        </w:rPr>
        <w:t>.</w:t>
      </w:r>
      <w:r w:rsidRPr="00E13F6C">
        <w:rPr>
          <w:color w:val="auto"/>
          <w:lang w:val="es-ES"/>
        </w:rPr>
        <w:t xml:space="preserve"> 3)] se debe interrumpir permanentemente el tratamiento con </w:t>
      </w:r>
      <w:r w:rsidR="00AA71D6" w:rsidRPr="00E13F6C">
        <w:rPr>
          <w:rFonts w:eastAsia="Calibri"/>
          <w:lang w:val="es-ES"/>
        </w:rPr>
        <w:t>MVASI</w:t>
      </w:r>
      <w:r w:rsidRPr="00E13F6C">
        <w:rPr>
          <w:color w:val="auto"/>
          <w:lang w:val="es-ES"/>
        </w:rPr>
        <w:t>.</w:t>
      </w:r>
      <w:r w:rsidRPr="00E13F6C">
        <w:rPr>
          <w:rFonts w:eastAsia="Arial"/>
          <w:i/>
          <w:color w:val="auto"/>
          <w:lang w:val="es-ES"/>
        </w:rPr>
        <w:t xml:space="preserve"> </w:t>
      </w:r>
      <w:r w:rsidRPr="00E13F6C">
        <w:rPr>
          <w:color w:val="auto"/>
          <w:lang w:val="es-ES"/>
        </w:rPr>
        <w:t>Se disp</w:t>
      </w:r>
      <w:r w:rsidRPr="00AB40E2">
        <w:rPr>
          <w:color w:val="auto"/>
          <w:lang w:val="es-ES"/>
        </w:rPr>
        <w:t xml:space="preserve">one de información limitada acerca del uso continuado de </w:t>
      </w:r>
      <w:r w:rsidR="004C79A1">
        <w:rPr>
          <w:color w:val="auto"/>
          <w:lang w:val="es-ES"/>
        </w:rPr>
        <w:t>bevacizumab</w:t>
      </w:r>
      <w:r w:rsidR="004C79A1" w:rsidRPr="00AB40E2">
        <w:rPr>
          <w:color w:val="auto"/>
          <w:lang w:val="es-ES"/>
        </w:rPr>
        <w:t xml:space="preserve"> </w:t>
      </w:r>
      <w:r w:rsidRPr="00AB40E2">
        <w:rPr>
          <w:color w:val="auto"/>
          <w:lang w:val="es-ES"/>
        </w:rPr>
        <w:t xml:space="preserve">en pacientes con otro tipo de fístulas. En aquellos casos de fístula interna que no se presenten en el tracto gastrointestinal, se debe considerar la interrupción del tratamiento con </w:t>
      </w:r>
      <w:r w:rsidR="00AA71D6">
        <w:rPr>
          <w:rFonts w:eastAsia="Calibri"/>
          <w:lang w:val="es-ES"/>
        </w:rPr>
        <w:t>MVASI</w:t>
      </w:r>
      <w:r w:rsidRPr="00AB40E2">
        <w:rPr>
          <w:color w:val="auto"/>
          <w:lang w:val="es-ES"/>
        </w:rPr>
        <w:t>.</w:t>
      </w:r>
    </w:p>
    <w:p w14:paraId="5FC6F423" w14:textId="77777777" w:rsidR="00FB24C0" w:rsidRPr="00AB40E2" w:rsidRDefault="00FB24C0" w:rsidP="00FB24C0">
      <w:pPr>
        <w:spacing w:after="0" w:line="240" w:lineRule="auto"/>
        <w:ind w:left="0" w:firstLine="0"/>
        <w:rPr>
          <w:color w:val="auto"/>
          <w:lang w:val="es-ES"/>
        </w:rPr>
      </w:pPr>
    </w:p>
    <w:p w14:paraId="6E90BAE7" w14:textId="77777777" w:rsidR="00FB24C0" w:rsidRPr="00AB40E2" w:rsidRDefault="00FB24C0" w:rsidP="00FB24C0">
      <w:pPr>
        <w:keepNext/>
        <w:spacing w:after="0" w:line="240" w:lineRule="auto"/>
        <w:ind w:left="0" w:firstLine="0"/>
        <w:rPr>
          <w:color w:val="auto"/>
          <w:u w:val="single"/>
          <w:lang w:val="es-ES"/>
        </w:rPr>
      </w:pPr>
      <w:r w:rsidRPr="00AB40E2">
        <w:rPr>
          <w:color w:val="auto"/>
          <w:u w:val="single"/>
          <w:lang w:val="es-ES"/>
        </w:rPr>
        <w:t>Complicaciones en la cicatrización (ver sección 4.8)</w:t>
      </w:r>
    </w:p>
    <w:p w14:paraId="415F281A" w14:textId="77777777" w:rsidR="00FB24C0" w:rsidRPr="00AB40E2" w:rsidRDefault="00FB24C0" w:rsidP="00FB24C0">
      <w:pPr>
        <w:keepNext/>
        <w:spacing w:after="0" w:line="240" w:lineRule="auto"/>
        <w:ind w:left="0" w:firstLine="0"/>
        <w:rPr>
          <w:color w:val="auto"/>
          <w:lang w:val="es-ES"/>
        </w:rPr>
      </w:pPr>
    </w:p>
    <w:p w14:paraId="7A9254C5" w14:textId="77777777" w:rsidR="00FB24C0" w:rsidRPr="00AB40E2" w:rsidRDefault="004C79A1" w:rsidP="00FB24C0">
      <w:pPr>
        <w:spacing w:after="0" w:line="240" w:lineRule="auto"/>
        <w:ind w:left="0" w:firstLine="0"/>
        <w:rPr>
          <w:color w:val="auto"/>
          <w:lang w:val="es-ES"/>
        </w:rPr>
      </w:pPr>
      <w:r>
        <w:rPr>
          <w:color w:val="auto"/>
          <w:lang w:val="es-ES"/>
        </w:rPr>
        <w:t>Bevacizumab</w:t>
      </w:r>
      <w:r w:rsidRPr="00AB40E2">
        <w:rPr>
          <w:color w:val="auto"/>
          <w:lang w:val="es-ES"/>
        </w:rPr>
        <w:t xml:space="preserve"> </w:t>
      </w:r>
      <w:r w:rsidR="00FB24C0" w:rsidRPr="00AB40E2">
        <w:rPr>
          <w:color w:val="auto"/>
          <w:lang w:val="es-ES"/>
        </w:rPr>
        <w:t xml:space="preserve">puede influir negativamente en el proceso de cicatrización. Se han notificado complicaciones en la cicatrización de heridas graves incluyendo complicaciones anastomóticas, con un resultado mortal. No debe iniciarse la terapia al menos durante los 28 días siguientes a una intervención de cirugía mayor o hasta que la herida quirúrgica haya cicatrizado completamente. Se </w:t>
      </w:r>
      <w:r w:rsidR="00FB24C0" w:rsidRPr="00AB40E2">
        <w:rPr>
          <w:color w:val="auto"/>
          <w:lang w:val="es-ES"/>
        </w:rPr>
        <w:lastRenderedPageBreak/>
        <w:t>interrumpirá la administración en aquellos pacientes que presenten complicaciones de la cicatrización durante el tratamiento, hasta que la herida haya cicatrizado completamente. Debe aplazarse la terapia cuando se vayan a realizar intervenciones quirúrgicas programadas.</w:t>
      </w:r>
    </w:p>
    <w:p w14:paraId="5ACAF5E9" w14:textId="77777777" w:rsidR="00FB24C0" w:rsidRPr="00AB40E2" w:rsidRDefault="00FB24C0" w:rsidP="00FB24C0">
      <w:pPr>
        <w:spacing w:after="0" w:line="240" w:lineRule="auto"/>
        <w:ind w:left="0" w:firstLine="0"/>
        <w:rPr>
          <w:color w:val="auto"/>
          <w:lang w:val="es-ES"/>
        </w:rPr>
      </w:pPr>
    </w:p>
    <w:p w14:paraId="3748DEA9" w14:textId="77777777" w:rsidR="00FB24C0" w:rsidRPr="00AB40E2" w:rsidRDefault="00FB24C0" w:rsidP="00FB24C0">
      <w:pPr>
        <w:spacing w:after="0" w:line="240" w:lineRule="auto"/>
        <w:ind w:left="0" w:firstLine="0"/>
        <w:rPr>
          <w:color w:val="auto"/>
          <w:lang w:val="es-ES"/>
        </w:rPr>
      </w:pPr>
      <w:r w:rsidRPr="00AB40E2">
        <w:rPr>
          <w:color w:val="auto"/>
          <w:lang w:val="es-ES"/>
        </w:rPr>
        <w:t xml:space="preserve">Se ha notificado raramente fascitis necrosante, incluyendo casos mortales, en pacientes tratados con </w:t>
      </w:r>
      <w:r w:rsidR="004C79A1">
        <w:rPr>
          <w:color w:val="auto"/>
          <w:lang w:val="es-ES"/>
        </w:rPr>
        <w:t>bevacizumab</w:t>
      </w:r>
      <w:r w:rsidRPr="00AB40E2">
        <w:rPr>
          <w:color w:val="auto"/>
          <w:lang w:val="es-ES"/>
        </w:rPr>
        <w:t xml:space="preserve">. Esta enfermedad suele ser secundaria a las complicaciones en la cicatrización, perforación gastrointestinal o formación de fístula. Se debe interrumpir la administración de </w:t>
      </w:r>
      <w:r w:rsidR="00AA71D6">
        <w:rPr>
          <w:rFonts w:eastAsia="Calibri"/>
          <w:lang w:val="es-ES"/>
        </w:rPr>
        <w:t>MVASI</w:t>
      </w:r>
      <w:r w:rsidRPr="00AB40E2">
        <w:rPr>
          <w:color w:val="auto"/>
          <w:lang w:val="es-ES"/>
        </w:rPr>
        <w:t xml:space="preserve"> en aquellos pacientes que desarrollen fascitis necrosante, y se debe iniciar rápidamente un tratamiento adecuado.</w:t>
      </w:r>
    </w:p>
    <w:p w14:paraId="0192CC45" w14:textId="77777777" w:rsidR="00FB24C0" w:rsidRPr="00AB40E2" w:rsidRDefault="00FB24C0" w:rsidP="00FB24C0">
      <w:pPr>
        <w:spacing w:after="0" w:line="240" w:lineRule="auto"/>
        <w:ind w:left="0" w:firstLine="0"/>
        <w:rPr>
          <w:color w:val="auto"/>
          <w:lang w:val="es-ES"/>
        </w:rPr>
      </w:pPr>
    </w:p>
    <w:p w14:paraId="77B3227E" w14:textId="77777777" w:rsidR="00FB24C0" w:rsidRPr="00AB40E2" w:rsidRDefault="00FB24C0" w:rsidP="00FB24C0">
      <w:pPr>
        <w:keepNext/>
        <w:spacing w:after="0" w:line="240" w:lineRule="auto"/>
        <w:ind w:left="0" w:firstLine="0"/>
        <w:rPr>
          <w:color w:val="auto"/>
          <w:u w:val="single"/>
          <w:lang w:val="es-ES"/>
        </w:rPr>
      </w:pPr>
      <w:r w:rsidRPr="00AB40E2">
        <w:rPr>
          <w:color w:val="auto"/>
          <w:u w:val="single"/>
          <w:lang w:val="es-ES"/>
        </w:rPr>
        <w:t>Hipertensión (ver sección</w:t>
      </w:r>
      <w:r w:rsidR="007C371C" w:rsidRPr="00D1096C">
        <w:rPr>
          <w:u w:val="single"/>
          <w:lang w:val="es-ES"/>
        </w:rPr>
        <w:t> </w:t>
      </w:r>
      <w:r w:rsidRPr="00AB40E2">
        <w:rPr>
          <w:color w:val="auto"/>
          <w:u w:val="single"/>
          <w:lang w:val="es-ES"/>
        </w:rPr>
        <w:t>4.8)</w:t>
      </w:r>
    </w:p>
    <w:p w14:paraId="2E3F3B27" w14:textId="77777777" w:rsidR="00FB24C0" w:rsidRPr="00AB40E2" w:rsidRDefault="00FB24C0" w:rsidP="00FB24C0">
      <w:pPr>
        <w:keepNext/>
        <w:spacing w:after="0" w:line="240" w:lineRule="auto"/>
        <w:ind w:left="0" w:firstLine="0"/>
        <w:rPr>
          <w:color w:val="auto"/>
          <w:lang w:val="es-ES"/>
        </w:rPr>
      </w:pPr>
    </w:p>
    <w:p w14:paraId="4ACD2474" w14:textId="77777777" w:rsidR="00FB24C0" w:rsidRPr="00AB40E2" w:rsidRDefault="00FB24C0" w:rsidP="00FB24C0">
      <w:pPr>
        <w:spacing w:after="0" w:line="240" w:lineRule="auto"/>
        <w:ind w:left="0" w:firstLine="0"/>
        <w:rPr>
          <w:color w:val="auto"/>
          <w:lang w:val="es-ES"/>
        </w:rPr>
      </w:pPr>
      <w:r w:rsidRPr="00AB40E2">
        <w:rPr>
          <w:color w:val="auto"/>
          <w:lang w:val="es-ES"/>
        </w:rPr>
        <w:t xml:space="preserve">Se ha observado una mayor incidencia de hipertensión en pacientes tratados con </w:t>
      </w:r>
      <w:r w:rsidR="004C79A1">
        <w:rPr>
          <w:color w:val="auto"/>
          <w:lang w:val="es-ES"/>
        </w:rPr>
        <w:t>bevacizumab</w:t>
      </w:r>
      <w:r w:rsidRPr="00AB40E2">
        <w:rPr>
          <w:color w:val="auto"/>
          <w:lang w:val="es-ES"/>
        </w:rPr>
        <w:t xml:space="preserve">. Los datos de seguridad clínica sugieren que es probable que la incidencia de hipertensión sea dependiente de la dosis. Se debe controlar adecuadamente la hipertensión preexistente antes de comenzar el tratamiento con </w:t>
      </w:r>
      <w:r w:rsidR="00AA71D6">
        <w:rPr>
          <w:rFonts w:eastAsia="Calibri"/>
          <w:lang w:val="es-ES"/>
        </w:rPr>
        <w:t>MVASI</w:t>
      </w:r>
      <w:r w:rsidRPr="00AB40E2">
        <w:rPr>
          <w:color w:val="auto"/>
          <w:lang w:val="es-ES"/>
        </w:rPr>
        <w:t xml:space="preserve">. No existe información del efecto de </w:t>
      </w:r>
      <w:r w:rsidR="004C79A1">
        <w:rPr>
          <w:color w:val="auto"/>
          <w:lang w:val="es-ES"/>
        </w:rPr>
        <w:t>bevacizumab</w:t>
      </w:r>
      <w:r w:rsidR="004C79A1" w:rsidRPr="00AB40E2">
        <w:rPr>
          <w:color w:val="auto"/>
          <w:lang w:val="es-ES"/>
        </w:rPr>
        <w:t xml:space="preserve"> </w:t>
      </w:r>
      <w:r w:rsidRPr="00AB40E2">
        <w:rPr>
          <w:color w:val="auto"/>
          <w:lang w:val="es-ES"/>
        </w:rPr>
        <w:t>en pacientes con hipertensión no controlada al inicio de la terapia. Generalmente se recomienda monitorizar la tensión arterial durante la terapia.</w:t>
      </w:r>
    </w:p>
    <w:p w14:paraId="3AFC5573" w14:textId="77777777" w:rsidR="00FB24C0" w:rsidRPr="00AB40E2" w:rsidRDefault="00FB24C0" w:rsidP="00FB24C0">
      <w:pPr>
        <w:spacing w:after="0" w:line="240" w:lineRule="auto"/>
        <w:ind w:left="0" w:firstLine="0"/>
        <w:rPr>
          <w:color w:val="auto"/>
          <w:lang w:val="es-ES"/>
        </w:rPr>
      </w:pPr>
    </w:p>
    <w:p w14:paraId="7D66F869" w14:textId="77777777" w:rsidR="00FB24C0" w:rsidRPr="00AB40E2" w:rsidRDefault="00FB24C0" w:rsidP="00FB24C0">
      <w:pPr>
        <w:spacing w:after="0" w:line="240" w:lineRule="auto"/>
        <w:ind w:left="0" w:firstLine="0"/>
        <w:rPr>
          <w:color w:val="auto"/>
          <w:lang w:val="es-ES"/>
        </w:rPr>
      </w:pPr>
      <w:r w:rsidRPr="00AB40E2">
        <w:rPr>
          <w:color w:val="auto"/>
          <w:lang w:val="es-ES"/>
        </w:rPr>
        <w:t xml:space="preserve">En la mayoría de los casos, la hipertensión se controló satisfactoriamente utilizando el tratamiento antihipertensivo estándar adecuado para la situación individual del paciente afectado. En pacientes que reciban un tratamiento de quimioterapia basada en cisplatino no se aconseja la utilización de diuréticos para controlar la hipertensión. El tratamiento con </w:t>
      </w:r>
      <w:r w:rsidR="00AA71D6">
        <w:rPr>
          <w:rFonts w:eastAsia="Calibri"/>
          <w:lang w:val="es-ES"/>
        </w:rPr>
        <w:t>MVASI</w:t>
      </w:r>
      <w:r w:rsidRPr="00AB40E2">
        <w:rPr>
          <w:color w:val="auto"/>
          <w:lang w:val="es-ES"/>
        </w:rPr>
        <w:t xml:space="preserve"> debe interrumpirse de forma permanente si la hipertensión clínicamente significativa no se puede controlar adecuadamente con el tratamiento antihipertensivo, o si el paciente desarrolla </w:t>
      </w:r>
      <w:proofErr w:type="gramStart"/>
      <w:r w:rsidRPr="00AB40E2">
        <w:rPr>
          <w:color w:val="auto"/>
          <w:lang w:val="es-ES"/>
        </w:rPr>
        <w:t>crisis hipertensivas o encefalopatía hipertensiva</w:t>
      </w:r>
      <w:proofErr w:type="gramEnd"/>
      <w:r w:rsidRPr="00AB40E2">
        <w:rPr>
          <w:color w:val="auto"/>
          <w:lang w:val="es-ES"/>
        </w:rPr>
        <w:t>.</w:t>
      </w:r>
    </w:p>
    <w:p w14:paraId="7254D9F7" w14:textId="77777777" w:rsidR="00FB24C0" w:rsidRPr="00AB40E2" w:rsidRDefault="00FB24C0" w:rsidP="00FB24C0">
      <w:pPr>
        <w:spacing w:after="0" w:line="240" w:lineRule="auto"/>
        <w:ind w:left="0" w:firstLine="0"/>
        <w:rPr>
          <w:color w:val="auto"/>
          <w:lang w:val="es-ES"/>
        </w:rPr>
      </w:pPr>
    </w:p>
    <w:p w14:paraId="3C3AC274" w14:textId="55CFFBE0" w:rsidR="00FB24C0" w:rsidRPr="00AB40E2" w:rsidRDefault="00FB24C0" w:rsidP="00254CE1">
      <w:pPr>
        <w:keepNext/>
        <w:spacing w:after="0" w:line="240" w:lineRule="auto"/>
        <w:ind w:left="0" w:firstLine="0"/>
        <w:rPr>
          <w:color w:val="auto"/>
          <w:u w:val="single"/>
          <w:lang w:val="es-ES"/>
        </w:rPr>
      </w:pPr>
      <w:r w:rsidRPr="00AB40E2">
        <w:rPr>
          <w:color w:val="auto"/>
          <w:u w:val="single"/>
          <w:lang w:val="es-ES"/>
        </w:rPr>
        <w:t xml:space="preserve">Síndrome de </w:t>
      </w:r>
      <w:r w:rsidR="00254CE1">
        <w:rPr>
          <w:color w:val="auto"/>
          <w:u w:val="single"/>
          <w:lang w:val="es-ES"/>
        </w:rPr>
        <w:t>e</w:t>
      </w:r>
      <w:r w:rsidRPr="00AB40E2">
        <w:rPr>
          <w:color w:val="auto"/>
          <w:u w:val="single"/>
          <w:lang w:val="es-ES"/>
        </w:rPr>
        <w:t xml:space="preserve">ncefalopatía </w:t>
      </w:r>
      <w:r w:rsidR="00254CE1">
        <w:rPr>
          <w:color w:val="auto"/>
          <w:u w:val="single"/>
          <w:lang w:val="es-ES"/>
        </w:rPr>
        <w:t>r</w:t>
      </w:r>
      <w:r w:rsidRPr="00AB40E2">
        <w:rPr>
          <w:color w:val="auto"/>
          <w:u w:val="single"/>
          <w:lang w:val="es-ES"/>
        </w:rPr>
        <w:t xml:space="preserve">eversible </w:t>
      </w:r>
      <w:r w:rsidR="00254CE1">
        <w:rPr>
          <w:color w:val="auto"/>
          <w:u w:val="single"/>
          <w:lang w:val="es-ES"/>
        </w:rPr>
        <w:t>p</w:t>
      </w:r>
      <w:r w:rsidRPr="00AB40E2">
        <w:rPr>
          <w:color w:val="auto"/>
          <w:u w:val="single"/>
          <w:lang w:val="es-ES"/>
        </w:rPr>
        <w:t>osterior (SERP) (ver sección 4.8)</w:t>
      </w:r>
    </w:p>
    <w:p w14:paraId="3542C15F" w14:textId="77777777" w:rsidR="00C36DAD" w:rsidRPr="00AB40E2" w:rsidRDefault="00C36DAD" w:rsidP="00B43B7E">
      <w:pPr>
        <w:keepNext/>
        <w:spacing w:after="0" w:line="240" w:lineRule="auto"/>
        <w:ind w:left="0" w:firstLine="0"/>
        <w:rPr>
          <w:color w:val="auto"/>
          <w:lang w:val="es-ES"/>
        </w:rPr>
      </w:pPr>
    </w:p>
    <w:p w14:paraId="5D011C32" w14:textId="77777777" w:rsidR="00FB24C0" w:rsidRPr="00AB40E2" w:rsidRDefault="00FB24C0" w:rsidP="00FB24C0">
      <w:pPr>
        <w:spacing w:after="0" w:line="240" w:lineRule="auto"/>
        <w:ind w:left="0" w:firstLine="0"/>
        <w:rPr>
          <w:color w:val="auto"/>
          <w:lang w:val="es-ES"/>
        </w:rPr>
      </w:pPr>
      <w:r w:rsidRPr="00AB40E2">
        <w:rPr>
          <w:color w:val="auto"/>
          <w:lang w:val="es-ES"/>
        </w:rPr>
        <w:t xml:space="preserve">Se han notificado casos raros de pacientes tratados con </w:t>
      </w:r>
      <w:r w:rsidR="004E53BA">
        <w:rPr>
          <w:color w:val="auto"/>
          <w:lang w:val="es-ES"/>
        </w:rPr>
        <w:t>bevacizumab</w:t>
      </w:r>
      <w:r w:rsidR="004E53BA" w:rsidRPr="00AB40E2">
        <w:rPr>
          <w:color w:val="auto"/>
          <w:lang w:val="es-ES"/>
        </w:rPr>
        <w:t xml:space="preserve"> </w:t>
      </w:r>
      <w:r w:rsidRPr="00AB40E2">
        <w:rPr>
          <w:color w:val="auto"/>
          <w:lang w:val="es-ES"/>
        </w:rPr>
        <w:t xml:space="preserve">que han desarrollado signos y síntomas que concuerdan con el SERP, un trastorno neurológico raro que se puede presentar con los siguientes signos y síntomas, entre otros: convulsiones, cefalea, estado mental alterado, alteraciones visuales, o ceguera cortical, con o sin hipertensión asociada. Un diagnóstico del SERP requiere confirmación mediante técnicas de imagen cerebral, preferiblemente resonancia magnética (RM). En los pacientes que desarrollan SERP, está recomendado el tratamiento de los síntomas específicos incluyendo el control de la hipertensión, junto con la interrupción del tratamiento con </w:t>
      </w:r>
      <w:r w:rsidR="00AA71D6">
        <w:rPr>
          <w:rFonts w:eastAsia="Calibri"/>
          <w:lang w:val="es-ES"/>
        </w:rPr>
        <w:t>MVASI</w:t>
      </w:r>
      <w:r w:rsidRPr="00AB40E2">
        <w:rPr>
          <w:color w:val="auto"/>
          <w:lang w:val="es-ES"/>
        </w:rPr>
        <w:t xml:space="preserve">. No se conoce la seguridad de la reiniciación de la terapia con </w:t>
      </w:r>
      <w:r w:rsidR="004E53BA">
        <w:rPr>
          <w:color w:val="auto"/>
          <w:lang w:val="es-ES"/>
        </w:rPr>
        <w:t>bevacizumab</w:t>
      </w:r>
      <w:r w:rsidR="004E53BA" w:rsidRPr="00AB40E2">
        <w:rPr>
          <w:color w:val="auto"/>
          <w:lang w:val="es-ES"/>
        </w:rPr>
        <w:t xml:space="preserve"> </w:t>
      </w:r>
      <w:r w:rsidRPr="00AB40E2">
        <w:rPr>
          <w:color w:val="auto"/>
          <w:lang w:val="es-ES"/>
        </w:rPr>
        <w:t>en pacientes que hayan experimentado previamente el SERP.</w:t>
      </w:r>
    </w:p>
    <w:p w14:paraId="0EA39D55" w14:textId="77777777" w:rsidR="00FB24C0" w:rsidRPr="00AB40E2" w:rsidRDefault="00FB24C0" w:rsidP="00FB24C0">
      <w:pPr>
        <w:spacing w:after="0" w:line="240" w:lineRule="auto"/>
        <w:ind w:left="0" w:firstLine="0"/>
        <w:rPr>
          <w:i/>
          <w:color w:val="auto"/>
          <w:lang w:val="es-ES"/>
        </w:rPr>
      </w:pPr>
    </w:p>
    <w:p w14:paraId="35D78053" w14:textId="77777777" w:rsidR="00FB24C0" w:rsidRPr="00AB40E2" w:rsidRDefault="00FB24C0" w:rsidP="00B43B7E">
      <w:pPr>
        <w:keepNext/>
        <w:spacing w:after="0" w:line="240" w:lineRule="auto"/>
        <w:ind w:left="0" w:firstLine="0"/>
        <w:rPr>
          <w:color w:val="auto"/>
          <w:u w:val="single"/>
          <w:lang w:val="es-ES"/>
        </w:rPr>
      </w:pPr>
      <w:r w:rsidRPr="00AB40E2">
        <w:rPr>
          <w:color w:val="auto"/>
          <w:u w:val="single"/>
          <w:lang w:val="es-ES"/>
        </w:rPr>
        <w:t>Proteinuria (ver sección 4.8)</w:t>
      </w:r>
    </w:p>
    <w:p w14:paraId="2762BDB4" w14:textId="77777777" w:rsidR="00237E07" w:rsidRPr="00AB40E2" w:rsidRDefault="00237E07" w:rsidP="00B43B7E">
      <w:pPr>
        <w:keepNext/>
        <w:spacing w:after="0" w:line="240" w:lineRule="auto"/>
        <w:ind w:left="0" w:firstLine="0"/>
        <w:rPr>
          <w:color w:val="auto"/>
          <w:lang w:val="es-ES"/>
        </w:rPr>
      </w:pPr>
    </w:p>
    <w:p w14:paraId="12147C28" w14:textId="4B657CF0" w:rsidR="00FB24C0" w:rsidRPr="00AB40E2" w:rsidRDefault="00FB24C0" w:rsidP="00FB24C0">
      <w:pPr>
        <w:spacing w:after="0" w:line="240" w:lineRule="auto"/>
        <w:ind w:left="0" w:firstLine="0"/>
        <w:rPr>
          <w:color w:val="auto"/>
          <w:lang w:val="es-ES"/>
        </w:rPr>
      </w:pPr>
      <w:r w:rsidRPr="00AB40E2">
        <w:rPr>
          <w:color w:val="auto"/>
          <w:lang w:val="es-ES"/>
        </w:rPr>
        <w:t xml:space="preserve">Los pacientes con antecedentes de hipertensión pueden tener un mayor riesgo de proteinuria durante el tratamiento con </w:t>
      </w:r>
      <w:r w:rsidR="006C6674" w:rsidRPr="00D1096C">
        <w:rPr>
          <w:lang w:val="es-ES"/>
        </w:rPr>
        <w:t>bevacizumab</w:t>
      </w:r>
      <w:r w:rsidRPr="00AB40E2">
        <w:rPr>
          <w:color w:val="auto"/>
          <w:lang w:val="es-ES"/>
        </w:rPr>
        <w:t xml:space="preserve">. Existen datos que sugieren que la proteinuria de todos los grados (US </w:t>
      </w:r>
      <w:proofErr w:type="spellStart"/>
      <w:r w:rsidRPr="00AB40E2">
        <w:rPr>
          <w:color w:val="auto"/>
          <w:lang w:val="es-ES"/>
        </w:rPr>
        <w:t>National</w:t>
      </w:r>
      <w:proofErr w:type="spellEnd"/>
      <w:r w:rsidRPr="00AB40E2">
        <w:rPr>
          <w:color w:val="auto"/>
          <w:lang w:val="es-ES"/>
        </w:rPr>
        <w:t xml:space="preserve"> </w:t>
      </w:r>
      <w:proofErr w:type="spellStart"/>
      <w:r w:rsidRPr="00AB40E2">
        <w:rPr>
          <w:color w:val="auto"/>
          <w:lang w:val="es-ES"/>
        </w:rPr>
        <w:t>Cancer</w:t>
      </w:r>
      <w:proofErr w:type="spellEnd"/>
      <w:r w:rsidRPr="00AB40E2">
        <w:rPr>
          <w:color w:val="auto"/>
          <w:lang w:val="es-ES"/>
        </w:rPr>
        <w:t xml:space="preserve"> </w:t>
      </w:r>
      <w:proofErr w:type="spellStart"/>
      <w:r w:rsidRPr="00AB40E2">
        <w:rPr>
          <w:color w:val="auto"/>
          <w:lang w:val="es-ES"/>
        </w:rPr>
        <w:t>Institute-Common</w:t>
      </w:r>
      <w:proofErr w:type="spellEnd"/>
      <w:r w:rsidRPr="00AB40E2">
        <w:rPr>
          <w:color w:val="auto"/>
          <w:lang w:val="es-ES"/>
        </w:rPr>
        <w:t xml:space="preserve"> </w:t>
      </w:r>
      <w:proofErr w:type="spellStart"/>
      <w:r w:rsidRPr="00AB40E2">
        <w:rPr>
          <w:color w:val="auto"/>
          <w:lang w:val="es-ES"/>
        </w:rPr>
        <w:t>Terminology</w:t>
      </w:r>
      <w:proofErr w:type="spellEnd"/>
      <w:r w:rsidRPr="00AB40E2">
        <w:rPr>
          <w:color w:val="auto"/>
          <w:lang w:val="es-ES"/>
        </w:rPr>
        <w:t xml:space="preserve"> </w:t>
      </w:r>
      <w:proofErr w:type="spellStart"/>
      <w:r w:rsidRPr="00AB40E2">
        <w:rPr>
          <w:color w:val="auto"/>
          <w:lang w:val="es-ES"/>
        </w:rPr>
        <w:t>Criteria</w:t>
      </w:r>
      <w:proofErr w:type="spellEnd"/>
      <w:r w:rsidRPr="00AB40E2">
        <w:rPr>
          <w:color w:val="auto"/>
          <w:lang w:val="es-ES"/>
        </w:rPr>
        <w:t xml:space="preserve"> </w:t>
      </w:r>
      <w:proofErr w:type="spellStart"/>
      <w:r w:rsidRPr="00AB40E2">
        <w:rPr>
          <w:color w:val="auto"/>
          <w:lang w:val="es-ES"/>
        </w:rPr>
        <w:t>for</w:t>
      </w:r>
      <w:proofErr w:type="spellEnd"/>
      <w:r w:rsidRPr="00AB40E2">
        <w:rPr>
          <w:color w:val="auto"/>
          <w:lang w:val="es-ES"/>
        </w:rPr>
        <w:t xml:space="preserve"> Adverse </w:t>
      </w:r>
      <w:proofErr w:type="spellStart"/>
      <w:r w:rsidRPr="00AB40E2">
        <w:rPr>
          <w:color w:val="auto"/>
          <w:lang w:val="es-ES"/>
        </w:rPr>
        <w:t>Events</w:t>
      </w:r>
      <w:proofErr w:type="spellEnd"/>
      <w:r w:rsidRPr="00AB40E2">
        <w:rPr>
          <w:color w:val="auto"/>
          <w:lang w:val="es-ES"/>
        </w:rPr>
        <w:t xml:space="preserve"> [NCI-CTCAE v.3]) puede estar relacionada con la dosis. Se recomienda monitorizar la proteinuria mediante análisis de orina empleando tiras reactivas antes y durante la terapia. </w:t>
      </w:r>
      <w:r w:rsidR="0007490E" w:rsidRPr="0007490E">
        <w:rPr>
          <w:color w:val="auto"/>
          <w:lang w:val="es-ES"/>
        </w:rPr>
        <w:t>Se observó proteinuria de grado 4</w:t>
      </w:r>
      <w:r w:rsidR="00B675B7">
        <w:rPr>
          <w:color w:val="auto"/>
          <w:lang w:val="es-ES"/>
        </w:rPr>
        <w:t xml:space="preserve"> </w:t>
      </w:r>
      <w:r w:rsidR="00617D86" w:rsidRPr="00AB40E2">
        <w:rPr>
          <w:color w:val="auto"/>
          <w:lang w:val="es-ES"/>
        </w:rPr>
        <w:t xml:space="preserve">(síndrome nefrótico) </w:t>
      </w:r>
      <w:r w:rsidR="0007490E" w:rsidRPr="0007490E">
        <w:rPr>
          <w:color w:val="auto"/>
          <w:lang w:val="es-ES"/>
        </w:rPr>
        <w:t xml:space="preserve">hasta </w:t>
      </w:r>
      <w:r w:rsidR="00A83E7A">
        <w:rPr>
          <w:color w:val="auto"/>
          <w:lang w:val="es-ES"/>
        </w:rPr>
        <w:t xml:space="preserve">en </w:t>
      </w:r>
      <w:r w:rsidR="0007490E" w:rsidRPr="0007490E">
        <w:rPr>
          <w:color w:val="auto"/>
          <w:lang w:val="es-ES"/>
        </w:rPr>
        <w:t xml:space="preserve">un 1,4% </w:t>
      </w:r>
      <w:r w:rsidR="009D67E8">
        <w:rPr>
          <w:color w:val="auto"/>
          <w:lang w:val="es-ES"/>
        </w:rPr>
        <w:t>de</w:t>
      </w:r>
      <w:r w:rsidR="00855E2F">
        <w:rPr>
          <w:color w:val="auto"/>
          <w:lang w:val="es-ES"/>
        </w:rPr>
        <w:t xml:space="preserve"> los pacientes </w:t>
      </w:r>
      <w:r w:rsidR="0007490E" w:rsidRPr="0007490E">
        <w:rPr>
          <w:color w:val="auto"/>
          <w:lang w:val="es-ES"/>
        </w:rPr>
        <w:t xml:space="preserve">tratados con bevacizumab. </w:t>
      </w:r>
      <w:r w:rsidRPr="00AB40E2">
        <w:rPr>
          <w:color w:val="auto"/>
          <w:lang w:val="es-ES"/>
        </w:rPr>
        <w:t>Se debe interrumpir de forma permanente el tratamiento en pacientes que desarrollen síndrome nefrótico (NCI-CTCAE v.3).</w:t>
      </w:r>
    </w:p>
    <w:p w14:paraId="36EBD53C" w14:textId="77777777" w:rsidR="00FB24C0" w:rsidRPr="00AB40E2" w:rsidRDefault="00FB24C0" w:rsidP="00FB24C0">
      <w:pPr>
        <w:spacing w:after="0" w:line="240" w:lineRule="auto"/>
        <w:ind w:left="0" w:firstLine="0"/>
        <w:rPr>
          <w:color w:val="auto"/>
          <w:lang w:val="es-ES"/>
        </w:rPr>
      </w:pPr>
    </w:p>
    <w:p w14:paraId="10603C50" w14:textId="77777777" w:rsidR="00FB24C0" w:rsidRPr="00AB40E2" w:rsidRDefault="00FB24C0" w:rsidP="00B43B7E">
      <w:pPr>
        <w:keepNext/>
        <w:spacing w:after="0" w:line="240" w:lineRule="auto"/>
        <w:ind w:left="0" w:firstLine="0"/>
        <w:rPr>
          <w:color w:val="auto"/>
          <w:u w:val="single"/>
          <w:lang w:val="es-ES"/>
        </w:rPr>
      </w:pPr>
      <w:r w:rsidRPr="00AB40E2">
        <w:rPr>
          <w:color w:val="auto"/>
          <w:u w:val="single"/>
          <w:lang w:val="es-ES"/>
        </w:rPr>
        <w:t>Tromboembolismo arterial (ver sección 4.8)</w:t>
      </w:r>
    </w:p>
    <w:p w14:paraId="56F6708C" w14:textId="77777777" w:rsidR="00237E07" w:rsidRPr="00AB40E2" w:rsidRDefault="00237E07" w:rsidP="00B43B7E">
      <w:pPr>
        <w:keepNext/>
        <w:spacing w:after="0" w:line="240" w:lineRule="auto"/>
        <w:ind w:left="0" w:firstLine="0"/>
        <w:rPr>
          <w:color w:val="auto"/>
          <w:lang w:val="es-ES"/>
        </w:rPr>
      </w:pPr>
    </w:p>
    <w:p w14:paraId="4748A07F" w14:textId="77777777" w:rsidR="00FB24C0" w:rsidRPr="00AB40E2" w:rsidRDefault="00FB24C0" w:rsidP="00FB24C0">
      <w:pPr>
        <w:spacing w:after="0" w:line="240" w:lineRule="auto"/>
        <w:ind w:left="0" w:firstLine="0"/>
        <w:rPr>
          <w:color w:val="auto"/>
          <w:lang w:val="es-ES"/>
        </w:rPr>
      </w:pPr>
      <w:r w:rsidRPr="00AB40E2">
        <w:rPr>
          <w:color w:val="auto"/>
          <w:lang w:val="es-ES"/>
        </w:rPr>
        <w:t>En ensayos clínicos, la incidencia de reacciones de tromboembolismo arterial, incluyendo accidentes cerebrovasculares (</w:t>
      </w:r>
      <w:proofErr w:type="spellStart"/>
      <w:r w:rsidRPr="00AB40E2">
        <w:rPr>
          <w:color w:val="auto"/>
          <w:lang w:val="es-ES"/>
        </w:rPr>
        <w:t>ACVs</w:t>
      </w:r>
      <w:proofErr w:type="spellEnd"/>
      <w:r w:rsidRPr="00AB40E2">
        <w:rPr>
          <w:color w:val="auto"/>
          <w:lang w:val="es-ES"/>
        </w:rPr>
        <w:t>), ataques isquémicos transitorios (</w:t>
      </w:r>
      <w:proofErr w:type="spellStart"/>
      <w:r w:rsidRPr="00AB40E2">
        <w:rPr>
          <w:color w:val="auto"/>
          <w:lang w:val="es-ES"/>
        </w:rPr>
        <w:t>AITs</w:t>
      </w:r>
      <w:proofErr w:type="spellEnd"/>
      <w:r w:rsidRPr="00AB40E2">
        <w:rPr>
          <w:color w:val="auto"/>
          <w:lang w:val="es-ES"/>
        </w:rPr>
        <w:t>) e infartos de miocardio (</w:t>
      </w:r>
      <w:proofErr w:type="spellStart"/>
      <w:r w:rsidRPr="00AB40E2">
        <w:rPr>
          <w:color w:val="auto"/>
          <w:lang w:val="es-ES"/>
        </w:rPr>
        <w:t>IMs</w:t>
      </w:r>
      <w:proofErr w:type="spellEnd"/>
      <w:r w:rsidRPr="00AB40E2">
        <w:rPr>
          <w:color w:val="auto"/>
          <w:lang w:val="es-ES"/>
        </w:rPr>
        <w:t xml:space="preserve">), fue mayor en los pacientes que recibieron </w:t>
      </w:r>
      <w:r w:rsidR="006C6674" w:rsidRPr="00D1096C">
        <w:rPr>
          <w:lang w:val="es-ES"/>
        </w:rPr>
        <w:t>bevacizumab</w:t>
      </w:r>
      <w:r w:rsidRPr="00AB40E2">
        <w:rPr>
          <w:color w:val="auto"/>
          <w:lang w:val="es-ES"/>
        </w:rPr>
        <w:t xml:space="preserve"> en combinación con quimioterapia en comparación con aquellos que sólo recibieron quimioterapia.</w:t>
      </w:r>
    </w:p>
    <w:p w14:paraId="484208B8" w14:textId="77777777" w:rsidR="00FB24C0" w:rsidRPr="00AB40E2" w:rsidRDefault="00FB24C0" w:rsidP="00FB24C0">
      <w:pPr>
        <w:spacing w:after="0" w:line="240" w:lineRule="auto"/>
        <w:ind w:left="0" w:firstLine="0"/>
        <w:rPr>
          <w:color w:val="auto"/>
          <w:lang w:val="es-ES"/>
        </w:rPr>
      </w:pPr>
    </w:p>
    <w:p w14:paraId="285559DB" w14:textId="77777777" w:rsidR="00FB24C0" w:rsidRPr="00AB40E2" w:rsidRDefault="00FB24C0" w:rsidP="00FB24C0">
      <w:pPr>
        <w:spacing w:after="0" w:line="240" w:lineRule="auto"/>
        <w:ind w:left="0" w:firstLine="0"/>
        <w:rPr>
          <w:color w:val="auto"/>
          <w:lang w:val="es-ES"/>
        </w:rPr>
      </w:pPr>
      <w:r w:rsidRPr="00AB40E2">
        <w:rPr>
          <w:color w:val="auto"/>
          <w:lang w:val="es-ES"/>
        </w:rPr>
        <w:t xml:space="preserve">Los pacientes tratados con </w:t>
      </w:r>
      <w:r w:rsidR="006C6674" w:rsidRPr="00D1096C">
        <w:rPr>
          <w:lang w:val="es-ES"/>
        </w:rPr>
        <w:t>bevacizumab</w:t>
      </w:r>
      <w:r w:rsidRPr="00AB40E2">
        <w:rPr>
          <w:color w:val="auto"/>
          <w:lang w:val="es-ES"/>
        </w:rPr>
        <w:t xml:space="preserve"> junto con quimioterapia que tengan antecedentes de tromboembolismo arterial, diabetes o sean mayores de 65 años tienen un riesgo aumentado de sufrir </w:t>
      </w:r>
      <w:r w:rsidRPr="00AB40E2">
        <w:rPr>
          <w:color w:val="auto"/>
          <w:lang w:val="es-ES"/>
        </w:rPr>
        <w:lastRenderedPageBreak/>
        <w:t xml:space="preserve">reacciones tromboembólicas arteriales durante el tratamiento. Se debe tener precaución cuando se traten estos pacientes con </w:t>
      </w:r>
      <w:r w:rsidR="00AA71D6">
        <w:rPr>
          <w:lang w:val="es-ES"/>
        </w:rPr>
        <w:t>MVASI</w:t>
      </w:r>
      <w:r w:rsidRPr="00AB40E2">
        <w:rPr>
          <w:color w:val="auto"/>
          <w:lang w:val="es-ES"/>
        </w:rPr>
        <w:t>.</w:t>
      </w:r>
    </w:p>
    <w:p w14:paraId="6D64E652" w14:textId="77777777" w:rsidR="00FB24C0" w:rsidRPr="00AB40E2" w:rsidRDefault="00FB24C0" w:rsidP="00FB24C0">
      <w:pPr>
        <w:spacing w:after="0" w:line="240" w:lineRule="auto"/>
        <w:ind w:left="0" w:firstLine="0"/>
        <w:rPr>
          <w:color w:val="auto"/>
          <w:lang w:val="es-ES"/>
        </w:rPr>
      </w:pPr>
    </w:p>
    <w:p w14:paraId="52E4C7BB" w14:textId="77777777" w:rsidR="00FB24C0" w:rsidRPr="00AB40E2" w:rsidRDefault="00FB24C0" w:rsidP="00FB24C0">
      <w:pPr>
        <w:spacing w:after="0" w:line="240" w:lineRule="auto"/>
        <w:ind w:left="0" w:firstLine="0"/>
        <w:rPr>
          <w:color w:val="auto"/>
          <w:lang w:val="es-ES"/>
        </w:rPr>
      </w:pPr>
      <w:r w:rsidRPr="00AB40E2">
        <w:rPr>
          <w:color w:val="auto"/>
          <w:lang w:val="es-ES"/>
        </w:rPr>
        <w:t>Se debe interrumpir permanentemente el tratamiento en los pacientes que sufran reacciones tromboembólicas arteriales.</w:t>
      </w:r>
    </w:p>
    <w:p w14:paraId="2DCF3929" w14:textId="77777777" w:rsidR="00FB24C0" w:rsidRPr="00AB40E2" w:rsidRDefault="00FB24C0" w:rsidP="00FB24C0">
      <w:pPr>
        <w:spacing w:after="0" w:line="240" w:lineRule="auto"/>
        <w:ind w:left="0" w:firstLine="0"/>
        <w:rPr>
          <w:i/>
          <w:color w:val="auto"/>
          <w:lang w:val="es-ES"/>
        </w:rPr>
      </w:pPr>
    </w:p>
    <w:p w14:paraId="01D0A6C6" w14:textId="77777777" w:rsidR="00FB24C0" w:rsidRPr="007D3B2A" w:rsidRDefault="00FB24C0" w:rsidP="00B43B7E">
      <w:pPr>
        <w:keepNext/>
        <w:spacing w:after="0" w:line="240" w:lineRule="auto"/>
        <w:ind w:left="0" w:firstLine="0"/>
        <w:rPr>
          <w:color w:val="auto"/>
          <w:u w:val="single"/>
          <w:lang w:val="es-ES"/>
        </w:rPr>
      </w:pPr>
      <w:r w:rsidRPr="007D3B2A">
        <w:rPr>
          <w:color w:val="auto"/>
          <w:u w:val="single"/>
          <w:lang w:val="es-ES"/>
        </w:rPr>
        <w:t>Tromboembolismo venoso (ver sección 4.8)</w:t>
      </w:r>
    </w:p>
    <w:p w14:paraId="3C9ABB58" w14:textId="77777777" w:rsidR="00237E07" w:rsidRPr="007D3B2A" w:rsidRDefault="00237E07" w:rsidP="00B43B7E">
      <w:pPr>
        <w:keepNext/>
        <w:spacing w:after="0" w:line="240" w:lineRule="auto"/>
        <w:ind w:left="0" w:firstLine="0"/>
        <w:rPr>
          <w:color w:val="auto"/>
          <w:lang w:val="es-ES"/>
        </w:rPr>
      </w:pPr>
    </w:p>
    <w:p w14:paraId="1711E867" w14:textId="77777777" w:rsidR="00FB24C0" w:rsidRPr="007D3B2A" w:rsidRDefault="00FB24C0" w:rsidP="00FB24C0">
      <w:pPr>
        <w:spacing w:after="0" w:line="240" w:lineRule="auto"/>
        <w:ind w:left="0" w:firstLine="0"/>
        <w:rPr>
          <w:color w:val="auto"/>
          <w:lang w:val="es-ES"/>
        </w:rPr>
      </w:pPr>
      <w:r w:rsidRPr="007D3B2A">
        <w:rPr>
          <w:color w:val="auto"/>
          <w:lang w:val="es-ES"/>
        </w:rPr>
        <w:t xml:space="preserve">Los pacientes tratados con </w:t>
      </w:r>
      <w:r w:rsidR="006C6674" w:rsidRPr="001919A9">
        <w:rPr>
          <w:lang w:val="es-ES"/>
        </w:rPr>
        <w:t>bevacizumab</w:t>
      </w:r>
      <w:r w:rsidRPr="007D3B2A">
        <w:rPr>
          <w:color w:val="auto"/>
          <w:lang w:val="es-ES"/>
        </w:rPr>
        <w:t xml:space="preserve"> pueden tener un riesgo de sufrir reacciones tromboembólicas venosas, incluyendo embolismo pulmonar.</w:t>
      </w:r>
    </w:p>
    <w:p w14:paraId="250D8233" w14:textId="77777777" w:rsidR="00237E07" w:rsidRPr="007D3B2A" w:rsidRDefault="00237E07" w:rsidP="00FB24C0">
      <w:pPr>
        <w:spacing w:after="0" w:line="240" w:lineRule="auto"/>
        <w:ind w:left="0" w:firstLine="0"/>
        <w:rPr>
          <w:color w:val="auto"/>
          <w:lang w:val="es-ES"/>
        </w:rPr>
      </w:pPr>
    </w:p>
    <w:p w14:paraId="12489CA5" w14:textId="77777777" w:rsidR="00FB24C0" w:rsidRPr="007D3B2A" w:rsidRDefault="00FB24C0" w:rsidP="00FB24C0">
      <w:pPr>
        <w:spacing w:after="0" w:line="240" w:lineRule="auto"/>
        <w:ind w:left="0" w:firstLine="0"/>
        <w:rPr>
          <w:color w:val="auto"/>
          <w:lang w:val="es-ES"/>
        </w:rPr>
      </w:pPr>
      <w:r w:rsidRPr="007D3B2A">
        <w:rPr>
          <w:color w:val="auto"/>
          <w:lang w:val="es-ES"/>
        </w:rPr>
        <w:t xml:space="preserve">Los pacientes con cáncer de cérvix persistente, recurrente o metastásico tratados con </w:t>
      </w:r>
      <w:r w:rsidR="006C6674" w:rsidRPr="001919A9">
        <w:rPr>
          <w:lang w:val="es-ES"/>
        </w:rPr>
        <w:t>bevacizumab</w:t>
      </w:r>
      <w:r w:rsidR="006C6674">
        <w:rPr>
          <w:lang w:val="es-ES"/>
        </w:rPr>
        <w:t xml:space="preserve"> </w:t>
      </w:r>
      <w:r w:rsidRPr="007D3B2A">
        <w:rPr>
          <w:color w:val="auto"/>
          <w:lang w:val="es-ES"/>
        </w:rPr>
        <w:t xml:space="preserve">en combinación con </w:t>
      </w:r>
      <w:proofErr w:type="spellStart"/>
      <w:r w:rsidRPr="007D3B2A">
        <w:rPr>
          <w:color w:val="auto"/>
          <w:lang w:val="es-ES"/>
        </w:rPr>
        <w:t>paclitaxel</w:t>
      </w:r>
      <w:proofErr w:type="spellEnd"/>
      <w:r w:rsidRPr="007D3B2A">
        <w:rPr>
          <w:color w:val="auto"/>
          <w:lang w:val="es-ES"/>
        </w:rPr>
        <w:t xml:space="preserve"> y cisplatino pueden tener un mayor riesgo de acontecimientos tromboembólicos venosos.</w:t>
      </w:r>
    </w:p>
    <w:p w14:paraId="06AE2FAD" w14:textId="77777777" w:rsidR="00B43B7E" w:rsidRPr="007D3B2A" w:rsidRDefault="00B43B7E" w:rsidP="00FB24C0">
      <w:pPr>
        <w:spacing w:after="0" w:line="240" w:lineRule="auto"/>
        <w:ind w:left="0" w:firstLine="0"/>
        <w:rPr>
          <w:color w:val="auto"/>
          <w:lang w:val="es-ES"/>
        </w:rPr>
      </w:pPr>
    </w:p>
    <w:p w14:paraId="6367A922" w14:textId="77777777" w:rsidR="00FB24C0" w:rsidRPr="007D3B2A" w:rsidRDefault="00FB24C0" w:rsidP="00FB24C0">
      <w:pPr>
        <w:spacing w:after="0" w:line="240" w:lineRule="auto"/>
        <w:ind w:left="0" w:firstLine="0"/>
        <w:rPr>
          <w:color w:val="auto"/>
          <w:lang w:val="es-ES"/>
        </w:rPr>
      </w:pPr>
      <w:r w:rsidRPr="007D3B2A">
        <w:rPr>
          <w:color w:val="auto"/>
          <w:lang w:val="es-ES"/>
        </w:rPr>
        <w:t xml:space="preserve">El tratamiento con </w:t>
      </w:r>
      <w:r w:rsidR="00AA71D6">
        <w:rPr>
          <w:lang w:val="es-ES"/>
        </w:rPr>
        <w:t>MVASI</w:t>
      </w:r>
      <w:r w:rsidRPr="007D3B2A">
        <w:rPr>
          <w:color w:val="auto"/>
          <w:lang w:val="es-ES"/>
        </w:rPr>
        <w:t xml:space="preserve"> se debe interrumpir en pacientes con reacciones tromboembólicas que amenacen la vida (grado 4) incluyendo el embolismo pulmonar (NCI-CTCAE v.3). Los pacientes con reacciones tromboembólicas ≤</w:t>
      </w:r>
      <w:r w:rsidR="00CE4DA7">
        <w:rPr>
          <w:color w:val="auto"/>
          <w:lang w:val="es-ES"/>
        </w:rPr>
        <w:t> </w:t>
      </w:r>
      <w:r w:rsidRPr="007D3B2A">
        <w:rPr>
          <w:color w:val="auto"/>
          <w:lang w:val="es-ES"/>
        </w:rPr>
        <w:t>grado 3 requieren una monitorización rigurosa (NCI-CTCAE v.3).</w:t>
      </w:r>
    </w:p>
    <w:p w14:paraId="1AD05A6A" w14:textId="77777777" w:rsidR="00FB24C0" w:rsidRPr="007D3B2A" w:rsidRDefault="00FB24C0" w:rsidP="00FB24C0">
      <w:pPr>
        <w:spacing w:after="0" w:line="240" w:lineRule="auto"/>
        <w:ind w:left="0" w:firstLine="0"/>
        <w:rPr>
          <w:color w:val="auto"/>
          <w:lang w:val="es-ES"/>
        </w:rPr>
      </w:pPr>
    </w:p>
    <w:p w14:paraId="46295EE9" w14:textId="77777777" w:rsidR="00FB24C0" w:rsidRPr="007D3B2A" w:rsidRDefault="00FB24C0" w:rsidP="00B43B7E">
      <w:pPr>
        <w:keepNext/>
        <w:spacing w:after="0" w:line="240" w:lineRule="auto"/>
        <w:ind w:left="0" w:firstLine="0"/>
        <w:rPr>
          <w:color w:val="auto"/>
          <w:u w:val="single"/>
          <w:lang w:val="es-ES"/>
        </w:rPr>
      </w:pPr>
      <w:r w:rsidRPr="007D3B2A">
        <w:rPr>
          <w:color w:val="auto"/>
          <w:u w:val="single"/>
          <w:lang w:val="es-ES"/>
        </w:rPr>
        <w:t>Hemorragia</w:t>
      </w:r>
    </w:p>
    <w:p w14:paraId="3C2AF8A5" w14:textId="77777777" w:rsidR="00237E07" w:rsidRPr="007D3B2A" w:rsidRDefault="00237E07" w:rsidP="00B43B7E">
      <w:pPr>
        <w:keepNext/>
        <w:spacing w:after="0" w:line="240" w:lineRule="auto"/>
        <w:ind w:left="0" w:firstLine="0"/>
        <w:rPr>
          <w:color w:val="auto"/>
          <w:lang w:val="es-ES"/>
        </w:rPr>
      </w:pPr>
    </w:p>
    <w:p w14:paraId="5791B046" w14:textId="77777777" w:rsidR="00FB24C0" w:rsidRPr="007D3B2A" w:rsidRDefault="00FB24C0" w:rsidP="00FB24C0">
      <w:pPr>
        <w:spacing w:after="0" w:line="240" w:lineRule="auto"/>
        <w:ind w:left="0" w:firstLine="0"/>
        <w:rPr>
          <w:color w:val="auto"/>
          <w:lang w:val="es-ES"/>
        </w:rPr>
      </w:pPr>
      <w:r w:rsidRPr="007D3B2A">
        <w:rPr>
          <w:color w:val="auto"/>
          <w:lang w:val="es-ES"/>
        </w:rPr>
        <w:t xml:space="preserve">Los pacientes tratados con </w:t>
      </w:r>
      <w:r w:rsidR="006C6674">
        <w:rPr>
          <w:color w:val="auto"/>
          <w:lang w:val="es-ES"/>
        </w:rPr>
        <w:t>bevacizumab</w:t>
      </w:r>
      <w:r w:rsidR="006C6674" w:rsidRPr="007D3B2A">
        <w:rPr>
          <w:color w:val="auto"/>
          <w:lang w:val="es-ES"/>
        </w:rPr>
        <w:t xml:space="preserve"> </w:t>
      </w:r>
      <w:r w:rsidRPr="007D3B2A">
        <w:rPr>
          <w:color w:val="auto"/>
          <w:lang w:val="es-ES"/>
        </w:rPr>
        <w:t xml:space="preserve">tienen un mayor riesgo de hemorragia, especialmente hemorragia asociada al tumor. Se debe interrumpir permanentemente el tratamiento con </w:t>
      </w:r>
      <w:r w:rsidR="00AA71D6">
        <w:rPr>
          <w:lang w:val="es-ES"/>
        </w:rPr>
        <w:t>MVASI</w:t>
      </w:r>
      <w:r w:rsidRPr="007D3B2A">
        <w:rPr>
          <w:color w:val="auto"/>
          <w:lang w:val="es-ES"/>
        </w:rPr>
        <w:t xml:space="preserve"> en pacientes que desarrollen hemorragia de grado 3 </w:t>
      </w:r>
      <w:proofErr w:type="spellStart"/>
      <w:r w:rsidRPr="007D3B2A">
        <w:rPr>
          <w:color w:val="auto"/>
          <w:lang w:val="es-ES"/>
        </w:rPr>
        <w:t>ó</w:t>
      </w:r>
      <w:proofErr w:type="spellEnd"/>
      <w:r w:rsidRPr="007D3B2A">
        <w:rPr>
          <w:color w:val="auto"/>
          <w:lang w:val="es-ES"/>
        </w:rPr>
        <w:t xml:space="preserve"> 4 durante la terapia con </w:t>
      </w:r>
      <w:r w:rsidR="006C6674">
        <w:rPr>
          <w:color w:val="auto"/>
          <w:lang w:val="es-ES"/>
        </w:rPr>
        <w:t>bevacizumab</w:t>
      </w:r>
      <w:r w:rsidR="006C6674" w:rsidRPr="007D3B2A">
        <w:rPr>
          <w:color w:val="auto"/>
          <w:lang w:val="es-ES"/>
        </w:rPr>
        <w:t xml:space="preserve"> </w:t>
      </w:r>
      <w:r w:rsidR="00B43B7E" w:rsidRPr="007D3B2A">
        <w:rPr>
          <w:color w:val="auto"/>
          <w:lang w:val="es-ES"/>
        </w:rPr>
        <w:t>(NCI-CTCAE v.3) (ver sección </w:t>
      </w:r>
      <w:r w:rsidRPr="007D3B2A">
        <w:rPr>
          <w:color w:val="auto"/>
          <w:lang w:val="es-ES"/>
        </w:rPr>
        <w:t>4.8).</w:t>
      </w:r>
    </w:p>
    <w:p w14:paraId="0B246192" w14:textId="77777777" w:rsidR="00FB24C0" w:rsidRPr="007D3B2A" w:rsidRDefault="00FB24C0" w:rsidP="00FB24C0">
      <w:pPr>
        <w:spacing w:after="0" w:line="240" w:lineRule="auto"/>
        <w:ind w:left="0" w:firstLine="0"/>
        <w:rPr>
          <w:color w:val="auto"/>
          <w:lang w:val="es-ES"/>
        </w:rPr>
      </w:pPr>
    </w:p>
    <w:p w14:paraId="0DBFE659" w14:textId="3262F62E" w:rsidR="00FB24C0" w:rsidRPr="007D3B2A" w:rsidRDefault="00FB24C0" w:rsidP="00FB24C0">
      <w:pPr>
        <w:spacing w:after="0" w:line="240" w:lineRule="auto"/>
        <w:ind w:left="0" w:firstLine="0"/>
        <w:rPr>
          <w:color w:val="auto"/>
          <w:lang w:val="es-ES"/>
        </w:rPr>
      </w:pPr>
      <w:r w:rsidRPr="007D3B2A">
        <w:rPr>
          <w:color w:val="auto"/>
          <w:lang w:val="es-ES"/>
        </w:rPr>
        <w:t xml:space="preserve">En base a las técnicas de imagen o a los signos y síntomas, los pacientes con metástasis no tratadas localizadas en el </w:t>
      </w:r>
      <w:r w:rsidR="00254CE1">
        <w:rPr>
          <w:color w:val="auto"/>
          <w:lang w:val="es-ES"/>
        </w:rPr>
        <w:t>sistema nervioso central (</w:t>
      </w:r>
      <w:r w:rsidRPr="007D3B2A">
        <w:rPr>
          <w:color w:val="auto"/>
          <w:lang w:val="es-ES"/>
        </w:rPr>
        <w:t>SNC</w:t>
      </w:r>
      <w:r w:rsidR="00254CE1">
        <w:rPr>
          <w:color w:val="auto"/>
          <w:lang w:val="es-ES"/>
        </w:rPr>
        <w:t>)</w:t>
      </w:r>
      <w:r w:rsidRPr="007D3B2A">
        <w:rPr>
          <w:color w:val="auto"/>
          <w:lang w:val="es-ES"/>
        </w:rPr>
        <w:t xml:space="preserve"> fueron excluidos de los ensayos clínicos con </w:t>
      </w:r>
      <w:r w:rsidR="006C6674">
        <w:rPr>
          <w:color w:val="auto"/>
          <w:lang w:val="es-ES"/>
        </w:rPr>
        <w:t>bevacizumab</w:t>
      </w:r>
      <w:r w:rsidRPr="007D3B2A">
        <w:rPr>
          <w:color w:val="auto"/>
          <w:lang w:val="es-ES"/>
        </w:rPr>
        <w:t xml:space="preserve">. Por tanto, el riesgo de hemorragia en el SNC en tales pacientes no se ha evaluado de manera prospectiva en los ensayos clínicos aleatorizados (ver sección 4.8). Se deben monitorizar los pacientes con signos y síntomas de hemorragia en el SNC, y se debe interrumpir el tratamiento con </w:t>
      </w:r>
      <w:r w:rsidR="00AA71D6">
        <w:rPr>
          <w:lang w:val="es-ES"/>
        </w:rPr>
        <w:t>MVASI</w:t>
      </w:r>
      <w:r w:rsidRPr="007D3B2A">
        <w:rPr>
          <w:color w:val="auto"/>
          <w:lang w:val="es-ES"/>
        </w:rPr>
        <w:t xml:space="preserve"> en casos de hemorragia intracraneal.</w:t>
      </w:r>
    </w:p>
    <w:p w14:paraId="15F4A2AD" w14:textId="77777777" w:rsidR="00FB24C0" w:rsidRPr="007D3B2A" w:rsidRDefault="00FB24C0" w:rsidP="00FB24C0">
      <w:pPr>
        <w:spacing w:after="0" w:line="240" w:lineRule="auto"/>
        <w:ind w:left="0" w:firstLine="0"/>
        <w:rPr>
          <w:color w:val="auto"/>
          <w:lang w:val="es-ES"/>
        </w:rPr>
      </w:pPr>
    </w:p>
    <w:p w14:paraId="65117F1E" w14:textId="77777777" w:rsidR="00FB24C0" w:rsidRPr="007D3B2A" w:rsidRDefault="00FB24C0" w:rsidP="00FB24C0">
      <w:pPr>
        <w:spacing w:after="0" w:line="240" w:lineRule="auto"/>
        <w:ind w:left="0" w:firstLine="0"/>
        <w:rPr>
          <w:color w:val="auto"/>
          <w:lang w:val="es-ES"/>
        </w:rPr>
      </w:pPr>
      <w:r w:rsidRPr="007D3B2A">
        <w:rPr>
          <w:color w:val="auto"/>
          <w:lang w:val="es-ES"/>
        </w:rPr>
        <w:t xml:space="preserve">No existe información sobre el perfil de seguridad de </w:t>
      </w:r>
      <w:r w:rsidR="006C6674">
        <w:rPr>
          <w:color w:val="auto"/>
          <w:lang w:val="es-ES"/>
        </w:rPr>
        <w:t>bevacizumab</w:t>
      </w:r>
      <w:r w:rsidR="006C6674" w:rsidRPr="007D3B2A">
        <w:rPr>
          <w:color w:val="auto"/>
          <w:lang w:val="es-ES"/>
        </w:rPr>
        <w:t xml:space="preserve"> </w:t>
      </w:r>
      <w:r w:rsidRPr="007D3B2A">
        <w:rPr>
          <w:color w:val="auto"/>
          <w:lang w:val="es-ES"/>
        </w:rPr>
        <w:t xml:space="preserve">en pacientes con diátesis hemorrágica congénita, coagulopatía adquirida o en aquellos que estaban recibiendo dosis completas de anticoagulantes para el tratamiento del tromboembolismo antes del inicio de la terapia con </w:t>
      </w:r>
      <w:r w:rsidR="006C6674">
        <w:rPr>
          <w:color w:val="auto"/>
          <w:lang w:val="es-ES"/>
        </w:rPr>
        <w:t>bevacizumab</w:t>
      </w:r>
      <w:r w:rsidRPr="007D3B2A">
        <w:rPr>
          <w:color w:val="auto"/>
          <w:lang w:val="es-ES"/>
        </w:rPr>
        <w:t xml:space="preserve">, ya que estos pacientes fueron excluidos de los ensayos clínicos. Por lo tanto, se debe tener precaución antes de iniciar la terapia en estos pacientes. Sin embargo, los pacientes que desarrollaron trombosis venosa durante el tratamiento aparentemente no tuvieron una mayor incidencia de hemorragia de Grado 3 o superior cuando fueron tratados con dosis completas de </w:t>
      </w:r>
      <w:proofErr w:type="spellStart"/>
      <w:r w:rsidRPr="007D3B2A">
        <w:rPr>
          <w:color w:val="auto"/>
          <w:lang w:val="es-ES"/>
        </w:rPr>
        <w:t>warfarina</w:t>
      </w:r>
      <w:proofErr w:type="spellEnd"/>
      <w:r w:rsidRPr="007D3B2A">
        <w:rPr>
          <w:color w:val="auto"/>
          <w:lang w:val="es-ES"/>
        </w:rPr>
        <w:t xml:space="preserve"> concomitantemente con </w:t>
      </w:r>
      <w:r w:rsidR="006C6674">
        <w:rPr>
          <w:color w:val="auto"/>
          <w:lang w:val="es-ES"/>
        </w:rPr>
        <w:t>bevacizumab</w:t>
      </w:r>
      <w:r w:rsidRPr="007D3B2A">
        <w:rPr>
          <w:color w:val="auto"/>
          <w:lang w:val="es-ES"/>
        </w:rPr>
        <w:t xml:space="preserve"> (NCI-CTCAE v.3).</w:t>
      </w:r>
    </w:p>
    <w:p w14:paraId="6B468B8C" w14:textId="77777777" w:rsidR="00FB24C0" w:rsidRPr="007D3B2A" w:rsidRDefault="00FB24C0" w:rsidP="00FB24C0">
      <w:pPr>
        <w:spacing w:after="0" w:line="240" w:lineRule="auto"/>
        <w:ind w:left="0" w:firstLine="0"/>
        <w:rPr>
          <w:color w:val="auto"/>
          <w:lang w:val="es-ES"/>
        </w:rPr>
      </w:pPr>
    </w:p>
    <w:p w14:paraId="0C64580C" w14:textId="77777777" w:rsidR="00FB24C0" w:rsidRPr="007D3B2A" w:rsidRDefault="00FB24C0" w:rsidP="00B43B7E">
      <w:pPr>
        <w:keepNext/>
        <w:spacing w:after="0" w:line="240" w:lineRule="auto"/>
        <w:ind w:left="0" w:firstLine="0"/>
        <w:rPr>
          <w:color w:val="auto"/>
          <w:u w:val="single"/>
          <w:lang w:val="es-ES"/>
        </w:rPr>
      </w:pPr>
      <w:r w:rsidRPr="007D3B2A">
        <w:rPr>
          <w:color w:val="auto"/>
          <w:u w:val="single"/>
          <w:lang w:val="es-ES"/>
        </w:rPr>
        <w:t>Hemorragia pulmonar/hemoptisis</w:t>
      </w:r>
    </w:p>
    <w:p w14:paraId="00928447" w14:textId="77777777" w:rsidR="00237E07" w:rsidRPr="007D3B2A" w:rsidRDefault="00237E07" w:rsidP="00B43B7E">
      <w:pPr>
        <w:keepNext/>
        <w:spacing w:after="0" w:line="240" w:lineRule="auto"/>
        <w:ind w:left="0" w:firstLine="0"/>
        <w:rPr>
          <w:color w:val="auto"/>
          <w:lang w:val="es-ES"/>
        </w:rPr>
      </w:pPr>
    </w:p>
    <w:p w14:paraId="0FE948F3" w14:textId="77777777" w:rsidR="00FB24C0" w:rsidRPr="007D3B2A" w:rsidRDefault="00FB24C0" w:rsidP="00FB24C0">
      <w:pPr>
        <w:spacing w:after="0" w:line="240" w:lineRule="auto"/>
        <w:ind w:left="0" w:firstLine="0"/>
        <w:rPr>
          <w:color w:val="auto"/>
          <w:lang w:val="es-ES"/>
        </w:rPr>
      </w:pPr>
      <w:r w:rsidRPr="007D3B2A">
        <w:rPr>
          <w:color w:val="auto"/>
          <w:lang w:val="es-ES"/>
        </w:rPr>
        <w:t xml:space="preserve">Los pacientes con cáncer de pulmón no microcítico tratados con </w:t>
      </w:r>
      <w:r w:rsidR="006C6674">
        <w:rPr>
          <w:color w:val="auto"/>
          <w:lang w:val="es-ES"/>
        </w:rPr>
        <w:t>bevacizumab</w:t>
      </w:r>
      <w:r w:rsidR="006C6674" w:rsidRPr="007D3B2A" w:rsidDel="006C6674">
        <w:rPr>
          <w:color w:val="auto"/>
          <w:lang w:val="es-ES"/>
        </w:rPr>
        <w:t xml:space="preserve"> </w:t>
      </w:r>
      <w:r w:rsidRPr="007D3B2A">
        <w:rPr>
          <w:color w:val="auto"/>
          <w:lang w:val="es-ES"/>
        </w:rPr>
        <w:t>pueden tener riesgo de hemorragia pulmonar/hemoptisis grave, en algunos casos mortal. Los pacientes con hemorragia pulmonar/hemoptisis reciente (&gt;</w:t>
      </w:r>
      <w:r w:rsidR="00DB6D52">
        <w:rPr>
          <w:color w:val="auto"/>
          <w:lang w:val="es-ES"/>
        </w:rPr>
        <w:t> </w:t>
      </w:r>
      <w:r w:rsidRPr="007D3B2A">
        <w:rPr>
          <w:color w:val="auto"/>
          <w:lang w:val="es-ES"/>
        </w:rPr>
        <w:t xml:space="preserve">2,5 ml de sangre roja) no deben ser tratados con </w:t>
      </w:r>
      <w:r w:rsidR="006C6674">
        <w:rPr>
          <w:color w:val="auto"/>
          <w:lang w:val="es-ES"/>
        </w:rPr>
        <w:t>bevacizumab</w:t>
      </w:r>
      <w:r w:rsidRPr="007D3B2A">
        <w:rPr>
          <w:color w:val="auto"/>
          <w:lang w:val="es-ES"/>
        </w:rPr>
        <w:t>.</w:t>
      </w:r>
    </w:p>
    <w:p w14:paraId="03A04BC1" w14:textId="77777777" w:rsidR="00FB24C0" w:rsidRPr="007D3B2A" w:rsidRDefault="00FB24C0" w:rsidP="00FB24C0">
      <w:pPr>
        <w:spacing w:after="0" w:line="240" w:lineRule="auto"/>
        <w:ind w:left="0" w:firstLine="0"/>
        <w:rPr>
          <w:color w:val="auto"/>
          <w:lang w:val="es-ES"/>
        </w:rPr>
      </w:pPr>
    </w:p>
    <w:p w14:paraId="3786CFF1" w14:textId="77777777" w:rsidR="00FB24C0" w:rsidRPr="007D3B2A" w:rsidRDefault="00FB24C0" w:rsidP="00B43B7E">
      <w:pPr>
        <w:keepNext/>
        <w:spacing w:after="0" w:line="240" w:lineRule="auto"/>
        <w:ind w:left="0" w:firstLine="0"/>
        <w:rPr>
          <w:color w:val="auto"/>
          <w:u w:val="single"/>
          <w:lang w:val="es-ES"/>
        </w:rPr>
      </w:pPr>
      <w:r w:rsidRPr="007D3B2A">
        <w:rPr>
          <w:color w:val="auto"/>
          <w:u w:val="single"/>
          <w:lang w:val="es-ES"/>
        </w:rPr>
        <w:t>Insuficiencia cardíaca congestiva (ICC) (ver sección 4.8)</w:t>
      </w:r>
    </w:p>
    <w:p w14:paraId="49E421CF" w14:textId="77777777" w:rsidR="00F751E2" w:rsidRPr="007D3B2A" w:rsidRDefault="00F751E2" w:rsidP="00B43B7E">
      <w:pPr>
        <w:keepNext/>
        <w:spacing w:after="0" w:line="240" w:lineRule="auto"/>
        <w:ind w:left="0" w:firstLine="0"/>
        <w:rPr>
          <w:color w:val="auto"/>
          <w:lang w:val="es-ES"/>
        </w:rPr>
      </w:pPr>
    </w:p>
    <w:p w14:paraId="4FF1EED8" w14:textId="77777777" w:rsidR="00FB24C0" w:rsidRPr="007D3B2A" w:rsidRDefault="00FB24C0" w:rsidP="00FB24C0">
      <w:pPr>
        <w:spacing w:after="0" w:line="240" w:lineRule="auto"/>
        <w:ind w:left="0" w:firstLine="0"/>
        <w:rPr>
          <w:color w:val="auto"/>
          <w:lang w:val="es-ES"/>
        </w:rPr>
      </w:pPr>
      <w:r w:rsidRPr="007D3B2A">
        <w:rPr>
          <w:color w:val="auto"/>
          <w:lang w:val="es-ES"/>
        </w:rPr>
        <w:t xml:space="preserve">En los ensayos clínicos se notificaron reacciones relacionadas con ICC. Los acontecimientos oscilaron desde la disminución asintomática en la fracción de eyección del ventrículo izquierdo hasta la ICC sintomática, requiriendo tratamiento u hospitalización. Se debe tener precaución cuando se trate con </w:t>
      </w:r>
      <w:r w:rsidR="006C6674">
        <w:rPr>
          <w:color w:val="auto"/>
          <w:lang w:val="es-ES"/>
        </w:rPr>
        <w:t>bevacizumab</w:t>
      </w:r>
      <w:r w:rsidR="006C6674" w:rsidRPr="007D3B2A" w:rsidDel="006C6674">
        <w:rPr>
          <w:color w:val="auto"/>
          <w:lang w:val="es-ES"/>
        </w:rPr>
        <w:t xml:space="preserve"> </w:t>
      </w:r>
      <w:r w:rsidRPr="007D3B2A">
        <w:rPr>
          <w:color w:val="auto"/>
          <w:lang w:val="es-ES"/>
        </w:rPr>
        <w:t>a pacientes con enfermedad cardiovascular clínicamente significativa como por ejemplo enfermedad arterial coronaria preexistente, o insuficiencia cardíaca congestiva preexistente.</w:t>
      </w:r>
    </w:p>
    <w:p w14:paraId="0F64BCD9" w14:textId="77777777" w:rsidR="00FB24C0" w:rsidRPr="007D3B2A" w:rsidRDefault="00FB24C0" w:rsidP="00FB24C0">
      <w:pPr>
        <w:spacing w:after="0" w:line="240" w:lineRule="auto"/>
        <w:ind w:left="0" w:firstLine="0"/>
        <w:rPr>
          <w:color w:val="auto"/>
          <w:lang w:val="es-ES"/>
        </w:rPr>
      </w:pPr>
    </w:p>
    <w:p w14:paraId="26AD8549" w14:textId="77777777" w:rsidR="00FB24C0" w:rsidRPr="007D3B2A" w:rsidRDefault="00FB24C0" w:rsidP="00FB24C0">
      <w:pPr>
        <w:spacing w:after="0" w:line="240" w:lineRule="auto"/>
        <w:ind w:left="0" w:firstLine="0"/>
        <w:rPr>
          <w:color w:val="auto"/>
          <w:lang w:val="es-ES"/>
        </w:rPr>
      </w:pPr>
      <w:r w:rsidRPr="007D3B2A">
        <w:rPr>
          <w:color w:val="auto"/>
          <w:lang w:val="es-ES"/>
        </w:rPr>
        <w:lastRenderedPageBreak/>
        <w:t>La mayoría de los pacientes que desarrollaron ICC tenían cáncer de mama metastásico y habían recibido previamente tratamiento con antraciclinas, radioterapia sobre la pared torácica izquierda o tenían otros factores de riesgo para el desarrollo de ICC.</w:t>
      </w:r>
    </w:p>
    <w:p w14:paraId="69DEFAB0" w14:textId="77777777" w:rsidR="00FB24C0" w:rsidRPr="007D3B2A" w:rsidRDefault="00FB24C0" w:rsidP="00FB24C0">
      <w:pPr>
        <w:spacing w:after="0" w:line="240" w:lineRule="auto"/>
        <w:ind w:left="0" w:firstLine="0"/>
        <w:rPr>
          <w:color w:val="auto"/>
          <w:lang w:val="es-ES"/>
        </w:rPr>
      </w:pPr>
    </w:p>
    <w:p w14:paraId="2A44227B" w14:textId="77777777" w:rsidR="00FB24C0" w:rsidRPr="007D3B2A" w:rsidRDefault="00FB24C0" w:rsidP="00FB24C0">
      <w:pPr>
        <w:spacing w:after="0" w:line="240" w:lineRule="auto"/>
        <w:ind w:left="0" w:firstLine="0"/>
        <w:rPr>
          <w:color w:val="auto"/>
          <w:lang w:val="es-ES"/>
        </w:rPr>
      </w:pPr>
      <w:r w:rsidRPr="007D3B2A">
        <w:rPr>
          <w:color w:val="auto"/>
          <w:lang w:val="es-ES"/>
        </w:rPr>
        <w:t>En los pacientes del ensayo clínico AVF3694g que recibieron tratamiento con antraciclinas y que no habían recibido antraciclinas anteriormente, no se observó aumento en la incidencia de ICC de cualquier grado en el grupo tratado con antraciclina + bevacizumab en comparación con el grupo</w:t>
      </w:r>
      <w:r w:rsidRPr="00443040">
        <w:rPr>
          <w:color w:val="auto"/>
          <w:lang w:val="es-ES"/>
        </w:rPr>
        <w:t xml:space="preserve"> </w:t>
      </w:r>
      <w:r w:rsidRPr="007D3B2A">
        <w:rPr>
          <w:color w:val="auto"/>
          <w:lang w:val="es-ES"/>
        </w:rPr>
        <w:t>tratado solo con antraciclinas. Las reacciones de ICC de grado 3 o superiores fueron algo más frecuentes entre los pacientes tratados con bevacizumab en combinación con quimioterapia que en los pacientes tratados sólo con quimioterapia. Esto es concordante con los resultados en pacientes de otros ensayos en cáncer de mama metastásico que no recibieron tratamiento concomitante con antraciclinas (NCI-CTCAE v.3) (ver sección 4.8).</w:t>
      </w:r>
    </w:p>
    <w:p w14:paraId="12EB9BC8" w14:textId="77777777" w:rsidR="00FB24C0" w:rsidRPr="007D3B2A" w:rsidRDefault="00FB24C0" w:rsidP="00FB24C0">
      <w:pPr>
        <w:spacing w:after="0" w:line="240" w:lineRule="auto"/>
        <w:ind w:left="0" w:firstLine="0"/>
        <w:rPr>
          <w:color w:val="auto"/>
          <w:lang w:val="es-ES"/>
        </w:rPr>
      </w:pPr>
    </w:p>
    <w:p w14:paraId="73C40BFD" w14:textId="77777777" w:rsidR="00FB24C0" w:rsidRPr="007D3B2A" w:rsidRDefault="00FB24C0" w:rsidP="00B43B7E">
      <w:pPr>
        <w:keepNext/>
        <w:spacing w:after="0" w:line="240" w:lineRule="auto"/>
        <w:ind w:left="0" w:firstLine="0"/>
        <w:rPr>
          <w:color w:val="auto"/>
          <w:u w:val="single"/>
          <w:lang w:val="es-ES"/>
        </w:rPr>
      </w:pPr>
      <w:r w:rsidRPr="007D3B2A">
        <w:rPr>
          <w:color w:val="auto"/>
          <w:u w:val="single"/>
          <w:lang w:val="es-ES"/>
        </w:rPr>
        <w:t>Neutropenia e infecciones (ver sección 4.8)</w:t>
      </w:r>
    </w:p>
    <w:p w14:paraId="430CDBED" w14:textId="77777777" w:rsidR="00F751E2" w:rsidRPr="007D3B2A" w:rsidRDefault="00F751E2" w:rsidP="00B43B7E">
      <w:pPr>
        <w:keepNext/>
        <w:spacing w:after="0" w:line="240" w:lineRule="auto"/>
        <w:ind w:left="0" w:firstLine="0"/>
        <w:rPr>
          <w:color w:val="auto"/>
          <w:lang w:val="es-ES"/>
        </w:rPr>
      </w:pPr>
    </w:p>
    <w:p w14:paraId="5F5DE60B" w14:textId="42F20222" w:rsidR="00FB24C0" w:rsidRPr="007D3B2A" w:rsidRDefault="00FB24C0" w:rsidP="00FB24C0">
      <w:pPr>
        <w:spacing w:after="0" w:line="240" w:lineRule="auto"/>
        <w:ind w:left="0" w:firstLine="0"/>
        <w:rPr>
          <w:color w:val="auto"/>
          <w:lang w:val="es-ES"/>
        </w:rPr>
      </w:pPr>
      <w:r w:rsidRPr="007D3B2A">
        <w:rPr>
          <w:color w:val="auto"/>
          <w:lang w:val="es-ES"/>
        </w:rPr>
        <w:t>En pacientes tratados con algunos</w:t>
      </w:r>
      <w:r w:rsidR="007C6704">
        <w:rPr>
          <w:color w:val="auto"/>
          <w:lang w:val="es-ES"/>
        </w:rPr>
        <w:t xml:space="preserve"> tratamientos</w:t>
      </w:r>
      <w:r w:rsidRPr="007D3B2A">
        <w:rPr>
          <w:color w:val="auto"/>
          <w:lang w:val="es-ES"/>
        </w:rPr>
        <w:t xml:space="preserve"> de quimioterapia </w:t>
      </w:r>
      <w:proofErr w:type="spellStart"/>
      <w:r w:rsidRPr="007D3B2A">
        <w:rPr>
          <w:color w:val="auto"/>
          <w:lang w:val="es-ES"/>
        </w:rPr>
        <w:t>mielotóxica</w:t>
      </w:r>
      <w:proofErr w:type="spellEnd"/>
      <w:r w:rsidRPr="007D3B2A">
        <w:rPr>
          <w:color w:val="auto"/>
          <w:lang w:val="es-ES"/>
        </w:rPr>
        <w:t xml:space="preserve"> junto con </w:t>
      </w:r>
      <w:r w:rsidR="006C6674">
        <w:rPr>
          <w:color w:val="auto"/>
          <w:lang w:val="es-ES"/>
        </w:rPr>
        <w:t>bevacizumab</w:t>
      </w:r>
      <w:r w:rsidRPr="007D3B2A">
        <w:rPr>
          <w:color w:val="auto"/>
          <w:lang w:val="es-ES"/>
        </w:rPr>
        <w:t xml:space="preserve"> se ha observado un aumento de la incidencia de neutropenia grave, neutropenia febril o infección asociada o no a neutropenia grave (incluyendo casos mortales), en comparación con pacientes tratados sólo con quimioterapia. Esto se ha observado principalmente en tratamientos basados en la combinación con platino o </w:t>
      </w:r>
      <w:proofErr w:type="spellStart"/>
      <w:r w:rsidRPr="007D3B2A">
        <w:rPr>
          <w:color w:val="auto"/>
          <w:lang w:val="es-ES"/>
        </w:rPr>
        <w:t>taxanos</w:t>
      </w:r>
      <w:proofErr w:type="spellEnd"/>
      <w:r w:rsidRPr="007D3B2A">
        <w:rPr>
          <w:color w:val="auto"/>
          <w:lang w:val="es-ES"/>
        </w:rPr>
        <w:t xml:space="preserve"> en el tratamiento del CPNM, </w:t>
      </w:r>
      <w:proofErr w:type="spellStart"/>
      <w:r w:rsidRPr="007D3B2A">
        <w:rPr>
          <w:color w:val="auto"/>
          <w:lang w:val="es-ES"/>
        </w:rPr>
        <w:t>CMm</w:t>
      </w:r>
      <w:proofErr w:type="spellEnd"/>
      <w:r w:rsidRPr="007D3B2A">
        <w:rPr>
          <w:color w:val="auto"/>
          <w:lang w:val="es-ES"/>
        </w:rPr>
        <w:t xml:space="preserve">, y en combinación con </w:t>
      </w:r>
      <w:proofErr w:type="spellStart"/>
      <w:r w:rsidRPr="007D3B2A">
        <w:rPr>
          <w:color w:val="auto"/>
          <w:lang w:val="es-ES"/>
        </w:rPr>
        <w:t>paclitaxel</w:t>
      </w:r>
      <w:proofErr w:type="spellEnd"/>
      <w:r w:rsidRPr="007D3B2A">
        <w:rPr>
          <w:color w:val="auto"/>
          <w:lang w:val="es-ES"/>
        </w:rPr>
        <w:t xml:space="preserve"> y </w:t>
      </w:r>
      <w:proofErr w:type="spellStart"/>
      <w:r w:rsidRPr="007D3B2A">
        <w:rPr>
          <w:color w:val="auto"/>
          <w:lang w:val="es-ES"/>
        </w:rPr>
        <w:t>topotecán</w:t>
      </w:r>
      <w:proofErr w:type="spellEnd"/>
      <w:r w:rsidRPr="007D3B2A">
        <w:rPr>
          <w:color w:val="auto"/>
          <w:lang w:val="es-ES"/>
        </w:rPr>
        <w:t xml:space="preserve"> en cáncer de cérvix persistente, recurrente o metastásico.</w:t>
      </w:r>
    </w:p>
    <w:p w14:paraId="304F10C2" w14:textId="77777777" w:rsidR="00FB24C0" w:rsidRPr="007D3B2A" w:rsidRDefault="00FB24C0" w:rsidP="00FB24C0">
      <w:pPr>
        <w:spacing w:after="0" w:line="240" w:lineRule="auto"/>
        <w:ind w:left="0" w:firstLine="0"/>
        <w:rPr>
          <w:color w:val="auto"/>
          <w:lang w:val="es-ES"/>
        </w:rPr>
      </w:pPr>
    </w:p>
    <w:p w14:paraId="6442B75E" w14:textId="2E9AE207" w:rsidR="00FB24C0" w:rsidRPr="007D3B2A" w:rsidRDefault="00FB24C0" w:rsidP="00B43B7E">
      <w:pPr>
        <w:keepNext/>
        <w:spacing w:after="0" w:line="240" w:lineRule="auto"/>
        <w:ind w:left="0" w:firstLine="0"/>
        <w:rPr>
          <w:color w:val="auto"/>
          <w:u w:val="single"/>
          <w:lang w:val="es-ES"/>
        </w:rPr>
      </w:pPr>
      <w:r w:rsidRPr="007D3B2A">
        <w:rPr>
          <w:color w:val="auto"/>
          <w:u w:val="single"/>
          <w:lang w:val="es-ES"/>
        </w:rPr>
        <w:t xml:space="preserve">Reacciones de hipersensibilidad </w:t>
      </w:r>
      <w:r w:rsidR="00BE0ACF" w:rsidRPr="007C09D3">
        <w:rPr>
          <w:iCs/>
          <w:u w:val="single"/>
          <w:lang w:val="es-ES"/>
        </w:rPr>
        <w:t>(incluyendo shock anafiláctico)</w:t>
      </w:r>
      <w:r w:rsidR="00BE0ACF" w:rsidRPr="007C09D3">
        <w:rPr>
          <w:i/>
          <w:u w:val="single"/>
          <w:lang w:val="es-ES"/>
        </w:rPr>
        <w:t xml:space="preserve"> </w:t>
      </w:r>
      <w:r w:rsidRPr="007D3B2A">
        <w:rPr>
          <w:color w:val="auto"/>
          <w:u w:val="single"/>
          <w:lang w:val="es-ES"/>
        </w:rPr>
        <w:t>/ reacciones a la perfusión (ver sección 4.8)</w:t>
      </w:r>
    </w:p>
    <w:p w14:paraId="6E8189A1" w14:textId="77777777" w:rsidR="00F751E2" w:rsidRPr="007D3B2A" w:rsidRDefault="00F751E2" w:rsidP="00B43B7E">
      <w:pPr>
        <w:keepNext/>
        <w:spacing w:after="0" w:line="240" w:lineRule="auto"/>
        <w:ind w:left="0" w:firstLine="0"/>
        <w:rPr>
          <w:color w:val="auto"/>
          <w:lang w:val="es-ES"/>
        </w:rPr>
      </w:pPr>
    </w:p>
    <w:p w14:paraId="7A89E8AF" w14:textId="36BA8B37" w:rsidR="00FB24C0" w:rsidRPr="007D3B2A" w:rsidRDefault="00FB24C0" w:rsidP="00FB24C0">
      <w:pPr>
        <w:spacing w:after="0" w:line="240" w:lineRule="auto"/>
        <w:ind w:left="0" w:firstLine="0"/>
        <w:rPr>
          <w:color w:val="auto"/>
          <w:lang w:val="es-ES"/>
        </w:rPr>
      </w:pPr>
      <w:r w:rsidRPr="007D3B2A">
        <w:rPr>
          <w:color w:val="auto"/>
          <w:lang w:val="es-ES"/>
        </w:rPr>
        <w:t>Existe el riesgo de que los pacientes presenten reacciones a la perfusión o reacciones de hipersensibilidad</w:t>
      </w:r>
      <w:r w:rsidR="00BE0ACF">
        <w:rPr>
          <w:color w:val="auto"/>
          <w:lang w:val="es-ES"/>
        </w:rPr>
        <w:t xml:space="preserve"> </w:t>
      </w:r>
      <w:r w:rsidR="00BE0ACF">
        <w:rPr>
          <w:lang w:val="es-ES"/>
        </w:rPr>
        <w:t>(incluyendo shock anafiláctico)</w:t>
      </w:r>
      <w:r w:rsidRPr="007D3B2A">
        <w:rPr>
          <w:color w:val="auto"/>
          <w:lang w:val="es-ES"/>
        </w:rPr>
        <w:t>. Se recomienda una observación estrecha del paciente durante y después de la administración de bevacizumab, al igual que con cualquier otra perfusión de un anticuerpo monoclonal humanizado. Si apareciera una reacción, debe interrumpirse la perfusión y se deben administrar los tratamientos médicos adecuados. No se considera necesario administrar premedicación de forma sistemática.</w:t>
      </w:r>
    </w:p>
    <w:p w14:paraId="17B083E1" w14:textId="77777777" w:rsidR="00FB24C0" w:rsidRPr="007D3B2A" w:rsidRDefault="00FB24C0" w:rsidP="00FB24C0">
      <w:pPr>
        <w:spacing w:after="0" w:line="240" w:lineRule="auto"/>
        <w:ind w:left="0" w:firstLine="0"/>
        <w:rPr>
          <w:color w:val="auto"/>
          <w:lang w:val="es-ES"/>
        </w:rPr>
      </w:pPr>
    </w:p>
    <w:p w14:paraId="69BFFD6B" w14:textId="77777777" w:rsidR="00FB24C0" w:rsidRPr="007D3B2A" w:rsidRDefault="00FB24C0" w:rsidP="00B43B7E">
      <w:pPr>
        <w:keepNext/>
        <w:spacing w:after="0" w:line="240" w:lineRule="auto"/>
        <w:ind w:left="0" w:firstLine="0"/>
        <w:rPr>
          <w:color w:val="auto"/>
          <w:u w:val="single"/>
          <w:lang w:val="es-ES"/>
        </w:rPr>
      </w:pPr>
      <w:r w:rsidRPr="007D3B2A">
        <w:rPr>
          <w:color w:val="auto"/>
          <w:u w:val="single"/>
          <w:lang w:val="es-ES"/>
        </w:rPr>
        <w:t>Osteonecrosis del maxilar (ONM) (ver sección 4.8)</w:t>
      </w:r>
    </w:p>
    <w:p w14:paraId="0569D1EF" w14:textId="77777777" w:rsidR="00F751E2" w:rsidRPr="007D3B2A" w:rsidRDefault="00F751E2" w:rsidP="00B43B7E">
      <w:pPr>
        <w:keepNext/>
        <w:spacing w:after="0" w:line="240" w:lineRule="auto"/>
        <w:ind w:left="0" w:firstLine="0"/>
        <w:rPr>
          <w:color w:val="auto"/>
          <w:lang w:val="es-ES"/>
        </w:rPr>
      </w:pPr>
    </w:p>
    <w:p w14:paraId="47A76C0E" w14:textId="77777777" w:rsidR="00FB24C0" w:rsidRPr="007D3B2A" w:rsidRDefault="00FB24C0" w:rsidP="00FB24C0">
      <w:pPr>
        <w:spacing w:after="0" w:line="240" w:lineRule="auto"/>
        <w:ind w:left="0" w:firstLine="0"/>
        <w:rPr>
          <w:color w:val="auto"/>
          <w:lang w:val="es-ES"/>
        </w:rPr>
      </w:pPr>
      <w:r w:rsidRPr="007D3B2A">
        <w:rPr>
          <w:color w:val="auto"/>
          <w:lang w:val="es-ES"/>
        </w:rPr>
        <w:t xml:space="preserve">Se han notificado casos de ONM en pacientes oncológicos tratados con </w:t>
      </w:r>
      <w:r w:rsidR="00E47182">
        <w:rPr>
          <w:color w:val="auto"/>
          <w:lang w:val="es-ES"/>
        </w:rPr>
        <w:t>bevacizumab</w:t>
      </w:r>
      <w:r w:rsidRPr="007D3B2A">
        <w:rPr>
          <w:color w:val="auto"/>
          <w:lang w:val="es-ES"/>
        </w:rPr>
        <w:t>, la mayoría de los cuales habían recibido tratamiento previo o concomitante con bifosfonatos por vía intravenosa y en estos casos la ONM es un riesgo identificado.</w:t>
      </w:r>
      <w:r w:rsidR="00736679">
        <w:rPr>
          <w:color w:val="auto"/>
          <w:lang w:val="es-ES"/>
        </w:rPr>
        <w:t xml:space="preserve"> </w:t>
      </w:r>
      <w:r w:rsidRPr="007D3B2A">
        <w:rPr>
          <w:color w:val="auto"/>
          <w:lang w:val="es-ES"/>
        </w:rPr>
        <w:t xml:space="preserve">Se debe proceder con precaución cuando se administran simultánea o secuencialmente </w:t>
      </w:r>
      <w:r w:rsidR="00E47182">
        <w:rPr>
          <w:color w:val="auto"/>
          <w:lang w:val="es-ES"/>
        </w:rPr>
        <w:t>bevacizumab</w:t>
      </w:r>
      <w:r w:rsidRPr="007D3B2A">
        <w:rPr>
          <w:color w:val="auto"/>
          <w:lang w:val="es-ES"/>
        </w:rPr>
        <w:t xml:space="preserve"> y bifosfonatos por vía intravenosa.</w:t>
      </w:r>
    </w:p>
    <w:p w14:paraId="7CE931B2" w14:textId="77777777" w:rsidR="00B43B7E" w:rsidRPr="007D3B2A" w:rsidRDefault="00B43B7E" w:rsidP="00FB24C0">
      <w:pPr>
        <w:spacing w:after="0" w:line="240" w:lineRule="auto"/>
        <w:ind w:left="0" w:firstLine="0"/>
        <w:rPr>
          <w:color w:val="auto"/>
          <w:lang w:val="es-ES"/>
        </w:rPr>
      </w:pPr>
    </w:p>
    <w:p w14:paraId="192466FD" w14:textId="77777777" w:rsidR="00FB24C0" w:rsidRPr="007D3B2A" w:rsidRDefault="00FB24C0" w:rsidP="00FB24C0">
      <w:pPr>
        <w:spacing w:after="0" w:line="240" w:lineRule="auto"/>
        <w:ind w:left="0" w:firstLine="0"/>
        <w:rPr>
          <w:color w:val="auto"/>
          <w:lang w:val="es-ES"/>
        </w:rPr>
      </w:pPr>
      <w:r w:rsidRPr="007D3B2A">
        <w:rPr>
          <w:color w:val="auto"/>
          <w:lang w:val="es-ES"/>
        </w:rPr>
        <w:t xml:space="preserve">Los procesos dentales invasivos también están identificados como un factor de riesgo. Antes de comenzar el tratamiento con </w:t>
      </w:r>
      <w:r w:rsidR="00AA71D6">
        <w:rPr>
          <w:color w:val="auto"/>
          <w:lang w:val="es-ES"/>
        </w:rPr>
        <w:t>MVASI</w:t>
      </w:r>
      <w:r w:rsidR="00E47182" w:rsidRPr="007D3B2A">
        <w:rPr>
          <w:color w:val="auto"/>
          <w:lang w:val="es-ES"/>
        </w:rPr>
        <w:t xml:space="preserve"> </w:t>
      </w:r>
      <w:r w:rsidRPr="007D3B2A">
        <w:rPr>
          <w:color w:val="auto"/>
          <w:lang w:val="es-ES"/>
        </w:rPr>
        <w:t>se debe considerar llevar a cabo un examen dental y una apropiada odontología preventiva. En aquellos pacientes que hayan recibido previamente o que estén recibiendo bifosfonatos por vía intravenosa, se deben evitar los procesos dentales invasivos, siempre que sea posible.</w:t>
      </w:r>
    </w:p>
    <w:p w14:paraId="248FABFD" w14:textId="0CA86269" w:rsidR="00FB24C0" w:rsidRDefault="00FB24C0" w:rsidP="00FB24C0">
      <w:pPr>
        <w:spacing w:after="0" w:line="240" w:lineRule="auto"/>
        <w:ind w:left="0" w:firstLine="0"/>
        <w:rPr>
          <w:color w:val="auto"/>
          <w:lang w:val="es-ES"/>
        </w:rPr>
      </w:pPr>
    </w:p>
    <w:p w14:paraId="0B25EE93" w14:textId="46B03EFB" w:rsidR="001B74AB" w:rsidRPr="00C1448A" w:rsidRDefault="001B74AB" w:rsidP="00C1448A">
      <w:pPr>
        <w:keepNext/>
        <w:spacing w:after="0" w:line="240" w:lineRule="auto"/>
        <w:ind w:left="0" w:firstLine="0"/>
        <w:rPr>
          <w:color w:val="auto"/>
          <w:u w:val="single"/>
          <w:lang w:val="es-ES"/>
        </w:rPr>
      </w:pPr>
      <w:r w:rsidRPr="00C1448A">
        <w:rPr>
          <w:color w:val="auto"/>
          <w:u w:val="single"/>
          <w:lang w:val="es-ES"/>
        </w:rPr>
        <w:t>Aneurisma</w:t>
      </w:r>
      <w:r w:rsidR="00C53C2D">
        <w:rPr>
          <w:color w:val="auto"/>
          <w:u w:val="single"/>
          <w:lang w:val="es-ES"/>
        </w:rPr>
        <w:t>s</w:t>
      </w:r>
      <w:r w:rsidRPr="00C1448A">
        <w:rPr>
          <w:color w:val="auto"/>
          <w:u w:val="single"/>
          <w:lang w:val="es-ES"/>
        </w:rPr>
        <w:t xml:space="preserve"> y disecciones arteriales (ver sección 4.8)</w:t>
      </w:r>
    </w:p>
    <w:p w14:paraId="493E4136" w14:textId="77777777" w:rsidR="001B74AB" w:rsidRPr="00B63E3D" w:rsidRDefault="001B74AB" w:rsidP="001B74AB">
      <w:pPr>
        <w:spacing w:after="0" w:line="240" w:lineRule="auto"/>
        <w:ind w:left="0" w:firstLine="0"/>
        <w:rPr>
          <w:color w:val="auto"/>
          <w:lang w:val="es-ES"/>
        </w:rPr>
      </w:pPr>
    </w:p>
    <w:p w14:paraId="74589D37" w14:textId="7DD40181" w:rsidR="001B74AB" w:rsidRDefault="001B74AB" w:rsidP="001B74AB">
      <w:pPr>
        <w:spacing w:after="0" w:line="240" w:lineRule="auto"/>
        <w:ind w:left="0" w:firstLine="0"/>
        <w:rPr>
          <w:color w:val="auto"/>
          <w:lang w:val="es-ES"/>
        </w:rPr>
      </w:pPr>
      <w:r w:rsidRPr="00B63E3D">
        <w:rPr>
          <w:color w:val="auto"/>
          <w:lang w:val="es-ES"/>
        </w:rPr>
        <w:t xml:space="preserve">El uso de inhibidores de la vía VEGF en pacientes con o sin hipertensión puede promover la formación de aneurismas y/o disecciones arteriales. Antes de iniciar </w:t>
      </w:r>
      <w:r w:rsidR="00C52989">
        <w:rPr>
          <w:color w:val="auto"/>
          <w:lang w:val="es-ES"/>
        </w:rPr>
        <w:t>el tratamiento</w:t>
      </w:r>
      <w:r w:rsidRPr="00B63E3D">
        <w:rPr>
          <w:color w:val="auto"/>
          <w:lang w:val="es-ES"/>
        </w:rPr>
        <w:t xml:space="preserve"> </w:t>
      </w:r>
      <w:r w:rsidR="00C52989">
        <w:rPr>
          <w:color w:val="auto"/>
          <w:lang w:val="es-ES"/>
        </w:rPr>
        <w:t>con</w:t>
      </w:r>
      <w:r w:rsidRPr="00B63E3D">
        <w:rPr>
          <w:color w:val="auto"/>
          <w:lang w:val="es-ES"/>
        </w:rPr>
        <w:t xml:space="preserve"> </w:t>
      </w:r>
      <w:r>
        <w:rPr>
          <w:color w:val="auto"/>
          <w:lang w:val="es-ES"/>
        </w:rPr>
        <w:t>MVASI</w:t>
      </w:r>
      <w:r w:rsidRPr="00B63E3D">
        <w:rPr>
          <w:color w:val="auto"/>
          <w:lang w:val="es-ES"/>
        </w:rPr>
        <w:t>, este riesgo se debe evaluar de forma cuidadosa en pacientes con factores de riesgo como hipertensión o antecedentes de aneurisma.</w:t>
      </w:r>
    </w:p>
    <w:p w14:paraId="32D40739" w14:textId="77777777" w:rsidR="001B74AB" w:rsidRPr="007D3B2A" w:rsidRDefault="001B74AB" w:rsidP="00FB24C0">
      <w:pPr>
        <w:spacing w:after="0" w:line="240" w:lineRule="auto"/>
        <w:ind w:left="0" w:firstLine="0"/>
        <w:rPr>
          <w:color w:val="auto"/>
          <w:lang w:val="es-ES"/>
        </w:rPr>
      </w:pPr>
    </w:p>
    <w:p w14:paraId="36C5C59A" w14:textId="77777777" w:rsidR="00FB24C0" w:rsidRPr="007D3B2A" w:rsidRDefault="00FB24C0" w:rsidP="00B43B7E">
      <w:pPr>
        <w:keepNext/>
        <w:spacing w:after="0" w:line="240" w:lineRule="auto"/>
        <w:ind w:left="0" w:firstLine="0"/>
        <w:rPr>
          <w:color w:val="auto"/>
          <w:u w:val="single"/>
          <w:lang w:val="es-ES"/>
        </w:rPr>
      </w:pPr>
      <w:r w:rsidRPr="007D3B2A">
        <w:rPr>
          <w:color w:val="auto"/>
          <w:u w:val="single"/>
          <w:lang w:val="es-ES"/>
        </w:rPr>
        <w:t>Uso intravítreo</w:t>
      </w:r>
    </w:p>
    <w:p w14:paraId="5C3A83BA" w14:textId="77777777" w:rsidR="00F751E2" w:rsidRPr="007D3B2A" w:rsidRDefault="00F751E2" w:rsidP="00B43B7E">
      <w:pPr>
        <w:keepNext/>
        <w:spacing w:after="0" w:line="240" w:lineRule="auto"/>
        <w:ind w:left="0" w:firstLine="0"/>
        <w:rPr>
          <w:color w:val="auto"/>
          <w:lang w:val="es-ES"/>
        </w:rPr>
      </w:pPr>
    </w:p>
    <w:p w14:paraId="4BDC6E28" w14:textId="77777777" w:rsidR="00FB24C0" w:rsidRPr="007D3B2A" w:rsidRDefault="00FB24C0" w:rsidP="00FB24C0">
      <w:pPr>
        <w:spacing w:after="0" w:line="240" w:lineRule="auto"/>
        <w:ind w:left="0" w:firstLine="0"/>
        <w:rPr>
          <w:color w:val="auto"/>
          <w:lang w:val="es-ES"/>
        </w:rPr>
      </w:pPr>
      <w:r w:rsidRPr="007D3B2A">
        <w:rPr>
          <w:color w:val="auto"/>
          <w:lang w:val="es-ES"/>
        </w:rPr>
        <w:t xml:space="preserve">La formulación de </w:t>
      </w:r>
      <w:r w:rsidR="00AA71D6">
        <w:rPr>
          <w:color w:val="auto"/>
          <w:lang w:val="es-ES"/>
        </w:rPr>
        <w:t>MVASI</w:t>
      </w:r>
      <w:r w:rsidR="00E47182" w:rsidRPr="007D3B2A">
        <w:rPr>
          <w:color w:val="auto"/>
          <w:lang w:val="es-ES"/>
        </w:rPr>
        <w:t xml:space="preserve"> </w:t>
      </w:r>
      <w:r w:rsidRPr="007D3B2A">
        <w:rPr>
          <w:color w:val="auto"/>
          <w:lang w:val="es-ES"/>
        </w:rPr>
        <w:t>no se ha desarrollado para uso intravítreo.</w:t>
      </w:r>
    </w:p>
    <w:p w14:paraId="627ACA79" w14:textId="77777777" w:rsidR="00FB24C0" w:rsidRPr="007D3B2A" w:rsidRDefault="00FB24C0" w:rsidP="00FB24C0">
      <w:pPr>
        <w:spacing w:after="0" w:line="240" w:lineRule="auto"/>
        <w:ind w:left="0" w:firstLine="0"/>
        <w:rPr>
          <w:color w:val="auto"/>
          <w:lang w:val="es-ES"/>
        </w:rPr>
      </w:pPr>
    </w:p>
    <w:p w14:paraId="1BB66AE9" w14:textId="77777777" w:rsidR="00FB24C0" w:rsidRPr="007D3B2A" w:rsidRDefault="00FB24C0" w:rsidP="00B43B7E">
      <w:pPr>
        <w:keepNext/>
        <w:spacing w:after="0" w:line="240" w:lineRule="auto"/>
        <w:ind w:left="0" w:firstLine="0"/>
        <w:rPr>
          <w:color w:val="auto"/>
          <w:u w:val="single"/>
          <w:lang w:val="es-ES"/>
        </w:rPr>
      </w:pPr>
      <w:r w:rsidRPr="007D3B2A">
        <w:rPr>
          <w:color w:val="auto"/>
          <w:u w:val="single"/>
          <w:lang w:val="es-ES"/>
        </w:rPr>
        <w:lastRenderedPageBreak/>
        <w:t>Trastornos oculares</w:t>
      </w:r>
    </w:p>
    <w:p w14:paraId="40303626" w14:textId="77777777" w:rsidR="00F751E2" w:rsidRPr="007D3B2A" w:rsidRDefault="00F751E2" w:rsidP="00B43B7E">
      <w:pPr>
        <w:keepNext/>
        <w:spacing w:after="0" w:line="240" w:lineRule="auto"/>
        <w:ind w:left="0" w:firstLine="0"/>
        <w:rPr>
          <w:color w:val="auto"/>
          <w:u w:val="single"/>
          <w:lang w:val="es-ES"/>
        </w:rPr>
      </w:pPr>
    </w:p>
    <w:p w14:paraId="149A30EA" w14:textId="77777777" w:rsidR="00FB24C0" w:rsidRPr="007D3B2A" w:rsidRDefault="00FB24C0" w:rsidP="00FB24C0">
      <w:pPr>
        <w:spacing w:after="0" w:line="240" w:lineRule="auto"/>
        <w:ind w:left="0" w:firstLine="0"/>
        <w:rPr>
          <w:color w:val="auto"/>
          <w:lang w:val="es-ES"/>
        </w:rPr>
      </w:pPr>
      <w:r w:rsidRPr="007D3B2A">
        <w:rPr>
          <w:color w:val="auto"/>
          <w:lang w:val="es-ES"/>
        </w:rPr>
        <w:t xml:space="preserve">Se han notificado casos individuales y brotes de acontecimientos adversos oculares graves tras el uso intravítreo fuera de indicación de </w:t>
      </w:r>
      <w:r w:rsidR="00E47182">
        <w:rPr>
          <w:color w:val="auto"/>
          <w:lang w:val="es-ES"/>
        </w:rPr>
        <w:t>bevacizumab</w:t>
      </w:r>
      <w:r w:rsidRPr="007D3B2A">
        <w:rPr>
          <w:color w:val="auto"/>
          <w:lang w:val="es-ES"/>
        </w:rPr>
        <w:t xml:space="preserve"> formulado en viales aprobados para su administración intravenosa en pacientes con cáncer. Estas reacciones incluyeron </w:t>
      </w:r>
      <w:proofErr w:type="spellStart"/>
      <w:r w:rsidRPr="007D3B2A">
        <w:rPr>
          <w:color w:val="auto"/>
          <w:lang w:val="es-ES"/>
        </w:rPr>
        <w:t>endoftalmitis</w:t>
      </w:r>
      <w:proofErr w:type="spellEnd"/>
      <w:r w:rsidRPr="007D3B2A">
        <w:rPr>
          <w:color w:val="auto"/>
          <w:lang w:val="es-ES"/>
        </w:rPr>
        <w:t xml:space="preserve"> infecciosa, inflamación intraocular como </w:t>
      </w:r>
      <w:proofErr w:type="spellStart"/>
      <w:r w:rsidRPr="007D3B2A">
        <w:rPr>
          <w:color w:val="auto"/>
          <w:lang w:val="es-ES"/>
        </w:rPr>
        <w:t>endoftalmitis</w:t>
      </w:r>
      <w:proofErr w:type="spellEnd"/>
      <w:r w:rsidRPr="007D3B2A">
        <w:rPr>
          <w:color w:val="auto"/>
          <w:lang w:val="es-ES"/>
        </w:rPr>
        <w:t xml:space="preserve"> estéril, uveítis, y </w:t>
      </w:r>
      <w:proofErr w:type="spellStart"/>
      <w:r w:rsidRPr="007D3B2A">
        <w:rPr>
          <w:color w:val="auto"/>
          <w:lang w:val="es-ES"/>
        </w:rPr>
        <w:t>vitritis</w:t>
      </w:r>
      <w:proofErr w:type="spellEnd"/>
      <w:r w:rsidRPr="007D3B2A">
        <w:rPr>
          <w:color w:val="auto"/>
          <w:lang w:val="es-ES"/>
        </w:rPr>
        <w:t xml:space="preserve">, desprendimiento de retina, desgarro del epitelio </w:t>
      </w:r>
      <w:proofErr w:type="spellStart"/>
      <w:r w:rsidRPr="007D3B2A">
        <w:rPr>
          <w:color w:val="auto"/>
          <w:lang w:val="es-ES"/>
        </w:rPr>
        <w:t>pigmentoso</w:t>
      </w:r>
      <w:proofErr w:type="spellEnd"/>
      <w:r w:rsidRPr="007D3B2A">
        <w:rPr>
          <w:color w:val="auto"/>
          <w:lang w:val="es-ES"/>
        </w:rPr>
        <w:t xml:space="preserve"> de la retina, presión intraocular aumentada, hemorragia intraocular como hemorragia del vítreo o hemorragia retiniana y hemorragia conjuntival. Algunas de estas reacciones han conllevado a pérdida de visión en diferentes grados, incluyendo ceguera permanente.</w:t>
      </w:r>
    </w:p>
    <w:p w14:paraId="7A534411" w14:textId="77777777" w:rsidR="00FB24C0" w:rsidRPr="007D3B2A" w:rsidRDefault="00FB24C0" w:rsidP="00FB24C0">
      <w:pPr>
        <w:spacing w:after="0" w:line="240" w:lineRule="auto"/>
        <w:ind w:left="0" w:firstLine="0"/>
        <w:rPr>
          <w:color w:val="auto"/>
          <w:lang w:val="es-ES"/>
        </w:rPr>
      </w:pPr>
    </w:p>
    <w:p w14:paraId="67672FD1" w14:textId="77777777" w:rsidR="00FB24C0" w:rsidRPr="007D3B2A" w:rsidRDefault="00FB24C0" w:rsidP="00B43B7E">
      <w:pPr>
        <w:keepNext/>
        <w:spacing w:after="0" w:line="240" w:lineRule="auto"/>
        <w:ind w:left="0" w:firstLine="0"/>
        <w:rPr>
          <w:color w:val="auto"/>
          <w:u w:val="single"/>
          <w:lang w:val="es-ES"/>
        </w:rPr>
      </w:pPr>
      <w:r w:rsidRPr="007D3B2A">
        <w:rPr>
          <w:color w:val="auto"/>
          <w:u w:val="single"/>
          <w:lang w:val="es-ES"/>
        </w:rPr>
        <w:t>Efectos sistémicos tras uso intravítreo</w:t>
      </w:r>
    </w:p>
    <w:p w14:paraId="7CA257A3" w14:textId="77777777" w:rsidR="00F751E2" w:rsidRPr="007D3B2A" w:rsidRDefault="00F751E2" w:rsidP="00B43B7E">
      <w:pPr>
        <w:keepNext/>
        <w:spacing w:after="0" w:line="240" w:lineRule="auto"/>
        <w:ind w:left="0" w:firstLine="0"/>
        <w:rPr>
          <w:color w:val="auto"/>
          <w:lang w:val="es-ES"/>
        </w:rPr>
      </w:pPr>
    </w:p>
    <w:p w14:paraId="7B090BEF" w14:textId="77777777" w:rsidR="00FB24C0" w:rsidRPr="007D3B2A" w:rsidRDefault="00FB24C0" w:rsidP="00FB24C0">
      <w:pPr>
        <w:spacing w:after="0" w:line="240" w:lineRule="auto"/>
        <w:ind w:left="0" w:firstLine="0"/>
        <w:rPr>
          <w:color w:val="auto"/>
          <w:lang w:val="es-ES"/>
        </w:rPr>
      </w:pPr>
      <w:r w:rsidRPr="007D3B2A">
        <w:rPr>
          <w:color w:val="auto"/>
          <w:lang w:val="es-ES"/>
        </w:rPr>
        <w:t>Tras un tratamiento anti-VEGF intravítreo se ha demostrado una reducción de la concentración del VEGF circulante. Se han notificado reacciones adversas sistémicas incluyendo hemorragias no</w:t>
      </w:r>
      <w:r w:rsidRPr="00443040">
        <w:rPr>
          <w:color w:val="auto"/>
          <w:lang w:val="es-ES"/>
        </w:rPr>
        <w:t xml:space="preserve"> </w:t>
      </w:r>
      <w:r w:rsidRPr="007D3B2A">
        <w:rPr>
          <w:color w:val="auto"/>
          <w:lang w:val="es-ES"/>
        </w:rPr>
        <w:t>oculares y reacciones tromboembólicas arteriales seguidos de la administración intravítrea de inhibidores del VEGF.</w:t>
      </w:r>
    </w:p>
    <w:p w14:paraId="251BDC9E" w14:textId="77777777" w:rsidR="00FB24C0" w:rsidRPr="007D3B2A" w:rsidRDefault="00FB24C0" w:rsidP="00FB24C0">
      <w:pPr>
        <w:spacing w:after="0" w:line="240" w:lineRule="auto"/>
        <w:ind w:left="0" w:firstLine="0"/>
        <w:rPr>
          <w:color w:val="auto"/>
          <w:lang w:val="es-ES"/>
        </w:rPr>
      </w:pPr>
    </w:p>
    <w:p w14:paraId="38EB5890" w14:textId="77777777" w:rsidR="00FB24C0" w:rsidRPr="007D3B2A" w:rsidRDefault="00FB24C0" w:rsidP="00B43B7E">
      <w:pPr>
        <w:keepNext/>
        <w:spacing w:after="0" w:line="240" w:lineRule="auto"/>
        <w:ind w:left="0" w:firstLine="0"/>
        <w:rPr>
          <w:color w:val="auto"/>
          <w:u w:val="single"/>
          <w:lang w:val="es-ES"/>
        </w:rPr>
      </w:pPr>
      <w:r w:rsidRPr="007D3B2A">
        <w:rPr>
          <w:color w:val="auto"/>
          <w:u w:val="single"/>
          <w:lang w:val="es-ES"/>
        </w:rPr>
        <w:t>Insuficiencia ovárica/ fertilidad</w:t>
      </w:r>
    </w:p>
    <w:p w14:paraId="37B16ADF" w14:textId="77777777" w:rsidR="00F751E2" w:rsidRPr="007D3B2A" w:rsidRDefault="00F751E2" w:rsidP="00B43B7E">
      <w:pPr>
        <w:keepNext/>
        <w:spacing w:after="0" w:line="240" w:lineRule="auto"/>
        <w:ind w:left="0" w:firstLine="0"/>
        <w:rPr>
          <w:color w:val="auto"/>
          <w:u w:val="single"/>
          <w:lang w:val="es-ES"/>
        </w:rPr>
      </w:pPr>
    </w:p>
    <w:p w14:paraId="2C5DCFB2" w14:textId="77777777" w:rsidR="00FB24C0" w:rsidRPr="007D3B2A" w:rsidRDefault="00E47182" w:rsidP="00FB24C0">
      <w:pPr>
        <w:spacing w:after="0" w:line="240" w:lineRule="auto"/>
        <w:ind w:left="0" w:firstLine="0"/>
        <w:rPr>
          <w:color w:val="auto"/>
          <w:lang w:val="es-ES"/>
        </w:rPr>
      </w:pPr>
      <w:r>
        <w:rPr>
          <w:color w:val="auto"/>
          <w:lang w:val="es-ES"/>
        </w:rPr>
        <w:t>Bevacizumab</w:t>
      </w:r>
      <w:r w:rsidR="00FB24C0" w:rsidRPr="007D3B2A">
        <w:rPr>
          <w:color w:val="auto"/>
          <w:lang w:val="es-ES"/>
        </w:rPr>
        <w:t xml:space="preserve"> puede afectar a la fertilidad de la mujer (ver secciones 4.6 y 4.8). Por lo tanto, antes de comenzar el tratamiento con </w:t>
      </w:r>
      <w:r>
        <w:rPr>
          <w:color w:val="auto"/>
          <w:lang w:val="es-ES"/>
        </w:rPr>
        <w:t>bevacizumab</w:t>
      </w:r>
      <w:r w:rsidR="00FB24C0" w:rsidRPr="007D3B2A">
        <w:rPr>
          <w:color w:val="auto"/>
          <w:lang w:val="es-ES"/>
        </w:rPr>
        <w:t xml:space="preserve"> se debe consultar con las mujeres en edad fértil las estrategias para mantener la fertilidad.</w:t>
      </w:r>
    </w:p>
    <w:p w14:paraId="3DFD6309" w14:textId="77777777" w:rsidR="004915A6" w:rsidRDefault="004915A6" w:rsidP="004915A6">
      <w:pPr>
        <w:spacing w:after="0" w:line="240" w:lineRule="auto"/>
        <w:ind w:left="0" w:firstLine="0"/>
        <w:rPr>
          <w:color w:val="auto"/>
          <w:lang w:val="es-ES"/>
        </w:rPr>
      </w:pPr>
    </w:p>
    <w:p w14:paraId="3CCD2444" w14:textId="77777777" w:rsidR="004915A6" w:rsidRDefault="004915A6" w:rsidP="004915A6">
      <w:pPr>
        <w:keepNext/>
        <w:spacing w:after="0" w:line="240" w:lineRule="auto"/>
        <w:ind w:left="0" w:firstLine="0"/>
        <w:rPr>
          <w:color w:val="auto"/>
          <w:u w:val="single"/>
          <w:lang w:val="es-ES"/>
        </w:rPr>
      </w:pPr>
      <w:r>
        <w:rPr>
          <w:color w:val="auto"/>
          <w:u w:val="single"/>
          <w:lang w:val="es-ES"/>
        </w:rPr>
        <w:t>Contenido de sodio</w:t>
      </w:r>
    </w:p>
    <w:p w14:paraId="24F50FEF" w14:textId="77777777" w:rsidR="004915A6" w:rsidRDefault="004915A6" w:rsidP="004915A6">
      <w:pPr>
        <w:keepNext/>
        <w:spacing w:after="0" w:line="240" w:lineRule="auto"/>
        <w:ind w:left="0" w:firstLine="0"/>
        <w:rPr>
          <w:color w:val="auto"/>
          <w:lang w:val="es-ES"/>
        </w:rPr>
      </w:pPr>
    </w:p>
    <w:p w14:paraId="68710562" w14:textId="77777777" w:rsidR="004915A6" w:rsidRDefault="004915A6" w:rsidP="004915A6">
      <w:pPr>
        <w:keepNext/>
        <w:spacing w:after="0" w:line="240" w:lineRule="auto"/>
        <w:ind w:left="0" w:firstLine="0"/>
        <w:rPr>
          <w:i/>
          <w:color w:val="auto"/>
          <w:u w:val="single"/>
          <w:lang w:val="es-ES"/>
        </w:rPr>
      </w:pPr>
      <w:r>
        <w:rPr>
          <w:i/>
          <w:color w:val="auto"/>
          <w:u w:val="single"/>
          <w:lang w:val="es-ES"/>
        </w:rPr>
        <w:t>MVASI 25 mg/ml concentrado para solución para perfusión (4 ml)</w:t>
      </w:r>
    </w:p>
    <w:p w14:paraId="52E87E55" w14:textId="77777777" w:rsidR="004915A6" w:rsidRDefault="004915A6" w:rsidP="004915A6">
      <w:pPr>
        <w:keepNext/>
        <w:spacing w:after="0" w:line="240" w:lineRule="auto"/>
        <w:ind w:left="0" w:firstLine="0"/>
        <w:rPr>
          <w:color w:val="auto"/>
          <w:lang w:val="es-ES"/>
        </w:rPr>
      </w:pPr>
    </w:p>
    <w:p w14:paraId="3C4354C7" w14:textId="5DE931E8" w:rsidR="004915A6" w:rsidRDefault="004915A6" w:rsidP="004915A6">
      <w:pPr>
        <w:keepNext/>
        <w:spacing w:after="0" w:line="240" w:lineRule="auto"/>
        <w:ind w:left="0" w:firstLine="0"/>
        <w:rPr>
          <w:color w:val="auto"/>
          <w:lang w:val="es-ES"/>
        </w:rPr>
      </w:pPr>
      <w:r>
        <w:rPr>
          <w:color w:val="auto"/>
          <w:lang w:val="es-ES"/>
        </w:rPr>
        <w:t xml:space="preserve">Este medicamento contiene </w:t>
      </w:r>
      <w:r w:rsidR="003A3BC9">
        <w:rPr>
          <w:color w:val="auto"/>
          <w:lang w:val="es-ES"/>
        </w:rPr>
        <w:t>5,4</w:t>
      </w:r>
      <w:r>
        <w:rPr>
          <w:color w:val="auto"/>
          <w:lang w:val="es-ES"/>
        </w:rPr>
        <w:t> mg de sodio por vial de 4 ml equivalente a 0,</w:t>
      </w:r>
      <w:r w:rsidR="003A3BC9">
        <w:rPr>
          <w:color w:val="auto"/>
          <w:lang w:val="es-ES"/>
        </w:rPr>
        <w:t>3</w:t>
      </w:r>
      <w:r>
        <w:rPr>
          <w:color w:val="auto"/>
          <w:lang w:val="es-ES"/>
        </w:rPr>
        <w:t xml:space="preserve">% de la ingesta máxima diaria de 2 g de sodio recomendada por la OMS para un adulto. </w:t>
      </w:r>
    </w:p>
    <w:p w14:paraId="7E181E38" w14:textId="77777777" w:rsidR="004915A6" w:rsidRDefault="004915A6" w:rsidP="004915A6">
      <w:pPr>
        <w:spacing w:after="0" w:line="240" w:lineRule="auto"/>
        <w:ind w:left="0" w:firstLine="0"/>
        <w:rPr>
          <w:color w:val="auto"/>
          <w:lang w:val="es-ES"/>
        </w:rPr>
      </w:pPr>
    </w:p>
    <w:p w14:paraId="7E4C58EE" w14:textId="77777777" w:rsidR="004915A6" w:rsidRDefault="004915A6" w:rsidP="004915A6">
      <w:pPr>
        <w:keepNext/>
        <w:spacing w:after="0" w:line="240" w:lineRule="auto"/>
        <w:ind w:left="0" w:firstLine="0"/>
        <w:rPr>
          <w:i/>
          <w:color w:val="auto"/>
          <w:u w:val="single"/>
          <w:lang w:val="es-ES"/>
        </w:rPr>
      </w:pPr>
      <w:r>
        <w:rPr>
          <w:i/>
          <w:color w:val="auto"/>
          <w:u w:val="single"/>
          <w:lang w:val="es-ES"/>
        </w:rPr>
        <w:t>MVASI 25 mg/ml concentrado para solución para perfusión (16 ml)</w:t>
      </w:r>
    </w:p>
    <w:p w14:paraId="51FC95C6" w14:textId="77777777" w:rsidR="004915A6" w:rsidRDefault="004915A6" w:rsidP="004915A6">
      <w:pPr>
        <w:keepNext/>
        <w:spacing w:after="0" w:line="240" w:lineRule="auto"/>
        <w:ind w:left="0" w:firstLine="0"/>
        <w:rPr>
          <w:color w:val="auto"/>
          <w:lang w:val="es-ES"/>
        </w:rPr>
      </w:pPr>
    </w:p>
    <w:p w14:paraId="620ABBBF" w14:textId="0291C4DE" w:rsidR="004915A6" w:rsidRDefault="004915A6" w:rsidP="004915A6">
      <w:pPr>
        <w:keepNext/>
        <w:spacing w:after="0" w:line="240" w:lineRule="auto"/>
        <w:ind w:left="0" w:firstLine="0"/>
        <w:rPr>
          <w:color w:val="auto"/>
          <w:lang w:val="es-ES"/>
        </w:rPr>
      </w:pPr>
      <w:r>
        <w:rPr>
          <w:color w:val="auto"/>
          <w:lang w:val="es-ES"/>
        </w:rPr>
        <w:t xml:space="preserve">Este medicamento contiene </w:t>
      </w:r>
      <w:r w:rsidR="003A3BC9">
        <w:rPr>
          <w:color w:val="auto"/>
          <w:lang w:val="es-ES"/>
        </w:rPr>
        <w:t>21,7</w:t>
      </w:r>
      <w:r>
        <w:rPr>
          <w:color w:val="auto"/>
          <w:lang w:val="es-ES"/>
        </w:rPr>
        <w:t xml:space="preserve"> mg de sodio por vial de 16 ml equivalente a </w:t>
      </w:r>
      <w:r w:rsidR="003A3BC9">
        <w:rPr>
          <w:color w:val="auto"/>
          <w:lang w:val="es-ES"/>
        </w:rPr>
        <w:t>1,1</w:t>
      </w:r>
      <w:r>
        <w:rPr>
          <w:color w:val="auto"/>
          <w:lang w:val="es-ES"/>
        </w:rPr>
        <w:t xml:space="preserve">% de la ingesta máxima diaria de 2 g de sodio recomendada por la OMS para un adulto. </w:t>
      </w:r>
    </w:p>
    <w:p w14:paraId="25F59B9C" w14:textId="77777777" w:rsidR="00FB24C0" w:rsidRPr="007D3B2A" w:rsidRDefault="00FB24C0" w:rsidP="00FB24C0">
      <w:pPr>
        <w:spacing w:after="0" w:line="240" w:lineRule="auto"/>
        <w:ind w:left="0" w:firstLine="0"/>
        <w:rPr>
          <w:color w:val="auto"/>
          <w:lang w:val="es-ES"/>
        </w:rPr>
      </w:pPr>
    </w:p>
    <w:p w14:paraId="5A5F6F23" w14:textId="77777777" w:rsidR="00FB24C0" w:rsidRPr="00443040" w:rsidRDefault="00FB24C0" w:rsidP="00FB24C0">
      <w:pPr>
        <w:keepNext/>
        <w:spacing w:after="0" w:line="240" w:lineRule="auto"/>
        <w:ind w:left="567" w:hanging="567"/>
        <w:rPr>
          <w:b/>
          <w:color w:val="auto"/>
          <w:lang w:val="es-ES"/>
        </w:rPr>
      </w:pPr>
      <w:r w:rsidRPr="00443040">
        <w:rPr>
          <w:b/>
          <w:color w:val="auto"/>
          <w:lang w:val="es-ES"/>
        </w:rPr>
        <w:t>4.5</w:t>
      </w:r>
      <w:r w:rsidRPr="00443040">
        <w:rPr>
          <w:b/>
          <w:color w:val="auto"/>
          <w:lang w:val="es-ES"/>
        </w:rPr>
        <w:tab/>
        <w:t>Interacción con otros medicamentos y otras formas de interacción</w:t>
      </w:r>
    </w:p>
    <w:p w14:paraId="1A3765C9" w14:textId="77777777" w:rsidR="00FB24C0" w:rsidRPr="005161A1" w:rsidRDefault="00FB24C0" w:rsidP="00FB24C0">
      <w:pPr>
        <w:keepNext/>
        <w:spacing w:after="0" w:line="240" w:lineRule="auto"/>
        <w:ind w:left="0" w:firstLine="0"/>
        <w:rPr>
          <w:color w:val="auto"/>
          <w:lang w:val="es-ES"/>
        </w:rPr>
      </w:pPr>
    </w:p>
    <w:p w14:paraId="5A48A237" w14:textId="77777777" w:rsidR="00FB24C0" w:rsidRDefault="00FB24C0" w:rsidP="00B43B7E">
      <w:pPr>
        <w:keepNext/>
        <w:spacing w:after="0" w:line="240" w:lineRule="auto"/>
        <w:ind w:left="0" w:firstLine="0"/>
        <w:rPr>
          <w:color w:val="auto"/>
          <w:u w:val="single"/>
          <w:lang w:val="es-ES"/>
        </w:rPr>
      </w:pPr>
      <w:r w:rsidRPr="00F751E2">
        <w:rPr>
          <w:color w:val="auto"/>
          <w:u w:val="single"/>
          <w:lang w:val="es-ES"/>
        </w:rPr>
        <w:t>Efecto de agentes antineoplásicos en la farmacocinética de bevacizumab</w:t>
      </w:r>
    </w:p>
    <w:p w14:paraId="2F83FBC9" w14:textId="77777777" w:rsidR="00F751E2" w:rsidRPr="00F751E2" w:rsidRDefault="00F751E2" w:rsidP="00B43B7E">
      <w:pPr>
        <w:keepNext/>
        <w:spacing w:after="0" w:line="240" w:lineRule="auto"/>
        <w:ind w:left="0" w:firstLine="0"/>
        <w:rPr>
          <w:color w:val="auto"/>
          <w:lang w:val="es-ES"/>
        </w:rPr>
      </w:pPr>
    </w:p>
    <w:p w14:paraId="755F25C2" w14:textId="24C3CA72" w:rsidR="00FB24C0" w:rsidRPr="00443040" w:rsidRDefault="00FB24C0" w:rsidP="00FB24C0">
      <w:pPr>
        <w:spacing w:after="0" w:line="240" w:lineRule="auto"/>
        <w:ind w:left="0" w:firstLine="0"/>
        <w:rPr>
          <w:color w:val="auto"/>
          <w:lang w:val="es-ES"/>
        </w:rPr>
      </w:pPr>
      <w:r w:rsidRPr="00443040">
        <w:rPr>
          <w:color w:val="auto"/>
          <w:lang w:val="es-ES"/>
        </w:rPr>
        <w:t xml:space="preserve">No se observaron interacciones clínicamente relevantes en la farmacocinética de bevacizumab con la administración concomitante de quimioterapia según los resultados del análisis farmacocinético poblacional. En los pacientes tratados con </w:t>
      </w:r>
      <w:r w:rsidR="00E47182">
        <w:rPr>
          <w:color w:val="auto"/>
          <w:lang w:val="es-ES"/>
        </w:rPr>
        <w:t>bevacizumab</w:t>
      </w:r>
      <w:r w:rsidRPr="00443040">
        <w:rPr>
          <w:color w:val="auto"/>
          <w:lang w:val="es-ES"/>
        </w:rPr>
        <w:t xml:space="preserve"> en monoterapia no hubo diferencias estadísticamente significativas ni clínicamente relevantes en el aclaramiento de bevacizumab en comparación con los pacientes tratados con </w:t>
      </w:r>
      <w:r w:rsidR="00E47182">
        <w:rPr>
          <w:color w:val="auto"/>
          <w:lang w:val="es-ES"/>
        </w:rPr>
        <w:t>bevacizumab</w:t>
      </w:r>
      <w:r w:rsidRPr="00443040">
        <w:rPr>
          <w:color w:val="auto"/>
          <w:lang w:val="es-ES"/>
        </w:rPr>
        <w:t xml:space="preserve"> en combinación con interferón alfa</w:t>
      </w:r>
      <w:r w:rsidR="00445D58">
        <w:rPr>
          <w:color w:val="auto"/>
          <w:lang w:val="es-ES"/>
        </w:rPr>
        <w:t>-</w:t>
      </w:r>
      <w:r w:rsidRPr="00443040">
        <w:rPr>
          <w:color w:val="auto"/>
          <w:lang w:val="es-ES"/>
        </w:rPr>
        <w:t xml:space="preserve">2a, </w:t>
      </w:r>
      <w:proofErr w:type="spellStart"/>
      <w:r w:rsidRPr="00443040">
        <w:rPr>
          <w:color w:val="auto"/>
          <w:lang w:val="es-ES"/>
        </w:rPr>
        <w:t>erlotinib</w:t>
      </w:r>
      <w:proofErr w:type="spellEnd"/>
      <w:r w:rsidRPr="00443040">
        <w:rPr>
          <w:color w:val="auto"/>
          <w:lang w:val="es-ES"/>
        </w:rPr>
        <w:t xml:space="preserve"> o quimioterapias (IFL, 5-FU/LV, carboplatino/</w:t>
      </w:r>
      <w:proofErr w:type="spellStart"/>
      <w:r w:rsidRPr="00443040">
        <w:rPr>
          <w:color w:val="auto"/>
          <w:lang w:val="es-ES"/>
        </w:rPr>
        <w:t>paclitaxel</w:t>
      </w:r>
      <w:proofErr w:type="spellEnd"/>
      <w:r w:rsidRPr="00443040">
        <w:rPr>
          <w:color w:val="auto"/>
          <w:lang w:val="es-ES"/>
        </w:rPr>
        <w:t xml:space="preserve">, </w:t>
      </w:r>
      <w:proofErr w:type="spellStart"/>
      <w:r w:rsidRPr="00443040">
        <w:rPr>
          <w:color w:val="auto"/>
          <w:lang w:val="es-ES"/>
        </w:rPr>
        <w:t>capecitabina</w:t>
      </w:r>
      <w:proofErr w:type="spellEnd"/>
      <w:r w:rsidRPr="00443040">
        <w:rPr>
          <w:color w:val="auto"/>
          <w:lang w:val="es-ES"/>
        </w:rPr>
        <w:t>, doxorrubicina o cisplatino/</w:t>
      </w:r>
      <w:proofErr w:type="spellStart"/>
      <w:r w:rsidRPr="00443040">
        <w:rPr>
          <w:color w:val="auto"/>
          <w:lang w:val="es-ES"/>
        </w:rPr>
        <w:t>gemcitabina</w:t>
      </w:r>
      <w:proofErr w:type="spellEnd"/>
      <w:r w:rsidRPr="00443040">
        <w:rPr>
          <w:color w:val="auto"/>
          <w:lang w:val="es-ES"/>
        </w:rPr>
        <w:t>).</w:t>
      </w:r>
    </w:p>
    <w:p w14:paraId="5E387837" w14:textId="77777777" w:rsidR="00FB24C0" w:rsidRPr="00443040" w:rsidRDefault="00FB24C0" w:rsidP="00FB24C0">
      <w:pPr>
        <w:spacing w:after="0" w:line="240" w:lineRule="auto"/>
        <w:ind w:left="0" w:firstLine="0"/>
        <w:rPr>
          <w:color w:val="auto"/>
          <w:lang w:val="es-ES"/>
        </w:rPr>
      </w:pPr>
    </w:p>
    <w:p w14:paraId="3768AFD2" w14:textId="77777777" w:rsidR="00FB24C0" w:rsidRDefault="00FB24C0" w:rsidP="00B43B7E">
      <w:pPr>
        <w:keepNext/>
        <w:spacing w:after="0" w:line="240" w:lineRule="auto"/>
        <w:ind w:left="0" w:firstLine="0"/>
        <w:rPr>
          <w:color w:val="auto"/>
          <w:u w:val="single"/>
          <w:lang w:val="es-ES"/>
        </w:rPr>
      </w:pPr>
      <w:r w:rsidRPr="00F751E2">
        <w:rPr>
          <w:color w:val="auto"/>
          <w:u w:val="single"/>
          <w:lang w:val="es-ES"/>
        </w:rPr>
        <w:t>Efecto de bevacizumab en la farmacocinética de otros agentes antineoplásicos</w:t>
      </w:r>
    </w:p>
    <w:p w14:paraId="462DDCF6" w14:textId="77777777" w:rsidR="00F751E2" w:rsidRPr="005161A1" w:rsidRDefault="00F751E2" w:rsidP="00B43B7E">
      <w:pPr>
        <w:keepNext/>
        <w:spacing w:after="0" w:line="240" w:lineRule="auto"/>
        <w:ind w:left="0" w:firstLine="0"/>
        <w:rPr>
          <w:color w:val="auto"/>
          <w:lang w:val="es-ES"/>
        </w:rPr>
      </w:pPr>
    </w:p>
    <w:p w14:paraId="6882A2C1" w14:textId="12D69E74" w:rsidR="00FB24C0" w:rsidRPr="00443040" w:rsidRDefault="00FB24C0" w:rsidP="00FB24C0">
      <w:pPr>
        <w:spacing w:after="0" w:line="240" w:lineRule="auto"/>
        <w:ind w:left="0" w:firstLine="0"/>
        <w:rPr>
          <w:color w:val="auto"/>
          <w:lang w:val="es-ES"/>
        </w:rPr>
      </w:pPr>
      <w:r w:rsidRPr="00443040">
        <w:rPr>
          <w:color w:val="auto"/>
          <w:lang w:val="es-ES"/>
        </w:rPr>
        <w:t xml:space="preserve">No se observaron interacciones clínicamente relevantes de bevacizumab en la farmacocinética de la administración concomitante de interferón alfa 2a, </w:t>
      </w:r>
      <w:proofErr w:type="spellStart"/>
      <w:r w:rsidRPr="00443040">
        <w:rPr>
          <w:color w:val="auto"/>
          <w:lang w:val="es-ES"/>
        </w:rPr>
        <w:t>erlotinib</w:t>
      </w:r>
      <w:proofErr w:type="spellEnd"/>
      <w:r w:rsidRPr="00443040">
        <w:rPr>
          <w:color w:val="auto"/>
          <w:lang w:val="es-ES"/>
        </w:rPr>
        <w:t xml:space="preserve"> (y su metabolito activo OSI-420), o quimioterapia con irinotecán (y su metabolito activo SN38), </w:t>
      </w:r>
      <w:proofErr w:type="spellStart"/>
      <w:r w:rsidRPr="00443040">
        <w:rPr>
          <w:color w:val="auto"/>
          <w:lang w:val="es-ES"/>
        </w:rPr>
        <w:t>capecitabina</w:t>
      </w:r>
      <w:proofErr w:type="spellEnd"/>
      <w:r w:rsidRPr="00443040">
        <w:rPr>
          <w:color w:val="auto"/>
          <w:lang w:val="es-ES"/>
        </w:rPr>
        <w:t xml:space="preserve">, </w:t>
      </w:r>
      <w:proofErr w:type="spellStart"/>
      <w:r w:rsidRPr="00443040">
        <w:rPr>
          <w:color w:val="auto"/>
          <w:lang w:val="es-ES"/>
        </w:rPr>
        <w:t>ox</w:t>
      </w:r>
      <w:r w:rsidR="00445D58">
        <w:rPr>
          <w:color w:val="auto"/>
          <w:lang w:val="es-ES"/>
        </w:rPr>
        <w:t>al</w:t>
      </w:r>
      <w:r w:rsidRPr="00443040">
        <w:rPr>
          <w:color w:val="auto"/>
          <w:lang w:val="es-ES"/>
        </w:rPr>
        <w:t>iplatino</w:t>
      </w:r>
      <w:proofErr w:type="spellEnd"/>
      <w:r w:rsidRPr="00443040">
        <w:rPr>
          <w:color w:val="auto"/>
          <w:lang w:val="es-ES"/>
        </w:rPr>
        <w:t xml:space="preserve"> (que se determinó midiendo los niveles de platino libre y total), y cisplatino. No se pudieron extraer conclusiones del efecto de bevacizumab en la farmacocinética de </w:t>
      </w:r>
      <w:proofErr w:type="spellStart"/>
      <w:r w:rsidRPr="00443040">
        <w:rPr>
          <w:color w:val="auto"/>
          <w:lang w:val="es-ES"/>
        </w:rPr>
        <w:t>gemcitabina</w:t>
      </w:r>
      <w:proofErr w:type="spellEnd"/>
      <w:r w:rsidRPr="00443040">
        <w:rPr>
          <w:color w:val="auto"/>
          <w:lang w:val="es-ES"/>
        </w:rPr>
        <w:t>.</w:t>
      </w:r>
    </w:p>
    <w:p w14:paraId="76AABAB3" w14:textId="77777777" w:rsidR="00FB24C0" w:rsidRPr="00443040" w:rsidRDefault="00FB24C0" w:rsidP="00FB24C0">
      <w:pPr>
        <w:spacing w:after="0" w:line="240" w:lineRule="auto"/>
        <w:ind w:left="0" w:firstLine="0"/>
        <w:rPr>
          <w:color w:val="auto"/>
          <w:lang w:val="es-ES"/>
        </w:rPr>
      </w:pPr>
    </w:p>
    <w:p w14:paraId="0EC95725" w14:textId="77777777" w:rsidR="00FB24C0" w:rsidRDefault="00FB24C0" w:rsidP="00B43B7E">
      <w:pPr>
        <w:keepNext/>
        <w:spacing w:after="0" w:line="240" w:lineRule="auto"/>
        <w:ind w:left="0" w:firstLine="0"/>
        <w:rPr>
          <w:color w:val="auto"/>
          <w:u w:val="single"/>
          <w:lang w:val="es-ES"/>
        </w:rPr>
      </w:pPr>
      <w:r w:rsidRPr="00F751E2">
        <w:rPr>
          <w:color w:val="auto"/>
          <w:u w:val="single"/>
          <w:lang w:val="es-ES"/>
        </w:rPr>
        <w:lastRenderedPageBreak/>
        <w:t xml:space="preserve">Combinación de bevacizumab y maleato de </w:t>
      </w:r>
      <w:proofErr w:type="spellStart"/>
      <w:r w:rsidRPr="00F751E2">
        <w:rPr>
          <w:color w:val="auto"/>
          <w:u w:val="single"/>
          <w:lang w:val="es-ES"/>
        </w:rPr>
        <w:t>sunitinib</w:t>
      </w:r>
      <w:proofErr w:type="spellEnd"/>
    </w:p>
    <w:p w14:paraId="5D20F27E" w14:textId="77777777" w:rsidR="00F751E2" w:rsidRPr="005161A1" w:rsidRDefault="00F751E2" w:rsidP="00B43B7E">
      <w:pPr>
        <w:keepNext/>
        <w:spacing w:after="0" w:line="240" w:lineRule="auto"/>
        <w:ind w:left="0" w:firstLine="0"/>
        <w:rPr>
          <w:color w:val="auto"/>
          <w:lang w:val="es-ES"/>
        </w:rPr>
      </w:pPr>
    </w:p>
    <w:p w14:paraId="5403B3A0" w14:textId="77777777" w:rsidR="00FB24C0" w:rsidRPr="00443040" w:rsidRDefault="00FB24C0" w:rsidP="00FB24C0">
      <w:pPr>
        <w:spacing w:after="0" w:line="240" w:lineRule="auto"/>
        <w:ind w:left="0" w:firstLine="0"/>
        <w:rPr>
          <w:color w:val="auto"/>
          <w:lang w:val="es-ES"/>
        </w:rPr>
      </w:pPr>
      <w:r w:rsidRPr="00443040">
        <w:rPr>
          <w:color w:val="auto"/>
          <w:lang w:val="es-ES"/>
        </w:rPr>
        <w:t xml:space="preserve">En dos ensayos clínicos de carcinoma de células renales metastásico, se notificó anemia hemolítica microangiopática (MAHA) en 7 de 19 pacientes tratados con la combinación de bevacizumab (10 mg/kg cada dos semanas) y maleato de </w:t>
      </w:r>
      <w:proofErr w:type="spellStart"/>
      <w:r w:rsidRPr="00443040">
        <w:rPr>
          <w:color w:val="auto"/>
          <w:lang w:val="es-ES"/>
        </w:rPr>
        <w:t>sunitinib</w:t>
      </w:r>
      <w:proofErr w:type="spellEnd"/>
      <w:r w:rsidRPr="00443040">
        <w:rPr>
          <w:color w:val="auto"/>
          <w:lang w:val="es-ES"/>
        </w:rPr>
        <w:t xml:space="preserve"> (50 mg diarios).</w:t>
      </w:r>
    </w:p>
    <w:p w14:paraId="2D0ED186" w14:textId="77777777" w:rsidR="00FB24C0" w:rsidRPr="00443040" w:rsidRDefault="00FB24C0" w:rsidP="00FB24C0">
      <w:pPr>
        <w:spacing w:after="0" w:line="240" w:lineRule="auto"/>
        <w:ind w:left="0" w:firstLine="0"/>
        <w:rPr>
          <w:color w:val="auto"/>
          <w:lang w:val="es-ES"/>
        </w:rPr>
      </w:pPr>
    </w:p>
    <w:p w14:paraId="2C88D7B3" w14:textId="77777777" w:rsidR="00FB24C0" w:rsidRPr="00443040" w:rsidRDefault="00FB24C0" w:rsidP="00FB24C0">
      <w:pPr>
        <w:spacing w:after="0" w:line="240" w:lineRule="auto"/>
        <w:ind w:left="0" w:firstLine="0"/>
        <w:rPr>
          <w:color w:val="auto"/>
          <w:lang w:val="es-ES"/>
        </w:rPr>
      </w:pPr>
      <w:r w:rsidRPr="00443040">
        <w:rPr>
          <w:color w:val="auto"/>
          <w:lang w:val="es-ES"/>
        </w:rPr>
        <w:t xml:space="preserve">MAHA es un trastorno hemolítico que se puede presentar con fragmentación de glóbulos rojos, anemia y trombocitopenia. Además, en algunos de los pacientes se observó hipertensión (incluyendo crisis hipertensiva), creatinina elevada y síntomas neurológicos. Todos estos acontecimientos fueron reversibles tras la retirada de bevacizumab y maleato de </w:t>
      </w:r>
      <w:proofErr w:type="spellStart"/>
      <w:r w:rsidRPr="00443040">
        <w:rPr>
          <w:color w:val="auto"/>
          <w:lang w:val="es-ES"/>
        </w:rPr>
        <w:t>sunitinib</w:t>
      </w:r>
      <w:proofErr w:type="spellEnd"/>
      <w:r w:rsidRPr="00443040">
        <w:rPr>
          <w:color w:val="auto"/>
          <w:lang w:val="es-ES"/>
        </w:rPr>
        <w:t xml:space="preserve"> (ver </w:t>
      </w:r>
      <w:r w:rsidRPr="00F751E2">
        <w:rPr>
          <w:i/>
          <w:color w:val="auto"/>
          <w:lang w:val="es-ES"/>
        </w:rPr>
        <w:t xml:space="preserve">Hipertensión, Proteinuria </w:t>
      </w:r>
      <w:r w:rsidRPr="00F751E2">
        <w:rPr>
          <w:color w:val="auto"/>
          <w:lang w:val="es-ES"/>
        </w:rPr>
        <w:t>y</w:t>
      </w:r>
      <w:r w:rsidRPr="00F751E2">
        <w:rPr>
          <w:i/>
          <w:color w:val="auto"/>
          <w:lang w:val="es-ES"/>
        </w:rPr>
        <w:t xml:space="preserve"> Síndrome de Encefalopatía Reversible Posterior</w:t>
      </w:r>
      <w:r w:rsidRPr="00443040">
        <w:rPr>
          <w:color w:val="auto"/>
          <w:lang w:val="es-ES"/>
        </w:rPr>
        <w:t xml:space="preserve"> en la sección 4.4).</w:t>
      </w:r>
    </w:p>
    <w:p w14:paraId="18C7B596" w14:textId="77777777" w:rsidR="00FB24C0" w:rsidRPr="00443040" w:rsidRDefault="00FB24C0" w:rsidP="00FB24C0">
      <w:pPr>
        <w:spacing w:after="0" w:line="240" w:lineRule="auto"/>
        <w:ind w:left="0" w:firstLine="0"/>
        <w:rPr>
          <w:color w:val="auto"/>
          <w:lang w:val="es-ES"/>
        </w:rPr>
      </w:pPr>
    </w:p>
    <w:p w14:paraId="408E00E0" w14:textId="77777777" w:rsidR="00FB24C0" w:rsidRDefault="00FB24C0" w:rsidP="00B43B7E">
      <w:pPr>
        <w:keepNext/>
        <w:spacing w:after="0" w:line="240" w:lineRule="auto"/>
        <w:ind w:left="0" w:firstLine="0"/>
        <w:rPr>
          <w:color w:val="auto"/>
          <w:u w:val="single"/>
          <w:lang w:val="es-ES"/>
        </w:rPr>
      </w:pPr>
      <w:r w:rsidRPr="00F751E2">
        <w:rPr>
          <w:color w:val="auto"/>
          <w:u w:val="single"/>
          <w:lang w:val="es-ES"/>
        </w:rPr>
        <w:t xml:space="preserve">Combinación con tratamientos basados en platino o </w:t>
      </w:r>
      <w:proofErr w:type="spellStart"/>
      <w:r w:rsidRPr="00F751E2">
        <w:rPr>
          <w:color w:val="auto"/>
          <w:u w:val="single"/>
          <w:lang w:val="es-ES"/>
        </w:rPr>
        <w:t>taxanos</w:t>
      </w:r>
      <w:proofErr w:type="spellEnd"/>
      <w:r w:rsidRPr="00F751E2">
        <w:rPr>
          <w:color w:val="auto"/>
          <w:u w:val="single"/>
          <w:lang w:val="es-ES"/>
        </w:rPr>
        <w:t xml:space="preserve"> (ver secciones 4.4 y 4.8)</w:t>
      </w:r>
    </w:p>
    <w:p w14:paraId="22C472DC" w14:textId="77777777" w:rsidR="00F751E2" w:rsidRPr="00F751E2" w:rsidRDefault="00F751E2" w:rsidP="00B43B7E">
      <w:pPr>
        <w:keepNext/>
        <w:spacing w:after="0" w:line="240" w:lineRule="auto"/>
        <w:ind w:left="0" w:firstLine="0"/>
        <w:rPr>
          <w:color w:val="auto"/>
          <w:lang w:val="es-ES"/>
        </w:rPr>
      </w:pPr>
    </w:p>
    <w:p w14:paraId="65772176" w14:textId="77777777" w:rsidR="00FB24C0" w:rsidRPr="00443040" w:rsidRDefault="00FB24C0" w:rsidP="00FB24C0">
      <w:pPr>
        <w:spacing w:after="0" w:line="240" w:lineRule="auto"/>
        <w:ind w:left="0" w:firstLine="0"/>
        <w:rPr>
          <w:color w:val="auto"/>
          <w:lang w:val="es-ES"/>
        </w:rPr>
      </w:pPr>
      <w:r w:rsidRPr="00443040">
        <w:rPr>
          <w:color w:val="auto"/>
          <w:lang w:val="es-ES"/>
        </w:rPr>
        <w:t xml:space="preserve">Se han observado un aumento en las tasas de neutropenia grave, neutropenia febril, o infección con o sin neutropenia grave (incluyendo algunos casos mortales), principalmente en pacientes tratados con terapias basadas en platino o </w:t>
      </w:r>
      <w:proofErr w:type="spellStart"/>
      <w:r w:rsidRPr="00443040">
        <w:rPr>
          <w:color w:val="auto"/>
          <w:lang w:val="es-ES"/>
        </w:rPr>
        <w:t>taxanos</w:t>
      </w:r>
      <w:proofErr w:type="spellEnd"/>
      <w:r w:rsidRPr="00443040">
        <w:rPr>
          <w:color w:val="auto"/>
          <w:lang w:val="es-ES"/>
        </w:rPr>
        <w:t xml:space="preserve"> en el tratamiento del CPNM o </w:t>
      </w:r>
      <w:proofErr w:type="spellStart"/>
      <w:r w:rsidRPr="00443040">
        <w:rPr>
          <w:color w:val="auto"/>
          <w:lang w:val="es-ES"/>
        </w:rPr>
        <w:t>CMm</w:t>
      </w:r>
      <w:proofErr w:type="spellEnd"/>
      <w:r w:rsidRPr="00443040">
        <w:rPr>
          <w:color w:val="auto"/>
          <w:lang w:val="es-ES"/>
        </w:rPr>
        <w:t>.</w:t>
      </w:r>
    </w:p>
    <w:p w14:paraId="264B86E8" w14:textId="77777777" w:rsidR="00FB24C0" w:rsidRPr="00443040" w:rsidRDefault="00FB24C0" w:rsidP="00FB24C0">
      <w:pPr>
        <w:spacing w:after="0" w:line="240" w:lineRule="auto"/>
        <w:ind w:left="0" w:firstLine="0"/>
        <w:rPr>
          <w:color w:val="auto"/>
          <w:lang w:val="es-ES"/>
        </w:rPr>
      </w:pPr>
    </w:p>
    <w:p w14:paraId="3A83405B" w14:textId="77777777" w:rsidR="00FB24C0" w:rsidRDefault="00FB24C0" w:rsidP="00B43B7E">
      <w:pPr>
        <w:keepNext/>
        <w:spacing w:after="0" w:line="240" w:lineRule="auto"/>
        <w:ind w:left="0" w:firstLine="0"/>
        <w:rPr>
          <w:color w:val="auto"/>
          <w:u w:val="single"/>
          <w:lang w:val="es-ES"/>
        </w:rPr>
      </w:pPr>
      <w:r w:rsidRPr="00F751E2">
        <w:rPr>
          <w:color w:val="auto"/>
          <w:u w:val="single"/>
          <w:lang w:val="es-ES"/>
        </w:rPr>
        <w:t>Radioterapia</w:t>
      </w:r>
    </w:p>
    <w:p w14:paraId="5848C73D" w14:textId="77777777" w:rsidR="00F751E2" w:rsidRPr="00F751E2" w:rsidRDefault="00F751E2" w:rsidP="00B43B7E">
      <w:pPr>
        <w:keepNext/>
        <w:spacing w:after="0" w:line="240" w:lineRule="auto"/>
        <w:ind w:left="0" w:firstLine="0"/>
        <w:rPr>
          <w:color w:val="auto"/>
          <w:lang w:val="es-ES"/>
        </w:rPr>
      </w:pPr>
    </w:p>
    <w:p w14:paraId="7B104360" w14:textId="77777777" w:rsidR="00FB24C0" w:rsidRPr="00443040" w:rsidRDefault="00FB24C0" w:rsidP="00FB24C0">
      <w:pPr>
        <w:spacing w:after="0" w:line="240" w:lineRule="auto"/>
        <w:ind w:left="0" w:firstLine="0"/>
        <w:rPr>
          <w:color w:val="auto"/>
          <w:lang w:val="es-ES"/>
        </w:rPr>
      </w:pPr>
      <w:r w:rsidRPr="00443040">
        <w:rPr>
          <w:color w:val="auto"/>
          <w:lang w:val="es-ES"/>
        </w:rPr>
        <w:t xml:space="preserve">No se han establecido la seguridad y la eficacia de la administración concomitante de radioterapia y </w:t>
      </w:r>
      <w:r w:rsidR="00E47182">
        <w:rPr>
          <w:color w:val="auto"/>
          <w:lang w:val="es-ES"/>
        </w:rPr>
        <w:t>bevacizumab</w:t>
      </w:r>
      <w:r w:rsidRPr="00443040">
        <w:rPr>
          <w:color w:val="auto"/>
          <w:lang w:val="es-ES"/>
        </w:rPr>
        <w:t>.</w:t>
      </w:r>
    </w:p>
    <w:p w14:paraId="39F5C05F" w14:textId="77777777" w:rsidR="00FB24C0" w:rsidRPr="00443040" w:rsidRDefault="00FB24C0" w:rsidP="00FB24C0">
      <w:pPr>
        <w:spacing w:after="0" w:line="240" w:lineRule="auto"/>
        <w:ind w:left="0" w:firstLine="0"/>
        <w:rPr>
          <w:color w:val="auto"/>
          <w:lang w:val="es-ES"/>
        </w:rPr>
      </w:pPr>
    </w:p>
    <w:p w14:paraId="23E1D827" w14:textId="5948AB71" w:rsidR="00FB24C0" w:rsidRDefault="00FB24C0" w:rsidP="00B43B7E">
      <w:pPr>
        <w:keepNext/>
        <w:spacing w:after="0" w:line="240" w:lineRule="auto"/>
        <w:ind w:left="0" w:firstLine="0"/>
        <w:rPr>
          <w:color w:val="auto"/>
          <w:u w:val="single"/>
          <w:lang w:val="es-ES"/>
        </w:rPr>
      </w:pPr>
      <w:r w:rsidRPr="00F751E2">
        <w:rPr>
          <w:color w:val="auto"/>
          <w:u w:val="single"/>
          <w:lang w:val="es-ES"/>
        </w:rPr>
        <w:t xml:space="preserve">Anticuerpos monoclonales dirigidos al EGFR en combinación con diferentes </w:t>
      </w:r>
      <w:r w:rsidR="007C6704">
        <w:rPr>
          <w:color w:val="auto"/>
          <w:u w:val="single"/>
          <w:lang w:val="es-ES"/>
        </w:rPr>
        <w:t>tratamientos</w:t>
      </w:r>
      <w:r w:rsidR="007C6704" w:rsidRPr="00F751E2">
        <w:rPr>
          <w:color w:val="auto"/>
          <w:u w:val="single"/>
          <w:lang w:val="es-ES"/>
        </w:rPr>
        <w:t xml:space="preserve"> </w:t>
      </w:r>
      <w:r w:rsidRPr="00F751E2">
        <w:rPr>
          <w:color w:val="auto"/>
          <w:u w:val="single"/>
          <w:lang w:val="es-ES"/>
        </w:rPr>
        <w:t>de bevacizumab</w:t>
      </w:r>
    </w:p>
    <w:p w14:paraId="2A2E0944" w14:textId="77777777" w:rsidR="00F751E2" w:rsidRPr="00F751E2" w:rsidRDefault="00F751E2" w:rsidP="00B43B7E">
      <w:pPr>
        <w:keepNext/>
        <w:spacing w:after="0" w:line="240" w:lineRule="auto"/>
        <w:ind w:left="0" w:firstLine="0"/>
        <w:rPr>
          <w:color w:val="auto"/>
          <w:lang w:val="es-ES"/>
        </w:rPr>
      </w:pPr>
    </w:p>
    <w:p w14:paraId="432638EA" w14:textId="0BEBC97D" w:rsidR="00FB24C0" w:rsidRPr="00443040" w:rsidRDefault="00FB24C0" w:rsidP="00FB24C0">
      <w:pPr>
        <w:spacing w:after="0" w:line="240" w:lineRule="auto"/>
        <w:ind w:left="0" w:firstLine="0"/>
        <w:rPr>
          <w:color w:val="auto"/>
          <w:lang w:val="es-ES"/>
        </w:rPr>
      </w:pPr>
      <w:r w:rsidRPr="00443040">
        <w:rPr>
          <w:color w:val="auto"/>
          <w:lang w:val="es-ES"/>
        </w:rPr>
        <w:t xml:space="preserve">No se han realizado estudios de interacción. Para el tratamiento del </w:t>
      </w:r>
      <w:proofErr w:type="spellStart"/>
      <w:r w:rsidRPr="00443040">
        <w:rPr>
          <w:color w:val="auto"/>
          <w:lang w:val="es-ES"/>
        </w:rPr>
        <w:t>CCRm</w:t>
      </w:r>
      <w:proofErr w:type="spellEnd"/>
      <w:r w:rsidRPr="00443040">
        <w:rPr>
          <w:color w:val="auto"/>
          <w:lang w:val="es-ES"/>
        </w:rPr>
        <w:t xml:space="preserve"> los anticuerpos monoclonales dirigidos al EGFR no se deben administrar en combinación con </w:t>
      </w:r>
      <w:r w:rsidR="007C6704">
        <w:rPr>
          <w:color w:val="auto"/>
          <w:lang w:val="es-ES"/>
        </w:rPr>
        <w:t>pautas</w:t>
      </w:r>
      <w:r w:rsidR="007C6704" w:rsidRPr="00443040">
        <w:rPr>
          <w:color w:val="auto"/>
          <w:lang w:val="es-ES"/>
        </w:rPr>
        <w:t xml:space="preserve"> </w:t>
      </w:r>
      <w:r w:rsidRPr="00443040">
        <w:rPr>
          <w:color w:val="auto"/>
          <w:lang w:val="es-ES"/>
        </w:rPr>
        <w:t>de quimioterapia que</w:t>
      </w:r>
      <w:r w:rsidR="007C6704">
        <w:rPr>
          <w:color w:val="auto"/>
          <w:lang w:val="es-ES"/>
        </w:rPr>
        <w:t xml:space="preserve"> incluya</w:t>
      </w:r>
      <w:r w:rsidRPr="00443040">
        <w:rPr>
          <w:color w:val="auto"/>
          <w:lang w:val="es-ES"/>
        </w:rPr>
        <w:t>n bevacizumab. Los resultados de dos estudios aleatorizados, fase III,</w:t>
      </w:r>
      <w:r w:rsidR="00B43B7E">
        <w:rPr>
          <w:color w:val="auto"/>
          <w:lang w:val="es-ES"/>
        </w:rPr>
        <w:t xml:space="preserve"> </w:t>
      </w:r>
      <w:r w:rsidRPr="00443040">
        <w:rPr>
          <w:color w:val="auto"/>
          <w:lang w:val="es-ES"/>
        </w:rPr>
        <w:t xml:space="preserve">PACCE y CAIRO-2 en pacientes con </w:t>
      </w:r>
      <w:proofErr w:type="spellStart"/>
      <w:r w:rsidRPr="00443040">
        <w:rPr>
          <w:color w:val="auto"/>
          <w:lang w:val="es-ES"/>
        </w:rPr>
        <w:t>CCRm</w:t>
      </w:r>
      <w:proofErr w:type="spellEnd"/>
      <w:r w:rsidRPr="00443040">
        <w:rPr>
          <w:color w:val="auto"/>
          <w:lang w:val="es-ES"/>
        </w:rPr>
        <w:t>, sugieren que el uso de anticuerpos monoclonales anti</w:t>
      </w:r>
      <w:r w:rsidR="00DC2297">
        <w:rPr>
          <w:color w:val="auto"/>
          <w:lang w:val="es-ES"/>
        </w:rPr>
        <w:t>-</w:t>
      </w:r>
      <w:r w:rsidRPr="00443040">
        <w:rPr>
          <w:color w:val="auto"/>
          <w:lang w:val="es-ES"/>
        </w:rPr>
        <w:t xml:space="preserve">EGFR, panitumumab y cetuximab respectivamente, en combinación con bevacizumab más quimioterapia, se asocia a un descenso de la </w:t>
      </w:r>
      <w:r w:rsidR="00254CE1">
        <w:rPr>
          <w:color w:val="auto"/>
          <w:lang w:val="es-ES"/>
        </w:rPr>
        <w:t>supervivencia libre de progresión (</w:t>
      </w:r>
      <w:r w:rsidRPr="00443040">
        <w:rPr>
          <w:color w:val="auto"/>
          <w:lang w:val="es-ES"/>
        </w:rPr>
        <w:t>SLP</w:t>
      </w:r>
      <w:r w:rsidR="00254CE1">
        <w:rPr>
          <w:color w:val="auto"/>
          <w:lang w:val="es-ES"/>
        </w:rPr>
        <w:t>)</w:t>
      </w:r>
      <w:r w:rsidRPr="00443040">
        <w:rPr>
          <w:color w:val="auto"/>
          <w:lang w:val="es-ES"/>
        </w:rPr>
        <w:t xml:space="preserve"> y/o de la </w:t>
      </w:r>
      <w:r w:rsidR="00254CE1">
        <w:rPr>
          <w:color w:val="auto"/>
          <w:lang w:val="es-ES"/>
        </w:rPr>
        <w:t>supervivencia global (</w:t>
      </w:r>
      <w:r w:rsidRPr="00443040">
        <w:rPr>
          <w:color w:val="auto"/>
          <w:lang w:val="es-ES"/>
        </w:rPr>
        <w:t>SG</w:t>
      </w:r>
      <w:r w:rsidR="00254CE1">
        <w:rPr>
          <w:color w:val="auto"/>
          <w:lang w:val="es-ES"/>
        </w:rPr>
        <w:t>)</w:t>
      </w:r>
      <w:r w:rsidRPr="00443040">
        <w:rPr>
          <w:color w:val="auto"/>
          <w:lang w:val="es-ES"/>
        </w:rPr>
        <w:t xml:space="preserve"> y con un incremento de la toxicidad, si se compara con bevacizumab más </w:t>
      </w:r>
      <w:r w:rsidR="00322361">
        <w:rPr>
          <w:color w:val="auto"/>
          <w:lang w:val="es-ES"/>
        </w:rPr>
        <w:t xml:space="preserve">tratamientos </w:t>
      </w:r>
      <w:r w:rsidRPr="00443040">
        <w:rPr>
          <w:color w:val="auto"/>
          <w:lang w:val="es-ES"/>
        </w:rPr>
        <w:t>de quimioterapia solo.</w:t>
      </w:r>
    </w:p>
    <w:p w14:paraId="2C62403A" w14:textId="77777777" w:rsidR="00FB24C0" w:rsidRPr="00443040" w:rsidRDefault="00FB24C0" w:rsidP="00FB24C0">
      <w:pPr>
        <w:spacing w:after="0" w:line="240" w:lineRule="auto"/>
        <w:ind w:left="0" w:firstLine="0"/>
        <w:rPr>
          <w:i/>
          <w:color w:val="auto"/>
          <w:lang w:val="es-ES"/>
        </w:rPr>
      </w:pPr>
    </w:p>
    <w:p w14:paraId="5046B508" w14:textId="77777777" w:rsidR="00FB24C0" w:rsidRPr="00443040" w:rsidRDefault="00FB24C0" w:rsidP="005161A1">
      <w:pPr>
        <w:keepNext/>
        <w:spacing w:after="0" w:line="240" w:lineRule="auto"/>
        <w:ind w:left="567" w:hanging="567"/>
        <w:rPr>
          <w:b/>
          <w:color w:val="auto"/>
          <w:lang w:val="es-ES"/>
        </w:rPr>
      </w:pPr>
      <w:r w:rsidRPr="00443040">
        <w:rPr>
          <w:b/>
          <w:color w:val="auto"/>
          <w:lang w:val="es-ES"/>
        </w:rPr>
        <w:t>4.6</w:t>
      </w:r>
      <w:r w:rsidRPr="00443040">
        <w:rPr>
          <w:b/>
          <w:color w:val="auto"/>
          <w:lang w:val="es-ES"/>
        </w:rPr>
        <w:tab/>
        <w:t>Fertilidad, embarazo y lactancia</w:t>
      </w:r>
    </w:p>
    <w:p w14:paraId="439BC414" w14:textId="77777777" w:rsidR="00FB24C0" w:rsidRPr="005161A1" w:rsidRDefault="00FB24C0" w:rsidP="00FB24C0">
      <w:pPr>
        <w:keepNext/>
        <w:spacing w:after="0" w:line="240" w:lineRule="auto"/>
        <w:ind w:left="0" w:firstLine="0"/>
        <w:rPr>
          <w:color w:val="auto"/>
          <w:lang w:val="es-ES"/>
        </w:rPr>
      </w:pPr>
    </w:p>
    <w:p w14:paraId="49BE1ABE" w14:textId="73E7AB56" w:rsidR="00FB24C0" w:rsidRPr="005161A1" w:rsidRDefault="00FB24C0" w:rsidP="00B43B7E">
      <w:pPr>
        <w:keepNext/>
        <w:spacing w:after="0" w:line="240" w:lineRule="auto"/>
        <w:ind w:left="0" w:firstLine="0"/>
        <w:rPr>
          <w:color w:val="auto"/>
          <w:u w:val="single"/>
          <w:lang w:val="es-ES"/>
        </w:rPr>
      </w:pPr>
      <w:r w:rsidRPr="005161A1">
        <w:rPr>
          <w:color w:val="auto"/>
          <w:u w:val="single"/>
          <w:lang w:val="es-ES"/>
        </w:rPr>
        <w:t>Mujeres en edad fértil</w:t>
      </w:r>
      <w:r w:rsidR="00254CE1">
        <w:rPr>
          <w:color w:val="auto"/>
          <w:u w:val="single"/>
          <w:lang w:val="es-ES"/>
        </w:rPr>
        <w:t>/anticoncepción</w:t>
      </w:r>
    </w:p>
    <w:p w14:paraId="1D14BEF2" w14:textId="77777777" w:rsidR="00F751E2" w:rsidRPr="005161A1" w:rsidRDefault="00F751E2" w:rsidP="00B43B7E">
      <w:pPr>
        <w:keepNext/>
        <w:spacing w:after="0" w:line="240" w:lineRule="auto"/>
        <w:ind w:left="0" w:firstLine="0"/>
        <w:rPr>
          <w:color w:val="auto"/>
          <w:lang w:val="es-ES"/>
        </w:rPr>
      </w:pPr>
    </w:p>
    <w:p w14:paraId="3FEE0E2D" w14:textId="77777777" w:rsidR="00FB24C0" w:rsidRPr="005161A1" w:rsidRDefault="00FB24C0" w:rsidP="00FB24C0">
      <w:pPr>
        <w:spacing w:after="0" w:line="240" w:lineRule="auto"/>
        <w:ind w:left="0" w:firstLine="0"/>
        <w:rPr>
          <w:color w:val="auto"/>
          <w:lang w:val="es-ES"/>
        </w:rPr>
      </w:pPr>
      <w:r w:rsidRPr="005161A1">
        <w:rPr>
          <w:color w:val="auto"/>
          <w:lang w:val="es-ES"/>
        </w:rPr>
        <w:t>Las mujeres en edad fértil deben utilizar métodos anticonceptivos efectivos durante el tratamiento (y hasta 6 meses después del mismo).</w:t>
      </w:r>
    </w:p>
    <w:p w14:paraId="2AA29A08" w14:textId="77777777" w:rsidR="00FB24C0" w:rsidRPr="005161A1" w:rsidRDefault="00FB24C0" w:rsidP="00FB24C0">
      <w:pPr>
        <w:spacing w:after="0" w:line="240" w:lineRule="auto"/>
        <w:ind w:left="0" w:firstLine="0"/>
        <w:rPr>
          <w:color w:val="auto"/>
          <w:lang w:val="es-ES"/>
        </w:rPr>
      </w:pPr>
    </w:p>
    <w:p w14:paraId="3AFBFBE6" w14:textId="77777777" w:rsidR="00FB24C0" w:rsidRPr="005161A1" w:rsidRDefault="00FB24C0" w:rsidP="00B43B7E">
      <w:pPr>
        <w:keepNext/>
        <w:spacing w:after="0" w:line="240" w:lineRule="auto"/>
        <w:ind w:left="0" w:firstLine="0"/>
        <w:rPr>
          <w:color w:val="auto"/>
          <w:u w:val="single"/>
          <w:lang w:val="es-ES"/>
        </w:rPr>
      </w:pPr>
      <w:r w:rsidRPr="005161A1">
        <w:rPr>
          <w:color w:val="auto"/>
          <w:u w:val="single"/>
          <w:lang w:val="es-ES"/>
        </w:rPr>
        <w:t>Embarazo</w:t>
      </w:r>
    </w:p>
    <w:p w14:paraId="6FFB7BF8" w14:textId="77777777" w:rsidR="00F751E2" w:rsidRPr="005161A1" w:rsidRDefault="00F751E2" w:rsidP="00B43B7E">
      <w:pPr>
        <w:keepNext/>
        <w:spacing w:after="0" w:line="240" w:lineRule="auto"/>
        <w:ind w:left="0" w:firstLine="0"/>
        <w:rPr>
          <w:color w:val="auto"/>
          <w:lang w:val="es-ES"/>
        </w:rPr>
      </w:pPr>
    </w:p>
    <w:p w14:paraId="1DCFDBFF" w14:textId="77777777" w:rsidR="00FB24C0" w:rsidRPr="005161A1" w:rsidRDefault="00FB24C0" w:rsidP="00FB24C0">
      <w:pPr>
        <w:spacing w:after="0" w:line="240" w:lineRule="auto"/>
        <w:ind w:left="0" w:firstLine="0"/>
        <w:rPr>
          <w:color w:val="auto"/>
          <w:lang w:val="es-ES"/>
        </w:rPr>
      </w:pPr>
      <w:r w:rsidRPr="005161A1">
        <w:rPr>
          <w:color w:val="auto"/>
          <w:lang w:val="es-ES"/>
        </w:rPr>
        <w:t xml:space="preserve">No existen ensayos clínicos con datos sobre el tratamiento con </w:t>
      </w:r>
      <w:r w:rsidR="00CF0319">
        <w:rPr>
          <w:color w:val="auto"/>
          <w:lang w:val="es-ES"/>
        </w:rPr>
        <w:t>bevacizumab</w:t>
      </w:r>
      <w:r w:rsidRPr="005161A1">
        <w:rPr>
          <w:color w:val="auto"/>
          <w:lang w:val="es-ES"/>
        </w:rPr>
        <w:t xml:space="preserve"> en mujeres embarazadas. Los estudios realizados en animales han mostrado toxicidad reproductiva incluyendo malformaciones (ver sección 5.3). Dado que se sabe que las </w:t>
      </w:r>
      <w:proofErr w:type="spellStart"/>
      <w:r w:rsidRPr="005161A1">
        <w:rPr>
          <w:color w:val="auto"/>
          <w:lang w:val="es-ES"/>
        </w:rPr>
        <w:t>IgGs</w:t>
      </w:r>
      <w:proofErr w:type="spellEnd"/>
      <w:r w:rsidRPr="005161A1">
        <w:rPr>
          <w:color w:val="auto"/>
          <w:lang w:val="es-ES"/>
        </w:rPr>
        <w:t xml:space="preserve"> atraviesan la placenta, se espera que </w:t>
      </w:r>
      <w:r w:rsidR="00CF0319">
        <w:rPr>
          <w:color w:val="auto"/>
          <w:lang w:val="es-ES"/>
        </w:rPr>
        <w:t>bevacizumab</w:t>
      </w:r>
      <w:r w:rsidRPr="005161A1">
        <w:rPr>
          <w:color w:val="auto"/>
          <w:lang w:val="es-ES"/>
        </w:rPr>
        <w:t xml:space="preserve"> inhiba la angiogénesis en el feto, y, por lo tanto, se sospecha que provoca defectos congénitos graves si se administra durante el embarazo. En la experiencia </w:t>
      </w:r>
      <w:proofErr w:type="spellStart"/>
      <w:r w:rsidRPr="005161A1">
        <w:rPr>
          <w:color w:val="auto"/>
          <w:lang w:val="es-ES"/>
        </w:rPr>
        <w:t>poscomercialización</w:t>
      </w:r>
      <w:proofErr w:type="spellEnd"/>
      <w:r w:rsidRPr="005161A1">
        <w:rPr>
          <w:color w:val="auto"/>
          <w:lang w:val="es-ES"/>
        </w:rPr>
        <w:t xml:space="preserve">, se han observado casos de anomalías fetales en mujeres tratadas con bevacizumab solo o en combinación con quimioterápicos </w:t>
      </w:r>
      <w:proofErr w:type="spellStart"/>
      <w:r w:rsidRPr="005161A1">
        <w:rPr>
          <w:color w:val="auto"/>
          <w:lang w:val="es-ES"/>
        </w:rPr>
        <w:t>embriotóxicos</w:t>
      </w:r>
      <w:proofErr w:type="spellEnd"/>
      <w:r w:rsidRPr="005161A1">
        <w:rPr>
          <w:color w:val="auto"/>
          <w:lang w:val="es-ES"/>
        </w:rPr>
        <w:t xml:space="preserve"> conocidos (ver sección 4.8). </w:t>
      </w:r>
      <w:r w:rsidR="00AA71D6">
        <w:rPr>
          <w:color w:val="auto"/>
          <w:lang w:val="es-ES"/>
        </w:rPr>
        <w:t>MVASI</w:t>
      </w:r>
      <w:r w:rsidR="00CF0319" w:rsidRPr="005161A1">
        <w:rPr>
          <w:color w:val="auto"/>
          <w:lang w:val="es-ES"/>
        </w:rPr>
        <w:t xml:space="preserve"> </w:t>
      </w:r>
      <w:r w:rsidRPr="005161A1">
        <w:rPr>
          <w:color w:val="auto"/>
          <w:lang w:val="es-ES"/>
        </w:rPr>
        <w:t>está contraindicado durante el embarazo (ver sección 4.3).</w:t>
      </w:r>
    </w:p>
    <w:p w14:paraId="4A3785B3" w14:textId="77777777" w:rsidR="00FB24C0" w:rsidRPr="005161A1" w:rsidRDefault="00FB24C0" w:rsidP="00FB24C0">
      <w:pPr>
        <w:spacing w:after="0" w:line="240" w:lineRule="auto"/>
        <w:ind w:left="0" w:firstLine="0"/>
        <w:rPr>
          <w:color w:val="auto"/>
          <w:lang w:val="es-ES"/>
        </w:rPr>
      </w:pPr>
    </w:p>
    <w:p w14:paraId="4F11097B" w14:textId="77777777" w:rsidR="00FB24C0" w:rsidRPr="005161A1" w:rsidRDefault="00FB24C0" w:rsidP="00B43B7E">
      <w:pPr>
        <w:keepNext/>
        <w:spacing w:after="0" w:line="240" w:lineRule="auto"/>
        <w:ind w:left="0" w:firstLine="0"/>
        <w:rPr>
          <w:color w:val="auto"/>
          <w:u w:val="single"/>
          <w:lang w:val="es-ES"/>
        </w:rPr>
      </w:pPr>
      <w:r w:rsidRPr="005161A1">
        <w:rPr>
          <w:color w:val="auto"/>
          <w:u w:val="single"/>
          <w:lang w:val="es-ES"/>
        </w:rPr>
        <w:t>Lactancia</w:t>
      </w:r>
    </w:p>
    <w:p w14:paraId="5BA58B46" w14:textId="77777777" w:rsidR="00F751E2" w:rsidRPr="005161A1" w:rsidRDefault="00F751E2" w:rsidP="00B43B7E">
      <w:pPr>
        <w:keepNext/>
        <w:spacing w:after="0" w:line="240" w:lineRule="auto"/>
        <w:ind w:left="0" w:firstLine="0"/>
        <w:rPr>
          <w:color w:val="auto"/>
          <w:lang w:val="es-ES"/>
        </w:rPr>
      </w:pPr>
    </w:p>
    <w:p w14:paraId="78DCE33A" w14:textId="77777777" w:rsidR="00FB24C0" w:rsidRPr="005161A1" w:rsidRDefault="00FB24C0" w:rsidP="00FB24C0">
      <w:pPr>
        <w:spacing w:after="0" w:line="240" w:lineRule="auto"/>
        <w:ind w:left="0" w:firstLine="0"/>
        <w:rPr>
          <w:color w:val="auto"/>
          <w:lang w:val="es-ES"/>
        </w:rPr>
      </w:pPr>
      <w:r w:rsidRPr="005161A1">
        <w:rPr>
          <w:color w:val="auto"/>
          <w:lang w:val="es-ES"/>
        </w:rPr>
        <w:t xml:space="preserve">No se sabe si bevacizumab se excreta en la leche materna. Dado que la IgG materna se excreta en la leche y que bevacizumab puede afectar negativamente al crecimiento y desarrollo del niño (ver </w:t>
      </w:r>
      <w:r w:rsidRPr="005161A1">
        <w:rPr>
          <w:color w:val="auto"/>
          <w:lang w:val="es-ES"/>
        </w:rPr>
        <w:lastRenderedPageBreak/>
        <w:t xml:space="preserve">sección 5.3), se debe interrumpir la lactancia materna durante la terapia y durante al menos los 6 meses posteriores a la administración de la última dosis de </w:t>
      </w:r>
      <w:r w:rsidR="00CF0319">
        <w:rPr>
          <w:color w:val="auto"/>
          <w:lang w:val="es-ES"/>
        </w:rPr>
        <w:t>bevacizumab</w:t>
      </w:r>
      <w:r w:rsidRPr="005161A1">
        <w:rPr>
          <w:color w:val="auto"/>
          <w:lang w:val="es-ES"/>
        </w:rPr>
        <w:t>.</w:t>
      </w:r>
    </w:p>
    <w:p w14:paraId="4D06305D" w14:textId="77777777" w:rsidR="00FB24C0" w:rsidRPr="005161A1" w:rsidRDefault="00FB24C0" w:rsidP="00FB24C0">
      <w:pPr>
        <w:spacing w:after="0" w:line="240" w:lineRule="auto"/>
        <w:ind w:left="0" w:firstLine="0"/>
        <w:rPr>
          <w:color w:val="auto"/>
          <w:lang w:val="es-ES"/>
        </w:rPr>
      </w:pPr>
    </w:p>
    <w:p w14:paraId="017A4937" w14:textId="77777777" w:rsidR="00FB24C0" w:rsidRPr="005161A1" w:rsidRDefault="00FB24C0" w:rsidP="00B43B7E">
      <w:pPr>
        <w:keepNext/>
        <w:spacing w:after="0" w:line="240" w:lineRule="auto"/>
        <w:ind w:left="0" w:firstLine="0"/>
        <w:rPr>
          <w:color w:val="auto"/>
          <w:u w:val="single"/>
          <w:lang w:val="es-ES"/>
        </w:rPr>
      </w:pPr>
      <w:r w:rsidRPr="005161A1">
        <w:rPr>
          <w:color w:val="auto"/>
          <w:u w:val="single"/>
          <w:lang w:val="es-ES"/>
        </w:rPr>
        <w:t>Fertilidad</w:t>
      </w:r>
    </w:p>
    <w:p w14:paraId="4B5765E6" w14:textId="77777777" w:rsidR="00F751E2" w:rsidRPr="005161A1" w:rsidRDefault="00F751E2" w:rsidP="00B43B7E">
      <w:pPr>
        <w:keepNext/>
        <w:spacing w:after="0" w:line="240" w:lineRule="auto"/>
        <w:ind w:left="0" w:firstLine="0"/>
        <w:rPr>
          <w:color w:val="auto"/>
          <w:lang w:val="es-ES"/>
        </w:rPr>
      </w:pPr>
    </w:p>
    <w:p w14:paraId="72ECF4C1" w14:textId="77777777" w:rsidR="00FB24C0" w:rsidRPr="005161A1" w:rsidRDefault="00FB24C0" w:rsidP="00FB24C0">
      <w:pPr>
        <w:spacing w:after="0" w:line="240" w:lineRule="auto"/>
        <w:ind w:left="0" w:firstLine="0"/>
        <w:rPr>
          <w:color w:val="auto"/>
          <w:lang w:val="es-ES"/>
        </w:rPr>
      </w:pPr>
      <w:r w:rsidRPr="005161A1">
        <w:rPr>
          <w:color w:val="auto"/>
          <w:lang w:val="es-ES"/>
        </w:rPr>
        <w:t xml:space="preserve">Estudios de toxicidad de dosis repetidas en animales han demostrado que bevacizumab podría tener un efecto adverso sobre la fertilidad femenina (ver sección 5.3). Un </w:t>
      </w:r>
      <w:proofErr w:type="spellStart"/>
      <w:r w:rsidRPr="005161A1">
        <w:rPr>
          <w:color w:val="auto"/>
          <w:lang w:val="es-ES"/>
        </w:rPr>
        <w:t>subestudio</w:t>
      </w:r>
      <w:proofErr w:type="spellEnd"/>
      <w:r w:rsidRPr="005161A1">
        <w:rPr>
          <w:color w:val="auto"/>
          <w:lang w:val="es-ES"/>
        </w:rPr>
        <w:t xml:space="preserve"> con mujeres premenopáusicas de un ensayo en fase III para el tratamiento adyuvante de pacientes con cáncer de colon, mostró una mayor incidencia de nuevos casos de insuficiencia ovárica en el grupo de bevacizumab comparado con el grupo control. En la mayoría de las pacientes, tras retirar el tratamiento con bevacizumab se recuperó la función ovárica. Se desconoce el efecto a largo plazo del tratamiento con bevacizumab en la fertilidad.</w:t>
      </w:r>
    </w:p>
    <w:p w14:paraId="0776915E" w14:textId="77777777" w:rsidR="00FB24C0" w:rsidRPr="005161A1" w:rsidRDefault="00FB24C0" w:rsidP="00FB24C0">
      <w:pPr>
        <w:spacing w:after="0" w:line="240" w:lineRule="auto"/>
        <w:ind w:left="0" w:firstLine="0"/>
        <w:rPr>
          <w:color w:val="auto"/>
          <w:lang w:val="es-ES"/>
        </w:rPr>
      </w:pPr>
    </w:p>
    <w:p w14:paraId="6AB3835C" w14:textId="77777777" w:rsidR="00FB24C0" w:rsidRPr="00443040" w:rsidRDefault="00FB24C0" w:rsidP="00FB24C0">
      <w:pPr>
        <w:keepNext/>
        <w:tabs>
          <w:tab w:val="center" w:pos="1526"/>
        </w:tabs>
        <w:spacing w:after="0" w:line="240" w:lineRule="auto"/>
        <w:ind w:left="567" w:hanging="567"/>
        <w:rPr>
          <w:b/>
          <w:color w:val="auto"/>
          <w:lang w:val="es-ES"/>
        </w:rPr>
      </w:pPr>
      <w:r w:rsidRPr="00443040">
        <w:rPr>
          <w:b/>
          <w:color w:val="auto"/>
          <w:lang w:val="es-ES"/>
        </w:rPr>
        <w:t>4.7</w:t>
      </w:r>
      <w:r w:rsidRPr="00443040">
        <w:rPr>
          <w:b/>
          <w:color w:val="auto"/>
          <w:lang w:val="es-ES"/>
        </w:rPr>
        <w:tab/>
        <w:t>Efectos sobre la capacidad para conducir y utilizar máquinas</w:t>
      </w:r>
    </w:p>
    <w:p w14:paraId="03C353D1" w14:textId="77777777" w:rsidR="00FB24C0" w:rsidRPr="00443040" w:rsidRDefault="00FB24C0" w:rsidP="00FB24C0">
      <w:pPr>
        <w:keepNext/>
        <w:spacing w:after="0" w:line="240" w:lineRule="auto"/>
        <w:ind w:left="0" w:firstLine="0"/>
        <w:rPr>
          <w:color w:val="auto"/>
          <w:lang w:val="es-ES"/>
        </w:rPr>
      </w:pPr>
    </w:p>
    <w:p w14:paraId="777321E9" w14:textId="063A2ECA" w:rsidR="00FB24C0" w:rsidRPr="00443040" w:rsidRDefault="00FB24C0" w:rsidP="00FB24C0">
      <w:pPr>
        <w:spacing w:after="0" w:line="240" w:lineRule="auto"/>
        <w:ind w:left="0" w:firstLine="0"/>
        <w:rPr>
          <w:color w:val="auto"/>
          <w:lang w:val="es-ES"/>
        </w:rPr>
      </w:pPr>
      <w:r w:rsidRPr="00443040">
        <w:rPr>
          <w:color w:val="auto"/>
          <w:lang w:val="es-ES"/>
        </w:rPr>
        <w:t xml:space="preserve">La influencia de </w:t>
      </w:r>
      <w:r w:rsidR="00CF0319">
        <w:rPr>
          <w:color w:val="auto"/>
          <w:lang w:val="es-ES"/>
        </w:rPr>
        <w:t>bevacizumab</w:t>
      </w:r>
      <w:r w:rsidRPr="00443040">
        <w:rPr>
          <w:color w:val="auto"/>
          <w:lang w:val="es-ES"/>
        </w:rPr>
        <w:t xml:space="preserve"> sobre la capacidad para conducir y utilizar máquinas es nula o insignificante.</w:t>
      </w:r>
      <w:r w:rsidR="00B43B7E">
        <w:rPr>
          <w:color w:val="auto"/>
          <w:lang w:val="es-ES"/>
        </w:rPr>
        <w:t xml:space="preserve"> </w:t>
      </w:r>
      <w:r w:rsidRPr="00443040">
        <w:rPr>
          <w:color w:val="auto"/>
          <w:lang w:val="es-ES"/>
        </w:rPr>
        <w:t xml:space="preserve">Sin embargo, se ha notificado somnolencia y síncope con el uso de </w:t>
      </w:r>
      <w:r w:rsidR="00CF0319">
        <w:rPr>
          <w:color w:val="auto"/>
          <w:lang w:val="es-ES"/>
        </w:rPr>
        <w:t>bevacizumab</w:t>
      </w:r>
      <w:r w:rsidR="00B43B7E">
        <w:rPr>
          <w:color w:val="auto"/>
          <w:lang w:val="es-ES"/>
        </w:rPr>
        <w:t xml:space="preserve"> (ver </w:t>
      </w:r>
      <w:r w:rsidR="00593970">
        <w:rPr>
          <w:color w:val="auto"/>
          <w:lang w:val="es-ES"/>
        </w:rPr>
        <w:t>t</w:t>
      </w:r>
      <w:r w:rsidR="00B43B7E">
        <w:rPr>
          <w:color w:val="auto"/>
          <w:lang w:val="es-ES"/>
        </w:rPr>
        <w:t>abla 1 en la sección </w:t>
      </w:r>
      <w:r w:rsidRPr="00443040">
        <w:rPr>
          <w:color w:val="auto"/>
          <w:lang w:val="es-ES"/>
        </w:rPr>
        <w:t>4.8). Si los pacientes experimentan síntomas que afectan a su visión o concentración, o su capacidad de reacción, deben ser advertidos de no conducir y utilizar máquinas hasta que los síntomas desaparezcan.</w:t>
      </w:r>
    </w:p>
    <w:p w14:paraId="16E8CF33" w14:textId="77777777" w:rsidR="00FB24C0" w:rsidRPr="00443040" w:rsidRDefault="00FB24C0" w:rsidP="00FB24C0">
      <w:pPr>
        <w:spacing w:after="0" w:line="240" w:lineRule="auto"/>
        <w:ind w:left="0" w:firstLine="0"/>
        <w:rPr>
          <w:color w:val="auto"/>
          <w:lang w:val="es-ES"/>
        </w:rPr>
      </w:pPr>
    </w:p>
    <w:p w14:paraId="7C618C33" w14:textId="77777777" w:rsidR="00FB24C0" w:rsidRPr="00443040" w:rsidRDefault="00FB24C0" w:rsidP="00FB24C0">
      <w:pPr>
        <w:keepNext/>
        <w:tabs>
          <w:tab w:val="center" w:pos="1526"/>
        </w:tabs>
        <w:spacing w:after="0" w:line="240" w:lineRule="auto"/>
        <w:ind w:left="567" w:hanging="567"/>
        <w:rPr>
          <w:b/>
          <w:color w:val="auto"/>
          <w:lang w:val="es-ES"/>
        </w:rPr>
      </w:pPr>
      <w:r w:rsidRPr="00443040">
        <w:rPr>
          <w:b/>
          <w:color w:val="auto"/>
          <w:lang w:val="es-ES"/>
        </w:rPr>
        <w:t>4.8</w:t>
      </w:r>
      <w:r w:rsidRPr="00443040">
        <w:rPr>
          <w:b/>
          <w:color w:val="auto"/>
          <w:lang w:val="es-ES"/>
        </w:rPr>
        <w:tab/>
        <w:t>Reacciones adversas</w:t>
      </w:r>
    </w:p>
    <w:p w14:paraId="454C74F7" w14:textId="77777777" w:rsidR="00FB24C0" w:rsidRPr="00443040" w:rsidRDefault="00FB24C0" w:rsidP="00FB24C0">
      <w:pPr>
        <w:keepNext/>
        <w:spacing w:after="0" w:line="240" w:lineRule="auto"/>
        <w:ind w:left="0" w:firstLine="0"/>
        <w:rPr>
          <w:color w:val="auto"/>
          <w:lang w:val="es-ES"/>
        </w:rPr>
      </w:pPr>
    </w:p>
    <w:p w14:paraId="21300C10" w14:textId="77777777" w:rsidR="00FB24C0" w:rsidRPr="00443040" w:rsidRDefault="00FB24C0" w:rsidP="00FB24C0">
      <w:pPr>
        <w:keepNext/>
        <w:spacing w:after="0" w:line="240" w:lineRule="auto"/>
        <w:ind w:left="0" w:firstLine="0"/>
        <w:rPr>
          <w:color w:val="auto"/>
          <w:u w:val="single"/>
          <w:lang w:val="es-ES"/>
        </w:rPr>
      </w:pPr>
      <w:r w:rsidRPr="00443040">
        <w:rPr>
          <w:color w:val="auto"/>
          <w:u w:val="single"/>
          <w:lang w:val="es-ES"/>
        </w:rPr>
        <w:t>Resumen del perfil de seguridad</w:t>
      </w:r>
    </w:p>
    <w:p w14:paraId="4B4B7D9B" w14:textId="77777777" w:rsidR="00FB24C0" w:rsidRPr="00443040" w:rsidRDefault="00FB24C0" w:rsidP="00FB24C0">
      <w:pPr>
        <w:keepNext/>
        <w:spacing w:after="0" w:line="240" w:lineRule="auto"/>
        <w:ind w:left="0" w:firstLine="0"/>
        <w:rPr>
          <w:color w:val="auto"/>
          <w:lang w:val="es-ES"/>
        </w:rPr>
      </w:pPr>
    </w:p>
    <w:p w14:paraId="2A1E7B33" w14:textId="77777777" w:rsidR="00FB24C0" w:rsidRPr="00443040" w:rsidRDefault="00FB24C0" w:rsidP="00FB24C0">
      <w:pPr>
        <w:spacing w:after="0" w:line="240" w:lineRule="auto"/>
        <w:ind w:left="0" w:firstLine="0"/>
        <w:rPr>
          <w:color w:val="auto"/>
          <w:lang w:val="es-ES"/>
        </w:rPr>
      </w:pPr>
      <w:r w:rsidRPr="00443040">
        <w:rPr>
          <w:color w:val="auto"/>
          <w:lang w:val="es-ES"/>
        </w:rPr>
        <w:t xml:space="preserve">El perfil de seguridad global de </w:t>
      </w:r>
      <w:r w:rsidR="00CF0319">
        <w:rPr>
          <w:color w:val="auto"/>
          <w:lang w:val="es-ES"/>
        </w:rPr>
        <w:t>bevacizumab</w:t>
      </w:r>
      <w:r w:rsidR="00CF0319" w:rsidRPr="00443040" w:rsidDel="00CF0319">
        <w:rPr>
          <w:color w:val="auto"/>
          <w:lang w:val="es-ES"/>
        </w:rPr>
        <w:t xml:space="preserve"> </w:t>
      </w:r>
      <w:r w:rsidRPr="00443040">
        <w:rPr>
          <w:color w:val="auto"/>
          <w:lang w:val="es-ES"/>
        </w:rPr>
        <w:t xml:space="preserve">está basado en los datos de más de 5.700 pacientes con varios tipos de cáncer, tratados en su mayoría con </w:t>
      </w:r>
      <w:r w:rsidR="00CF0319">
        <w:rPr>
          <w:color w:val="auto"/>
          <w:lang w:val="es-ES"/>
        </w:rPr>
        <w:t>bevacizumab</w:t>
      </w:r>
      <w:r w:rsidRPr="00443040">
        <w:rPr>
          <w:color w:val="auto"/>
          <w:lang w:val="es-ES"/>
        </w:rPr>
        <w:t xml:space="preserve"> en combinación con quimioterapia en ensayos clínicos.</w:t>
      </w:r>
    </w:p>
    <w:p w14:paraId="6E692FD6" w14:textId="77777777" w:rsidR="00FB24C0" w:rsidRPr="00443040" w:rsidRDefault="00FB24C0" w:rsidP="00FB24C0">
      <w:pPr>
        <w:spacing w:after="0" w:line="240" w:lineRule="auto"/>
        <w:ind w:left="0" w:firstLine="0"/>
        <w:rPr>
          <w:color w:val="auto"/>
          <w:lang w:val="es-ES"/>
        </w:rPr>
      </w:pPr>
    </w:p>
    <w:p w14:paraId="545D1C8D" w14:textId="77777777" w:rsidR="00FB24C0" w:rsidRPr="00443040" w:rsidRDefault="00FB24C0" w:rsidP="00B43B7E">
      <w:pPr>
        <w:keepNext/>
        <w:spacing w:after="0" w:line="240" w:lineRule="auto"/>
        <w:ind w:left="0" w:firstLine="0"/>
        <w:rPr>
          <w:color w:val="auto"/>
          <w:lang w:val="es-ES"/>
        </w:rPr>
      </w:pPr>
      <w:r w:rsidRPr="00443040">
        <w:rPr>
          <w:color w:val="auto"/>
          <w:lang w:val="es-ES"/>
        </w:rPr>
        <w:t>Las reacciones adversas más graves fueron:</w:t>
      </w:r>
    </w:p>
    <w:p w14:paraId="131D3826" w14:textId="77777777" w:rsidR="00FB24C0" w:rsidRPr="00443040" w:rsidRDefault="00FB24C0" w:rsidP="00B43B7E">
      <w:pPr>
        <w:keepNext/>
        <w:spacing w:after="0" w:line="240" w:lineRule="auto"/>
        <w:ind w:left="0" w:firstLine="0"/>
        <w:rPr>
          <w:color w:val="auto"/>
          <w:lang w:val="es-ES"/>
        </w:rPr>
      </w:pPr>
    </w:p>
    <w:p w14:paraId="62FFC4FF" w14:textId="77777777" w:rsidR="00FB24C0" w:rsidRPr="00443040" w:rsidRDefault="00FB24C0" w:rsidP="00B43B7E">
      <w:pPr>
        <w:keepNext/>
        <w:numPr>
          <w:ilvl w:val="0"/>
          <w:numId w:val="2"/>
        </w:numPr>
        <w:spacing w:after="0" w:line="240" w:lineRule="auto"/>
        <w:ind w:left="567" w:hanging="567"/>
        <w:rPr>
          <w:color w:val="auto"/>
          <w:lang w:val="es-ES"/>
        </w:rPr>
      </w:pPr>
      <w:r w:rsidRPr="00443040">
        <w:rPr>
          <w:color w:val="auto"/>
          <w:lang w:val="es-ES"/>
        </w:rPr>
        <w:t>Perforaciones gastrointestinales (ver sección 4.4).</w:t>
      </w:r>
    </w:p>
    <w:p w14:paraId="09355783" w14:textId="77777777" w:rsidR="00FB24C0" w:rsidRPr="00443040" w:rsidRDefault="00FB24C0" w:rsidP="00B43B7E">
      <w:pPr>
        <w:keepNext/>
        <w:numPr>
          <w:ilvl w:val="0"/>
          <w:numId w:val="2"/>
        </w:numPr>
        <w:spacing w:after="0" w:line="240" w:lineRule="auto"/>
        <w:ind w:left="567" w:hanging="567"/>
        <w:rPr>
          <w:color w:val="auto"/>
          <w:lang w:val="es-ES"/>
        </w:rPr>
      </w:pPr>
      <w:r w:rsidRPr="00443040">
        <w:rPr>
          <w:color w:val="auto"/>
          <w:lang w:val="es-ES"/>
        </w:rPr>
        <w:t>Hemorragia, incluyendo hemorragia pulmonar/hemoptisis, más frecuente en pacientes con cáncer de pulmón no microcítico (ver sección 4.4).</w:t>
      </w:r>
    </w:p>
    <w:p w14:paraId="5E6AED24" w14:textId="77777777" w:rsidR="00FB24C0" w:rsidRPr="00443040" w:rsidRDefault="00FB24C0" w:rsidP="00FB24C0">
      <w:pPr>
        <w:numPr>
          <w:ilvl w:val="0"/>
          <w:numId w:val="2"/>
        </w:numPr>
        <w:spacing w:after="0" w:line="240" w:lineRule="auto"/>
        <w:ind w:left="567" w:hanging="567"/>
        <w:rPr>
          <w:color w:val="auto"/>
          <w:lang w:val="es-ES"/>
        </w:rPr>
      </w:pPr>
      <w:r w:rsidRPr="00443040">
        <w:rPr>
          <w:color w:val="auto"/>
          <w:lang w:val="es-ES"/>
        </w:rPr>
        <w:t>Tromboembolismo arterial (ver sección 4.4).</w:t>
      </w:r>
    </w:p>
    <w:p w14:paraId="471872E4" w14:textId="77777777" w:rsidR="00FB24C0" w:rsidRPr="00443040" w:rsidRDefault="00FB24C0" w:rsidP="00FB24C0">
      <w:pPr>
        <w:spacing w:after="0" w:line="240" w:lineRule="auto"/>
        <w:ind w:left="0" w:firstLine="0"/>
        <w:rPr>
          <w:color w:val="auto"/>
          <w:lang w:val="es-ES"/>
        </w:rPr>
      </w:pPr>
    </w:p>
    <w:p w14:paraId="0FFC757D" w14:textId="77777777" w:rsidR="00FB24C0" w:rsidRPr="00443040" w:rsidRDefault="00FB24C0" w:rsidP="00FB24C0">
      <w:pPr>
        <w:spacing w:after="0" w:line="240" w:lineRule="auto"/>
        <w:ind w:left="0" w:firstLine="0"/>
        <w:rPr>
          <w:color w:val="auto"/>
          <w:lang w:val="es-ES"/>
        </w:rPr>
      </w:pPr>
      <w:r w:rsidRPr="00443040">
        <w:rPr>
          <w:color w:val="auto"/>
          <w:lang w:val="es-ES"/>
        </w:rPr>
        <w:t xml:space="preserve">En los ensayos clínicos, las reacciones adversas observadas globalmente con mayor frecuencia en pacientes tratados con </w:t>
      </w:r>
      <w:r w:rsidR="00CF0319">
        <w:rPr>
          <w:color w:val="auto"/>
          <w:lang w:val="es-ES"/>
        </w:rPr>
        <w:t>bevacizumab</w:t>
      </w:r>
      <w:r w:rsidR="00CF0319" w:rsidRPr="00443040" w:rsidDel="00CF0319">
        <w:rPr>
          <w:color w:val="auto"/>
          <w:lang w:val="es-ES"/>
        </w:rPr>
        <w:t xml:space="preserve"> </w:t>
      </w:r>
      <w:r w:rsidRPr="00443040">
        <w:rPr>
          <w:color w:val="auto"/>
          <w:lang w:val="es-ES"/>
        </w:rPr>
        <w:t>fueron hipertensión, fatiga o astenia, diarrea y dolor abdominal.</w:t>
      </w:r>
    </w:p>
    <w:p w14:paraId="6333FC06" w14:textId="77777777" w:rsidR="00FB24C0" w:rsidRPr="00443040" w:rsidRDefault="00FB24C0" w:rsidP="00FB24C0">
      <w:pPr>
        <w:spacing w:after="0" w:line="240" w:lineRule="auto"/>
        <w:ind w:left="0" w:firstLine="0"/>
        <w:rPr>
          <w:color w:val="auto"/>
          <w:lang w:val="es-ES"/>
        </w:rPr>
      </w:pPr>
    </w:p>
    <w:p w14:paraId="5C58542F" w14:textId="77777777" w:rsidR="00FB24C0" w:rsidRPr="00443040" w:rsidRDefault="00FB24C0" w:rsidP="00FB24C0">
      <w:pPr>
        <w:spacing w:after="0" w:line="240" w:lineRule="auto"/>
        <w:ind w:left="0" w:firstLine="0"/>
        <w:rPr>
          <w:color w:val="auto"/>
          <w:lang w:val="es-ES"/>
        </w:rPr>
      </w:pPr>
      <w:r w:rsidRPr="00443040">
        <w:rPr>
          <w:color w:val="auto"/>
          <w:lang w:val="es-ES"/>
        </w:rPr>
        <w:t xml:space="preserve">Los análisis de los datos de seguridad clínica sugieren que la incidencia de hipertensión y proteinuria durante la terapia con </w:t>
      </w:r>
      <w:r w:rsidR="00CF0319">
        <w:rPr>
          <w:color w:val="auto"/>
          <w:lang w:val="es-ES"/>
        </w:rPr>
        <w:t>bevacizumab</w:t>
      </w:r>
      <w:r w:rsidR="00CF0319" w:rsidRPr="00443040" w:rsidDel="00CF0319">
        <w:rPr>
          <w:color w:val="auto"/>
          <w:lang w:val="es-ES"/>
        </w:rPr>
        <w:t xml:space="preserve"> </w:t>
      </w:r>
      <w:r w:rsidRPr="00443040">
        <w:rPr>
          <w:color w:val="auto"/>
          <w:lang w:val="es-ES"/>
        </w:rPr>
        <w:t>probablemente sea dosis-dependiente.</w:t>
      </w:r>
    </w:p>
    <w:p w14:paraId="43A27F64" w14:textId="77777777" w:rsidR="00FB24C0" w:rsidRPr="00443040" w:rsidRDefault="00FB24C0" w:rsidP="00FB24C0">
      <w:pPr>
        <w:spacing w:after="0" w:line="240" w:lineRule="auto"/>
        <w:ind w:left="0" w:firstLine="0"/>
        <w:rPr>
          <w:color w:val="auto"/>
          <w:lang w:val="es-ES"/>
        </w:rPr>
      </w:pPr>
    </w:p>
    <w:p w14:paraId="4BFE03E2" w14:textId="77777777" w:rsidR="00FB24C0" w:rsidRPr="00443040" w:rsidRDefault="00FB24C0" w:rsidP="00FB24C0">
      <w:pPr>
        <w:keepNext/>
        <w:spacing w:after="0" w:line="240" w:lineRule="auto"/>
        <w:ind w:left="0" w:firstLine="0"/>
        <w:rPr>
          <w:color w:val="auto"/>
          <w:u w:val="single"/>
          <w:lang w:val="es-ES"/>
        </w:rPr>
      </w:pPr>
      <w:r w:rsidRPr="00443040">
        <w:rPr>
          <w:color w:val="auto"/>
          <w:u w:val="single"/>
          <w:lang w:val="es-ES"/>
        </w:rPr>
        <w:t>Tabla de reacciones adversas</w:t>
      </w:r>
    </w:p>
    <w:p w14:paraId="6AE7C5CC" w14:textId="77777777" w:rsidR="00FB24C0" w:rsidRPr="00443040" w:rsidRDefault="00FB24C0" w:rsidP="00FB24C0">
      <w:pPr>
        <w:keepNext/>
        <w:spacing w:after="0" w:line="240" w:lineRule="auto"/>
        <w:ind w:left="0" w:firstLine="0"/>
        <w:rPr>
          <w:color w:val="auto"/>
          <w:lang w:val="es-ES"/>
        </w:rPr>
      </w:pPr>
    </w:p>
    <w:p w14:paraId="589C1500" w14:textId="77777777" w:rsidR="00FB24C0" w:rsidRPr="00443040" w:rsidRDefault="00FB24C0" w:rsidP="00FB24C0">
      <w:pPr>
        <w:spacing w:after="0" w:line="240" w:lineRule="auto"/>
        <w:ind w:left="0" w:firstLine="0"/>
        <w:rPr>
          <w:color w:val="auto"/>
          <w:lang w:val="es-ES"/>
        </w:rPr>
      </w:pPr>
      <w:r w:rsidRPr="00443040">
        <w:rPr>
          <w:color w:val="auto"/>
          <w:lang w:val="es-ES"/>
        </w:rPr>
        <w:t>Las reacciones adversas enumeradas en esta sección se clasifican por frecuencia en las siguientes categorías. Muy comunes (≥ 1/10); comunes (≥ 1/100 y &lt; 1/10); poco comunes (≥ 1/1</w:t>
      </w:r>
      <w:r w:rsidR="00F751E2">
        <w:rPr>
          <w:color w:val="auto"/>
          <w:lang w:val="es-ES"/>
        </w:rPr>
        <w:t>.</w:t>
      </w:r>
      <w:r w:rsidRPr="00443040">
        <w:rPr>
          <w:color w:val="auto"/>
          <w:lang w:val="es-ES"/>
        </w:rPr>
        <w:t>000 y &lt; 1/100); raras (≥ 1/10</w:t>
      </w:r>
      <w:r w:rsidR="00F751E2">
        <w:rPr>
          <w:color w:val="auto"/>
          <w:lang w:val="es-ES"/>
        </w:rPr>
        <w:t>.</w:t>
      </w:r>
      <w:r w:rsidRPr="00443040">
        <w:rPr>
          <w:color w:val="auto"/>
          <w:lang w:val="es-ES"/>
        </w:rPr>
        <w:t>000 y &lt; 1/1</w:t>
      </w:r>
      <w:r w:rsidR="00F751E2">
        <w:rPr>
          <w:color w:val="auto"/>
          <w:lang w:val="es-ES"/>
        </w:rPr>
        <w:t>.</w:t>
      </w:r>
      <w:r w:rsidRPr="00443040">
        <w:rPr>
          <w:color w:val="auto"/>
          <w:lang w:val="es-ES"/>
        </w:rPr>
        <w:t>000); muy raras (&lt; 1/10</w:t>
      </w:r>
      <w:r w:rsidR="00F751E2">
        <w:rPr>
          <w:color w:val="auto"/>
          <w:lang w:val="es-ES"/>
        </w:rPr>
        <w:t>.</w:t>
      </w:r>
      <w:r w:rsidRPr="00443040">
        <w:rPr>
          <w:color w:val="auto"/>
          <w:lang w:val="es-ES"/>
        </w:rPr>
        <w:t>000); frecuencia no conocida (no puede estimarse a partir de los datos disponibles).</w:t>
      </w:r>
    </w:p>
    <w:p w14:paraId="76DE7E6F" w14:textId="77777777" w:rsidR="00FB24C0" w:rsidRPr="00443040" w:rsidRDefault="00FB24C0" w:rsidP="00FB24C0">
      <w:pPr>
        <w:spacing w:after="0" w:line="240" w:lineRule="auto"/>
        <w:ind w:left="0" w:firstLine="0"/>
        <w:rPr>
          <w:color w:val="auto"/>
          <w:lang w:val="es-ES"/>
        </w:rPr>
      </w:pPr>
    </w:p>
    <w:p w14:paraId="50A55592" w14:textId="2B626DC9" w:rsidR="00FB24C0" w:rsidRPr="00443040" w:rsidRDefault="00FB24C0" w:rsidP="00FB24C0">
      <w:pPr>
        <w:spacing w:after="0" w:line="240" w:lineRule="auto"/>
        <w:ind w:left="0" w:firstLine="0"/>
        <w:rPr>
          <w:color w:val="auto"/>
          <w:lang w:val="es-ES"/>
        </w:rPr>
      </w:pPr>
      <w:r w:rsidRPr="00443040">
        <w:rPr>
          <w:color w:val="auto"/>
          <w:lang w:val="es-ES"/>
        </w:rPr>
        <w:t xml:space="preserve">Las </w:t>
      </w:r>
      <w:r w:rsidR="00593970">
        <w:rPr>
          <w:color w:val="auto"/>
          <w:lang w:val="es-ES"/>
        </w:rPr>
        <w:t>t</w:t>
      </w:r>
      <w:r w:rsidRPr="00443040">
        <w:rPr>
          <w:color w:val="auto"/>
          <w:lang w:val="es-ES"/>
        </w:rPr>
        <w:t xml:space="preserve">ablas 1 y 2 enumeran las reacciones adversas asociadas con el uso de </w:t>
      </w:r>
      <w:r w:rsidR="00CF0319">
        <w:rPr>
          <w:color w:val="auto"/>
          <w:lang w:val="es-ES"/>
        </w:rPr>
        <w:t>bevacizumab</w:t>
      </w:r>
      <w:r w:rsidRPr="00443040">
        <w:rPr>
          <w:color w:val="auto"/>
          <w:lang w:val="es-ES"/>
        </w:rPr>
        <w:t xml:space="preserve"> en combinación con diferentes </w:t>
      </w:r>
      <w:r w:rsidR="00322361">
        <w:rPr>
          <w:color w:val="auto"/>
          <w:lang w:val="es-ES"/>
        </w:rPr>
        <w:t>pautas</w:t>
      </w:r>
      <w:r w:rsidRPr="00443040">
        <w:rPr>
          <w:color w:val="auto"/>
          <w:lang w:val="es-ES"/>
        </w:rPr>
        <w:t xml:space="preserve"> de quimioterapia en múltiples indicaciones</w:t>
      </w:r>
      <w:r w:rsidR="00DF4C9E" w:rsidRPr="00DF4C9E">
        <w:rPr>
          <w:color w:val="auto"/>
          <w:lang w:val="es-ES"/>
        </w:rPr>
        <w:t>, según la clasificación de órganos del sistema MedDRA</w:t>
      </w:r>
      <w:r w:rsidRPr="00443040">
        <w:rPr>
          <w:color w:val="auto"/>
          <w:lang w:val="es-ES"/>
        </w:rPr>
        <w:t>.</w:t>
      </w:r>
    </w:p>
    <w:p w14:paraId="71D09595" w14:textId="77777777" w:rsidR="00FB24C0" w:rsidRPr="00443040" w:rsidRDefault="00FB24C0" w:rsidP="00FB24C0">
      <w:pPr>
        <w:spacing w:after="0" w:line="240" w:lineRule="auto"/>
        <w:ind w:left="0" w:firstLine="0"/>
        <w:rPr>
          <w:color w:val="auto"/>
          <w:lang w:val="es-ES"/>
        </w:rPr>
      </w:pPr>
    </w:p>
    <w:p w14:paraId="6A076345" w14:textId="05941035" w:rsidR="00FB24C0" w:rsidRPr="00443040" w:rsidRDefault="00FB24C0" w:rsidP="00B43B7E">
      <w:pPr>
        <w:keepNext/>
        <w:spacing w:after="0" w:line="240" w:lineRule="auto"/>
        <w:ind w:left="0" w:firstLine="0"/>
        <w:rPr>
          <w:color w:val="auto"/>
          <w:lang w:val="es-ES"/>
        </w:rPr>
      </w:pPr>
      <w:r w:rsidRPr="00443040">
        <w:rPr>
          <w:color w:val="auto"/>
          <w:lang w:val="es-ES"/>
        </w:rPr>
        <w:lastRenderedPageBreak/>
        <w:t xml:space="preserve">La </w:t>
      </w:r>
      <w:r w:rsidR="00593970">
        <w:rPr>
          <w:color w:val="auto"/>
          <w:lang w:val="es-ES"/>
        </w:rPr>
        <w:t>t</w:t>
      </w:r>
      <w:r w:rsidRPr="00443040">
        <w:rPr>
          <w:color w:val="auto"/>
          <w:lang w:val="es-ES"/>
        </w:rPr>
        <w:t xml:space="preserve">abla 1 muestra reacciones adversas clasificadas por frecuencia. Se determinó que éstas tenían una relación causal con </w:t>
      </w:r>
      <w:r w:rsidR="00CF0319">
        <w:rPr>
          <w:color w:val="auto"/>
          <w:lang w:val="es-ES"/>
        </w:rPr>
        <w:t>bevacizumab</w:t>
      </w:r>
      <w:r w:rsidR="00CF0319" w:rsidRPr="00443040" w:rsidDel="00CF0319">
        <w:rPr>
          <w:color w:val="auto"/>
          <w:lang w:val="es-ES"/>
        </w:rPr>
        <w:t xml:space="preserve"> </w:t>
      </w:r>
      <w:r w:rsidRPr="00443040">
        <w:rPr>
          <w:color w:val="auto"/>
          <w:lang w:val="es-ES"/>
        </w:rPr>
        <w:t>a través de:</w:t>
      </w:r>
    </w:p>
    <w:p w14:paraId="7A767DB3" w14:textId="77777777" w:rsidR="00FB24C0" w:rsidRPr="00443040" w:rsidRDefault="00FB24C0" w:rsidP="00FB24C0">
      <w:pPr>
        <w:numPr>
          <w:ilvl w:val="0"/>
          <w:numId w:val="2"/>
        </w:numPr>
        <w:spacing w:after="0" w:line="240" w:lineRule="auto"/>
        <w:ind w:left="567" w:hanging="567"/>
        <w:rPr>
          <w:color w:val="auto"/>
          <w:lang w:val="es-ES"/>
        </w:rPr>
      </w:pPr>
      <w:r w:rsidRPr="00443040">
        <w:rPr>
          <w:color w:val="auto"/>
          <w:lang w:val="es-ES"/>
        </w:rPr>
        <w:t>incidencias relativas observadas entre los brazos de tratamiento del ensayo clínico (al menos con una diferencia del 10% de reacciones NCI-CTCAE de Grado 1-5 o al menos con una diferencia del 2% de reacciones NCI-CTCAE de Grado 3-5)</w:t>
      </w:r>
      <w:r w:rsidR="00F751E2">
        <w:rPr>
          <w:color w:val="auto"/>
          <w:lang w:val="es-ES"/>
        </w:rPr>
        <w:t>,</w:t>
      </w:r>
    </w:p>
    <w:p w14:paraId="2EC1412D" w14:textId="77777777" w:rsidR="00FB24C0" w:rsidRPr="00443040" w:rsidRDefault="00FB24C0" w:rsidP="00FB24C0">
      <w:pPr>
        <w:numPr>
          <w:ilvl w:val="0"/>
          <w:numId w:val="2"/>
        </w:numPr>
        <w:spacing w:after="0" w:line="240" w:lineRule="auto"/>
        <w:ind w:left="567" w:hanging="567"/>
        <w:rPr>
          <w:color w:val="auto"/>
          <w:lang w:val="es-ES"/>
        </w:rPr>
      </w:pPr>
      <w:r w:rsidRPr="00443040">
        <w:rPr>
          <w:color w:val="auto"/>
          <w:lang w:val="es-ES"/>
        </w:rPr>
        <w:t xml:space="preserve">estudios de seguridad </w:t>
      </w:r>
      <w:proofErr w:type="spellStart"/>
      <w:r w:rsidRPr="00443040">
        <w:rPr>
          <w:color w:val="auto"/>
          <w:lang w:val="es-ES"/>
        </w:rPr>
        <w:t>post-autorización</w:t>
      </w:r>
      <w:proofErr w:type="spellEnd"/>
      <w:r w:rsidRPr="00443040">
        <w:rPr>
          <w:color w:val="auto"/>
          <w:lang w:val="es-ES"/>
        </w:rPr>
        <w:t>,</w:t>
      </w:r>
    </w:p>
    <w:p w14:paraId="46EE2CA5" w14:textId="77777777" w:rsidR="00FB24C0" w:rsidRPr="00443040" w:rsidRDefault="00FB24C0" w:rsidP="00FB24C0">
      <w:pPr>
        <w:numPr>
          <w:ilvl w:val="0"/>
          <w:numId w:val="2"/>
        </w:numPr>
        <w:spacing w:after="0" w:line="240" w:lineRule="auto"/>
        <w:ind w:left="567" w:hanging="567"/>
        <w:rPr>
          <w:color w:val="auto"/>
          <w:lang w:val="es-ES"/>
        </w:rPr>
      </w:pPr>
      <w:r w:rsidRPr="00443040">
        <w:rPr>
          <w:color w:val="auto"/>
          <w:lang w:val="es-ES"/>
        </w:rPr>
        <w:t>la notificación espontánea,</w:t>
      </w:r>
    </w:p>
    <w:p w14:paraId="3A3392DA" w14:textId="77777777" w:rsidR="00FB24C0" w:rsidRPr="00443040" w:rsidRDefault="00FB24C0" w:rsidP="00FB24C0">
      <w:pPr>
        <w:numPr>
          <w:ilvl w:val="0"/>
          <w:numId w:val="2"/>
        </w:numPr>
        <w:spacing w:after="0" w:line="240" w:lineRule="auto"/>
        <w:ind w:left="567" w:hanging="567"/>
        <w:rPr>
          <w:color w:val="auto"/>
          <w:lang w:val="es-ES"/>
        </w:rPr>
      </w:pPr>
      <w:r w:rsidRPr="00443040">
        <w:rPr>
          <w:color w:val="auto"/>
          <w:lang w:val="es-ES"/>
        </w:rPr>
        <w:t xml:space="preserve">los estudios epidemiológicos/no </w:t>
      </w:r>
      <w:proofErr w:type="spellStart"/>
      <w:r w:rsidRPr="00443040">
        <w:rPr>
          <w:color w:val="auto"/>
          <w:lang w:val="es-ES"/>
        </w:rPr>
        <w:t>intervencionales</w:t>
      </w:r>
      <w:proofErr w:type="spellEnd"/>
      <w:r w:rsidRPr="00443040">
        <w:rPr>
          <w:color w:val="auto"/>
          <w:lang w:val="es-ES"/>
        </w:rPr>
        <w:t xml:space="preserve"> o los estudios observacionales,</w:t>
      </w:r>
    </w:p>
    <w:p w14:paraId="67959806" w14:textId="77777777" w:rsidR="00FB24C0" w:rsidRPr="00443040" w:rsidRDefault="00FB24C0" w:rsidP="00FB24C0">
      <w:pPr>
        <w:numPr>
          <w:ilvl w:val="0"/>
          <w:numId w:val="2"/>
        </w:numPr>
        <w:spacing w:after="0" w:line="240" w:lineRule="auto"/>
        <w:ind w:left="567" w:hanging="567"/>
        <w:rPr>
          <w:color w:val="auto"/>
          <w:lang w:val="es-ES"/>
        </w:rPr>
      </w:pPr>
      <w:r w:rsidRPr="00443040">
        <w:rPr>
          <w:color w:val="auto"/>
          <w:lang w:val="es-ES"/>
        </w:rPr>
        <w:t>o a través de la evaluación de notificaciones de casos individuales.</w:t>
      </w:r>
    </w:p>
    <w:p w14:paraId="70F60E6B" w14:textId="77777777" w:rsidR="00FB24C0" w:rsidRPr="00443040" w:rsidRDefault="00FB24C0" w:rsidP="00FB24C0">
      <w:pPr>
        <w:spacing w:after="0" w:line="240" w:lineRule="auto"/>
        <w:ind w:left="0" w:firstLine="0"/>
        <w:rPr>
          <w:color w:val="auto"/>
          <w:lang w:val="es-ES"/>
        </w:rPr>
      </w:pPr>
    </w:p>
    <w:p w14:paraId="2A9422D2" w14:textId="4AC4E6F6" w:rsidR="00FB24C0" w:rsidRPr="00443040" w:rsidRDefault="00FB24C0" w:rsidP="00254CE1">
      <w:pPr>
        <w:spacing w:after="0" w:line="240" w:lineRule="auto"/>
        <w:ind w:left="0" w:firstLine="0"/>
        <w:rPr>
          <w:color w:val="auto"/>
          <w:lang w:val="es-ES"/>
        </w:rPr>
      </w:pPr>
      <w:r w:rsidRPr="00443040">
        <w:rPr>
          <w:color w:val="auto"/>
          <w:lang w:val="es-ES"/>
        </w:rPr>
        <w:t xml:space="preserve">La </w:t>
      </w:r>
      <w:r w:rsidR="00593970">
        <w:rPr>
          <w:color w:val="auto"/>
          <w:lang w:val="es-ES"/>
        </w:rPr>
        <w:t>t</w:t>
      </w:r>
      <w:r w:rsidRPr="00443040">
        <w:rPr>
          <w:color w:val="auto"/>
          <w:lang w:val="es-ES"/>
        </w:rPr>
        <w:t xml:space="preserve">abla 2 muestra la frecuencia de reacciones adversas graves. Las reacciones graves se definen como </w:t>
      </w:r>
      <w:r w:rsidR="00254CE1">
        <w:rPr>
          <w:color w:val="auto"/>
          <w:lang w:val="es-ES"/>
        </w:rPr>
        <w:t>reacciones</w:t>
      </w:r>
      <w:r w:rsidRPr="00443040">
        <w:rPr>
          <w:color w:val="auto"/>
          <w:lang w:val="es-ES"/>
        </w:rPr>
        <w:t xml:space="preserve"> advers</w:t>
      </w:r>
      <w:r w:rsidR="00254CE1">
        <w:rPr>
          <w:color w:val="auto"/>
          <w:lang w:val="es-ES"/>
        </w:rPr>
        <w:t>a</w:t>
      </w:r>
      <w:r w:rsidRPr="00443040">
        <w:rPr>
          <w:color w:val="auto"/>
          <w:lang w:val="es-ES"/>
        </w:rPr>
        <w:t xml:space="preserve">s con al menos una diferencia del 2% en comparación con el brazo de control en los </w:t>
      </w:r>
      <w:r w:rsidR="00254CE1">
        <w:rPr>
          <w:color w:val="auto"/>
          <w:lang w:val="es-ES"/>
        </w:rPr>
        <w:t>ensayos</w:t>
      </w:r>
      <w:r w:rsidRPr="00443040">
        <w:rPr>
          <w:color w:val="auto"/>
          <w:lang w:val="es-ES"/>
        </w:rPr>
        <w:t xml:space="preserve"> clínicos para reacciones NCI-CTCAE de Grado 3-5. La </w:t>
      </w:r>
      <w:r w:rsidR="00593970">
        <w:rPr>
          <w:color w:val="auto"/>
          <w:lang w:val="es-ES"/>
        </w:rPr>
        <w:t>t</w:t>
      </w:r>
      <w:r w:rsidRPr="00443040">
        <w:rPr>
          <w:color w:val="auto"/>
          <w:lang w:val="es-ES"/>
        </w:rPr>
        <w:t>abla 2 también incluye las reacciones adversas que son consideradas por el TAC como clínicamente significativas o graves.</w:t>
      </w:r>
    </w:p>
    <w:p w14:paraId="1008A730" w14:textId="77777777" w:rsidR="00FB24C0" w:rsidRPr="00443040" w:rsidRDefault="00FB24C0" w:rsidP="00FB24C0">
      <w:pPr>
        <w:spacing w:after="0" w:line="240" w:lineRule="auto"/>
        <w:ind w:left="0" w:firstLine="0"/>
        <w:rPr>
          <w:color w:val="auto"/>
          <w:lang w:val="es-ES"/>
        </w:rPr>
      </w:pPr>
    </w:p>
    <w:p w14:paraId="37028832" w14:textId="1B590E2B" w:rsidR="00FB24C0" w:rsidRPr="00443040" w:rsidRDefault="00FB24C0" w:rsidP="00FB24C0">
      <w:pPr>
        <w:spacing w:after="0" w:line="240" w:lineRule="auto"/>
        <w:ind w:left="0" w:firstLine="0"/>
        <w:rPr>
          <w:color w:val="auto"/>
          <w:lang w:val="es-ES"/>
        </w:rPr>
      </w:pPr>
      <w:r w:rsidRPr="00443040">
        <w:rPr>
          <w:color w:val="auto"/>
          <w:lang w:val="es-ES"/>
        </w:rPr>
        <w:t xml:space="preserve">En ambas </w:t>
      </w:r>
      <w:r w:rsidR="00593970">
        <w:rPr>
          <w:color w:val="auto"/>
          <w:lang w:val="es-ES"/>
        </w:rPr>
        <w:t>t</w:t>
      </w:r>
      <w:r w:rsidRPr="00443040">
        <w:rPr>
          <w:color w:val="auto"/>
          <w:lang w:val="es-ES"/>
        </w:rPr>
        <w:t xml:space="preserve">ablas 1 y 2 se incluyen las reacciones adversas </w:t>
      </w:r>
      <w:proofErr w:type="spellStart"/>
      <w:r w:rsidRPr="00443040">
        <w:rPr>
          <w:color w:val="auto"/>
          <w:lang w:val="es-ES"/>
        </w:rPr>
        <w:t>poscomercialización</w:t>
      </w:r>
      <w:proofErr w:type="spellEnd"/>
      <w:r w:rsidRPr="00443040">
        <w:rPr>
          <w:color w:val="auto"/>
          <w:lang w:val="es-ES"/>
        </w:rPr>
        <w:t xml:space="preserve">, según corresponda. La información detallada sobre estas reacciones posteriores a la comercialización se muestra en la </w:t>
      </w:r>
      <w:r w:rsidR="00471B84">
        <w:rPr>
          <w:color w:val="auto"/>
          <w:lang w:val="es-ES"/>
        </w:rPr>
        <w:t>t</w:t>
      </w:r>
      <w:r w:rsidRPr="00443040">
        <w:rPr>
          <w:color w:val="auto"/>
          <w:lang w:val="es-ES"/>
        </w:rPr>
        <w:t>abla 3.</w:t>
      </w:r>
    </w:p>
    <w:p w14:paraId="772FC2FF" w14:textId="77777777" w:rsidR="00FB24C0" w:rsidRPr="00443040" w:rsidRDefault="00FB24C0" w:rsidP="00FB24C0">
      <w:pPr>
        <w:spacing w:after="0" w:line="240" w:lineRule="auto"/>
        <w:ind w:left="0" w:firstLine="0"/>
        <w:rPr>
          <w:color w:val="auto"/>
          <w:lang w:val="es-ES"/>
        </w:rPr>
      </w:pPr>
    </w:p>
    <w:p w14:paraId="7E58B2DC" w14:textId="77777777" w:rsidR="00FB24C0" w:rsidRDefault="00FB24C0" w:rsidP="00FB24C0">
      <w:pPr>
        <w:spacing w:after="0" w:line="240" w:lineRule="auto"/>
        <w:ind w:left="0" w:firstLine="0"/>
        <w:rPr>
          <w:color w:val="auto"/>
          <w:lang w:val="es-ES"/>
        </w:rPr>
      </w:pPr>
      <w:r w:rsidRPr="00443040">
        <w:rPr>
          <w:color w:val="auto"/>
          <w:lang w:val="es-ES"/>
        </w:rPr>
        <w:t>Las reacciones adversas se incluyen en la categoría de frecuencia apropiada en las tablas que están a continuación según la incidencia más alta observada en cualquier indicación.</w:t>
      </w:r>
    </w:p>
    <w:p w14:paraId="2BD29670" w14:textId="77777777" w:rsidR="00F751E2" w:rsidRPr="00443040" w:rsidRDefault="00F751E2" w:rsidP="00FB24C0">
      <w:pPr>
        <w:spacing w:after="0" w:line="240" w:lineRule="auto"/>
        <w:ind w:left="0" w:firstLine="0"/>
        <w:rPr>
          <w:color w:val="auto"/>
          <w:lang w:val="es-ES"/>
        </w:rPr>
      </w:pPr>
    </w:p>
    <w:p w14:paraId="48E20B8C" w14:textId="77777777" w:rsidR="00FB24C0" w:rsidRPr="00443040" w:rsidRDefault="00FB24C0" w:rsidP="00FB24C0">
      <w:pPr>
        <w:spacing w:after="0" w:line="240" w:lineRule="auto"/>
        <w:ind w:left="0" w:firstLine="0"/>
        <w:rPr>
          <w:color w:val="auto"/>
          <w:lang w:val="es-ES"/>
        </w:rPr>
      </w:pPr>
      <w:r w:rsidRPr="00443040">
        <w:rPr>
          <w:color w:val="auto"/>
          <w:lang w:val="es-ES"/>
        </w:rPr>
        <w:t>Las reacciones adversas se enumeran en orden decreciente de gravedad dentro de cada intervalo de frecuencia.</w:t>
      </w:r>
    </w:p>
    <w:p w14:paraId="22E1D0EE" w14:textId="77777777" w:rsidR="00FB24C0" w:rsidRPr="00443040" w:rsidRDefault="00FB24C0" w:rsidP="00FB24C0">
      <w:pPr>
        <w:spacing w:after="0" w:line="240" w:lineRule="auto"/>
        <w:ind w:left="0" w:firstLine="0"/>
        <w:rPr>
          <w:color w:val="auto"/>
          <w:lang w:val="es-ES"/>
        </w:rPr>
      </w:pPr>
    </w:p>
    <w:p w14:paraId="4C18F07C" w14:textId="77777777" w:rsidR="00FB24C0" w:rsidRPr="00443040" w:rsidRDefault="00FB24C0" w:rsidP="00FB24C0">
      <w:pPr>
        <w:spacing w:after="0" w:line="240" w:lineRule="auto"/>
        <w:ind w:left="0" w:firstLine="0"/>
        <w:rPr>
          <w:color w:val="auto"/>
          <w:lang w:val="es-ES"/>
        </w:rPr>
      </w:pPr>
      <w:r w:rsidRPr="00443040">
        <w:rPr>
          <w:color w:val="auto"/>
          <w:lang w:val="es-ES"/>
        </w:rPr>
        <w:t>Algunas de las reacciones adversas son reacciones observadas frecuentemente con la quimioterapia; no obstante,</w:t>
      </w:r>
      <w:r w:rsidR="00CF0319" w:rsidRPr="00CF0319">
        <w:rPr>
          <w:color w:val="auto"/>
          <w:lang w:val="es-ES"/>
        </w:rPr>
        <w:t xml:space="preserve"> </w:t>
      </w:r>
      <w:r w:rsidR="00CF0319">
        <w:rPr>
          <w:color w:val="auto"/>
          <w:lang w:val="es-ES"/>
        </w:rPr>
        <w:t xml:space="preserve">bevacizumab </w:t>
      </w:r>
      <w:r w:rsidRPr="00443040">
        <w:rPr>
          <w:color w:val="auto"/>
          <w:lang w:val="es-ES"/>
        </w:rPr>
        <w:t xml:space="preserve">puede exacerbar estas reacciones cuando se combina con agentes quimioterápicos. Los ejemplos incluyen el síndrome de eritrodisestesia palmo-plantar con doxorrubicina </w:t>
      </w:r>
      <w:proofErr w:type="spellStart"/>
      <w:r w:rsidRPr="00443040">
        <w:rPr>
          <w:color w:val="auto"/>
          <w:lang w:val="es-ES"/>
        </w:rPr>
        <w:t>liposomal</w:t>
      </w:r>
      <w:proofErr w:type="spellEnd"/>
      <w:r w:rsidRPr="00443040">
        <w:rPr>
          <w:color w:val="auto"/>
          <w:lang w:val="es-ES"/>
        </w:rPr>
        <w:t xml:space="preserve"> </w:t>
      </w:r>
      <w:proofErr w:type="spellStart"/>
      <w:r w:rsidRPr="00443040">
        <w:rPr>
          <w:color w:val="auto"/>
          <w:lang w:val="es-ES"/>
        </w:rPr>
        <w:t>pegilada</w:t>
      </w:r>
      <w:proofErr w:type="spellEnd"/>
      <w:r w:rsidRPr="00443040">
        <w:rPr>
          <w:color w:val="auto"/>
          <w:lang w:val="es-ES"/>
        </w:rPr>
        <w:t xml:space="preserve"> o </w:t>
      </w:r>
      <w:proofErr w:type="spellStart"/>
      <w:r w:rsidRPr="00443040">
        <w:rPr>
          <w:color w:val="auto"/>
          <w:lang w:val="es-ES"/>
        </w:rPr>
        <w:t>capecitabina</w:t>
      </w:r>
      <w:proofErr w:type="spellEnd"/>
      <w:r w:rsidRPr="00443040">
        <w:rPr>
          <w:color w:val="auto"/>
          <w:lang w:val="es-ES"/>
        </w:rPr>
        <w:t xml:space="preserve">, neuropatía sensorial periférica con </w:t>
      </w:r>
      <w:proofErr w:type="spellStart"/>
      <w:r w:rsidRPr="00443040">
        <w:rPr>
          <w:color w:val="auto"/>
          <w:lang w:val="es-ES"/>
        </w:rPr>
        <w:t>paclitaxel</w:t>
      </w:r>
      <w:proofErr w:type="spellEnd"/>
      <w:r w:rsidRPr="00443040">
        <w:rPr>
          <w:color w:val="auto"/>
          <w:lang w:val="es-ES"/>
        </w:rPr>
        <w:t xml:space="preserve"> u </w:t>
      </w:r>
      <w:proofErr w:type="spellStart"/>
      <w:r w:rsidRPr="00443040">
        <w:rPr>
          <w:color w:val="auto"/>
          <w:lang w:val="es-ES"/>
        </w:rPr>
        <w:t>oxaliplatino</w:t>
      </w:r>
      <w:proofErr w:type="spellEnd"/>
      <w:r w:rsidRPr="00443040">
        <w:rPr>
          <w:color w:val="auto"/>
          <w:lang w:val="es-ES"/>
        </w:rPr>
        <w:t xml:space="preserve">, alteraciones de las uñas o alopecia con </w:t>
      </w:r>
      <w:proofErr w:type="spellStart"/>
      <w:r w:rsidRPr="00443040">
        <w:rPr>
          <w:color w:val="auto"/>
          <w:lang w:val="es-ES"/>
        </w:rPr>
        <w:t>paclitaxel</w:t>
      </w:r>
      <w:proofErr w:type="spellEnd"/>
      <w:r w:rsidRPr="00443040">
        <w:rPr>
          <w:color w:val="auto"/>
          <w:lang w:val="es-ES"/>
        </w:rPr>
        <w:t xml:space="preserve"> y paroniquia con </w:t>
      </w:r>
      <w:proofErr w:type="spellStart"/>
      <w:r w:rsidRPr="00443040">
        <w:rPr>
          <w:color w:val="auto"/>
          <w:lang w:val="es-ES"/>
        </w:rPr>
        <w:t>erlotinib</w:t>
      </w:r>
      <w:proofErr w:type="spellEnd"/>
      <w:r w:rsidRPr="00443040">
        <w:rPr>
          <w:color w:val="auto"/>
          <w:lang w:val="es-ES"/>
        </w:rPr>
        <w:t>.</w:t>
      </w:r>
    </w:p>
    <w:p w14:paraId="73CE9D76" w14:textId="77777777" w:rsidR="00FB24C0" w:rsidRPr="00443040" w:rsidRDefault="00FB24C0" w:rsidP="00FB24C0">
      <w:pPr>
        <w:spacing w:after="0" w:line="240" w:lineRule="auto"/>
        <w:ind w:left="0" w:firstLine="0"/>
        <w:rPr>
          <w:color w:val="auto"/>
          <w:lang w:val="es-ES"/>
        </w:rPr>
      </w:pPr>
    </w:p>
    <w:p w14:paraId="587B9E98" w14:textId="77777777" w:rsidR="00FB24C0" w:rsidRPr="00443040" w:rsidRDefault="00FB24C0" w:rsidP="007C7557">
      <w:pPr>
        <w:keepNext/>
        <w:keepLines/>
        <w:spacing w:after="0" w:line="240" w:lineRule="auto"/>
        <w:ind w:left="0" w:firstLine="0"/>
        <w:rPr>
          <w:b/>
          <w:color w:val="auto"/>
          <w:lang w:val="es-ES"/>
        </w:rPr>
      </w:pPr>
      <w:r w:rsidRPr="00443040">
        <w:rPr>
          <w:b/>
          <w:color w:val="auto"/>
          <w:lang w:val="es-ES"/>
        </w:rPr>
        <w:t>Tabla 1</w:t>
      </w:r>
      <w:r w:rsidR="00CD6E43">
        <w:rPr>
          <w:b/>
          <w:color w:val="auto"/>
          <w:lang w:val="es-ES"/>
        </w:rPr>
        <w:t>.</w:t>
      </w:r>
      <w:r w:rsidRPr="00443040">
        <w:rPr>
          <w:b/>
          <w:color w:val="auto"/>
          <w:lang w:val="es-ES"/>
        </w:rPr>
        <w:t xml:space="preserve"> Reacciones adversas clasificadas por frecuencia</w:t>
      </w:r>
    </w:p>
    <w:p w14:paraId="19800842" w14:textId="77777777" w:rsidR="00FB24C0" w:rsidRPr="00443040" w:rsidRDefault="00FB24C0" w:rsidP="007C7557">
      <w:pPr>
        <w:keepNext/>
        <w:keepLines/>
        <w:spacing w:after="0" w:line="240" w:lineRule="auto"/>
        <w:ind w:left="0" w:firstLine="0"/>
        <w:rPr>
          <w:color w:val="auto"/>
          <w:lang w:val="es-ES"/>
        </w:rPr>
      </w:pPr>
    </w:p>
    <w:tbl>
      <w:tblPr>
        <w:tblW w:w="5000" w:type="pct"/>
        <w:tblCellMar>
          <w:top w:w="42" w:type="dxa"/>
          <w:left w:w="107" w:type="dxa"/>
          <w:right w:w="64" w:type="dxa"/>
        </w:tblCellMar>
        <w:tblLook w:val="04A0" w:firstRow="1" w:lastRow="0" w:firstColumn="1" w:lastColumn="0" w:noHBand="0" w:noVBand="1"/>
      </w:tblPr>
      <w:tblGrid>
        <w:gridCol w:w="1439"/>
        <w:gridCol w:w="1631"/>
        <w:gridCol w:w="1559"/>
        <w:gridCol w:w="961"/>
        <w:gridCol w:w="1131"/>
        <w:gridCol w:w="1161"/>
        <w:gridCol w:w="1361"/>
      </w:tblGrid>
      <w:tr w:rsidR="00D445BE" w:rsidRPr="005161A1" w14:paraId="4889399F" w14:textId="77777777" w:rsidTr="00C33F4C">
        <w:trPr>
          <w:trHeight w:val="372"/>
          <w:tblHeader/>
        </w:trPr>
        <w:tc>
          <w:tcPr>
            <w:tcW w:w="823" w:type="pct"/>
            <w:tcBorders>
              <w:top w:val="single" w:sz="4" w:space="0" w:color="000000"/>
              <w:left w:val="single" w:sz="4" w:space="0" w:color="000000"/>
              <w:bottom w:val="single" w:sz="4" w:space="0" w:color="000000"/>
              <w:right w:val="single" w:sz="4" w:space="0" w:color="000000"/>
            </w:tcBorders>
          </w:tcPr>
          <w:p w14:paraId="5FC99A0D" w14:textId="77777777" w:rsidR="00FB24C0" w:rsidRPr="00C33F4C" w:rsidRDefault="00FB24C0" w:rsidP="00C33F4C">
            <w:pPr>
              <w:keepNext/>
              <w:keepLines/>
              <w:spacing w:after="0" w:line="240" w:lineRule="auto"/>
              <w:ind w:left="0" w:firstLine="0"/>
              <w:jc w:val="center"/>
              <w:rPr>
                <w:b/>
                <w:color w:val="auto"/>
                <w:sz w:val="18"/>
                <w:szCs w:val="18"/>
                <w:lang w:val="es-ES"/>
              </w:rPr>
            </w:pPr>
            <w:r w:rsidRPr="00C33F4C">
              <w:rPr>
                <w:b/>
                <w:color w:val="auto"/>
                <w:sz w:val="18"/>
                <w:szCs w:val="18"/>
                <w:lang w:val="es-ES"/>
              </w:rPr>
              <w:t>Sistema de clasificación de órganos</w:t>
            </w:r>
          </w:p>
        </w:tc>
        <w:tc>
          <w:tcPr>
            <w:tcW w:w="1072" w:type="pct"/>
            <w:tcBorders>
              <w:top w:val="single" w:sz="4" w:space="0" w:color="000000"/>
              <w:left w:val="single" w:sz="4" w:space="0" w:color="000000"/>
              <w:bottom w:val="single" w:sz="4" w:space="0" w:color="000000"/>
              <w:right w:val="single" w:sz="4" w:space="0" w:color="000000"/>
            </w:tcBorders>
          </w:tcPr>
          <w:p w14:paraId="5427C8E7" w14:textId="77777777" w:rsidR="00FB24C0" w:rsidRPr="00C33F4C" w:rsidRDefault="00FB24C0" w:rsidP="00C33F4C">
            <w:pPr>
              <w:keepNext/>
              <w:keepLines/>
              <w:spacing w:after="0" w:line="240" w:lineRule="auto"/>
              <w:ind w:left="0" w:firstLine="0"/>
              <w:jc w:val="center"/>
              <w:rPr>
                <w:b/>
                <w:color w:val="auto"/>
                <w:sz w:val="18"/>
                <w:szCs w:val="18"/>
                <w:lang w:val="es-ES"/>
              </w:rPr>
            </w:pPr>
            <w:r w:rsidRPr="00C33F4C">
              <w:rPr>
                <w:b/>
                <w:color w:val="auto"/>
                <w:sz w:val="18"/>
                <w:szCs w:val="18"/>
                <w:lang w:val="es-ES"/>
              </w:rPr>
              <w:t>Muy frecuentes</w:t>
            </w:r>
          </w:p>
        </w:tc>
        <w:tc>
          <w:tcPr>
            <w:tcW w:w="978" w:type="pct"/>
            <w:tcBorders>
              <w:top w:val="single" w:sz="4" w:space="0" w:color="000000"/>
              <w:left w:val="single" w:sz="4" w:space="0" w:color="000000"/>
              <w:bottom w:val="single" w:sz="4" w:space="0" w:color="000000"/>
              <w:right w:val="single" w:sz="4" w:space="0" w:color="000000"/>
            </w:tcBorders>
          </w:tcPr>
          <w:p w14:paraId="15531A24" w14:textId="77777777" w:rsidR="00FB24C0" w:rsidRPr="00C33F4C" w:rsidRDefault="00FB24C0" w:rsidP="00C33F4C">
            <w:pPr>
              <w:keepNext/>
              <w:keepLines/>
              <w:spacing w:after="0" w:line="240" w:lineRule="auto"/>
              <w:ind w:left="0" w:firstLine="0"/>
              <w:jc w:val="center"/>
              <w:rPr>
                <w:b/>
                <w:color w:val="auto"/>
                <w:sz w:val="18"/>
                <w:szCs w:val="18"/>
                <w:lang w:val="es-ES"/>
              </w:rPr>
            </w:pPr>
            <w:r w:rsidRPr="00C33F4C">
              <w:rPr>
                <w:b/>
                <w:color w:val="auto"/>
                <w:sz w:val="18"/>
                <w:szCs w:val="18"/>
                <w:lang w:val="es-ES"/>
              </w:rPr>
              <w:t>Frecuentes</w:t>
            </w:r>
          </w:p>
        </w:tc>
        <w:tc>
          <w:tcPr>
            <w:tcW w:w="509" w:type="pct"/>
            <w:tcBorders>
              <w:top w:val="single" w:sz="4" w:space="0" w:color="000000"/>
              <w:left w:val="single" w:sz="4" w:space="0" w:color="000000"/>
              <w:bottom w:val="single" w:sz="4" w:space="0" w:color="000000"/>
              <w:right w:val="single" w:sz="4" w:space="0" w:color="000000"/>
            </w:tcBorders>
          </w:tcPr>
          <w:p w14:paraId="301E90D9" w14:textId="77777777" w:rsidR="00FB24C0" w:rsidRPr="00C33F4C" w:rsidRDefault="00FB24C0" w:rsidP="00C33F4C">
            <w:pPr>
              <w:keepNext/>
              <w:keepLines/>
              <w:spacing w:after="0" w:line="240" w:lineRule="auto"/>
              <w:ind w:left="0" w:firstLine="0"/>
              <w:jc w:val="center"/>
              <w:rPr>
                <w:b/>
                <w:color w:val="auto"/>
                <w:sz w:val="18"/>
                <w:szCs w:val="18"/>
                <w:lang w:val="es-ES"/>
              </w:rPr>
            </w:pPr>
            <w:r w:rsidRPr="00C33F4C">
              <w:rPr>
                <w:b/>
                <w:color w:val="auto"/>
                <w:sz w:val="18"/>
                <w:szCs w:val="18"/>
                <w:lang w:val="es-ES"/>
              </w:rPr>
              <w:t>Poco fre</w:t>
            </w:r>
            <w:r w:rsidR="00627B80" w:rsidRPr="00C33F4C">
              <w:rPr>
                <w:b/>
                <w:color w:val="auto"/>
                <w:sz w:val="18"/>
                <w:szCs w:val="18"/>
                <w:lang w:val="es-ES"/>
              </w:rPr>
              <w:t>cuent</w:t>
            </w:r>
            <w:r w:rsidRPr="00C33F4C">
              <w:rPr>
                <w:b/>
                <w:color w:val="auto"/>
                <w:sz w:val="18"/>
                <w:szCs w:val="18"/>
                <w:lang w:val="es-ES"/>
              </w:rPr>
              <w:t>es</w:t>
            </w:r>
          </w:p>
        </w:tc>
        <w:tc>
          <w:tcPr>
            <w:tcW w:w="639" w:type="pct"/>
            <w:tcBorders>
              <w:top w:val="single" w:sz="4" w:space="0" w:color="000000"/>
              <w:left w:val="single" w:sz="4" w:space="0" w:color="000000"/>
              <w:bottom w:val="single" w:sz="4" w:space="0" w:color="000000"/>
              <w:right w:val="single" w:sz="4" w:space="0" w:color="000000"/>
            </w:tcBorders>
          </w:tcPr>
          <w:p w14:paraId="1FA7B066" w14:textId="77777777" w:rsidR="00FB24C0" w:rsidRPr="00C33F4C" w:rsidRDefault="00FB24C0" w:rsidP="00C33F4C">
            <w:pPr>
              <w:keepNext/>
              <w:keepLines/>
              <w:spacing w:after="0" w:line="240" w:lineRule="auto"/>
              <w:ind w:left="0" w:firstLine="0"/>
              <w:jc w:val="center"/>
              <w:rPr>
                <w:b/>
                <w:color w:val="auto"/>
                <w:sz w:val="18"/>
                <w:szCs w:val="18"/>
                <w:lang w:val="es-ES"/>
              </w:rPr>
            </w:pPr>
            <w:r w:rsidRPr="00C33F4C">
              <w:rPr>
                <w:b/>
                <w:color w:val="auto"/>
                <w:sz w:val="18"/>
                <w:szCs w:val="18"/>
                <w:lang w:val="es-ES"/>
              </w:rPr>
              <w:t>Raras</w:t>
            </w:r>
          </w:p>
        </w:tc>
        <w:tc>
          <w:tcPr>
            <w:tcW w:w="410" w:type="pct"/>
            <w:tcBorders>
              <w:top w:val="single" w:sz="4" w:space="0" w:color="000000"/>
              <w:left w:val="single" w:sz="4" w:space="0" w:color="000000"/>
              <w:bottom w:val="single" w:sz="4" w:space="0" w:color="000000"/>
              <w:right w:val="single" w:sz="4" w:space="0" w:color="000000"/>
            </w:tcBorders>
          </w:tcPr>
          <w:p w14:paraId="7F26EB2E" w14:textId="77777777" w:rsidR="00FB24C0" w:rsidRPr="00C33F4C" w:rsidRDefault="00FB24C0" w:rsidP="00C33F4C">
            <w:pPr>
              <w:keepNext/>
              <w:keepLines/>
              <w:spacing w:after="0" w:line="240" w:lineRule="auto"/>
              <w:ind w:left="0" w:firstLine="0"/>
              <w:jc w:val="center"/>
              <w:rPr>
                <w:b/>
                <w:color w:val="auto"/>
                <w:sz w:val="18"/>
                <w:szCs w:val="18"/>
                <w:lang w:val="es-ES"/>
              </w:rPr>
            </w:pPr>
            <w:r w:rsidRPr="00C33F4C">
              <w:rPr>
                <w:b/>
                <w:color w:val="auto"/>
                <w:sz w:val="18"/>
                <w:szCs w:val="18"/>
                <w:lang w:val="es-ES"/>
              </w:rPr>
              <w:t>Muy raras</w:t>
            </w:r>
          </w:p>
        </w:tc>
        <w:tc>
          <w:tcPr>
            <w:tcW w:w="568" w:type="pct"/>
            <w:tcBorders>
              <w:top w:val="single" w:sz="4" w:space="0" w:color="000000"/>
              <w:left w:val="single" w:sz="4" w:space="0" w:color="000000"/>
              <w:bottom w:val="single" w:sz="4" w:space="0" w:color="000000"/>
              <w:right w:val="single" w:sz="4" w:space="0" w:color="000000"/>
            </w:tcBorders>
          </w:tcPr>
          <w:p w14:paraId="13193169" w14:textId="77777777" w:rsidR="00FB24C0" w:rsidRPr="00C33F4C" w:rsidRDefault="00FB24C0" w:rsidP="00C33F4C">
            <w:pPr>
              <w:keepNext/>
              <w:keepLines/>
              <w:spacing w:after="0" w:line="240" w:lineRule="auto"/>
              <w:ind w:left="0" w:firstLine="0"/>
              <w:jc w:val="center"/>
              <w:rPr>
                <w:b/>
                <w:color w:val="auto"/>
                <w:sz w:val="18"/>
                <w:szCs w:val="18"/>
                <w:lang w:val="es-ES"/>
              </w:rPr>
            </w:pPr>
            <w:r w:rsidRPr="00C33F4C">
              <w:rPr>
                <w:b/>
                <w:color w:val="auto"/>
                <w:sz w:val="18"/>
                <w:szCs w:val="18"/>
                <w:lang w:val="es-ES"/>
              </w:rPr>
              <w:t>Frecuencia no conocida</w:t>
            </w:r>
          </w:p>
        </w:tc>
      </w:tr>
      <w:tr w:rsidR="00D445BE" w:rsidRPr="005161A1" w14:paraId="18118F0F" w14:textId="77777777" w:rsidTr="00C33F4C">
        <w:trPr>
          <w:trHeight w:val="692"/>
        </w:trPr>
        <w:tc>
          <w:tcPr>
            <w:tcW w:w="823" w:type="pct"/>
            <w:tcBorders>
              <w:top w:val="single" w:sz="4" w:space="0" w:color="000000"/>
              <w:left w:val="single" w:sz="4" w:space="0" w:color="000000"/>
              <w:bottom w:val="single" w:sz="4" w:space="0" w:color="000000"/>
              <w:right w:val="single" w:sz="4" w:space="0" w:color="000000"/>
            </w:tcBorders>
          </w:tcPr>
          <w:p w14:paraId="5374769B" w14:textId="77777777" w:rsidR="00FB24C0" w:rsidRPr="00C33F4C" w:rsidRDefault="00FB24C0" w:rsidP="00C33F4C">
            <w:pPr>
              <w:keepNext/>
              <w:keepLines/>
              <w:spacing w:after="0" w:line="240" w:lineRule="auto"/>
              <w:ind w:left="0" w:firstLine="0"/>
              <w:rPr>
                <w:color w:val="auto"/>
                <w:sz w:val="18"/>
                <w:szCs w:val="18"/>
                <w:lang w:val="es-ES"/>
              </w:rPr>
            </w:pPr>
            <w:r w:rsidRPr="00C33F4C">
              <w:rPr>
                <w:color w:val="auto"/>
                <w:sz w:val="18"/>
                <w:szCs w:val="18"/>
                <w:lang w:val="es-ES"/>
              </w:rPr>
              <w:t xml:space="preserve">Infecciones e infestaciones </w:t>
            </w:r>
          </w:p>
        </w:tc>
        <w:tc>
          <w:tcPr>
            <w:tcW w:w="1072" w:type="pct"/>
            <w:tcBorders>
              <w:top w:val="single" w:sz="4" w:space="0" w:color="000000"/>
              <w:left w:val="single" w:sz="4" w:space="0" w:color="000000"/>
              <w:bottom w:val="single" w:sz="4" w:space="0" w:color="000000"/>
              <w:right w:val="single" w:sz="4" w:space="0" w:color="000000"/>
            </w:tcBorders>
          </w:tcPr>
          <w:p w14:paraId="35F6FD17" w14:textId="77777777" w:rsidR="00FB24C0" w:rsidRPr="00C33F4C" w:rsidRDefault="00FB24C0" w:rsidP="00C33F4C">
            <w:pPr>
              <w:keepNext/>
              <w:keepLines/>
              <w:spacing w:after="0" w:line="240" w:lineRule="auto"/>
              <w:ind w:left="0" w:firstLine="0"/>
              <w:rPr>
                <w:color w:val="auto"/>
                <w:sz w:val="18"/>
                <w:szCs w:val="18"/>
                <w:lang w:val="es-ES"/>
              </w:rPr>
            </w:pPr>
          </w:p>
        </w:tc>
        <w:tc>
          <w:tcPr>
            <w:tcW w:w="978" w:type="pct"/>
            <w:tcBorders>
              <w:top w:val="single" w:sz="4" w:space="0" w:color="000000"/>
              <w:left w:val="single" w:sz="4" w:space="0" w:color="000000"/>
              <w:bottom w:val="single" w:sz="4" w:space="0" w:color="000000"/>
              <w:right w:val="single" w:sz="4" w:space="0" w:color="000000"/>
            </w:tcBorders>
          </w:tcPr>
          <w:p w14:paraId="5F581A98" w14:textId="77777777" w:rsidR="00FB24C0" w:rsidRPr="00C33F4C" w:rsidRDefault="00FB24C0" w:rsidP="00C33F4C">
            <w:pPr>
              <w:keepNext/>
              <w:keepLines/>
              <w:spacing w:after="0" w:line="240" w:lineRule="auto"/>
              <w:ind w:left="0" w:firstLine="0"/>
              <w:rPr>
                <w:color w:val="auto"/>
                <w:sz w:val="18"/>
                <w:szCs w:val="18"/>
                <w:lang w:val="es-ES"/>
              </w:rPr>
            </w:pPr>
            <w:r w:rsidRPr="00C33F4C">
              <w:rPr>
                <w:color w:val="auto"/>
                <w:sz w:val="18"/>
                <w:szCs w:val="18"/>
                <w:lang w:val="es-ES"/>
              </w:rPr>
              <w:t>Sepsis,</w:t>
            </w:r>
          </w:p>
          <w:p w14:paraId="52011EBF" w14:textId="77777777" w:rsidR="00FB24C0" w:rsidRPr="00C33F4C" w:rsidRDefault="00FB24C0" w:rsidP="00C33F4C">
            <w:pPr>
              <w:keepNext/>
              <w:keepLines/>
              <w:spacing w:after="0" w:line="240" w:lineRule="auto"/>
              <w:ind w:left="0" w:firstLine="0"/>
              <w:rPr>
                <w:color w:val="auto"/>
                <w:sz w:val="18"/>
                <w:szCs w:val="18"/>
                <w:lang w:val="es-ES"/>
              </w:rPr>
            </w:pPr>
            <w:proofErr w:type="spellStart"/>
            <w:proofErr w:type="gramStart"/>
            <w:r w:rsidRPr="00C33F4C">
              <w:rPr>
                <w:color w:val="auto"/>
                <w:sz w:val="18"/>
                <w:szCs w:val="18"/>
                <w:lang w:val="es-ES"/>
              </w:rPr>
              <w:t>Absceso</w:t>
            </w:r>
            <w:r w:rsidRPr="00C33F4C">
              <w:rPr>
                <w:color w:val="auto"/>
                <w:sz w:val="18"/>
                <w:szCs w:val="18"/>
                <w:vertAlign w:val="superscript"/>
                <w:lang w:val="es-ES"/>
              </w:rPr>
              <w:t>b,d</w:t>
            </w:r>
            <w:proofErr w:type="spellEnd"/>
            <w:proofErr w:type="gramEnd"/>
            <w:r w:rsidRPr="00C33F4C">
              <w:rPr>
                <w:color w:val="auto"/>
                <w:sz w:val="18"/>
                <w:szCs w:val="18"/>
                <w:lang w:val="es-ES"/>
              </w:rPr>
              <w:t>,</w:t>
            </w:r>
          </w:p>
          <w:p w14:paraId="100563F3" w14:textId="77777777" w:rsidR="00FB24C0" w:rsidRPr="00C33F4C" w:rsidRDefault="00FB24C0" w:rsidP="00C33F4C">
            <w:pPr>
              <w:keepNext/>
              <w:keepLines/>
              <w:spacing w:after="0" w:line="240" w:lineRule="auto"/>
              <w:ind w:left="0" w:firstLine="0"/>
              <w:rPr>
                <w:color w:val="auto"/>
                <w:sz w:val="18"/>
                <w:szCs w:val="18"/>
                <w:lang w:val="es-ES"/>
              </w:rPr>
            </w:pPr>
            <w:r w:rsidRPr="00C33F4C">
              <w:rPr>
                <w:color w:val="auto"/>
                <w:sz w:val="18"/>
                <w:szCs w:val="18"/>
                <w:lang w:val="es-ES"/>
              </w:rPr>
              <w:t>Celulitis,</w:t>
            </w:r>
          </w:p>
          <w:p w14:paraId="39D81D98" w14:textId="77777777" w:rsidR="00FB24C0" w:rsidRPr="00C33F4C" w:rsidRDefault="00FB24C0" w:rsidP="00C33F4C">
            <w:pPr>
              <w:keepNext/>
              <w:keepLines/>
              <w:spacing w:after="0" w:line="240" w:lineRule="auto"/>
              <w:ind w:left="0" w:firstLine="0"/>
              <w:rPr>
                <w:color w:val="auto"/>
                <w:sz w:val="18"/>
                <w:szCs w:val="18"/>
                <w:lang w:val="es-ES"/>
              </w:rPr>
            </w:pPr>
            <w:r w:rsidRPr="00C33F4C">
              <w:rPr>
                <w:color w:val="auto"/>
                <w:sz w:val="18"/>
                <w:szCs w:val="18"/>
                <w:lang w:val="es-ES"/>
              </w:rPr>
              <w:t>Infección,</w:t>
            </w:r>
          </w:p>
          <w:p w14:paraId="32F43287" w14:textId="77777777" w:rsidR="00FB24C0" w:rsidRPr="00C33F4C" w:rsidRDefault="00FB24C0" w:rsidP="00C33F4C">
            <w:pPr>
              <w:keepNext/>
              <w:keepLines/>
              <w:spacing w:after="0" w:line="240" w:lineRule="auto"/>
              <w:ind w:left="0" w:firstLine="0"/>
              <w:rPr>
                <w:color w:val="auto"/>
                <w:sz w:val="18"/>
                <w:szCs w:val="18"/>
                <w:lang w:val="es-ES"/>
              </w:rPr>
            </w:pPr>
            <w:r w:rsidRPr="00C33F4C">
              <w:rPr>
                <w:color w:val="auto"/>
                <w:sz w:val="18"/>
                <w:szCs w:val="18"/>
                <w:lang w:val="es-ES"/>
              </w:rPr>
              <w:t>Infección en el tracto urinario</w:t>
            </w:r>
          </w:p>
        </w:tc>
        <w:tc>
          <w:tcPr>
            <w:tcW w:w="509" w:type="pct"/>
            <w:tcBorders>
              <w:top w:val="single" w:sz="4" w:space="0" w:color="000000"/>
              <w:left w:val="single" w:sz="4" w:space="0" w:color="000000"/>
              <w:bottom w:val="single" w:sz="4" w:space="0" w:color="000000"/>
              <w:right w:val="single" w:sz="4" w:space="0" w:color="000000"/>
            </w:tcBorders>
          </w:tcPr>
          <w:p w14:paraId="5D432481" w14:textId="77777777" w:rsidR="00FB24C0" w:rsidRPr="00C33F4C" w:rsidRDefault="00FB24C0" w:rsidP="00C33F4C">
            <w:pPr>
              <w:keepNext/>
              <w:keepLines/>
              <w:spacing w:after="0" w:line="240" w:lineRule="auto"/>
              <w:ind w:left="0" w:firstLine="0"/>
              <w:rPr>
                <w:color w:val="auto"/>
                <w:sz w:val="18"/>
                <w:szCs w:val="18"/>
                <w:lang w:val="es-ES"/>
              </w:rPr>
            </w:pPr>
          </w:p>
        </w:tc>
        <w:tc>
          <w:tcPr>
            <w:tcW w:w="639" w:type="pct"/>
            <w:tcBorders>
              <w:top w:val="single" w:sz="4" w:space="0" w:color="000000"/>
              <w:left w:val="single" w:sz="4" w:space="0" w:color="000000"/>
              <w:bottom w:val="single" w:sz="4" w:space="0" w:color="000000"/>
              <w:right w:val="single" w:sz="4" w:space="0" w:color="000000"/>
            </w:tcBorders>
          </w:tcPr>
          <w:p w14:paraId="73DC634B" w14:textId="77777777" w:rsidR="00FB24C0" w:rsidRPr="00C33F4C" w:rsidRDefault="00FB24C0" w:rsidP="00C33F4C">
            <w:pPr>
              <w:keepNext/>
              <w:keepLines/>
              <w:spacing w:after="0" w:line="240" w:lineRule="auto"/>
              <w:ind w:left="0" w:firstLine="0"/>
              <w:rPr>
                <w:color w:val="auto"/>
                <w:sz w:val="18"/>
                <w:szCs w:val="18"/>
                <w:lang w:val="es-ES"/>
              </w:rPr>
            </w:pPr>
            <w:r w:rsidRPr="00C33F4C">
              <w:rPr>
                <w:color w:val="auto"/>
                <w:sz w:val="18"/>
                <w:szCs w:val="18"/>
                <w:lang w:val="es-ES"/>
              </w:rPr>
              <w:t>Fascitis</w:t>
            </w:r>
          </w:p>
          <w:p w14:paraId="68DA2CCE" w14:textId="77777777" w:rsidR="00FB24C0" w:rsidRPr="00C33F4C" w:rsidRDefault="00FB24C0" w:rsidP="00C33F4C">
            <w:pPr>
              <w:keepNext/>
              <w:keepLines/>
              <w:spacing w:after="0" w:line="240" w:lineRule="auto"/>
              <w:ind w:left="0" w:firstLine="0"/>
              <w:rPr>
                <w:i/>
                <w:color w:val="auto"/>
                <w:sz w:val="18"/>
                <w:szCs w:val="18"/>
                <w:vertAlign w:val="superscript"/>
                <w:lang w:val="es-ES"/>
              </w:rPr>
            </w:pPr>
            <w:proofErr w:type="spellStart"/>
            <w:r w:rsidRPr="00C33F4C">
              <w:rPr>
                <w:color w:val="auto"/>
                <w:sz w:val="18"/>
                <w:szCs w:val="18"/>
                <w:lang w:val="es-ES"/>
              </w:rPr>
              <w:t>necrosante</w:t>
            </w:r>
            <w:r w:rsidRPr="00C33F4C">
              <w:rPr>
                <w:color w:val="auto"/>
                <w:sz w:val="18"/>
                <w:szCs w:val="18"/>
                <w:vertAlign w:val="superscript"/>
                <w:lang w:val="es-ES"/>
              </w:rPr>
              <w:t>a</w:t>
            </w:r>
            <w:proofErr w:type="spellEnd"/>
          </w:p>
        </w:tc>
        <w:tc>
          <w:tcPr>
            <w:tcW w:w="410" w:type="pct"/>
            <w:tcBorders>
              <w:top w:val="single" w:sz="4" w:space="0" w:color="000000"/>
              <w:left w:val="single" w:sz="4" w:space="0" w:color="000000"/>
              <w:bottom w:val="single" w:sz="4" w:space="0" w:color="000000"/>
              <w:right w:val="single" w:sz="4" w:space="0" w:color="000000"/>
            </w:tcBorders>
          </w:tcPr>
          <w:p w14:paraId="14F5BEB8" w14:textId="77777777" w:rsidR="00FB24C0" w:rsidRPr="00C33F4C" w:rsidRDefault="00FB24C0" w:rsidP="00C33F4C">
            <w:pPr>
              <w:keepNext/>
              <w:keepLines/>
              <w:spacing w:after="0" w:line="240" w:lineRule="auto"/>
              <w:ind w:left="0" w:firstLine="0"/>
              <w:rPr>
                <w:color w:val="auto"/>
                <w:sz w:val="18"/>
                <w:szCs w:val="18"/>
                <w:lang w:val="es-ES"/>
              </w:rPr>
            </w:pPr>
          </w:p>
        </w:tc>
        <w:tc>
          <w:tcPr>
            <w:tcW w:w="568" w:type="pct"/>
            <w:tcBorders>
              <w:top w:val="single" w:sz="4" w:space="0" w:color="000000"/>
              <w:left w:val="single" w:sz="4" w:space="0" w:color="000000"/>
              <w:bottom w:val="single" w:sz="4" w:space="0" w:color="000000"/>
              <w:right w:val="single" w:sz="4" w:space="0" w:color="000000"/>
            </w:tcBorders>
          </w:tcPr>
          <w:p w14:paraId="32A25131" w14:textId="77777777" w:rsidR="00FB24C0" w:rsidRPr="00C33F4C" w:rsidRDefault="00FB24C0" w:rsidP="00C33F4C">
            <w:pPr>
              <w:keepNext/>
              <w:keepLines/>
              <w:spacing w:after="0" w:line="240" w:lineRule="auto"/>
              <w:ind w:left="0" w:firstLine="0"/>
              <w:rPr>
                <w:color w:val="auto"/>
                <w:sz w:val="18"/>
                <w:szCs w:val="18"/>
                <w:lang w:val="es-ES"/>
              </w:rPr>
            </w:pPr>
          </w:p>
        </w:tc>
      </w:tr>
      <w:tr w:rsidR="00D445BE" w:rsidRPr="005161A1" w14:paraId="543BB739" w14:textId="77777777" w:rsidTr="00C33F4C">
        <w:trPr>
          <w:trHeight w:val="455"/>
        </w:trPr>
        <w:tc>
          <w:tcPr>
            <w:tcW w:w="823" w:type="pct"/>
            <w:tcBorders>
              <w:top w:val="single" w:sz="4" w:space="0" w:color="000000"/>
              <w:left w:val="single" w:sz="4" w:space="0" w:color="000000"/>
              <w:bottom w:val="single" w:sz="4" w:space="0" w:color="000000"/>
              <w:right w:val="single" w:sz="4" w:space="0" w:color="000000"/>
            </w:tcBorders>
          </w:tcPr>
          <w:p w14:paraId="74A9E626"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 xml:space="preserve">Trastornos de la sangre y del sistema linfático </w:t>
            </w:r>
          </w:p>
        </w:tc>
        <w:tc>
          <w:tcPr>
            <w:tcW w:w="1072" w:type="pct"/>
            <w:tcBorders>
              <w:top w:val="single" w:sz="4" w:space="0" w:color="000000"/>
              <w:left w:val="single" w:sz="4" w:space="0" w:color="000000"/>
              <w:bottom w:val="single" w:sz="4" w:space="0" w:color="000000"/>
              <w:right w:val="single" w:sz="4" w:space="0" w:color="000000"/>
            </w:tcBorders>
          </w:tcPr>
          <w:p w14:paraId="34EF2662" w14:textId="77777777" w:rsidR="00FB24C0" w:rsidRPr="00C33F4C" w:rsidRDefault="00FB24C0" w:rsidP="00C33F4C">
            <w:pPr>
              <w:spacing w:after="0" w:line="240" w:lineRule="auto"/>
              <w:ind w:left="0" w:firstLine="0"/>
              <w:rPr>
                <w:color w:val="auto"/>
                <w:sz w:val="18"/>
                <w:szCs w:val="18"/>
                <w:lang w:val="it-IT"/>
              </w:rPr>
            </w:pPr>
            <w:r w:rsidRPr="00C33F4C">
              <w:rPr>
                <w:color w:val="auto"/>
                <w:sz w:val="18"/>
                <w:szCs w:val="18"/>
                <w:lang w:val="it-IT"/>
              </w:rPr>
              <w:t>Neutropenia febril</w:t>
            </w:r>
            <w:r w:rsidR="00E3033E" w:rsidRPr="00C33F4C">
              <w:rPr>
                <w:color w:val="auto"/>
                <w:sz w:val="18"/>
                <w:szCs w:val="18"/>
                <w:lang w:val="it-IT"/>
              </w:rPr>
              <w:t>,</w:t>
            </w:r>
          </w:p>
          <w:p w14:paraId="55A04AB4" w14:textId="77777777" w:rsidR="00FB24C0" w:rsidRPr="00C33F4C" w:rsidRDefault="00FB24C0" w:rsidP="00C33F4C">
            <w:pPr>
              <w:spacing w:after="0" w:line="240" w:lineRule="auto"/>
              <w:ind w:left="0" w:firstLine="0"/>
              <w:rPr>
                <w:color w:val="auto"/>
                <w:sz w:val="18"/>
                <w:szCs w:val="18"/>
                <w:lang w:val="it-IT"/>
              </w:rPr>
            </w:pPr>
            <w:r w:rsidRPr="00C33F4C">
              <w:rPr>
                <w:color w:val="auto"/>
                <w:sz w:val="18"/>
                <w:szCs w:val="18"/>
                <w:lang w:val="it-IT"/>
              </w:rPr>
              <w:t>Leucopenia</w:t>
            </w:r>
            <w:r w:rsidR="00E3033E" w:rsidRPr="00C33F4C">
              <w:rPr>
                <w:color w:val="auto"/>
                <w:sz w:val="18"/>
                <w:szCs w:val="18"/>
                <w:lang w:val="it-IT"/>
              </w:rPr>
              <w:t>,</w:t>
            </w:r>
          </w:p>
          <w:p w14:paraId="015EB1B6" w14:textId="77777777" w:rsidR="00FB24C0" w:rsidRPr="00C33F4C" w:rsidRDefault="00FB24C0" w:rsidP="00C33F4C">
            <w:pPr>
              <w:spacing w:after="0" w:line="240" w:lineRule="auto"/>
              <w:ind w:left="0" w:firstLine="0"/>
              <w:rPr>
                <w:color w:val="auto"/>
                <w:sz w:val="18"/>
                <w:szCs w:val="18"/>
                <w:lang w:val="it-IT"/>
              </w:rPr>
            </w:pPr>
            <w:r w:rsidRPr="00C33F4C">
              <w:rPr>
                <w:color w:val="auto"/>
                <w:sz w:val="18"/>
                <w:szCs w:val="18"/>
                <w:lang w:val="it-IT"/>
              </w:rPr>
              <w:t>Neutropenia</w:t>
            </w:r>
            <w:r w:rsidRPr="00C33F4C">
              <w:rPr>
                <w:color w:val="auto"/>
                <w:sz w:val="18"/>
                <w:szCs w:val="18"/>
                <w:vertAlign w:val="superscript"/>
                <w:lang w:val="it-IT"/>
              </w:rPr>
              <w:t>b</w:t>
            </w:r>
            <w:r w:rsidR="00E3033E" w:rsidRPr="00C33F4C">
              <w:rPr>
                <w:color w:val="auto"/>
                <w:sz w:val="18"/>
                <w:szCs w:val="18"/>
                <w:lang w:val="it-IT"/>
              </w:rPr>
              <w:t>,</w:t>
            </w:r>
          </w:p>
          <w:p w14:paraId="28D4502F" w14:textId="77777777" w:rsidR="00FB24C0" w:rsidRPr="00C33F4C" w:rsidRDefault="00FB24C0" w:rsidP="00C33F4C">
            <w:pPr>
              <w:spacing w:after="0" w:line="240" w:lineRule="auto"/>
              <w:ind w:left="0" w:firstLine="0"/>
              <w:rPr>
                <w:color w:val="auto"/>
                <w:sz w:val="18"/>
                <w:szCs w:val="18"/>
                <w:lang w:val="it-IT"/>
              </w:rPr>
            </w:pPr>
            <w:r w:rsidRPr="00C33F4C">
              <w:rPr>
                <w:color w:val="auto"/>
                <w:sz w:val="18"/>
                <w:szCs w:val="18"/>
                <w:lang w:val="it-IT"/>
              </w:rPr>
              <w:t xml:space="preserve">Trombocitopenia </w:t>
            </w:r>
          </w:p>
        </w:tc>
        <w:tc>
          <w:tcPr>
            <w:tcW w:w="978" w:type="pct"/>
            <w:tcBorders>
              <w:top w:val="single" w:sz="4" w:space="0" w:color="000000"/>
              <w:left w:val="single" w:sz="4" w:space="0" w:color="000000"/>
              <w:bottom w:val="single" w:sz="4" w:space="0" w:color="000000"/>
              <w:right w:val="single" w:sz="4" w:space="0" w:color="000000"/>
            </w:tcBorders>
          </w:tcPr>
          <w:p w14:paraId="7414F656" w14:textId="77777777" w:rsidR="00901678"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Anemia,</w:t>
            </w:r>
          </w:p>
          <w:p w14:paraId="633B2FB9" w14:textId="77777777" w:rsidR="00FB24C0" w:rsidRPr="00C33F4C" w:rsidRDefault="00FB24C0" w:rsidP="00C33F4C">
            <w:pPr>
              <w:spacing w:after="0" w:line="240" w:lineRule="auto"/>
              <w:ind w:left="0" w:firstLine="0"/>
              <w:rPr>
                <w:color w:val="auto"/>
                <w:sz w:val="18"/>
                <w:szCs w:val="18"/>
                <w:lang w:val="es-ES"/>
              </w:rPr>
            </w:pPr>
            <w:proofErr w:type="spellStart"/>
            <w:r w:rsidRPr="00C33F4C">
              <w:rPr>
                <w:color w:val="auto"/>
                <w:sz w:val="18"/>
                <w:szCs w:val="18"/>
                <w:lang w:val="es-ES"/>
              </w:rPr>
              <w:t>Linfopenia</w:t>
            </w:r>
            <w:proofErr w:type="spellEnd"/>
            <w:r w:rsidRPr="00C33F4C">
              <w:rPr>
                <w:color w:val="auto"/>
                <w:sz w:val="18"/>
                <w:szCs w:val="18"/>
                <w:lang w:val="es-ES"/>
              </w:rPr>
              <w:t xml:space="preserve"> </w:t>
            </w:r>
          </w:p>
        </w:tc>
        <w:tc>
          <w:tcPr>
            <w:tcW w:w="509" w:type="pct"/>
            <w:tcBorders>
              <w:top w:val="single" w:sz="4" w:space="0" w:color="000000"/>
              <w:left w:val="single" w:sz="4" w:space="0" w:color="000000"/>
              <w:bottom w:val="single" w:sz="4" w:space="0" w:color="000000"/>
              <w:right w:val="single" w:sz="4" w:space="0" w:color="000000"/>
            </w:tcBorders>
          </w:tcPr>
          <w:p w14:paraId="70A2B2C8" w14:textId="77777777" w:rsidR="00FB24C0" w:rsidRPr="00C33F4C" w:rsidRDefault="00FB24C0" w:rsidP="00C33F4C">
            <w:pPr>
              <w:spacing w:after="0" w:line="240" w:lineRule="auto"/>
              <w:ind w:left="0" w:firstLine="0"/>
              <w:rPr>
                <w:color w:val="auto"/>
                <w:sz w:val="18"/>
                <w:szCs w:val="18"/>
                <w:lang w:val="es-ES"/>
              </w:rPr>
            </w:pPr>
          </w:p>
        </w:tc>
        <w:tc>
          <w:tcPr>
            <w:tcW w:w="639" w:type="pct"/>
            <w:tcBorders>
              <w:top w:val="single" w:sz="4" w:space="0" w:color="000000"/>
              <w:left w:val="single" w:sz="4" w:space="0" w:color="000000"/>
              <w:bottom w:val="single" w:sz="4" w:space="0" w:color="000000"/>
              <w:right w:val="single" w:sz="4" w:space="0" w:color="000000"/>
            </w:tcBorders>
          </w:tcPr>
          <w:p w14:paraId="2CB1960C" w14:textId="77777777" w:rsidR="00FB24C0" w:rsidRPr="00C33F4C" w:rsidRDefault="00FB24C0" w:rsidP="00C33F4C">
            <w:pPr>
              <w:spacing w:after="0" w:line="240" w:lineRule="auto"/>
              <w:ind w:left="0" w:firstLine="0"/>
              <w:rPr>
                <w:color w:val="auto"/>
                <w:sz w:val="18"/>
                <w:szCs w:val="18"/>
                <w:lang w:val="es-ES"/>
              </w:rPr>
            </w:pPr>
          </w:p>
        </w:tc>
        <w:tc>
          <w:tcPr>
            <w:tcW w:w="410" w:type="pct"/>
            <w:tcBorders>
              <w:top w:val="single" w:sz="4" w:space="0" w:color="000000"/>
              <w:left w:val="single" w:sz="4" w:space="0" w:color="000000"/>
              <w:bottom w:val="single" w:sz="4" w:space="0" w:color="000000"/>
              <w:right w:val="single" w:sz="4" w:space="0" w:color="000000"/>
            </w:tcBorders>
          </w:tcPr>
          <w:p w14:paraId="33D619B6" w14:textId="77777777" w:rsidR="00FB24C0" w:rsidRPr="00C33F4C" w:rsidRDefault="00FB24C0" w:rsidP="00C33F4C">
            <w:pPr>
              <w:spacing w:after="0" w:line="240" w:lineRule="auto"/>
              <w:ind w:left="0" w:firstLine="0"/>
              <w:rPr>
                <w:color w:val="auto"/>
                <w:sz w:val="18"/>
                <w:szCs w:val="18"/>
                <w:lang w:val="es-ES"/>
              </w:rPr>
            </w:pPr>
          </w:p>
        </w:tc>
        <w:tc>
          <w:tcPr>
            <w:tcW w:w="568" w:type="pct"/>
            <w:tcBorders>
              <w:top w:val="single" w:sz="4" w:space="0" w:color="000000"/>
              <w:left w:val="single" w:sz="4" w:space="0" w:color="000000"/>
              <w:bottom w:val="single" w:sz="4" w:space="0" w:color="000000"/>
              <w:right w:val="single" w:sz="4" w:space="0" w:color="000000"/>
            </w:tcBorders>
          </w:tcPr>
          <w:p w14:paraId="37A51C4E" w14:textId="77777777" w:rsidR="00FB24C0" w:rsidRPr="00C33F4C" w:rsidRDefault="00FB24C0" w:rsidP="00C33F4C">
            <w:pPr>
              <w:spacing w:after="0" w:line="240" w:lineRule="auto"/>
              <w:ind w:left="0" w:firstLine="0"/>
              <w:rPr>
                <w:color w:val="auto"/>
                <w:sz w:val="18"/>
                <w:szCs w:val="18"/>
                <w:lang w:val="es-ES"/>
              </w:rPr>
            </w:pPr>
          </w:p>
        </w:tc>
      </w:tr>
      <w:tr w:rsidR="00D445BE" w:rsidRPr="00535C81" w14:paraId="6707DFE5" w14:textId="77777777" w:rsidTr="00C33F4C">
        <w:trPr>
          <w:trHeight w:val="358"/>
        </w:trPr>
        <w:tc>
          <w:tcPr>
            <w:tcW w:w="823" w:type="pct"/>
            <w:tcBorders>
              <w:top w:val="single" w:sz="4" w:space="0" w:color="000000"/>
              <w:left w:val="single" w:sz="4" w:space="0" w:color="000000"/>
              <w:bottom w:val="single" w:sz="4" w:space="0" w:color="000000"/>
              <w:right w:val="single" w:sz="4" w:space="0" w:color="000000"/>
            </w:tcBorders>
          </w:tcPr>
          <w:p w14:paraId="11F0EC36"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 xml:space="preserve">Trastornos del sistema inmunológico </w:t>
            </w:r>
          </w:p>
        </w:tc>
        <w:tc>
          <w:tcPr>
            <w:tcW w:w="1072" w:type="pct"/>
            <w:tcBorders>
              <w:top w:val="single" w:sz="4" w:space="0" w:color="000000"/>
              <w:left w:val="single" w:sz="4" w:space="0" w:color="000000"/>
              <w:bottom w:val="single" w:sz="4" w:space="0" w:color="000000"/>
              <w:right w:val="single" w:sz="4" w:space="0" w:color="000000"/>
            </w:tcBorders>
          </w:tcPr>
          <w:p w14:paraId="62A299AC" w14:textId="77777777" w:rsidR="00FB24C0" w:rsidRPr="00C33F4C" w:rsidRDefault="00FB24C0" w:rsidP="00C33F4C">
            <w:pPr>
              <w:spacing w:after="0" w:line="240" w:lineRule="auto"/>
              <w:ind w:left="0" w:firstLine="0"/>
              <w:rPr>
                <w:color w:val="auto"/>
                <w:sz w:val="18"/>
                <w:szCs w:val="18"/>
                <w:lang w:val="es-ES"/>
              </w:rPr>
            </w:pPr>
          </w:p>
        </w:tc>
        <w:tc>
          <w:tcPr>
            <w:tcW w:w="978" w:type="pct"/>
            <w:tcBorders>
              <w:top w:val="single" w:sz="4" w:space="0" w:color="000000"/>
              <w:left w:val="single" w:sz="4" w:space="0" w:color="000000"/>
              <w:bottom w:val="single" w:sz="4" w:space="0" w:color="000000"/>
              <w:right w:val="single" w:sz="4" w:space="0" w:color="000000"/>
            </w:tcBorders>
          </w:tcPr>
          <w:p w14:paraId="12EE5552"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 xml:space="preserve">Hipersensibilidad, reacciones a la </w:t>
            </w:r>
            <w:proofErr w:type="spellStart"/>
            <w:proofErr w:type="gramStart"/>
            <w:r w:rsidRPr="00C33F4C">
              <w:rPr>
                <w:color w:val="auto"/>
                <w:sz w:val="18"/>
                <w:szCs w:val="18"/>
                <w:lang w:val="es-ES"/>
              </w:rPr>
              <w:t>perfusión</w:t>
            </w:r>
            <w:r w:rsidRPr="00C33F4C">
              <w:rPr>
                <w:color w:val="auto"/>
                <w:sz w:val="18"/>
                <w:szCs w:val="18"/>
                <w:vertAlign w:val="superscript"/>
                <w:lang w:val="es-ES"/>
              </w:rPr>
              <w:t>a,b</w:t>
            </w:r>
            <w:proofErr w:type="gramEnd"/>
            <w:r w:rsidRPr="00C33F4C">
              <w:rPr>
                <w:color w:val="auto"/>
                <w:sz w:val="18"/>
                <w:szCs w:val="18"/>
                <w:vertAlign w:val="superscript"/>
                <w:lang w:val="es-ES"/>
              </w:rPr>
              <w:t>,d</w:t>
            </w:r>
            <w:proofErr w:type="spellEnd"/>
          </w:p>
        </w:tc>
        <w:tc>
          <w:tcPr>
            <w:tcW w:w="509" w:type="pct"/>
            <w:tcBorders>
              <w:top w:val="single" w:sz="4" w:space="0" w:color="000000"/>
              <w:left w:val="single" w:sz="4" w:space="0" w:color="000000"/>
              <w:bottom w:val="single" w:sz="4" w:space="0" w:color="000000"/>
              <w:right w:val="single" w:sz="4" w:space="0" w:color="000000"/>
            </w:tcBorders>
          </w:tcPr>
          <w:p w14:paraId="5C4BEB9A" w14:textId="77777777" w:rsidR="00FB24C0" w:rsidRPr="00C33F4C" w:rsidRDefault="00FB24C0" w:rsidP="00C33F4C">
            <w:pPr>
              <w:spacing w:after="0" w:line="240" w:lineRule="auto"/>
              <w:ind w:left="0" w:firstLine="0"/>
              <w:rPr>
                <w:color w:val="auto"/>
                <w:sz w:val="18"/>
                <w:szCs w:val="18"/>
                <w:lang w:val="es-ES"/>
              </w:rPr>
            </w:pPr>
          </w:p>
        </w:tc>
        <w:tc>
          <w:tcPr>
            <w:tcW w:w="639" w:type="pct"/>
            <w:tcBorders>
              <w:top w:val="single" w:sz="4" w:space="0" w:color="000000"/>
              <w:left w:val="single" w:sz="4" w:space="0" w:color="000000"/>
              <w:bottom w:val="single" w:sz="4" w:space="0" w:color="000000"/>
              <w:right w:val="single" w:sz="4" w:space="0" w:color="000000"/>
            </w:tcBorders>
          </w:tcPr>
          <w:p w14:paraId="679A515A" w14:textId="53F333E2" w:rsidR="00FB24C0" w:rsidRPr="00C33F4C" w:rsidRDefault="00BE0ACF" w:rsidP="00C33F4C">
            <w:pPr>
              <w:spacing w:after="0" w:line="240" w:lineRule="auto"/>
              <w:ind w:left="0" w:firstLine="0"/>
              <w:rPr>
                <w:color w:val="auto"/>
                <w:sz w:val="18"/>
                <w:szCs w:val="18"/>
                <w:lang w:val="es-ES"/>
              </w:rPr>
            </w:pPr>
            <w:r w:rsidRPr="007C09D3">
              <w:rPr>
                <w:color w:val="auto"/>
                <w:sz w:val="18"/>
                <w:szCs w:val="18"/>
                <w:lang w:val="es-ES"/>
              </w:rPr>
              <w:t>Shock anafiláctico</w:t>
            </w:r>
          </w:p>
        </w:tc>
        <w:tc>
          <w:tcPr>
            <w:tcW w:w="410" w:type="pct"/>
            <w:tcBorders>
              <w:top w:val="single" w:sz="4" w:space="0" w:color="000000"/>
              <w:left w:val="single" w:sz="4" w:space="0" w:color="000000"/>
              <w:bottom w:val="single" w:sz="4" w:space="0" w:color="000000"/>
              <w:right w:val="single" w:sz="4" w:space="0" w:color="000000"/>
            </w:tcBorders>
          </w:tcPr>
          <w:p w14:paraId="262FE4CE" w14:textId="77777777" w:rsidR="00FB24C0" w:rsidRPr="00C33F4C" w:rsidRDefault="00FB24C0" w:rsidP="00C33F4C">
            <w:pPr>
              <w:spacing w:after="0" w:line="240" w:lineRule="auto"/>
              <w:ind w:left="0" w:firstLine="0"/>
              <w:rPr>
                <w:color w:val="auto"/>
                <w:sz w:val="18"/>
                <w:szCs w:val="18"/>
                <w:lang w:val="es-ES"/>
              </w:rPr>
            </w:pPr>
          </w:p>
        </w:tc>
        <w:tc>
          <w:tcPr>
            <w:tcW w:w="568" w:type="pct"/>
            <w:tcBorders>
              <w:top w:val="single" w:sz="4" w:space="0" w:color="000000"/>
              <w:left w:val="single" w:sz="4" w:space="0" w:color="000000"/>
              <w:bottom w:val="single" w:sz="4" w:space="0" w:color="000000"/>
              <w:right w:val="single" w:sz="4" w:space="0" w:color="000000"/>
            </w:tcBorders>
          </w:tcPr>
          <w:p w14:paraId="16697706" w14:textId="77777777" w:rsidR="00FB24C0" w:rsidRPr="00C33F4C" w:rsidRDefault="00FB24C0" w:rsidP="00C33F4C">
            <w:pPr>
              <w:spacing w:after="0" w:line="240" w:lineRule="auto"/>
              <w:ind w:left="0" w:firstLine="0"/>
              <w:rPr>
                <w:color w:val="auto"/>
                <w:sz w:val="18"/>
                <w:szCs w:val="18"/>
                <w:lang w:val="es-ES"/>
              </w:rPr>
            </w:pPr>
          </w:p>
        </w:tc>
      </w:tr>
      <w:tr w:rsidR="00D445BE" w:rsidRPr="005161A1" w14:paraId="618E0288" w14:textId="77777777" w:rsidTr="00C33F4C">
        <w:trPr>
          <w:trHeight w:val="371"/>
        </w:trPr>
        <w:tc>
          <w:tcPr>
            <w:tcW w:w="823" w:type="pct"/>
            <w:tcBorders>
              <w:top w:val="single" w:sz="4" w:space="0" w:color="000000"/>
              <w:left w:val="single" w:sz="4" w:space="0" w:color="000000"/>
              <w:bottom w:val="single" w:sz="4" w:space="0" w:color="000000"/>
              <w:right w:val="single" w:sz="4" w:space="0" w:color="000000"/>
            </w:tcBorders>
          </w:tcPr>
          <w:p w14:paraId="34252F4E"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 xml:space="preserve">Trastornos del metabolismo y de la nutrición </w:t>
            </w:r>
          </w:p>
        </w:tc>
        <w:tc>
          <w:tcPr>
            <w:tcW w:w="1072" w:type="pct"/>
            <w:tcBorders>
              <w:top w:val="single" w:sz="4" w:space="0" w:color="000000"/>
              <w:left w:val="single" w:sz="4" w:space="0" w:color="000000"/>
              <w:bottom w:val="single" w:sz="4" w:space="0" w:color="000000"/>
              <w:right w:val="single" w:sz="4" w:space="0" w:color="000000"/>
            </w:tcBorders>
          </w:tcPr>
          <w:p w14:paraId="11949862"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Anorexia</w:t>
            </w:r>
            <w:r w:rsidR="0086411A" w:rsidRPr="00C33F4C">
              <w:rPr>
                <w:color w:val="auto"/>
                <w:sz w:val="18"/>
                <w:szCs w:val="18"/>
                <w:lang w:val="es-ES"/>
              </w:rPr>
              <w:t>,</w:t>
            </w:r>
          </w:p>
          <w:p w14:paraId="0CA6A14D"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Hipomagnesemia</w:t>
            </w:r>
            <w:r w:rsidR="0086411A" w:rsidRPr="00C33F4C">
              <w:rPr>
                <w:color w:val="auto"/>
                <w:sz w:val="18"/>
                <w:szCs w:val="18"/>
                <w:lang w:val="es-ES"/>
              </w:rPr>
              <w:t>,</w:t>
            </w:r>
          </w:p>
          <w:p w14:paraId="6F86B533"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Hiponatremia</w:t>
            </w:r>
            <w:r w:rsidRPr="00C33F4C">
              <w:rPr>
                <w:i/>
                <w:color w:val="auto"/>
                <w:sz w:val="18"/>
                <w:szCs w:val="18"/>
                <w:lang w:val="es-ES"/>
              </w:rPr>
              <w:t xml:space="preserve"> </w:t>
            </w:r>
          </w:p>
        </w:tc>
        <w:tc>
          <w:tcPr>
            <w:tcW w:w="978" w:type="pct"/>
            <w:tcBorders>
              <w:top w:val="single" w:sz="4" w:space="0" w:color="000000"/>
              <w:left w:val="single" w:sz="4" w:space="0" w:color="000000"/>
              <w:bottom w:val="single" w:sz="4" w:space="0" w:color="000000"/>
              <w:right w:val="single" w:sz="4" w:space="0" w:color="000000"/>
            </w:tcBorders>
          </w:tcPr>
          <w:p w14:paraId="1DE26881"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 xml:space="preserve">Deshidratación </w:t>
            </w:r>
          </w:p>
        </w:tc>
        <w:tc>
          <w:tcPr>
            <w:tcW w:w="509" w:type="pct"/>
            <w:tcBorders>
              <w:top w:val="single" w:sz="4" w:space="0" w:color="000000"/>
              <w:left w:val="single" w:sz="4" w:space="0" w:color="000000"/>
              <w:bottom w:val="single" w:sz="4" w:space="0" w:color="000000"/>
              <w:right w:val="single" w:sz="4" w:space="0" w:color="000000"/>
            </w:tcBorders>
          </w:tcPr>
          <w:p w14:paraId="11CFE3D3" w14:textId="77777777" w:rsidR="00FB24C0" w:rsidRPr="00C33F4C" w:rsidRDefault="00FB24C0" w:rsidP="00C33F4C">
            <w:pPr>
              <w:spacing w:after="0" w:line="240" w:lineRule="auto"/>
              <w:ind w:left="0" w:firstLine="0"/>
              <w:rPr>
                <w:color w:val="auto"/>
                <w:sz w:val="18"/>
                <w:szCs w:val="18"/>
                <w:lang w:val="es-ES"/>
              </w:rPr>
            </w:pPr>
          </w:p>
        </w:tc>
        <w:tc>
          <w:tcPr>
            <w:tcW w:w="639" w:type="pct"/>
            <w:tcBorders>
              <w:top w:val="single" w:sz="4" w:space="0" w:color="000000"/>
              <w:left w:val="single" w:sz="4" w:space="0" w:color="000000"/>
              <w:bottom w:val="single" w:sz="4" w:space="0" w:color="000000"/>
              <w:right w:val="single" w:sz="4" w:space="0" w:color="000000"/>
            </w:tcBorders>
          </w:tcPr>
          <w:p w14:paraId="6F63C9A6" w14:textId="77777777" w:rsidR="00FB24C0" w:rsidRPr="00C33F4C" w:rsidRDefault="00FB24C0" w:rsidP="00C33F4C">
            <w:pPr>
              <w:spacing w:after="0" w:line="240" w:lineRule="auto"/>
              <w:ind w:left="0" w:firstLine="0"/>
              <w:rPr>
                <w:color w:val="auto"/>
                <w:sz w:val="18"/>
                <w:szCs w:val="18"/>
                <w:lang w:val="es-ES"/>
              </w:rPr>
            </w:pPr>
          </w:p>
        </w:tc>
        <w:tc>
          <w:tcPr>
            <w:tcW w:w="410" w:type="pct"/>
            <w:tcBorders>
              <w:top w:val="single" w:sz="4" w:space="0" w:color="000000"/>
              <w:left w:val="single" w:sz="4" w:space="0" w:color="000000"/>
              <w:bottom w:val="single" w:sz="4" w:space="0" w:color="000000"/>
              <w:right w:val="single" w:sz="4" w:space="0" w:color="000000"/>
            </w:tcBorders>
          </w:tcPr>
          <w:p w14:paraId="623BE7C1" w14:textId="77777777" w:rsidR="00FB24C0" w:rsidRPr="00C33F4C" w:rsidRDefault="00FB24C0" w:rsidP="00C33F4C">
            <w:pPr>
              <w:spacing w:after="0" w:line="240" w:lineRule="auto"/>
              <w:ind w:left="0" w:firstLine="0"/>
              <w:rPr>
                <w:color w:val="auto"/>
                <w:sz w:val="18"/>
                <w:szCs w:val="18"/>
                <w:lang w:val="es-ES"/>
              </w:rPr>
            </w:pPr>
          </w:p>
        </w:tc>
        <w:tc>
          <w:tcPr>
            <w:tcW w:w="568" w:type="pct"/>
            <w:tcBorders>
              <w:top w:val="single" w:sz="4" w:space="0" w:color="000000"/>
              <w:left w:val="single" w:sz="4" w:space="0" w:color="000000"/>
              <w:bottom w:val="single" w:sz="4" w:space="0" w:color="000000"/>
              <w:right w:val="single" w:sz="4" w:space="0" w:color="000000"/>
            </w:tcBorders>
          </w:tcPr>
          <w:p w14:paraId="2F36BA18" w14:textId="77777777" w:rsidR="00FB24C0" w:rsidRPr="00C33F4C" w:rsidRDefault="00FB24C0" w:rsidP="00C33F4C">
            <w:pPr>
              <w:spacing w:after="0" w:line="240" w:lineRule="auto"/>
              <w:ind w:left="0" w:firstLine="0"/>
              <w:rPr>
                <w:color w:val="auto"/>
                <w:sz w:val="18"/>
                <w:szCs w:val="18"/>
                <w:lang w:val="es-ES"/>
              </w:rPr>
            </w:pPr>
          </w:p>
        </w:tc>
      </w:tr>
      <w:tr w:rsidR="00D445BE" w:rsidRPr="005161A1" w14:paraId="5ED2113F" w14:textId="77777777" w:rsidTr="00C33F4C">
        <w:trPr>
          <w:trHeight w:val="530"/>
        </w:trPr>
        <w:tc>
          <w:tcPr>
            <w:tcW w:w="823" w:type="pct"/>
            <w:tcBorders>
              <w:top w:val="single" w:sz="4" w:space="0" w:color="000000"/>
              <w:left w:val="single" w:sz="4" w:space="0" w:color="000000"/>
              <w:bottom w:val="single" w:sz="4" w:space="0" w:color="000000"/>
              <w:right w:val="single" w:sz="4" w:space="0" w:color="000000"/>
            </w:tcBorders>
          </w:tcPr>
          <w:p w14:paraId="2004171D" w14:textId="77777777" w:rsidR="00FB24C0" w:rsidRPr="00C33F4C" w:rsidRDefault="00FB24C0" w:rsidP="00115422">
            <w:pPr>
              <w:keepNext/>
              <w:keepLines/>
              <w:spacing w:after="0" w:line="240" w:lineRule="auto"/>
              <w:ind w:left="0" w:firstLine="0"/>
              <w:rPr>
                <w:color w:val="auto"/>
                <w:sz w:val="18"/>
                <w:szCs w:val="18"/>
                <w:lang w:val="es-ES"/>
              </w:rPr>
            </w:pPr>
            <w:r w:rsidRPr="00C33F4C">
              <w:rPr>
                <w:color w:val="auto"/>
                <w:sz w:val="18"/>
                <w:szCs w:val="18"/>
                <w:lang w:val="es-ES"/>
              </w:rPr>
              <w:t xml:space="preserve">Trastornos del sistema nervioso </w:t>
            </w:r>
          </w:p>
        </w:tc>
        <w:tc>
          <w:tcPr>
            <w:tcW w:w="1072" w:type="pct"/>
            <w:tcBorders>
              <w:top w:val="single" w:sz="4" w:space="0" w:color="000000"/>
              <w:left w:val="single" w:sz="4" w:space="0" w:color="000000"/>
              <w:bottom w:val="single" w:sz="4" w:space="0" w:color="000000"/>
              <w:right w:val="single" w:sz="4" w:space="0" w:color="000000"/>
            </w:tcBorders>
          </w:tcPr>
          <w:p w14:paraId="57F7891A" w14:textId="77777777" w:rsidR="00FB24C0" w:rsidRPr="00C33F4C" w:rsidRDefault="00FB24C0" w:rsidP="00115422">
            <w:pPr>
              <w:keepNext/>
              <w:keepLines/>
              <w:spacing w:after="0" w:line="240" w:lineRule="auto"/>
              <w:ind w:left="0" w:firstLine="0"/>
              <w:rPr>
                <w:color w:val="auto"/>
                <w:sz w:val="18"/>
                <w:szCs w:val="18"/>
                <w:lang w:val="es-ES"/>
              </w:rPr>
            </w:pPr>
            <w:r w:rsidRPr="00C33F4C">
              <w:rPr>
                <w:color w:val="auto"/>
                <w:sz w:val="18"/>
                <w:szCs w:val="18"/>
                <w:lang w:val="es-ES"/>
              </w:rPr>
              <w:t>Neuropatía sensorial</w:t>
            </w:r>
            <w:r w:rsidR="001C3AFB" w:rsidRPr="00C33F4C">
              <w:rPr>
                <w:color w:val="auto"/>
                <w:sz w:val="18"/>
                <w:szCs w:val="18"/>
                <w:lang w:val="es-ES"/>
              </w:rPr>
              <w:t xml:space="preserve"> </w:t>
            </w:r>
            <w:proofErr w:type="spellStart"/>
            <w:r w:rsidRPr="00C33F4C">
              <w:rPr>
                <w:color w:val="auto"/>
                <w:sz w:val="18"/>
                <w:szCs w:val="18"/>
                <w:lang w:val="es-ES"/>
              </w:rPr>
              <w:t>periférica</w:t>
            </w:r>
            <w:r w:rsidRPr="00C33F4C">
              <w:rPr>
                <w:color w:val="auto"/>
                <w:sz w:val="18"/>
                <w:szCs w:val="18"/>
                <w:vertAlign w:val="superscript"/>
                <w:lang w:val="es-ES"/>
              </w:rPr>
              <w:t>b</w:t>
            </w:r>
            <w:proofErr w:type="spellEnd"/>
            <w:r w:rsidR="001C3AFB" w:rsidRPr="00C33F4C">
              <w:rPr>
                <w:color w:val="auto"/>
                <w:sz w:val="18"/>
                <w:szCs w:val="18"/>
                <w:lang w:val="es-ES"/>
              </w:rPr>
              <w:t>,</w:t>
            </w:r>
          </w:p>
          <w:p w14:paraId="4E5394EB" w14:textId="77777777" w:rsidR="00627B80" w:rsidRPr="00C33F4C" w:rsidRDefault="00627B80" w:rsidP="00115422">
            <w:pPr>
              <w:keepNext/>
              <w:keepLines/>
              <w:spacing w:after="0" w:line="240" w:lineRule="auto"/>
              <w:ind w:left="0" w:firstLine="0"/>
              <w:rPr>
                <w:color w:val="auto"/>
                <w:sz w:val="18"/>
                <w:szCs w:val="18"/>
                <w:lang w:val="es-ES"/>
              </w:rPr>
            </w:pPr>
            <w:r w:rsidRPr="00C33F4C">
              <w:rPr>
                <w:color w:val="auto"/>
                <w:sz w:val="18"/>
                <w:szCs w:val="18"/>
                <w:lang w:val="es-ES"/>
              </w:rPr>
              <w:t>Disartria,</w:t>
            </w:r>
          </w:p>
          <w:p w14:paraId="7784D97A" w14:textId="77777777" w:rsidR="00FB24C0" w:rsidRPr="00C33F4C" w:rsidRDefault="00FB24C0" w:rsidP="00115422">
            <w:pPr>
              <w:keepNext/>
              <w:keepLines/>
              <w:spacing w:after="0" w:line="240" w:lineRule="auto"/>
              <w:ind w:left="0" w:firstLine="0"/>
              <w:rPr>
                <w:color w:val="auto"/>
                <w:sz w:val="18"/>
                <w:szCs w:val="18"/>
                <w:lang w:val="es-ES"/>
              </w:rPr>
            </w:pPr>
            <w:r w:rsidRPr="00C33F4C">
              <w:rPr>
                <w:color w:val="auto"/>
                <w:sz w:val="18"/>
                <w:szCs w:val="18"/>
                <w:lang w:val="es-ES"/>
              </w:rPr>
              <w:t>Cefalea,</w:t>
            </w:r>
          </w:p>
          <w:p w14:paraId="3E9822EB" w14:textId="42814C5E" w:rsidR="00FB24C0" w:rsidRPr="00C33F4C" w:rsidRDefault="00FB24C0" w:rsidP="00115422">
            <w:pPr>
              <w:keepNext/>
              <w:keepLines/>
              <w:spacing w:after="0" w:line="240" w:lineRule="auto"/>
              <w:ind w:left="0" w:firstLine="0"/>
              <w:rPr>
                <w:color w:val="auto"/>
                <w:sz w:val="18"/>
                <w:szCs w:val="18"/>
                <w:lang w:val="es-ES"/>
              </w:rPr>
            </w:pPr>
            <w:proofErr w:type="spellStart"/>
            <w:r w:rsidRPr="00C33F4C">
              <w:rPr>
                <w:color w:val="auto"/>
                <w:sz w:val="18"/>
                <w:szCs w:val="18"/>
                <w:lang w:val="es-ES"/>
              </w:rPr>
              <w:t>Disgu</w:t>
            </w:r>
            <w:r w:rsidR="00B675B7">
              <w:rPr>
                <w:color w:val="auto"/>
                <w:sz w:val="18"/>
                <w:szCs w:val="18"/>
                <w:lang w:val="es-ES"/>
              </w:rPr>
              <w:t>e</w:t>
            </w:r>
            <w:r w:rsidRPr="00C33F4C">
              <w:rPr>
                <w:color w:val="auto"/>
                <w:sz w:val="18"/>
                <w:szCs w:val="18"/>
                <w:lang w:val="es-ES"/>
              </w:rPr>
              <w:t>sia</w:t>
            </w:r>
            <w:proofErr w:type="spellEnd"/>
            <w:r w:rsidRPr="00C33F4C">
              <w:rPr>
                <w:color w:val="auto"/>
                <w:sz w:val="18"/>
                <w:szCs w:val="18"/>
                <w:lang w:val="es-ES"/>
              </w:rPr>
              <w:t xml:space="preserve"> </w:t>
            </w:r>
          </w:p>
        </w:tc>
        <w:tc>
          <w:tcPr>
            <w:tcW w:w="978" w:type="pct"/>
            <w:tcBorders>
              <w:top w:val="single" w:sz="4" w:space="0" w:color="000000"/>
              <w:left w:val="single" w:sz="4" w:space="0" w:color="000000"/>
              <w:bottom w:val="single" w:sz="4" w:space="0" w:color="000000"/>
              <w:right w:val="single" w:sz="4" w:space="0" w:color="000000"/>
            </w:tcBorders>
          </w:tcPr>
          <w:p w14:paraId="6D80661D" w14:textId="77777777" w:rsidR="007773E8" w:rsidRPr="00C33F4C" w:rsidRDefault="007773E8" w:rsidP="00115422">
            <w:pPr>
              <w:keepNext/>
              <w:keepLines/>
              <w:spacing w:after="0" w:line="240" w:lineRule="auto"/>
              <w:ind w:left="0" w:firstLine="0"/>
              <w:rPr>
                <w:color w:val="auto"/>
                <w:sz w:val="18"/>
                <w:szCs w:val="18"/>
                <w:lang w:val="es-ES"/>
              </w:rPr>
            </w:pPr>
            <w:r w:rsidRPr="00C33F4C">
              <w:rPr>
                <w:color w:val="auto"/>
                <w:sz w:val="18"/>
                <w:szCs w:val="18"/>
                <w:lang w:val="es-ES"/>
              </w:rPr>
              <w:t>Accidente cerebrovascular,</w:t>
            </w:r>
          </w:p>
          <w:p w14:paraId="71DA5115" w14:textId="77777777" w:rsidR="00FB24C0" w:rsidRPr="00C33F4C" w:rsidRDefault="00FB24C0" w:rsidP="00115422">
            <w:pPr>
              <w:keepNext/>
              <w:keepLines/>
              <w:spacing w:after="0" w:line="240" w:lineRule="auto"/>
              <w:ind w:left="0" w:firstLine="0"/>
              <w:rPr>
                <w:color w:val="auto"/>
                <w:sz w:val="18"/>
                <w:szCs w:val="18"/>
                <w:lang w:val="es-ES"/>
              </w:rPr>
            </w:pPr>
            <w:r w:rsidRPr="00C33F4C">
              <w:rPr>
                <w:color w:val="auto"/>
                <w:sz w:val="18"/>
                <w:szCs w:val="18"/>
                <w:lang w:val="es-ES"/>
              </w:rPr>
              <w:t>Síncope,</w:t>
            </w:r>
          </w:p>
          <w:p w14:paraId="5F6577DB" w14:textId="77777777" w:rsidR="00FB24C0" w:rsidRPr="00C33F4C" w:rsidRDefault="00FB24C0" w:rsidP="00115422">
            <w:pPr>
              <w:keepNext/>
              <w:keepLines/>
              <w:spacing w:after="0" w:line="240" w:lineRule="auto"/>
              <w:ind w:left="0" w:firstLine="0"/>
              <w:rPr>
                <w:color w:val="auto"/>
                <w:sz w:val="18"/>
                <w:szCs w:val="18"/>
                <w:lang w:val="es-ES"/>
              </w:rPr>
            </w:pPr>
            <w:r w:rsidRPr="00C33F4C">
              <w:rPr>
                <w:color w:val="auto"/>
                <w:sz w:val="18"/>
                <w:szCs w:val="18"/>
                <w:lang w:val="es-ES"/>
              </w:rPr>
              <w:t xml:space="preserve">Somnolencia </w:t>
            </w:r>
          </w:p>
        </w:tc>
        <w:tc>
          <w:tcPr>
            <w:tcW w:w="509" w:type="pct"/>
            <w:tcBorders>
              <w:top w:val="single" w:sz="4" w:space="0" w:color="000000"/>
              <w:left w:val="single" w:sz="4" w:space="0" w:color="000000"/>
              <w:bottom w:val="single" w:sz="4" w:space="0" w:color="000000"/>
              <w:right w:val="single" w:sz="4" w:space="0" w:color="000000"/>
            </w:tcBorders>
          </w:tcPr>
          <w:p w14:paraId="52B3F5AF" w14:textId="77777777" w:rsidR="00FB24C0" w:rsidRPr="00C33F4C" w:rsidRDefault="00FB24C0" w:rsidP="00115422">
            <w:pPr>
              <w:keepNext/>
              <w:keepLines/>
              <w:spacing w:after="0" w:line="240" w:lineRule="auto"/>
              <w:ind w:left="0" w:firstLine="0"/>
              <w:rPr>
                <w:color w:val="auto"/>
                <w:sz w:val="18"/>
                <w:szCs w:val="18"/>
                <w:lang w:val="es-ES"/>
              </w:rPr>
            </w:pPr>
          </w:p>
        </w:tc>
        <w:tc>
          <w:tcPr>
            <w:tcW w:w="639" w:type="pct"/>
            <w:tcBorders>
              <w:top w:val="single" w:sz="4" w:space="0" w:color="000000"/>
              <w:left w:val="single" w:sz="4" w:space="0" w:color="000000"/>
              <w:bottom w:val="single" w:sz="4" w:space="0" w:color="000000"/>
              <w:right w:val="single" w:sz="4" w:space="0" w:color="000000"/>
            </w:tcBorders>
          </w:tcPr>
          <w:p w14:paraId="5CE50E58" w14:textId="77777777" w:rsidR="00FB24C0" w:rsidRPr="00C33F4C" w:rsidRDefault="00FB24C0" w:rsidP="00115422">
            <w:pPr>
              <w:keepNext/>
              <w:keepLines/>
              <w:spacing w:after="0" w:line="240" w:lineRule="auto"/>
              <w:ind w:left="0" w:firstLine="0"/>
              <w:rPr>
                <w:color w:val="auto"/>
                <w:sz w:val="18"/>
                <w:szCs w:val="18"/>
                <w:lang w:val="es-ES"/>
              </w:rPr>
            </w:pPr>
            <w:r w:rsidRPr="00C33F4C">
              <w:rPr>
                <w:color w:val="auto"/>
                <w:sz w:val="18"/>
                <w:szCs w:val="18"/>
                <w:lang w:val="es-ES"/>
              </w:rPr>
              <w:t>Síndrome de encefalopatía posterior</w:t>
            </w:r>
            <w:r w:rsidR="007773E8" w:rsidRPr="00C33F4C">
              <w:rPr>
                <w:color w:val="auto"/>
                <w:sz w:val="18"/>
                <w:szCs w:val="18"/>
                <w:lang w:val="es-ES"/>
              </w:rPr>
              <w:t xml:space="preserve"> </w:t>
            </w:r>
            <w:proofErr w:type="spellStart"/>
            <w:proofErr w:type="gramStart"/>
            <w:r w:rsidRPr="00C33F4C">
              <w:rPr>
                <w:color w:val="auto"/>
                <w:sz w:val="18"/>
                <w:szCs w:val="18"/>
                <w:lang w:val="es-ES"/>
              </w:rPr>
              <w:t>reversible</w:t>
            </w:r>
            <w:r w:rsidRPr="00C33F4C">
              <w:rPr>
                <w:color w:val="auto"/>
                <w:sz w:val="18"/>
                <w:szCs w:val="18"/>
                <w:vertAlign w:val="superscript"/>
                <w:lang w:val="es-ES"/>
              </w:rPr>
              <w:t>a,b</w:t>
            </w:r>
            <w:proofErr w:type="gramEnd"/>
            <w:r w:rsidRPr="00C33F4C">
              <w:rPr>
                <w:color w:val="auto"/>
                <w:sz w:val="18"/>
                <w:szCs w:val="18"/>
                <w:vertAlign w:val="superscript"/>
                <w:lang w:val="es-ES"/>
              </w:rPr>
              <w:t>,d</w:t>
            </w:r>
            <w:proofErr w:type="spellEnd"/>
            <w:r w:rsidRPr="00C33F4C">
              <w:rPr>
                <w:i/>
                <w:color w:val="auto"/>
                <w:sz w:val="18"/>
                <w:szCs w:val="18"/>
                <w:lang w:val="es-ES"/>
              </w:rPr>
              <w:t xml:space="preserve"> </w:t>
            </w:r>
          </w:p>
        </w:tc>
        <w:tc>
          <w:tcPr>
            <w:tcW w:w="410" w:type="pct"/>
            <w:tcBorders>
              <w:top w:val="single" w:sz="4" w:space="0" w:color="000000"/>
              <w:left w:val="single" w:sz="4" w:space="0" w:color="000000"/>
              <w:bottom w:val="single" w:sz="4" w:space="0" w:color="000000"/>
              <w:right w:val="single" w:sz="4" w:space="0" w:color="000000"/>
            </w:tcBorders>
          </w:tcPr>
          <w:p w14:paraId="5A6422A7" w14:textId="77777777" w:rsidR="00FB24C0" w:rsidRPr="00C33F4C" w:rsidRDefault="00FB24C0" w:rsidP="00115422">
            <w:pPr>
              <w:keepNext/>
              <w:keepLines/>
              <w:spacing w:after="0" w:line="240" w:lineRule="auto"/>
              <w:ind w:left="0" w:firstLine="0"/>
              <w:rPr>
                <w:color w:val="auto"/>
                <w:sz w:val="18"/>
                <w:szCs w:val="18"/>
                <w:lang w:val="es-ES"/>
              </w:rPr>
            </w:pPr>
            <w:r w:rsidRPr="00C33F4C">
              <w:rPr>
                <w:color w:val="auto"/>
                <w:sz w:val="18"/>
                <w:szCs w:val="18"/>
                <w:lang w:val="es-ES"/>
              </w:rPr>
              <w:t xml:space="preserve">Encefalopatía </w:t>
            </w:r>
            <w:proofErr w:type="spellStart"/>
            <w:r w:rsidRPr="00C33F4C">
              <w:rPr>
                <w:color w:val="auto"/>
                <w:sz w:val="18"/>
                <w:szCs w:val="18"/>
                <w:lang w:val="es-ES"/>
              </w:rPr>
              <w:t>hipertensiva</w:t>
            </w:r>
            <w:r w:rsidRPr="00C33F4C">
              <w:rPr>
                <w:color w:val="auto"/>
                <w:sz w:val="18"/>
                <w:szCs w:val="18"/>
                <w:vertAlign w:val="superscript"/>
                <w:lang w:val="es-ES"/>
              </w:rPr>
              <w:t>a</w:t>
            </w:r>
            <w:proofErr w:type="spellEnd"/>
            <w:r w:rsidRPr="00C33F4C">
              <w:rPr>
                <w:color w:val="auto"/>
                <w:sz w:val="18"/>
                <w:szCs w:val="18"/>
                <w:vertAlign w:val="superscript"/>
                <w:lang w:val="es-ES"/>
              </w:rPr>
              <w:t xml:space="preserve"> </w:t>
            </w:r>
          </w:p>
        </w:tc>
        <w:tc>
          <w:tcPr>
            <w:tcW w:w="568" w:type="pct"/>
            <w:tcBorders>
              <w:top w:val="single" w:sz="4" w:space="0" w:color="000000"/>
              <w:left w:val="single" w:sz="4" w:space="0" w:color="000000"/>
              <w:bottom w:val="single" w:sz="4" w:space="0" w:color="000000"/>
              <w:right w:val="single" w:sz="4" w:space="0" w:color="000000"/>
            </w:tcBorders>
          </w:tcPr>
          <w:p w14:paraId="4E9254F5" w14:textId="77777777" w:rsidR="00FB24C0" w:rsidRPr="00C33F4C" w:rsidRDefault="00FB24C0" w:rsidP="00115422">
            <w:pPr>
              <w:keepNext/>
              <w:keepLines/>
              <w:spacing w:after="0" w:line="240" w:lineRule="auto"/>
              <w:ind w:left="0" w:firstLine="0"/>
              <w:rPr>
                <w:color w:val="auto"/>
                <w:sz w:val="18"/>
                <w:szCs w:val="18"/>
                <w:lang w:val="es-ES"/>
              </w:rPr>
            </w:pPr>
          </w:p>
        </w:tc>
      </w:tr>
      <w:tr w:rsidR="00D445BE" w:rsidRPr="005161A1" w14:paraId="1121F88D" w14:textId="77777777" w:rsidTr="00C33F4C">
        <w:trPr>
          <w:trHeight w:val="297"/>
        </w:trPr>
        <w:tc>
          <w:tcPr>
            <w:tcW w:w="823" w:type="pct"/>
            <w:tcBorders>
              <w:top w:val="single" w:sz="4" w:space="0" w:color="000000"/>
              <w:left w:val="single" w:sz="4" w:space="0" w:color="000000"/>
              <w:bottom w:val="single" w:sz="4" w:space="0" w:color="000000"/>
              <w:right w:val="single" w:sz="4" w:space="0" w:color="000000"/>
            </w:tcBorders>
          </w:tcPr>
          <w:p w14:paraId="3BEC7A59"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 xml:space="preserve">Trastornos oculares </w:t>
            </w:r>
          </w:p>
        </w:tc>
        <w:tc>
          <w:tcPr>
            <w:tcW w:w="1072" w:type="pct"/>
            <w:tcBorders>
              <w:top w:val="single" w:sz="4" w:space="0" w:color="000000"/>
              <w:left w:val="single" w:sz="4" w:space="0" w:color="000000"/>
              <w:bottom w:val="single" w:sz="4" w:space="0" w:color="000000"/>
              <w:right w:val="single" w:sz="4" w:space="0" w:color="000000"/>
            </w:tcBorders>
          </w:tcPr>
          <w:p w14:paraId="7A1E87B6"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Trastorno ocular,</w:t>
            </w:r>
          </w:p>
          <w:p w14:paraId="00495A17"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Lagrimeo aumentado</w:t>
            </w:r>
            <w:r w:rsidRPr="00C33F4C">
              <w:rPr>
                <w:i/>
                <w:color w:val="auto"/>
                <w:sz w:val="18"/>
                <w:szCs w:val="18"/>
                <w:lang w:val="es-ES"/>
              </w:rPr>
              <w:t xml:space="preserve"> </w:t>
            </w:r>
          </w:p>
        </w:tc>
        <w:tc>
          <w:tcPr>
            <w:tcW w:w="978" w:type="pct"/>
            <w:tcBorders>
              <w:top w:val="single" w:sz="4" w:space="0" w:color="000000"/>
              <w:left w:val="single" w:sz="4" w:space="0" w:color="000000"/>
              <w:bottom w:val="single" w:sz="4" w:space="0" w:color="000000"/>
              <w:right w:val="single" w:sz="4" w:space="0" w:color="000000"/>
            </w:tcBorders>
          </w:tcPr>
          <w:p w14:paraId="1911D955" w14:textId="77777777" w:rsidR="00FB24C0" w:rsidRPr="00C33F4C" w:rsidRDefault="00FB24C0" w:rsidP="00C33F4C">
            <w:pPr>
              <w:spacing w:after="0" w:line="240" w:lineRule="auto"/>
              <w:ind w:left="0" w:firstLine="0"/>
              <w:rPr>
                <w:color w:val="auto"/>
                <w:sz w:val="18"/>
                <w:szCs w:val="18"/>
                <w:lang w:val="es-ES"/>
              </w:rPr>
            </w:pPr>
          </w:p>
        </w:tc>
        <w:tc>
          <w:tcPr>
            <w:tcW w:w="509" w:type="pct"/>
            <w:tcBorders>
              <w:top w:val="single" w:sz="4" w:space="0" w:color="000000"/>
              <w:left w:val="single" w:sz="4" w:space="0" w:color="000000"/>
              <w:bottom w:val="single" w:sz="4" w:space="0" w:color="000000"/>
              <w:right w:val="single" w:sz="4" w:space="0" w:color="000000"/>
            </w:tcBorders>
          </w:tcPr>
          <w:p w14:paraId="5CCB5577" w14:textId="77777777" w:rsidR="00FB24C0" w:rsidRPr="00C33F4C" w:rsidRDefault="00FB24C0" w:rsidP="00C33F4C">
            <w:pPr>
              <w:spacing w:after="0" w:line="240" w:lineRule="auto"/>
              <w:ind w:left="0" w:firstLine="0"/>
              <w:rPr>
                <w:color w:val="auto"/>
                <w:sz w:val="18"/>
                <w:szCs w:val="18"/>
                <w:lang w:val="es-ES"/>
              </w:rPr>
            </w:pPr>
          </w:p>
        </w:tc>
        <w:tc>
          <w:tcPr>
            <w:tcW w:w="639" w:type="pct"/>
            <w:tcBorders>
              <w:top w:val="single" w:sz="4" w:space="0" w:color="000000"/>
              <w:left w:val="single" w:sz="4" w:space="0" w:color="000000"/>
              <w:bottom w:val="single" w:sz="4" w:space="0" w:color="000000"/>
              <w:right w:val="single" w:sz="4" w:space="0" w:color="000000"/>
            </w:tcBorders>
          </w:tcPr>
          <w:p w14:paraId="7F9A984A" w14:textId="77777777" w:rsidR="00FB24C0" w:rsidRPr="00C33F4C" w:rsidRDefault="00FB24C0" w:rsidP="00C33F4C">
            <w:pPr>
              <w:spacing w:after="0" w:line="240" w:lineRule="auto"/>
              <w:ind w:left="0" w:firstLine="0"/>
              <w:rPr>
                <w:color w:val="auto"/>
                <w:sz w:val="18"/>
                <w:szCs w:val="18"/>
                <w:lang w:val="es-ES"/>
              </w:rPr>
            </w:pPr>
          </w:p>
        </w:tc>
        <w:tc>
          <w:tcPr>
            <w:tcW w:w="410" w:type="pct"/>
            <w:tcBorders>
              <w:top w:val="single" w:sz="4" w:space="0" w:color="000000"/>
              <w:left w:val="single" w:sz="4" w:space="0" w:color="000000"/>
              <w:bottom w:val="single" w:sz="4" w:space="0" w:color="000000"/>
              <w:right w:val="single" w:sz="4" w:space="0" w:color="000000"/>
            </w:tcBorders>
          </w:tcPr>
          <w:p w14:paraId="68D14E09" w14:textId="77777777" w:rsidR="00FB24C0" w:rsidRPr="00C33F4C" w:rsidRDefault="00FB24C0" w:rsidP="00C33F4C">
            <w:pPr>
              <w:spacing w:after="0" w:line="240" w:lineRule="auto"/>
              <w:ind w:left="0" w:firstLine="0"/>
              <w:rPr>
                <w:color w:val="auto"/>
                <w:sz w:val="18"/>
                <w:szCs w:val="18"/>
                <w:lang w:val="es-ES"/>
              </w:rPr>
            </w:pPr>
          </w:p>
        </w:tc>
        <w:tc>
          <w:tcPr>
            <w:tcW w:w="568" w:type="pct"/>
            <w:tcBorders>
              <w:top w:val="single" w:sz="4" w:space="0" w:color="000000"/>
              <w:left w:val="single" w:sz="4" w:space="0" w:color="000000"/>
              <w:bottom w:val="single" w:sz="4" w:space="0" w:color="000000"/>
              <w:right w:val="single" w:sz="4" w:space="0" w:color="000000"/>
            </w:tcBorders>
          </w:tcPr>
          <w:p w14:paraId="40AB928D" w14:textId="77777777" w:rsidR="00FB24C0" w:rsidRPr="00C33F4C" w:rsidRDefault="00FB24C0" w:rsidP="00C33F4C">
            <w:pPr>
              <w:spacing w:after="0" w:line="240" w:lineRule="auto"/>
              <w:ind w:left="0" w:firstLine="0"/>
              <w:rPr>
                <w:color w:val="auto"/>
                <w:sz w:val="18"/>
                <w:szCs w:val="18"/>
                <w:lang w:val="es-ES"/>
              </w:rPr>
            </w:pPr>
          </w:p>
        </w:tc>
      </w:tr>
      <w:tr w:rsidR="00D445BE" w:rsidRPr="00714463" w14:paraId="4A96BDE0" w14:textId="77777777" w:rsidTr="00C33F4C">
        <w:trPr>
          <w:trHeight w:val="533"/>
        </w:trPr>
        <w:tc>
          <w:tcPr>
            <w:tcW w:w="823" w:type="pct"/>
            <w:tcBorders>
              <w:top w:val="single" w:sz="4" w:space="0" w:color="000000"/>
              <w:left w:val="single" w:sz="4" w:space="0" w:color="000000"/>
              <w:bottom w:val="single" w:sz="4" w:space="0" w:color="000000"/>
              <w:right w:val="single" w:sz="4" w:space="0" w:color="000000"/>
            </w:tcBorders>
          </w:tcPr>
          <w:p w14:paraId="5F48FE15"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lastRenderedPageBreak/>
              <w:t xml:space="preserve">Trastornos cardíacos </w:t>
            </w:r>
          </w:p>
        </w:tc>
        <w:tc>
          <w:tcPr>
            <w:tcW w:w="1072" w:type="pct"/>
            <w:tcBorders>
              <w:top w:val="single" w:sz="4" w:space="0" w:color="000000"/>
              <w:left w:val="single" w:sz="4" w:space="0" w:color="000000"/>
              <w:bottom w:val="single" w:sz="4" w:space="0" w:color="000000"/>
              <w:right w:val="single" w:sz="4" w:space="0" w:color="000000"/>
            </w:tcBorders>
          </w:tcPr>
          <w:p w14:paraId="0E4842B3" w14:textId="77777777" w:rsidR="00FB24C0" w:rsidRPr="00C33F4C" w:rsidRDefault="00FB24C0" w:rsidP="00C33F4C">
            <w:pPr>
              <w:spacing w:after="0" w:line="240" w:lineRule="auto"/>
              <w:ind w:left="0" w:firstLine="0"/>
              <w:rPr>
                <w:color w:val="auto"/>
                <w:sz w:val="18"/>
                <w:szCs w:val="18"/>
                <w:lang w:val="es-ES"/>
              </w:rPr>
            </w:pPr>
          </w:p>
        </w:tc>
        <w:tc>
          <w:tcPr>
            <w:tcW w:w="978" w:type="pct"/>
            <w:tcBorders>
              <w:top w:val="single" w:sz="4" w:space="0" w:color="000000"/>
              <w:left w:val="single" w:sz="4" w:space="0" w:color="000000"/>
              <w:bottom w:val="single" w:sz="4" w:space="0" w:color="000000"/>
              <w:right w:val="single" w:sz="4" w:space="0" w:color="000000"/>
            </w:tcBorders>
          </w:tcPr>
          <w:p w14:paraId="0533830E"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Insuficiencia cardíaca</w:t>
            </w:r>
            <w:r w:rsidR="007773E8" w:rsidRPr="00C33F4C">
              <w:rPr>
                <w:color w:val="auto"/>
                <w:sz w:val="18"/>
                <w:szCs w:val="18"/>
                <w:lang w:val="es-ES"/>
              </w:rPr>
              <w:t xml:space="preserve"> </w:t>
            </w:r>
            <w:proofErr w:type="spellStart"/>
            <w:proofErr w:type="gramStart"/>
            <w:r w:rsidRPr="00C33F4C">
              <w:rPr>
                <w:color w:val="auto"/>
                <w:sz w:val="18"/>
                <w:szCs w:val="18"/>
                <w:lang w:val="es-ES"/>
              </w:rPr>
              <w:t>congestiva</w:t>
            </w:r>
            <w:r w:rsidRPr="00C33F4C">
              <w:rPr>
                <w:color w:val="auto"/>
                <w:sz w:val="18"/>
                <w:szCs w:val="18"/>
                <w:vertAlign w:val="superscript"/>
                <w:lang w:val="es-ES"/>
              </w:rPr>
              <w:t>b,d</w:t>
            </w:r>
            <w:proofErr w:type="spellEnd"/>
            <w:proofErr w:type="gramEnd"/>
            <w:r w:rsidR="0099042A" w:rsidRPr="00C33F4C">
              <w:rPr>
                <w:color w:val="auto"/>
                <w:sz w:val="18"/>
                <w:szCs w:val="18"/>
                <w:lang w:val="es-ES"/>
              </w:rPr>
              <w:t>,</w:t>
            </w:r>
          </w:p>
          <w:p w14:paraId="24376224"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 xml:space="preserve">Taquicardia supraventricular </w:t>
            </w:r>
          </w:p>
        </w:tc>
        <w:tc>
          <w:tcPr>
            <w:tcW w:w="509" w:type="pct"/>
            <w:tcBorders>
              <w:top w:val="single" w:sz="4" w:space="0" w:color="000000"/>
              <w:left w:val="single" w:sz="4" w:space="0" w:color="000000"/>
              <w:bottom w:val="single" w:sz="4" w:space="0" w:color="000000"/>
              <w:right w:val="single" w:sz="4" w:space="0" w:color="000000"/>
            </w:tcBorders>
          </w:tcPr>
          <w:p w14:paraId="7BBCBF70" w14:textId="77777777" w:rsidR="00FB24C0" w:rsidRPr="00C33F4C" w:rsidRDefault="00FB24C0" w:rsidP="00C33F4C">
            <w:pPr>
              <w:spacing w:after="0" w:line="240" w:lineRule="auto"/>
              <w:ind w:left="0" w:firstLine="0"/>
              <w:rPr>
                <w:color w:val="auto"/>
                <w:sz w:val="18"/>
                <w:szCs w:val="18"/>
                <w:lang w:val="es-ES"/>
              </w:rPr>
            </w:pPr>
          </w:p>
        </w:tc>
        <w:tc>
          <w:tcPr>
            <w:tcW w:w="639" w:type="pct"/>
            <w:tcBorders>
              <w:top w:val="single" w:sz="4" w:space="0" w:color="000000"/>
              <w:left w:val="single" w:sz="4" w:space="0" w:color="000000"/>
              <w:bottom w:val="single" w:sz="4" w:space="0" w:color="000000"/>
              <w:right w:val="single" w:sz="4" w:space="0" w:color="000000"/>
            </w:tcBorders>
          </w:tcPr>
          <w:p w14:paraId="13092D04" w14:textId="77777777" w:rsidR="00FB24C0" w:rsidRPr="00C33F4C" w:rsidRDefault="00FB24C0" w:rsidP="00C33F4C">
            <w:pPr>
              <w:spacing w:after="0" w:line="240" w:lineRule="auto"/>
              <w:ind w:left="0" w:firstLine="0"/>
              <w:rPr>
                <w:color w:val="auto"/>
                <w:sz w:val="18"/>
                <w:szCs w:val="18"/>
                <w:lang w:val="es-ES"/>
              </w:rPr>
            </w:pPr>
          </w:p>
        </w:tc>
        <w:tc>
          <w:tcPr>
            <w:tcW w:w="410" w:type="pct"/>
            <w:tcBorders>
              <w:top w:val="single" w:sz="4" w:space="0" w:color="000000"/>
              <w:left w:val="single" w:sz="4" w:space="0" w:color="000000"/>
              <w:bottom w:val="single" w:sz="4" w:space="0" w:color="000000"/>
              <w:right w:val="single" w:sz="4" w:space="0" w:color="000000"/>
            </w:tcBorders>
          </w:tcPr>
          <w:p w14:paraId="6210B9B5" w14:textId="77777777" w:rsidR="00FB24C0" w:rsidRPr="00C33F4C" w:rsidRDefault="00FB24C0" w:rsidP="00C33F4C">
            <w:pPr>
              <w:spacing w:after="0" w:line="240" w:lineRule="auto"/>
              <w:ind w:left="0" w:firstLine="0"/>
              <w:rPr>
                <w:color w:val="auto"/>
                <w:sz w:val="18"/>
                <w:szCs w:val="18"/>
                <w:lang w:val="es-ES"/>
              </w:rPr>
            </w:pPr>
          </w:p>
        </w:tc>
        <w:tc>
          <w:tcPr>
            <w:tcW w:w="568" w:type="pct"/>
            <w:tcBorders>
              <w:top w:val="single" w:sz="4" w:space="0" w:color="000000"/>
              <w:left w:val="single" w:sz="4" w:space="0" w:color="000000"/>
              <w:bottom w:val="single" w:sz="4" w:space="0" w:color="000000"/>
              <w:right w:val="single" w:sz="4" w:space="0" w:color="000000"/>
            </w:tcBorders>
          </w:tcPr>
          <w:p w14:paraId="36B14AFE" w14:textId="77777777" w:rsidR="00FB24C0" w:rsidRPr="00C33F4C" w:rsidRDefault="00FB24C0" w:rsidP="00C33F4C">
            <w:pPr>
              <w:spacing w:after="0" w:line="240" w:lineRule="auto"/>
              <w:ind w:left="0" w:firstLine="0"/>
              <w:rPr>
                <w:color w:val="auto"/>
                <w:sz w:val="18"/>
                <w:szCs w:val="18"/>
                <w:lang w:val="es-ES"/>
              </w:rPr>
            </w:pPr>
          </w:p>
        </w:tc>
      </w:tr>
      <w:tr w:rsidR="00D445BE" w:rsidRPr="00714463" w14:paraId="07AC1A07" w14:textId="77777777" w:rsidTr="00C33F4C">
        <w:trPr>
          <w:trHeight w:val="533"/>
        </w:trPr>
        <w:tc>
          <w:tcPr>
            <w:tcW w:w="823" w:type="pct"/>
            <w:tcBorders>
              <w:top w:val="single" w:sz="4" w:space="0" w:color="000000"/>
              <w:left w:val="single" w:sz="4" w:space="0" w:color="000000"/>
              <w:bottom w:val="single" w:sz="4" w:space="0" w:color="000000"/>
              <w:right w:val="single" w:sz="4" w:space="0" w:color="000000"/>
            </w:tcBorders>
          </w:tcPr>
          <w:p w14:paraId="13FF1EC8"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 xml:space="preserve">Trastornos vasculares </w:t>
            </w:r>
          </w:p>
        </w:tc>
        <w:tc>
          <w:tcPr>
            <w:tcW w:w="1072" w:type="pct"/>
            <w:tcBorders>
              <w:top w:val="single" w:sz="4" w:space="0" w:color="000000"/>
              <w:left w:val="single" w:sz="4" w:space="0" w:color="000000"/>
              <w:bottom w:val="single" w:sz="4" w:space="0" w:color="000000"/>
              <w:right w:val="single" w:sz="4" w:space="0" w:color="000000"/>
            </w:tcBorders>
          </w:tcPr>
          <w:p w14:paraId="3D4CA16B" w14:textId="77777777" w:rsidR="00FB24C0" w:rsidRPr="00C33F4C" w:rsidRDefault="00FB24C0" w:rsidP="00C33F4C">
            <w:pPr>
              <w:spacing w:after="0" w:line="240" w:lineRule="auto"/>
              <w:ind w:left="0" w:firstLine="0"/>
              <w:rPr>
                <w:color w:val="auto"/>
                <w:sz w:val="18"/>
                <w:szCs w:val="18"/>
                <w:lang w:val="es-ES"/>
              </w:rPr>
            </w:pPr>
            <w:proofErr w:type="spellStart"/>
            <w:proofErr w:type="gramStart"/>
            <w:r w:rsidRPr="00C33F4C">
              <w:rPr>
                <w:color w:val="auto"/>
                <w:sz w:val="18"/>
                <w:szCs w:val="18"/>
                <w:lang w:val="es-ES"/>
              </w:rPr>
              <w:t>Hipertensión</w:t>
            </w:r>
            <w:r w:rsidRPr="00C33F4C">
              <w:rPr>
                <w:color w:val="auto"/>
                <w:sz w:val="18"/>
                <w:szCs w:val="18"/>
                <w:vertAlign w:val="superscript"/>
                <w:lang w:val="es-ES"/>
              </w:rPr>
              <w:t>b,d</w:t>
            </w:r>
            <w:proofErr w:type="spellEnd"/>
            <w:proofErr w:type="gramEnd"/>
            <w:r w:rsidRPr="00C33F4C">
              <w:rPr>
                <w:color w:val="auto"/>
                <w:sz w:val="18"/>
                <w:szCs w:val="18"/>
                <w:lang w:val="es-ES"/>
              </w:rPr>
              <w:t>,</w:t>
            </w:r>
          </w:p>
          <w:p w14:paraId="3FD959A4"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Tromboembolismo</w:t>
            </w:r>
            <w:r w:rsidR="007773E8" w:rsidRPr="00C33F4C">
              <w:rPr>
                <w:color w:val="auto"/>
                <w:sz w:val="18"/>
                <w:szCs w:val="18"/>
                <w:lang w:val="es-ES"/>
              </w:rPr>
              <w:t xml:space="preserve"> </w:t>
            </w:r>
            <w:r w:rsidRPr="00C33F4C">
              <w:rPr>
                <w:color w:val="auto"/>
                <w:sz w:val="18"/>
                <w:szCs w:val="18"/>
                <w:lang w:val="es-ES"/>
              </w:rPr>
              <w:t>(venoso)</w:t>
            </w:r>
            <w:proofErr w:type="spellStart"/>
            <w:proofErr w:type="gramStart"/>
            <w:r w:rsidRPr="00C33F4C">
              <w:rPr>
                <w:color w:val="auto"/>
                <w:sz w:val="18"/>
                <w:szCs w:val="18"/>
                <w:vertAlign w:val="superscript"/>
                <w:lang w:val="es-ES"/>
              </w:rPr>
              <w:t>b,d</w:t>
            </w:r>
            <w:proofErr w:type="spellEnd"/>
            <w:proofErr w:type="gramEnd"/>
            <w:r w:rsidRPr="00C33F4C">
              <w:rPr>
                <w:color w:val="auto"/>
                <w:sz w:val="18"/>
                <w:szCs w:val="18"/>
                <w:lang w:val="es-ES"/>
              </w:rPr>
              <w:t xml:space="preserve"> </w:t>
            </w:r>
          </w:p>
        </w:tc>
        <w:tc>
          <w:tcPr>
            <w:tcW w:w="978" w:type="pct"/>
            <w:tcBorders>
              <w:top w:val="single" w:sz="4" w:space="0" w:color="000000"/>
              <w:left w:val="single" w:sz="4" w:space="0" w:color="000000"/>
              <w:bottom w:val="single" w:sz="4" w:space="0" w:color="000000"/>
              <w:right w:val="single" w:sz="4" w:space="0" w:color="000000"/>
            </w:tcBorders>
          </w:tcPr>
          <w:p w14:paraId="1050C545" w14:textId="77777777" w:rsidR="00082414"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Tromboembolismo (arterial)</w:t>
            </w:r>
            <w:proofErr w:type="spellStart"/>
            <w:proofErr w:type="gramStart"/>
            <w:r w:rsidRPr="00C33F4C">
              <w:rPr>
                <w:color w:val="auto"/>
                <w:sz w:val="18"/>
                <w:szCs w:val="18"/>
                <w:vertAlign w:val="superscript"/>
                <w:lang w:val="es-ES"/>
              </w:rPr>
              <w:t>b,d</w:t>
            </w:r>
            <w:proofErr w:type="spellEnd"/>
            <w:proofErr w:type="gramEnd"/>
            <w:r w:rsidRPr="00C33F4C">
              <w:rPr>
                <w:color w:val="auto"/>
                <w:sz w:val="18"/>
                <w:szCs w:val="18"/>
                <w:lang w:val="es-ES"/>
              </w:rPr>
              <w:t xml:space="preserve"> </w:t>
            </w:r>
            <w:r w:rsidR="00082414" w:rsidRPr="00C33F4C">
              <w:rPr>
                <w:color w:val="auto"/>
                <w:sz w:val="18"/>
                <w:szCs w:val="18"/>
                <w:lang w:val="es-ES"/>
              </w:rPr>
              <w:t>,</w:t>
            </w:r>
          </w:p>
          <w:p w14:paraId="05AC8FA2" w14:textId="77777777" w:rsidR="00FB24C0" w:rsidRPr="00C33F4C" w:rsidRDefault="00FB24C0" w:rsidP="00C33F4C">
            <w:pPr>
              <w:spacing w:after="0" w:line="240" w:lineRule="auto"/>
              <w:ind w:left="0" w:firstLine="0"/>
              <w:rPr>
                <w:color w:val="auto"/>
                <w:sz w:val="18"/>
                <w:szCs w:val="18"/>
                <w:vertAlign w:val="superscript"/>
                <w:lang w:val="es-ES"/>
              </w:rPr>
            </w:pPr>
            <w:proofErr w:type="spellStart"/>
            <w:proofErr w:type="gramStart"/>
            <w:r w:rsidRPr="00C33F4C">
              <w:rPr>
                <w:color w:val="auto"/>
                <w:sz w:val="18"/>
                <w:szCs w:val="18"/>
                <w:lang w:val="es-ES"/>
              </w:rPr>
              <w:t>Hemorragia</w:t>
            </w:r>
            <w:r w:rsidRPr="00C33F4C">
              <w:rPr>
                <w:color w:val="auto"/>
                <w:sz w:val="18"/>
                <w:szCs w:val="18"/>
                <w:vertAlign w:val="superscript"/>
                <w:lang w:val="es-ES"/>
              </w:rPr>
              <w:t>b,d</w:t>
            </w:r>
            <w:proofErr w:type="spellEnd"/>
            <w:proofErr w:type="gramEnd"/>
          </w:p>
          <w:p w14:paraId="480EE9BB"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 xml:space="preserve">Trombosis venosa profunda </w:t>
            </w:r>
          </w:p>
        </w:tc>
        <w:tc>
          <w:tcPr>
            <w:tcW w:w="509" w:type="pct"/>
            <w:tcBorders>
              <w:top w:val="single" w:sz="4" w:space="0" w:color="000000"/>
              <w:left w:val="single" w:sz="4" w:space="0" w:color="000000"/>
              <w:bottom w:val="single" w:sz="4" w:space="0" w:color="000000"/>
              <w:right w:val="single" w:sz="4" w:space="0" w:color="000000"/>
            </w:tcBorders>
          </w:tcPr>
          <w:p w14:paraId="7F298764" w14:textId="77777777" w:rsidR="00FB24C0" w:rsidRPr="00C33F4C" w:rsidRDefault="00FB24C0" w:rsidP="00C33F4C">
            <w:pPr>
              <w:spacing w:after="0" w:line="240" w:lineRule="auto"/>
              <w:ind w:left="0" w:firstLine="0"/>
              <w:rPr>
                <w:color w:val="auto"/>
                <w:sz w:val="18"/>
                <w:szCs w:val="18"/>
                <w:lang w:val="es-ES"/>
              </w:rPr>
            </w:pPr>
          </w:p>
        </w:tc>
        <w:tc>
          <w:tcPr>
            <w:tcW w:w="639" w:type="pct"/>
            <w:tcBorders>
              <w:top w:val="single" w:sz="4" w:space="0" w:color="000000"/>
              <w:left w:val="single" w:sz="4" w:space="0" w:color="000000"/>
              <w:bottom w:val="single" w:sz="4" w:space="0" w:color="000000"/>
              <w:right w:val="single" w:sz="4" w:space="0" w:color="000000"/>
            </w:tcBorders>
          </w:tcPr>
          <w:p w14:paraId="773C0D12" w14:textId="77777777" w:rsidR="00FB24C0" w:rsidRPr="00C33F4C" w:rsidRDefault="00FB24C0" w:rsidP="00C33F4C">
            <w:pPr>
              <w:spacing w:after="0" w:line="240" w:lineRule="auto"/>
              <w:ind w:left="0" w:firstLine="0"/>
              <w:rPr>
                <w:color w:val="auto"/>
                <w:sz w:val="18"/>
                <w:szCs w:val="18"/>
                <w:lang w:val="es-ES"/>
              </w:rPr>
            </w:pPr>
          </w:p>
        </w:tc>
        <w:tc>
          <w:tcPr>
            <w:tcW w:w="410" w:type="pct"/>
            <w:tcBorders>
              <w:top w:val="single" w:sz="4" w:space="0" w:color="000000"/>
              <w:left w:val="single" w:sz="4" w:space="0" w:color="000000"/>
              <w:bottom w:val="single" w:sz="4" w:space="0" w:color="000000"/>
              <w:right w:val="single" w:sz="4" w:space="0" w:color="000000"/>
            </w:tcBorders>
          </w:tcPr>
          <w:p w14:paraId="55CE7495" w14:textId="77777777" w:rsidR="00FB24C0" w:rsidRPr="00C33F4C" w:rsidRDefault="00FB24C0" w:rsidP="00C33F4C">
            <w:pPr>
              <w:spacing w:after="0" w:line="240" w:lineRule="auto"/>
              <w:ind w:left="0" w:firstLine="0"/>
              <w:rPr>
                <w:color w:val="auto"/>
                <w:sz w:val="18"/>
                <w:szCs w:val="18"/>
                <w:lang w:val="es-ES"/>
              </w:rPr>
            </w:pPr>
          </w:p>
        </w:tc>
        <w:tc>
          <w:tcPr>
            <w:tcW w:w="568" w:type="pct"/>
            <w:tcBorders>
              <w:top w:val="single" w:sz="4" w:space="0" w:color="000000"/>
              <w:left w:val="single" w:sz="4" w:space="0" w:color="000000"/>
              <w:bottom w:val="single" w:sz="4" w:space="0" w:color="000000"/>
              <w:right w:val="single" w:sz="4" w:space="0" w:color="000000"/>
            </w:tcBorders>
          </w:tcPr>
          <w:p w14:paraId="6C5B5A82" w14:textId="5031FCAC"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Microangiopatía renal</w:t>
            </w:r>
            <w:r w:rsidR="007773E8" w:rsidRPr="00C33F4C">
              <w:rPr>
                <w:color w:val="auto"/>
                <w:sz w:val="18"/>
                <w:szCs w:val="18"/>
                <w:lang w:val="es-ES"/>
              </w:rPr>
              <w:t xml:space="preserve"> </w:t>
            </w:r>
            <w:proofErr w:type="spellStart"/>
            <w:proofErr w:type="gramStart"/>
            <w:r w:rsidRPr="00C33F4C">
              <w:rPr>
                <w:color w:val="auto"/>
                <w:sz w:val="18"/>
                <w:szCs w:val="18"/>
                <w:lang w:val="es-ES"/>
              </w:rPr>
              <w:t>trombótica</w:t>
            </w:r>
            <w:r w:rsidRPr="00C33F4C">
              <w:rPr>
                <w:color w:val="auto"/>
                <w:sz w:val="18"/>
                <w:szCs w:val="18"/>
                <w:vertAlign w:val="superscript"/>
                <w:lang w:val="es-ES"/>
              </w:rPr>
              <w:t>a,b</w:t>
            </w:r>
            <w:proofErr w:type="spellEnd"/>
            <w:proofErr w:type="gramEnd"/>
            <w:r w:rsidR="001B74AB" w:rsidRPr="00C33F4C">
              <w:rPr>
                <w:color w:val="auto"/>
                <w:sz w:val="18"/>
                <w:szCs w:val="18"/>
                <w:lang w:val="es-ES"/>
              </w:rPr>
              <w:t>, Aneurisma</w:t>
            </w:r>
            <w:r w:rsidR="00C52989" w:rsidRPr="00C33F4C">
              <w:rPr>
                <w:color w:val="auto"/>
                <w:sz w:val="18"/>
                <w:szCs w:val="18"/>
                <w:lang w:val="es-ES"/>
              </w:rPr>
              <w:t>s</w:t>
            </w:r>
            <w:r w:rsidR="001B74AB" w:rsidRPr="00C33F4C">
              <w:rPr>
                <w:color w:val="auto"/>
                <w:sz w:val="18"/>
                <w:szCs w:val="18"/>
                <w:lang w:val="es-ES"/>
              </w:rPr>
              <w:t xml:space="preserve"> y disecciones arteriales</w:t>
            </w:r>
          </w:p>
        </w:tc>
      </w:tr>
      <w:tr w:rsidR="00D445BE" w:rsidRPr="002C10E1" w14:paraId="380CD4B1" w14:textId="77777777" w:rsidTr="00C33F4C">
        <w:trPr>
          <w:trHeight w:val="724"/>
        </w:trPr>
        <w:tc>
          <w:tcPr>
            <w:tcW w:w="823" w:type="pct"/>
            <w:tcBorders>
              <w:top w:val="single" w:sz="4" w:space="0" w:color="000000"/>
              <w:left w:val="single" w:sz="4" w:space="0" w:color="000000"/>
              <w:bottom w:val="single" w:sz="4" w:space="0" w:color="000000"/>
              <w:right w:val="single" w:sz="4" w:space="0" w:color="000000"/>
            </w:tcBorders>
          </w:tcPr>
          <w:p w14:paraId="706F2820" w14:textId="77777777" w:rsidR="00FB24C0" w:rsidRPr="00C33F4C" w:rsidRDefault="00FB24C0" w:rsidP="00246678">
            <w:pPr>
              <w:keepNext/>
              <w:keepLines/>
              <w:spacing w:after="0" w:line="240" w:lineRule="auto"/>
              <w:ind w:left="0" w:firstLine="0"/>
              <w:rPr>
                <w:color w:val="auto"/>
                <w:sz w:val="18"/>
                <w:szCs w:val="18"/>
                <w:lang w:val="es-ES"/>
              </w:rPr>
            </w:pPr>
            <w:r w:rsidRPr="00C33F4C">
              <w:rPr>
                <w:color w:val="auto"/>
                <w:sz w:val="18"/>
                <w:szCs w:val="18"/>
                <w:lang w:val="es-ES"/>
              </w:rPr>
              <w:t xml:space="preserve">Trastornos respiratorios, torácicos y mediastínicos </w:t>
            </w:r>
          </w:p>
        </w:tc>
        <w:tc>
          <w:tcPr>
            <w:tcW w:w="1072" w:type="pct"/>
            <w:tcBorders>
              <w:top w:val="single" w:sz="4" w:space="0" w:color="000000"/>
              <w:left w:val="single" w:sz="4" w:space="0" w:color="000000"/>
              <w:bottom w:val="single" w:sz="4" w:space="0" w:color="000000"/>
              <w:right w:val="single" w:sz="4" w:space="0" w:color="000000"/>
            </w:tcBorders>
          </w:tcPr>
          <w:p w14:paraId="73634C8E" w14:textId="77777777" w:rsidR="003B4D4F"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Disnea,</w:t>
            </w:r>
          </w:p>
          <w:p w14:paraId="437CEA62"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Rinitis</w:t>
            </w:r>
            <w:r w:rsidR="000420A0" w:rsidRPr="00C33F4C">
              <w:rPr>
                <w:color w:val="auto"/>
                <w:sz w:val="18"/>
                <w:szCs w:val="18"/>
                <w:lang w:val="es-ES"/>
              </w:rPr>
              <w:t>,</w:t>
            </w:r>
          </w:p>
          <w:p w14:paraId="2A3882C0"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Epistaxis</w:t>
            </w:r>
            <w:r w:rsidR="000420A0" w:rsidRPr="00C33F4C">
              <w:rPr>
                <w:color w:val="auto"/>
                <w:sz w:val="18"/>
                <w:szCs w:val="18"/>
                <w:lang w:val="es-ES"/>
              </w:rPr>
              <w:t>,</w:t>
            </w:r>
          </w:p>
          <w:p w14:paraId="54FCCEB9"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Tos</w:t>
            </w:r>
          </w:p>
        </w:tc>
        <w:tc>
          <w:tcPr>
            <w:tcW w:w="978" w:type="pct"/>
            <w:tcBorders>
              <w:top w:val="single" w:sz="4" w:space="0" w:color="000000"/>
              <w:left w:val="single" w:sz="4" w:space="0" w:color="000000"/>
              <w:bottom w:val="single" w:sz="4" w:space="0" w:color="000000"/>
              <w:right w:val="single" w:sz="4" w:space="0" w:color="000000"/>
            </w:tcBorders>
          </w:tcPr>
          <w:p w14:paraId="01937A49" w14:textId="77777777" w:rsidR="000758E6"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Hemorragia pulmonar/</w:t>
            </w:r>
            <w:r w:rsidR="000758E6" w:rsidRPr="00C33F4C">
              <w:rPr>
                <w:color w:val="auto"/>
                <w:sz w:val="18"/>
                <w:szCs w:val="18"/>
                <w:lang w:val="es-ES"/>
              </w:rPr>
              <w:t xml:space="preserve"> </w:t>
            </w:r>
            <w:proofErr w:type="spellStart"/>
            <w:proofErr w:type="gramStart"/>
            <w:r w:rsidRPr="00C33F4C">
              <w:rPr>
                <w:color w:val="auto"/>
                <w:sz w:val="18"/>
                <w:szCs w:val="18"/>
                <w:lang w:val="es-ES"/>
              </w:rPr>
              <w:t>Hemoptisis</w:t>
            </w:r>
            <w:r w:rsidRPr="00C33F4C">
              <w:rPr>
                <w:color w:val="auto"/>
                <w:sz w:val="18"/>
                <w:szCs w:val="18"/>
                <w:vertAlign w:val="superscript"/>
                <w:lang w:val="es-ES"/>
              </w:rPr>
              <w:t>b,d</w:t>
            </w:r>
            <w:proofErr w:type="spellEnd"/>
            <w:proofErr w:type="gramEnd"/>
            <w:r w:rsidR="000758E6" w:rsidRPr="00C33F4C">
              <w:rPr>
                <w:color w:val="auto"/>
                <w:sz w:val="18"/>
                <w:szCs w:val="18"/>
                <w:lang w:val="es-ES"/>
              </w:rPr>
              <w:t>,</w:t>
            </w:r>
          </w:p>
          <w:p w14:paraId="11C6E54A"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Embolia pulmonar</w:t>
            </w:r>
            <w:r w:rsidR="00F35FD1" w:rsidRPr="00C33F4C">
              <w:rPr>
                <w:color w:val="auto"/>
                <w:sz w:val="18"/>
                <w:szCs w:val="18"/>
                <w:lang w:val="es-ES"/>
              </w:rPr>
              <w:t>,</w:t>
            </w:r>
          </w:p>
          <w:p w14:paraId="16570627"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Hipoxia</w:t>
            </w:r>
            <w:r w:rsidR="00F35FD1" w:rsidRPr="00C33F4C">
              <w:rPr>
                <w:color w:val="auto"/>
                <w:sz w:val="18"/>
                <w:szCs w:val="18"/>
                <w:lang w:val="es-ES"/>
              </w:rPr>
              <w:t>,</w:t>
            </w:r>
          </w:p>
          <w:p w14:paraId="2393C2F9" w14:textId="77777777" w:rsidR="00FB24C0" w:rsidRPr="00C33F4C" w:rsidRDefault="00FB24C0" w:rsidP="00C33F4C">
            <w:pPr>
              <w:spacing w:after="0" w:line="240" w:lineRule="auto"/>
              <w:ind w:left="0" w:firstLine="0"/>
              <w:rPr>
                <w:color w:val="auto"/>
                <w:sz w:val="18"/>
                <w:szCs w:val="18"/>
                <w:lang w:val="es-ES"/>
              </w:rPr>
            </w:pPr>
            <w:proofErr w:type="spellStart"/>
            <w:r w:rsidRPr="00C33F4C">
              <w:rPr>
                <w:color w:val="auto"/>
                <w:sz w:val="18"/>
                <w:szCs w:val="18"/>
                <w:lang w:val="es-ES"/>
              </w:rPr>
              <w:t>Disfonía</w:t>
            </w:r>
            <w:r w:rsidRPr="00C33F4C">
              <w:rPr>
                <w:color w:val="auto"/>
                <w:sz w:val="18"/>
                <w:szCs w:val="18"/>
                <w:vertAlign w:val="superscript"/>
                <w:lang w:val="es-ES"/>
              </w:rPr>
              <w:t>a</w:t>
            </w:r>
            <w:proofErr w:type="spellEnd"/>
            <w:r w:rsidRPr="00C33F4C">
              <w:rPr>
                <w:color w:val="auto"/>
                <w:sz w:val="18"/>
                <w:szCs w:val="18"/>
                <w:lang w:val="es-ES"/>
              </w:rPr>
              <w:t xml:space="preserve"> </w:t>
            </w:r>
          </w:p>
        </w:tc>
        <w:tc>
          <w:tcPr>
            <w:tcW w:w="509" w:type="pct"/>
            <w:tcBorders>
              <w:top w:val="single" w:sz="4" w:space="0" w:color="000000"/>
              <w:left w:val="single" w:sz="4" w:space="0" w:color="000000"/>
              <w:bottom w:val="single" w:sz="4" w:space="0" w:color="000000"/>
              <w:right w:val="single" w:sz="4" w:space="0" w:color="000000"/>
            </w:tcBorders>
          </w:tcPr>
          <w:p w14:paraId="76ABA082" w14:textId="77777777" w:rsidR="00FB24C0" w:rsidRPr="00C33F4C" w:rsidRDefault="00FB24C0" w:rsidP="00C33F4C">
            <w:pPr>
              <w:spacing w:after="0" w:line="240" w:lineRule="auto"/>
              <w:ind w:left="0" w:firstLine="0"/>
              <w:rPr>
                <w:color w:val="auto"/>
                <w:sz w:val="18"/>
                <w:szCs w:val="18"/>
                <w:lang w:val="es-ES"/>
              </w:rPr>
            </w:pPr>
          </w:p>
        </w:tc>
        <w:tc>
          <w:tcPr>
            <w:tcW w:w="639" w:type="pct"/>
            <w:tcBorders>
              <w:top w:val="single" w:sz="4" w:space="0" w:color="000000"/>
              <w:left w:val="single" w:sz="4" w:space="0" w:color="000000"/>
              <w:bottom w:val="single" w:sz="4" w:space="0" w:color="000000"/>
              <w:right w:val="single" w:sz="4" w:space="0" w:color="000000"/>
            </w:tcBorders>
          </w:tcPr>
          <w:p w14:paraId="31399FD0" w14:textId="77777777" w:rsidR="00FB24C0" w:rsidRPr="00C33F4C" w:rsidRDefault="00FB24C0" w:rsidP="00C33F4C">
            <w:pPr>
              <w:spacing w:after="0" w:line="240" w:lineRule="auto"/>
              <w:ind w:left="0" w:firstLine="0"/>
              <w:rPr>
                <w:color w:val="auto"/>
                <w:sz w:val="18"/>
                <w:szCs w:val="18"/>
                <w:lang w:val="es-ES"/>
              </w:rPr>
            </w:pPr>
          </w:p>
        </w:tc>
        <w:tc>
          <w:tcPr>
            <w:tcW w:w="410" w:type="pct"/>
            <w:tcBorders>
              <w:top w:val="single" w:sz="4" w:space="0" w:color="000000"/>
              <w:left w:val="single" w:sz="4" w:space="0" w:color="000000"/>
              <w:bottom w:val="single" w:sz="4" w:space="0" w:color="000000"/>
              <w:right w:val="single" w:sz="4" w:space="0" w:color="000000"/>
            </w:tcBorders>
          </w:tcPr>
          <w:p w14:paraId="0AB4C51C" w14:textId="77777777" w:rsidR="00FB24C0" w:rsidRPr="00C33F4C" w:rsidRDefault="00FB24C0" w:rsidP="00C33F4C">
            <w:pPr>
              <w:spacing w:after="0" w:line="240" w:lineRule="auto"/>
              <w:ind w:left="0" w:firstLine="0"/>
              <w:rPr>
                <w:color w:val="auto"/>
                <w:sz w:val="18"/>
                <w:szCs w:val="18"/>
                <w:lang w:val="es-ES"/>
              </w:rPr>
            </w:pPr>
          </w:p>
        </w:tc>
        <w:tc>
          <w:tcPr>
            <w:tcW w:w="568" w:type="pct"/>
            <w:tcBorders>
              <w:top w:val="single" w:sz="4" w:space="0" w:color="000000"/>
              <w:left w:val="single" w:sz="4" w:space="0" w:color="000000"/>
              <w:bottom w:val="single" w:sz="4" w:space="0" w:color="000000"/>
              <w:right w:val="single" w:sz="4" w:space="0" w:color="000000"/>
            </w:tcBorders>
          </w:tcPr>
          <w:p w14:paraId="53FA6EC7"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 xml:space="preserve">Hipertensión </w:t>
            </w:r>
            <w:proofErr w:type="spellStart"/>
            <w:r w:rsidRPr="00C33F4C">
              <w:rPr>
                <w:color w:val="auto"/>
                <w:sz w:val="18"/>
                <w:szCs w:val="18"/>
                <w:lang w:val="es-ES"/>
              </w:rPr>
              <w:t>pulmonar</w:t>
            </w:r>
            <w:r w:rsidRPr="00C33F4C">
              <w:rPr>
                <w:color w:val="auto"/>
                <w:sz w:val="18"/>
                <w:szCs w:val="18"/>
                <w:vertAlign w:val="superscript"/>
                <w:lang w:val="es-ES"/>
              </w:rPr>
              <w:t>a</w:t>
            </w:r>
            <w:proofErr w:type="spellEnd"/>
            <w:r w:rsidRPr="00C33F4C">
              <w:rPr>
                <w:color w:val="auto"/>
                <w:sz w:val="18"/>
                <w:szCs w:val="18"/>
                <w:lang w:val="es-ES"/>
              </w:rPr>
              <w:t>,</w:t>
            </w:r>
          </w:p>
          <w:p w14:paraId="4978BD8E"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 xml:space="preserve">Perforación del tabique </w:t>
            </w:r>
            <w:proofErr w:type="spellStart"/>
            <w:r w:rsidRPr="00C33F4C">
              <w:rPr>
                <w:color w:val="auto"/>
                <w:sz w:val="18"/>
                <w:szCs w:val="18"/>
                <w:lang w:val="es-ES"/>
              </w:rPr>
              <w:t>nasal</w:t>
            </w:r>
            <w:r w:rsidRPr="00C33F4C">
              <w:rPr>
                <w:color w:val="auto"/>
                <w:sz w:val="18"/>
                <w:szCs w:val="18"/>
                <w:vertAlign w:val="superscript"/>
                <w:lang w:val="es-ES"/>
              </w:rPr>
              <w:t>a</w:t>
            </w:r>
            <w:proofErr w:type="spellEnd"/>
            <w:r w:rsidRPr="00C33F4C">
              <w:rPr>
                <w:color w:val="auto"/>
                <w:sz w:val="18"/>
                <w:szCs w:val="18"/>
                <w:lang w:val="es-ES"/>
              </w:rPr>
              <w:t xml:space="preserve"> </w:t>
            </w:r>
          </w:p>
        </w:tc>
      </w:tr>
      <w:tr w:rsidR="00D445BE" w:rsidRPr="005161A1" w14:paraId="3097CF2F" w14:textId="77777777" w:rsidTr="00C33F4C">
        <w:trPr>
          <w:trHeight w:val="1334"/>
        </w:trPr>
        <w:tc>
          <w:tcPr>
            <w:tcW w:w="823" w:type="pct"/>
            <w:tcBorders>
              <w:top w:val="single" w:sz="4" w:space="0" w:color="000000"/>
              <w:left w:val="single" w:sz="4" w:space="0" w:color="000000"/>
              <w:bottom w:val="single" w:sz="4" w:space="0" w:color="000000"/>
              <w:right w:val="single" w:sz="4" w:space="0" w:color="000000"/>
            </w:tcBorders>
          </w:tcPr>
          <w:p w14:paraId="5F48578D"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 xml:space="preserve">Trastornos gastrointestinales </w:t>
            </w:r>
          </w:p>
        </w:tc>
        <w:tc>
          <w:tcPr>
            <w:tcW w:w="1072" w:type="pct"/>
            <w:tcBorders>
              <w:top w:val="single" w:sz="4" w:space="0" w:color="000000"/>
              <w:left w:val="single" w:sz="4" w:space="0" w:color="000000"/>
              <w:bottom w:val="single" w:sz="4" w:space="0" w:color="000000"/>
              <w:right w:val="single" w:sz="4" w:space="0" w:color="000000"/>
            </w:tcBorders>
          </w:tcPr>
          <w:p w14:paraId="7553A079"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Hemorragia rectal,</w:t>
            </w:r>
          </w:p>
          <w:p w14:paraId="24404383"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Estomatitis,</w:t>
            </w:r>
          </w:p>
          <w:p w14:paraId="506AAE50"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Estreñimiento,</w:t>
            </w:r>
          </w:p>
          <w:p w14:paraId="27AE15F8"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Diarrea,</w:t>
            </w:r>
          </w:p>
          <w:p w14:paraId="5C8D9BF1"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Náuseas,</w:t>
            </w:r>
          </w:p>
          <w:p w14:paraId="3FA44604"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Vómitos,</w:t>
            </w:r>
          </w:p>
          <w:p w14:paraId="1C1EDCA6"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Dolor abdominal</w:t>
            </w:r>
            <w:r w:rsidRPr="00C33F4C">
              <w:rPr>
                <w:i/>
                <w:color w:val="auto"/>
                <w:sz w:val="18"/>
                <w:szCs w:val="18"/>
                <w:lang w:val="es-ES"/>
              </w:rPr>
              <w:t xml:space="preserve"> </w:t>
            </w:r>
          </w:p>
        </w:tc>
        <w:tc>
          <w:tcPr>
            <w:tcW w:w="978" w:type="pct"/>
            <w:tcBorders>
              <w:top w:val="single" w:sz="4" w:space="0" w:color="000000"/>
              <w:left w:val="single" w:sz="4" w:space="0" w:color="000000"/>
              <w:bottom w:val="single" w:sz="4" w:space="0" w:color="000000"/>
              <w:right w:val="single" w:sz="4" w:space="0" w:color="000000"/>
            </w:tcBorders>
          </w:tcPr>
          <w:p w14:paraId="670393EF" w14:textId="77777777" w:rsidR="00FB24C0" w:rsidRPr="00C33F4C" w:rsidRDefault="00FB24C0" w:rsidP="00C33F4C">
            <w:pPr>
              <w:spacing w:after="0" w:line="240" w:lineRule="auto"/>
              <w:ind w:left="0" w:firstLine="0"/>
              <w:rPr>
                <w:i/>
                <w:color w:val="auto"/>
                <w:sz w:val="18"/>
                <w:szCs w:val="18"/>
                <w:lang w:val="es-ES"/>
              </w:rPr>
            </w:pPr>
            <w:r w:rsidRPr="00C33F4C">
              <w:rPr>
                <w:color w:val="auto"/>
                <w:sz w:val="18"/>
                <w:szCs w:val="18"/>
                <w:lang w:val="es-ES"/>
              </w:rPr>
              <w:t xml:space="preserve">Perforación </w:t>
            </w:r>
            <w:proofErr w:type="spellStart"/>
            <w:proofErr w:type="gramStart"/>
            <w:r w:rsidRPr="00C33F4C">
              <w:rPr>
                <w:color w:val="auto"/>
                <w:sz w:val="18"/>
                <w:szCs w:val="18"/>
                <w:lang w:val="es-ES"/>
              </w:rPr>
              <w:t>gastrointestinal</w:t>
            </w:r>
            <w:r w:rsidRPr="00C33F4C">
              <w:rPr>
                <w:color w:val="auto"/>
                <w:sz w:val="18"/>
                <w:szCs w:val="18"/>
                <w:vertAlign w:val="superscript"/>
                <w:lang w:val="es-ES"/>
              </w:rPr>
              <w:t>b,d</w:t>
            </w:r>
            <w:proofErr w:type="spellEnd"/>
            <w:proofErr w:type="gramEnd"/>
            <w:r w:rsidR="009C0EDB" w:rsidRPr="00C33F4C">
              <w:rPr>
                <w:color w:val="auto"/>
                <w:sz w:val="18"/>
                <w:szCs w:val="18"/>
                <w:lang w:val="es-ES"/>
              </w:rPr>
              <w:t>,</w:t>
            </w:r>
          </w:p>
          <w:p w14:paraId="0F4F2A8B" w14:textId="5D830D4B"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Perforación intestinal</w:t>
            </w:r>
            <w:r w:rsidR="00B675B7">
              <w:rPr>
                <w:color w:val="auto"/>
                <w:sz w:val="18"/>
                <w:szCs w:val="18"/>
                <w:lang w:val="es-ES"/>
              </w:rPr>
              <w:t>,</w:t>
            </w:r>
            <w:r w:rsidRPr="00C33F4C">
              <w:rPr>
                <w:color w:val="auto"/>
                <w:sz w:val="18"/>
                <w:szCs w:val="18"/>
                <w:lang w:val="es-ES"/>
              </w:rPr>
              <w:t xml:space="preserve"> Íleo</w:t>
            </w:r>
            <w:r w:rsidR="000C78FA" w:rsidRPr="00C33F4C">
              <w:rPr>
                <w:color w:val="auto"/>
                <w:sz w:val="18"/>
                <w:szCs w:val="18"/>
                <w:lang w:val="es-ES"/>
              </w:rPr>
              <w:t>,</w:t>
            </w:r>
          </w:p>
          <w:p w14:paraId="6B1FCD7E"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Obstrucción intestinal,</w:t>
            </w:r>
          </w:p>
          <w:p w14:paraId="3E1B410D"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 xml:space="preserve">Fístulas </w:t>
            </w:r>
            <w:proofErr w:type="spellStart"/>
            <w:proofErr w:type="gramStart"/>
            <w:r w:rsidRPr="00C33F4C">
              <w:rPr>
                <w:color w:val="auto"/>
                <w:sz w:val="18"/>
                <w:szCs w:val="18"/>
                <w:lang w:val="es-ES"/>
              </w:rPr>
              <w:t>rectovaginales</w:t>
            </w:r>
            <w:r w:rsidRPr="00C33F4C">
              <w:rPr>
                <w:color w:val="auto"/>
                <w:sz w:val="18"/>
                <w:szCs w:val="18"/>
                <w:vertAlign w:val="superscript"/>
                <w:lang w:val="es-ES"/>
              </w:rPr>
              <w:t>d,e</w:t>
            </w:r>
            <w:proofErr w:type="spellEnd"/>
            <w:proofErr w:type="gramEnd"/>
            <w:r w:rsidRPr="00C33F4C">
              <w:rPr>
                <w:color w:val="auto"/>
                <w:sz w:val="18"/>
                <w:szCs w:val="18"/>
                <w:lang w:val="es-ES"/>
              </w:rPr>
              <w:t>,</w:t>
            </w:r>
          </w:p>
          <w:p w14:paraId="369B6751"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Trastorno gastrointestinal,</w:t>
            </w:r>
          </w:p>
          <w:p w14:paraId="02D74EDE"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Proctalgia</w:t>
            </w:r>
          </w:p>
        </w:tc>
        <w:tc>
          <w:tcPr>
            <w:tcW w:w="509" w:type="pct"/>
            <w:tcBorders>
              <w:top w:val="single" w:sz="4" w:space="0" w:color="000000"/>
              <w:left w:val="single" w:sz="4" w:space="0" w:color="000000"/>
              <w:bottom w:val="single" w:sz="4" w:space="0" w:color="000000"/>
              <w:right w:val="single" w:sz="4" w:space="0" w:color="000000"/>
            </w:tcBorders>
          </w:tcPr>
          <w:p w14:paraId="18F95638" w14:textId="77777777" w:rsidR="00FB24C0" w:rsidRPr="00C33F4C" w:rsidRDefault="00FB24C0" w:rsidP="00C33F4C">
            <w:pPr>
              <w:spacing w:after="0" w:line="240" w:lineRule="auto"/>
              <w:ind w:left="0" w:firstLine="0"/>
              <w:rPr>
                <w:color w:val="auto"/>
                <w:sz w:val="18"/>
                <w:szCs w:val="18"/>
                <w:lang w:val="es-ES"/>
              </w:rPr>
            </w:pPr>
          </w:p>
        </w:tc>
        <w:tc>
          <w:tcPr>
            <w:tcW w:w="639" w:type="pct"/>
            <w:tcBorders>
              <w:top w:val="single" w:sz="4" w:space="0" w:color="000000"/>
              <w:left w:val="single" w:sz="4" w:space="0" w:color="000000"/>
              <w:bottom w:val="single" w:sz="4" w:space="0" w:color="000000"/>
              <w:right w:val="single" w:sz="4" w:space="0" w:color="000000"/>
            </w:tcBorders>
          </w:tcPr>
          <w:p w14:paraId="306D6555" w14:textId="77777777" w:rsidR="00FB24C0" w:rsidRPr="00C33F4C" w:rsidRDefault="00FB24C0" w:rsidP="00C33F4C">
            <w:pPr>
              <w:spacing w:after="0" w:line="240" w:lineRule="auto"/>
              <w:ind w:left="0" w:firstLine="0"/>
              <w:rPr>
                <w:color w:val="auto"/>
                <w:sz w:val="18"/>
                <w:szCs w:val="18"/>
                <w:lang w:val="es-ES"/>
              </w:rPr>
            </w:pPr>
          </w:p>
        </w:tc>
        <w:tc>
          <w:tcPr>
            <w:tcW w:w="410" w:type="pct"/>
            <w:tcBorders>
              <w:top w:val="single" w:sz="4" w:space="0" w:color="000000"/>
              <w:left w:val="single" w:sz="4" w:space="0" w:color="000000"/>
              <w:bottom w:val="single" w:sz="4" w:space="0" w:color="000000"/>
              <w:right w:val="single" w:sz="4" w:space="0" w:color="000000"/>
            </w:tcBorders>
          </w:tcPr>
          <w:p w14:paraId="6FD54731" w14:textId="77777777" w:rsidR="00FB24C0" w:rsidRPr="00C33F4C" w:rsidRDefault="00FB24C0" w:rsidP="00C33F4C">
            <w:pPr>
              <w:spacing w:after="0" w:line="240" w:lineRule="auto"/>
              <w:ind w:left="0" w:firstLine="0"/>
              <w:rPr>
                <w:color w:val="auto"/>
                <w:sz w:val="18"/>
                <w:szCs w:val="18"/>
                <w:lang w:val="es-ES"/>
              </w:rPr>
            </w:pPr>
          </w:p>
        </w:tc>
        <w:tc>
          <w:tcPr>
            <w:tcW w:w="568" w:type="pct"/>
            <w:tcBorders>
              <w:top w:val="single" w:sz="4" w:space="0" w:color="000000"/>
              <w:left w:val="single" w:sz="4" w:space="0" w:color="000000"/>
              <w:bottom w:val="single" w:sz="4" w:space="0" w:color="000000"/>
              <w:right w:val="single" w:sz="4" w:space="0" w:color="000000"/>
            </w:tcBorders>
          </w:tcPr>
          <w:p w14:paraId="6419106B" w14:textId="77777777" w:rsidR="00FB24C0" w:rsidRPr="00C33F4C" w:rsidRDefault="00EE5415" w:rsidP="00C33F4C">
            <w:pPr>
              <w:spacing w:after="0" w:line="240" w:lineRule="auto"/>
              <w:ind w:left="0" w:firstLine="0"/>
              <w:rPr>
                <w:color w:val="auto"/>
                <w:sz w:val="18"/>
                <w:szCs w:val="18"/>
                <w:lang w:val="es-ES"/>
              </w:rPr>
            </w:pPr>
            <w:r w:rsidRPr="00C33F4C">
              <w:rPr>
                <w:color w:val="auto"/>
                <w:sz w:val="18"/>
                <w:szCs w:val="18"/>
                <w:lang w:val="es-ES"/>
              </w:rPr>
              <w:t xml:space="preserve">Úlcera </w:t>
            </w:r>
            <w:proofErr w:type="spellStart"/>
            <w:r w:rsidRPr="00C33F4C">
              <w:rPr>
                <w:color w:val="auto"/>
                <w:sz w:val="18"/>
                <w:szCs w:val="18"/>
                <w:lang w:val="es-ES"/>
              </w:rPr>
              <w:t>gastro</w:t>
            </w:r>
            <w:r w:rsidR="00FB24C0" w:rsidRPr="00C33F4C">
              <w:rPr>
                <w:color w:val="auto"/>
                <w:sz w:val="18"/>
                <w:szCs w:val="18"/>
                <w:lang w:val="es-ES"/>
              </w:rPr>
              <w:t>intestinal</w:t>
            </w:r>
            <w:r w:rsidR="00FB24C0" w:rsidRPr="00C33F4C">
              <w:rPr>
                <w:color w:val="auto"/>
                <w:sz w:val="18"/>
                <w:szCs w:val="18"/>
                <w:vertAlign w:val="superscript"/>
                <w:lang w:val="es-ES"/>
              </w:rPr>
              <w:t>a</w:t>
            </w:r>
            <w:proofErr w:type="spellEnd"/>
            <w:r w:rsidR="00FB24C0" w:rsidRPr="00C33F4C">
              <w:rPr>
                <w:i/>
                <w:color w:val="auto"/>
                <w:sz w:val="18"/>
                <w:szCs w:val="18"/>
                <w:lang w:val="es-ES"/>
              </w:rPr>
              <w:t xml:space="preserve"> </w:t>
            </w:r>
          </w:p>
        </w:tc>
      </w:tr>
      <w:tr w:rsidR="00D445BE" w:rsidRPr="002C10E1" w14:paraId="2DF3A7D8" w14:textId="77777777" w:rsidTr="00C33F4C">
        <w:trPr>
          <w:trHeight w:val="451"/>
        </w:trPr>
        <w:tc>
          <w:tcPr>
            <w:tcW w:w="823" w:type="pct"/>
            <w:tcBorders>
              <w:top w:val="single" w:sz="4" w:space="0" w:color="000000"/>
              <w:left w:val="single" w:sz="4" w:space="0" w:color="000000"/>
              <w:bottom w:val="single" w:sz="4" w:space="0" w:color="000000"/>
              <w:right w:val="single" w:sz="4" w:space="0" w:color="000000"/>
            </w:tcBorders>
          </w:tcPr>
          <w:p w14:paraId="4AF410A5"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 xml:space="preserve">Trastornos hepatobiliares </w:t>
            </w:r>
          </w:p>
        </w:tc>
        <w:tc>
          <w:tcPr>
            <w:tcW w:w="1072" w:type="pct"/>
            <w:tcBorders>
              <w:top w:val="single" w:sz="4" w:space="0" w:color="000000"/>
              <w:left w:val="single" w:sz="4" w:space="0" w:color="000000"/>
              <w:bottom w:val="single" w:sz="4" w:space="0" w:color="000000"/>
              <w:right w:val="single" w:sz="4" w:space="0" w:color="000000"/>
            </w:tcBorders>
          </w:tcPr>
          <w:p w14:paraId="102F6A3A" w14:textId="77777777" w:rsidR="00FB24C0" w:rsidRPr="00C33F4C" w:rsidRDefault="00FB24C0" w:rsidP="00C33F4C">
            <w:pPr>
              <w:spacing w:after="0" w:line="240" w:lineRule="auto"/>
              <w:ind w:left="0" w:firstLine="0"/>
              <w:rPr>
                <w:color w:val="auto"/>
                <w:sz w:val="18"/>
                <w:szCs w:val="18"/>
                <w:lang w:val="es-ES"/>
              </w:rPr>
            </w:pPr>
          </w:p>
        </w:tc>
        <w:tc>
          <w:tcPr>
            <w:tcW w:w="978" w:type="pct"/>
            <w:tcBorders>
              <w:top w:val="single" w:sz="4" w:space="0" w:color="000000"/>
              <w:left w:val="single" w:sz="4" w:space="0" w:color="000000"/>
              <w:bottom w:val="single" w:sz="4" w:space="0" w:color="000000"/>
              <w:right w:val="single" w:sz="4" w:space="0" w:color="000000"/>
            </w:tcBorders>
          </w:tcPr>
          <w:p w14:paraId="060AF636" w14:textId="77777777" w:rsidR="00FB24C0" w:rsidRPr="00C33F4C" w:rsidRDefault="00FB24C0" w:rsidP="00C33F4C">
            <w:pPr>
              <w:spacing w:after="0" w:line="240" w:lineRule="auto"/>
              <w:ind w:left="0" w:firstLine="0"/>
              <w:rPr>
                <w:color w:val="auto"/>
                <w:sz w:val="18"/>
                <w:szCs w:val="18"/>
                <w:lang w:val="es-ES"/>
              </w:rPr>
            </w:pPr>
          </w:p>
        </w:tc>
        <w:tc>
          <w:tcPr>
            <w:tcW w:w="509" w:type="pct"/>
            <w:tcBorders>
              <w:top w:val="single" w:sz="4" w:space="0" w:color="000000"/>
              <w:left w:val="single" w:sz="4" w:space="0" w:color="000000"/>
              <w:bottom w:val="single" w:sz="4" w:space="0" w:color="000000"/>
              <w:right w:val="single" w:sz="4" w:space="0" w:color="000000"/>
            </w:tcBorders>
          </w:tcPr>
          <w:p w14:paraId="6D941F80" w14:textId="77777777" w:rsidR="00FB24C0" w:rsidRPr="00C33F4C" w:rsidRDefault="00FB24C0" w:rsidP="00C33F4C">
            <w:pPr>
              <w:spacing w:after="0" w:line="240" w:lineRule="auto"/>
              <w:ind w:left="0" w:firstLine="0"/>
              <w:rPr>
                <w:color w:val="auto"/>
                <w:sz w:val="18"/>
                <w:szCs w:val="18"/>
                <w:lang w:val="es-ES"/>
              </w:rPr>
            </w:pPr>
          </w:p>
        </w:tc>
        <w:tc>
          <w:tcPr>
            <w:tcW w:w="639" w:type="pct"/>
            <w:tcBorders>
              <w:top w:val="single" w:sz="4" w:space="0" w:color="000000"/>
              <w:left w:val="single" w:sz="4" w:space="0" w:color="000000"/>
              <w:bottom w:val="single" w:sz="4" w:space="0" w:color="000000"/>
              <w:right w:val="single" w:sz="4" w:space="0" w:color="000000"/>
            </w:tcBorders>
          </w:tcPr>
          <w:p w14:paraId="66895FF1" w14:textId="77777777" w:rsidR="00FB24C0" w:rsidRPr="00C33F4C" w:rsidRDefault="00FB24C0" w:rsidP="00C33F4C">
            <w:pPr>
              <w:spacing w:after="0" w:line="240" w:lineRule="auto"/>
              <w:ind w:left="0" w:firstLine="0"/>
              <w:rPr>
                <w:color w:val="auto"/>
                <w:sz w:val="18"/>
                <w:szCs w:val="18"/>
                <w:lang w:val="es-ES"/>
              </w:rPr>
            </w:pPr>
          </w:p>
        </w:tc>
        <w:tc>
          <w:tcPr>
            <w:tcW w:w="410" w:type="pct"/>
            <w:tcBorders>
              <w:top w:val="single" w:sz="4" w:space="0" w:color="000000"/>
              <w:left w:val="single" w:sz="4" w:space="0" w:color="000000"/>
              <w:bottom w:val="single" w:sz="4" w:space="0" w:color="000000"/>
              <w:right w:val="single" w:sz="4" w:space="0" w:color="000000"/>
            </w:tcBorders>
          </w:tcPr>
          <w:p w14:paraId="3F3296DD" w14:textId="77777777" w:rsidR="00FB24C0" w:rsidRPr="00C33F4C" w:rsidRDefault="00FB24C0" w:rsidP="00C33F4C">
            <w:pPr>
              <w:spacing w:after="0" w:line="240" w:lineRule="auto"/>
              <w:ind w:left="0" w:firstLine="0"/>
              <w:rPr>
                <w:color w:val="auto"/>
                <w:sz w:val="18"/>
                <w:szCs w:val="18"/>
                <w:lang w:val="es-ES"/>
              </w:rPr>
            </w:pPr>
          </w:p>
        </w:tc>
        <w:tc>
          <w:tcPr>
            <w:tcW w:w="568" w:type="pct"/>
            <w:tcBorders>
              <w:top w:val="single" w:sz="4" w:space="0" w:color="000000"/>
              <w:left w:val="single" w:sz="4" w:space="0" w:color="000000"/>
              <w:bottom w:val="single" w:sz="4" w:space="0" w:color="000000"/>
              <w:right w:val="single" w:sz="4" w:space="0" w:color="000000"/>
            </w:tcBorders>
          </w:tcPr>
          <w:p w14:paraId="12D26EDC"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Perforación de la</w:t>
            </w:r>
            <w:r w:rsidR="000758E6" w:rsidRPr="00C33F4C">
              <w:rPr>
                <w:color w:val="auto"/>
                <w:sz w:val="18"/>
                <w:szCs w:val="18"/>
                <w:lang w:val="es-ES"/>
              </w:rPr>
              <w:t xml:space="preserve"> </w:t>
            </w:r>
            <w:r w:rsidRPr="00C33F4C">
              <w:rPr>
                <w:color w:val="auto"/>
                <w:sz w:val="18"/>
                <w:szCs w:val="18"/>
                <w:lang w:val="es-ES"/>
              </w:rPr>
              <w:t xml:space="preserve">vesícula </w:t>
            </w:r>
            <w:proofErr w:type="spellStart"/>
            <w:proofErr w:type="gramStart"/>
            <w:r w:rsidRPr="00C33F4C">
              <w:rPr>
                <w:color w:val="auto"/>
                <w:sz w:val="18"/>
                <w:szCs w:val="18"/>
                <w:lang w:val="es-ES"/>
              </w:rPr>
              <w:t>biliar</w:t>
            </w:r>
            <w:r w:rsidRPr="00C33F4C">
              <w:rPr>
                <w:color w:val="auto"/>
                <w:sz w:val="18"/>
                <w:szCs w:val="18"/>
                <w:vertAlign w:val="superscript"/>
                <w:lang w:val="es-ES"/>
              </w:rPr>
              <w:t>a,b</w:t>
            </w:r>
            <w:proofErr w:type="spellEnd"/>
            <w:proofErr w:type="gramEnd"/>
            <w:r w:rsidRPr="00C33F4C">
              <w:rPr>
                <w:color w:val="auto"/>
                <w:sz w:val="18"/>
                <w:szCs w:val="18"/>
                <w:vertAlign w:val="superscript"/>
                <w:lang w:val="es-ES"/>
              </w:rPr>
              <w:t xml:space="preserve"> </w:t>
            </w:r>
          </w:p>
        </w:tc>
      </w:tr>
      <w:tr w:rsidR="00D445BE" w:rsidRPr="00714463" w14:paraId="1C76907D" w14:textId="77777777" w:rsidTr="00C33F4C">
        <w:trPr>
          <w:trHeight w:val="838"/>
        </w:trPr>
        <w:tc>
          <w:tcPr>
            <w:tcW w:w="823" w:type="pct"/>
            <w:tcBorders>
              <w:top w:val="single" w:sz="4" w:space="0" w:color="000000"/>
              <w:left w:val="single" w:sz="4" w:space="0" w:color="000000"/>
              <w:bottom w:val="single" w:sz="4" w:space="0" w:color="000000"/>
              <w:right w:val="single" w:sz="4" w:space="0" w:color="000000"/>
            </w:tcBorders>
          </w:tcPr>
          <w:p w14:paraId="777ACC9A"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Trastornos de la</w:t>
            </w:r>
            <w:r w:rsidR="005B23EF" w:rsidRPr="00C33F4C">
              <w:rPr>
                <w:color w:val="auto"/>
                <w:sz w:val="18"/>
                <w:szCs w:val="18"/>
                <w:lang w:val="es-ES"/>
              </w:rPr>
              <w:t xml:space="preserve"> </w:t>
            </w:r>
            <w:r w:rsidRPr="00C33F4C">
              <w:rPr>
                <w:color w:val="auto"/>
                <w:sz w:val="18"/>
                <w:szCs w:val="18"/>
                <w:lang w:val="es-ES"/>
              </w:rPr>
              <w:t xml:space="preserve">piel y del tejido subcutáneo </w:t>
            </w:r>
          </w:p>
        </w:tc>
        <w:tc>
          <w:tcPr>
            <w:tcW w:w="1072" w:type="pct"/>
            <w:tcBorders>
              <w:top w:val="single" w:sz="4" w:space="0" w:color="000000"/>
              <w:left w:val="single" w:sz="4" w:space="0" w:color="000000"/>
              <w:bottom w:val="single" w:sz="4" w:space="0" w:color="000000"/>
              <w:right w:val="single" w:sz="4" w:space="0" w:color="000000"/>
            </w:tcBorders>
          </w:tcPr>
          <w:p w14:paraId="3D08268F"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 xml:space="preserve">Complicaciones en la cicatrización de </w:t>
            </w:r>
            <w:proofErr w:type="spellStart"/>
            <w:proofErr w:type="gramStart"/>
            <w:r w:rsidRPr="00C33F4C">
              <w:rPr>
                <w:color w:val="auto"/>
                <w:sz w:val="18"/>
                <w:szCs w:val="18"/>
                <w:lang w:val="es-ES"/>
              </w:rPr>
              <w:t>heridas</w:t>
            </w:r>
            <w:r w:rsidRPr="00C33F4C">
              <w:rPr>
                <w:color w:val="auto"/>
                <w:sz w:val="18"/>
                <w:szCs w:val="18"/>
                <w:vertAlign w:val="superscript"/>
                <w:lang w:val="es-ES"/>
              </w:rPr>
              <w:t>b,d</w:t>
            </w:r>
            <w:proofErr w:type="spellEnd"/>
            <w:proofErr w:type="gramEnd"/>
            <w:r w:rsidRPr="00C33F4C">
              <w:rPr>
                <w:color w:val="auto"/>
                <w:sz w:val="18"/>
                <w:szCs w:val="18"/>
                <w:lang w:val="es-ES"/>
              </w:rPr>
              <w:t>,</w:t>
            </w:r>
          </w:p>
          <w:p w14:paraId="7CBC041A" w14:textId="77777777" w:rsidR="00AF12D8" w:rsidRPr="00C33F4C" w:rsidRDefault="00AF12D8" w:rsidP="00C33F4C">
            <w:pPr>
              <w:spacing w:after="0" w:line="240" w:lineRule="auto"/>
              <w:ind w:left="0" w:firstLine="0"/>
              <w:rPr>
                <w:color w:val="auto"/>
                <w:sz w:val="18"/>
                <w:szCs w:val="18"/>
                <w:lang w:val="es-ES"/>
              </w:rPr>
            </w:pPr>
            <w:r w:rsidRPr="00C33F4C">
              <w:rPr>
                <w:color w:val="auto"/>
                <w:sz w:val="18"/>
                <w:szCs w:val="18"/>
                <w:lang w:val="es-ES"/>
              </w:rPr>
              <w:t>Dermatitis exfoliativa,</w:t>
            </w:r>
          </w:p>
          <w:p w14:paraId="53F65693"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Piel seca,</w:t>
            </w:r>
          </w:p>
          <w:p w14:paraId="2C642C6E"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Decoloración de</w:t>
            </w:r>
            <w:r w:rsidR="009801D5" w:rsidRPr="00C33F4C">
              <w:rPr>
                <w:color w:val="auto"/>
                <w:sz w:val="18"/>
                <w:szCs w:val="18"/>
                <w:lang w:val="es-ES"/>
              </w:rPr>
              <w:t xml:space="preserve"> </w:t>
            </w:r>
            <w:r w:rsidRPr="00C33F4C">
              <w:rPr>
                <w:color w:val="auto"/>
                <w:sz w:val="18"/>
                <w:szCs w:val="18"/>
                <w:lang w:val="es-ES"/>
              </w:rPr>
              <w:t>la piel</w:t>
            </w:r>
            <w:r w:rsidRPr="00C33F4C">
              <w:rPr>
                <w:i/>
                <w:color w:val="auto"/>
                <w:sz w:val="18"/>
                <w:szCs w:val="18"/>
                <w:lang w:val="es-ES"/>
              </w:rPr>
              <w:t xml:space="preserve"> </w:t>
            </w:r>
          </w:p>
        </w:tc>
        <w:tc>
          <w:tcPr>
            <w:tcW w:w="978" w:type="pct"/>
            <w:tcBorders>
              <w:top w:val="single" w:sz="4" w:space="0" w:color="000000"/>
              <w:left w:val="single" w:sz="4" w:space="0" w:color="000000"/>
              <w:bottom w:val="single" w:sz="4" w:space="0" w:color="000000"/>
              <w:right w:val="single" w:sz="4" w:space="0" w:color="000000"/>
            </w:tcBorders>
          </w:tcPr>
          <w:p w14:paraId="1A094870"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Síndrome de</w:t>
            </w:r>
            <w:r w:rsidR="000758E6" w:rsidRPr="00C33F4C">
              <w:rPr>
                <w:color w:val="auto"/>
                <w:sz w:val="18"/>
                <w:szCs w:val="18"/>
                <w:lang w:val="es-ES"/>
              </w:rPr>
              <w:t xml:space="preserve"> </w:t>
            </w:r>
            <w:r w:rsidRPr="00C33F4C">
              <w:rPr>
                <w:color w:val="auto"/>
                <w:sz w:val="18"/>
                <w:szCs w:val="18"/>
                <w:lang w:val="es-ES"/>
              </w:rPr>
              <w:t xml:space="preserve">eritrodisestesia palmo-plantar </w:t>
            </w:r>
          </w:p>
        </w:tc>
        <w:tc>
          <w:tcPr>
            <w:tcW w:w="509" w:type="pct"/>
            <w:tcBorders>
              <w:top w:val="single" w:sz="4" w:space="0" w:color="000000"/>
              <w:left w:val="single" w:sz="4" w:space="0" w:color="000000"/>
              <w:bottom w:val="single" w:sz="4" w:space="0" w:color="000000"/>
              <w:right w:val="single" w:sz="4" w:space="0" w:color="000000"/>
            </w:tcBorders>
          </w:tcPr>
          <w:p w14:paraId="712CA74F" w14:textId="77777777" w:rsidR="00FB24C0" w:rsidRPr="00C33F4C" w:rsidRDefault="00FB24C0" w:rsidP="00C33F4C">
            <w:pPr>
              <w:spacing w:after="0" w:line="240" w:lineRule="auto"/>
              <w:ind w:left="0" w:firstLine="0"/>
              <w:rPr>
                <w:color w:val="auto"/>
                <w:sz w:val="18"/>
                <w:szCs w:val="18"/>
                <w:lang w:val="es-ES"/>
              </w:rPr>
            </w:pPr>
          </w:p>
        </w:tc>
        <w:tc>
          <w:tcPr>
            <w:tcW w:w="639" w:type="pct"/>
            <w:tcBorders>
              <w:top w:val="single" w:sz="4" w:space="0" w:color="000000"/>
              <w:left w:val="single" w:sz="4" w:space="0" w:color="000000"/>
              <w:bottom w:val="single" w:sz="4" w:space="0" w:color="000000"/>
              <w:right w:val="single" w:sz="4" w:space="0" w:color="000000"/>
            </w:tcBorders>
          </w:tcPr>
          <w:p w14:paraId="591B6B7F" w14:textId="77777777" w:rsidR="00FB24C0" w:rsidRPr="00C33F4C" w:rsidRDefault="00FB24C0" w:rsidP="00C33F4C">
            <w:pPr>
              <w:spacing w:after="0" w:line="240" w:lineRule="auto"/>
              <w:ind w:left="0" w:firstLine="0"/>
              <w:rPr>
                <w:color w:val="auto"/>
                <w:sz w:val="18"/>
                <w:szCs w:val="18"/>
                <w:lang w:val="es-ES"/>
              </w:rPr>
            </w:pPr>
          </w:p>
        </w:tc>
        <w:tc>
          <w:tcPr>
            <w:tcW w:w="410" w:type="pct"/>
            <w:tcBorders>
              <w:top w:val="single" w:sz="4" w:space="0" w:color="000000"/>
              <w:left w:val="single" w:sz="4" w:space="0" w:color="000000"/>
              <w:bottom w:val="single" w:sz="4" w:space="0" w:color="000000"/>
              <w:right w:val="single" w:sz="4" w:space="0" w:color="000000"/>
            </w:tcBorders>
          </w:tcPr>
          <w:p w14:paraId="0BF7D343" w14:textId="77777777" w:rsidR="00FB24C0" w:rsidRPr="00C33F4C" w:rsidRDefault="00FB24C0" w:rsidP="00C33F4C">
            <w:pPr>
              <w:spacing w:after="0" w:line="240" w:lineRule="auto"/>
              <w:ind w:left="0" w:firstLine="0"/>
              <w:rPr>
                <w:color w:val="auto"/>
                <w:sz w:val="18"/>
                <w:szCs w:val="18"/>
                <w:lang w:val="es-ES"/>
              </w:rPr>
            </w:pPr>
          </w:p>
        </w:tc>
        <w:tc>
          <w:tcPr>
            <w:tcW w:w="568" w:type="pct"/>
            <w:tcBorders>
              <w:top w:val="single" w:sz="4" w:space="0" w:color="000000"/>
              <w:left w:val="single" w:sz="4" w:space="0" w:color="000000"/>
              <w:bottom w:val="single" w:sz="4" w:space="0" w:color="000000"/>
              <w:right w:val="single" w:sz="4" w:space="0" w:color="000000"/>
            </w:tcBorders>
          </w:tcPr>
          <w:p w14:paraId="3D7068F0" w14:textId="77777777" w:rsidR="00FB24C0" w:rsidRPr="00C33F4C" w:rsidRDefault="00FB24C0" w:rsidP="00C33F4C">
            <w:pPr>
              <w:spacing w:after="0" w:line="240" w:lineRule="auto"/>
              <w:ind w:left="0" w:firstLine="0"/>
              <w:rPr>
                <w:color w:val="auto"/>
                <w:sz w:val="18"/>
                <w:szCs w:val="18"/>
                <w:lang w:val="es-ES"/>
              </w:rPr>
            </w:pPr>
          </w:p>
        </w:tc>
      </w:tr>
      <w:tr w:rsidR="00D445BE" w:rsidRPr="00617D86" w14:paraId="23B17019" w14:textId="77777777" w:rsidTr="00C33F4C">
        <w:trPr>
          <w:trHeight w:val="556"/>
        </w:trPr>
        <w:tc>
          <w:tcPr>
            <w:tcW w:w="823" w:type="pct"/>
            <w:tcBorders>
              <w:top w:val="single" w:sz="4" w:space="0" w:color="000000"/>
              <w:left w:val="single" w:sz="4" w:space="0" w:color="000000"/>
              <w:bottom w:val="single" w:sz="4" w:space="0" w:color="000000"/>
              <w:right w:val="single" w:sz="4" w:space="0" w:color="000000"/>
            </w:tcBorders>
          </w:tcPr>
          <w:p w14:paraId="0B91C1F6" w14:textId="77777777" w:rsidR="00FB24C0" w:rsidRPr="00C33F4C" w:rsidRDefault="00FB24C0" w:rsidP="00C33F4C">
            <w:pPr>
              <w:keepNext/>
              <w:spacing w:after="0" w:line="240" w:lineRule="auto"/>
              <w:ind w:left="0" w:firstLine="0"/>
              <w:rPr>
                <w:color w:val="auto"/>
                <w:sz w:val="18"/>
                <w:szCs w:val="18"/>
                <w:lang w:val="es-ES"/>
              </w:rPr>
            </w:pPr>
            <w:r w:rsidRPr="00C33F4C">
              <w:rPr>
                <w:color w:val="auto"/>
                <w:sz w:val="18"/>
                <w:szCs w:val="18"/>
                <w:lang w:val="es-ES"/>
              </w:rPr>
              <w:t xml:space="preserve">Trastornos </w:t>
            </w:r>
            <w:proofErr w:type="spellStart"/>
            <w:r w:rsidRPr="00C33F4C">
              <w:rPr>
                <w:color w:val="auto"/>
                <w:sz w:val="18"/>
                <w:szCs w:val="18"/>
                <w:lang w:val="es-ES"/>
              </w:rPr>
              <w:t>musculoesque-léticos</w:t>
            </w:r>
            <w:proofErr w:type="spellEnd"/>
            <w:r w:rsidRPr="00C33F4C">
              <w:rPr>
                <w:color w:val="auto"/>
                <w:sz w:val="18"/>
                <w:szCs w:val="18"/>
                <w:lang w:val="es-ES"/>
              </w:rPr>
              <w:t xml:space="preserve"> y del tejido conjuntivo </w:t>
            </w:r>
          </w:p>
        </w:tc>
        <w:tc>
          <w:tcPr>
            <w:tcW w:w="1072" w:type="pct"/>
            <w:tcBorders>
              <w:top w:val="single" w:sz="4" w:space="0" w:color="000000"/>
              <w:left w:val="single" w:sz="4" w:space="0" w:color="000000"/>
              <w:bottom w:val="single" w:sz="4" w:space="0" w:color="000000"/>
              <w:right w:val="single" w:sz="4" w:space="0" w:color="000000"/>
            </w:tcBorders>
          </w:tcPr>
          <w:p w14:paraId="71CAB6D5" w14:textId="77777777" w:rsidR="00FB24C0" w:rsidRPr="00C33F4C" w:rsidRDefault="00FB24C0" w:rsidP="00C33F4C">
            <w:pPr>
              <w:keepNext/>
              <w:spacing w:after="0" w:line="240" w:lineRule="auto"/>
              <w:ind w:left="0" w:firstLine="0"/>
              <w:rPr>
                <w:color w:val="auto"/>
                <w:sz w:val="18"/>
                <w:szCs w:val="18"/>
                <w:lang w:val="es-ES"/>
              </w:rPr>
            </w:pPr>
            <w:r w:rsidRPr="00C33F4C">
              <w:rPr>
                <w:color w:val="auto"/>
                <w:sz w:val="18"/>
                <w:szCs w:val="18"/>
                <w:lang w:val="es-ES"/>
              </w:rPr>
              <w:t>Artralgia</w:t>
            </w:r>
            <w:r w:rsidR="00D2730E" w:rsidRPr="00C33F4C">
              <w:rPr>
                <w:color w:val="auto"/>
                <w:sz w:val="18"/>
                <w:szCs w:val="18"/>
                <w:lang w:val="es-ES"/>
              </w:rPr>
              <w:t>,</w:t>
            </w:r>
          </w:p>
          <w:p w14:paraId="08D4F9A0" w14:textId="77777777" w:rsidR="00FB24C0" w:rsidRPr="00C33F4C" w:rsidRDefault="00FB24C0" w:rsidP="00C33F4C">
            <w:pPr>
              <w:keepNext/>
              <w:spacing w:after="0" w:line="240" w:lineRule="auto"/>
              <w:ind w:left="0" w:firstLine="0"/>
              <w:rPr>
                <w:color w:val="auto"/>
                <w:sz w:val="18"/>
                <w:szCs w:val="18"/>
                <w:lang w:val="es-ES"/>
              </w:rPr>
            </w:pPr>
            <w:r w:rsidRPr="00C33F4C">
              <w:rPr>
                <w:color w:val="auto"/>
                <w:sz w:val="18"/>
                <w:szCs w:val="18"/>
                <w:lang w:val="es-ES"/>
              </w:rPr>
              <w:t>Mialgia</w:t>
            </w:r>
          </w:p>
        </w:tc>
        <w:tc>
          <w:tcPr>
            <w:tcW w:w="978" w:type="pct"/>
            <w:tcBorders>
              <w:top w:val="single" w:sz="4" w:space="0" w:color="000000"/>
              <w:left w:val="single" w:sz="4" w:space="0" w:color="000000"/>
              <w:bottom w:val="single" w:sz="4" w:space="0" w:color="000000"/>
              <w:right w:val="single" w:sz="4" w:space="0" w:color="000000"/>
            </w:tcBorders>
          </w:tcPr>
          <w:p w14:paraId="6D79267F" w14:textId="77777777" w:rsidR="00FB24C0" w:rsidRPr="00C33F4C" w:rsidRDefault="00FB24C0" w:rsidP="00C33F4C">
            <w:pPr>
              <w:keepNext/>
              <w:spacing w:after="0" w:line="240" w:lineRule="auto"/>
              <w:ind w:left="0" w:firstLine="0"/>
              <w:rPr>
                <w:color w:val="auto"/>
                <w:sz w:val="18"/>
                <w:szCs w:val="18"/>
                <w:lang w:val="es-ES"/>
              </w:rPr>
            </w:pPr>
            <w:proofErr w:type="spellStart"/>
            <w:proofErr w:type="gramStart"/>
            <w:r w:rsidRPr="00C33F4C">
              <w:rPr>
                <w:color w:val="auto"/>
                <w:sz w:val="18"/>
                <w:szCs w:val="18"/>
                <w:lang w:val="es-ES"/>
              </w:rPr>
              <w:t>Fístula</w:t>
            </w:r>
            <w:r w:rsidRPr="00C33F4C">
              <w:rPr>
                <w:color w:val="auto"/>
                <w:sz w:val="18"/>
                <w:szCs w:val="18"/>
                <w:vertAlign w:val="superscript"/>
                <w:lang w:val="es-ES"/>
              </w:rPr>
              <w:t>b,d</w:t>
            </w:r>
            <w:proofErr w:type="spellEnd"/>
            <w:proofErr w:type="gramEnd"/>
            <w:r w:rsidR="0054584F" w:rsidRPr="00C33F4C">
              <w:rPr>
                <w:color w:val="auto"/>
                <w:sz w:val="18"/>
                <w:szCs w:val="18"/>
                <w:lang w:val="es-ES"/>
              </w:rPr>
              <w:t>,</w:t>
            </w:r>
          </w:p>
          <w:p w14:paraId="5BC6B8E4" w14:textId="77777777" w:rsidR="00FB24C0" w:rsidRPr="00C33F4C" w:rsidRDefault="00FB24C0" w:rsidP="00C33F4C">
            <w:pPr>
              <w:keepNext/>
              <w:spacing w:after="0" w:line="240" w:lineRule="auto"/>
              <w:ind w:left="0" w:firstLine="0"/>
              <w:rPr>
                <w:color w:val="auto"/>
                <w:sz w:val="18"/>
                <w:szCs w:val="18"/>
                <w:lang w:val="es-ES"/>
              </w:rPr>
            </w:pPr>
            <w:r w:rsidRPr="00C33F4C">
              <w:rPr>
                <w:color w:val="auto"/>
                <w:sz w:val="18"/>
                <w:szCs w:val="18"/>
                <w:lang w:val="es-ES"/>
              </w:rPr>
              <w:t>Debilidad</w:t>
            </w:r>
            <w:r w:rsidR="00CF0319" w:rsidRPr="00C33F4C">
              <w:rPr>
                <w:color w:val="auto"/>
                <w:sz w:val="18"/>
                <w:szCs w:val="18"/>
                <w:lang w:val="es-ES"/>
              </w:rPr>
              <w:t xml:space="preserve"> </w:t>
            </w:r>
            <w:r w:rsidRPr="00C33F4C">
              <w:rPr>
                <w:color w:val="auto"/>
                <w:sz w:val="18"/>
                <w:szCs w:val="18"/>
                <w:lang w:val="es-ES"/>
              </w:rPr>
              <w:t>muscular,</w:t>
            </w:r>
          </w:p>
          <w:p w14:paraId="71AFEC40" w14:textId="77777777" w:rsidR="00FB24C0" w:rsidRPr="00C33F4C" w:rsidRDefault="00FB24C0" w:rsidP="00C33F4C">
            <w:pPr>
              <w:keepNext/>
              <w:spacing w:after="0" w:line="240" w:lineRule="auto"/>
              <w:ind w:left="0" w:firstLine="0"/>
              <w:rPr>
                <w:color w:val="auto"/>
                <w:sz w:val="18"/>
                <w:szCs w:val="18"/>
                <w:lang w:val="es-ES"/>
              </w:rPr>
            </w:pPr>
            <w:r w:rsidRPr="00C33F4C">
              <w:rPr>
                <w:color w:val="auto"/>
                <w:sz w:val="18"/>
                <w:szCs w:val="18"/>
                <w:lang w:val="es-ES"/>
              </w:rPr>
              <w:t>Dolor de espalda</w:t>
            </w:r>
            <w:r w:rsidRPr="00C33F4C">
              <w:rPr>
                <w:i/>
                <w:color w:val="auto"/>
                <w:sz w:val="18"/>
                <w:szCs w:val="18"/>
                <w:lang w:val="es-ES"/>
              </w:rPr>
              <w:t xml:space="preserve"> </w:t>
            </w:r>
          </w:p>
        </w:tc>
        <w:tc>
          <w:tcPr>
            <w:tcW w:w="509" w:type="pct"/>
            <w:tcBorders>
              <w:top w:val="single" w:sz="4" w:space="0" w:color="000000"/>
              <w:left w:val="single" w:sz="4" w:space="0" w:color="000000"/>
              <w:bottom w:val="single" w:sz="4" w:space="0" w:color="000000"/>
              <w:right w:val="single" w:sz="4" w:space="0" w:color="000000"/>
            </w:tcBorders>
          </w:tcPr>
          <w:p w14:paraId="050742E6" w14:textId="77777777" w:rsidR="00FB24C0" w:rsidRPr="00C33F4C" w:rsidRDefault="00FB24C0" w:rsidP="00C33F4C">
            <w:pPr>
              <w:keepNext/>
              <w:spacing w:after="0" w:line="240" w:lineRule="auto"/>
              <w:ind w:left="0" w:firstLine="0"/>
              <w:rPr>
                <w:color w:val="auto"/>
                <w:sz w:val="18"/>
                <w:szCs w:val="18"/>
                <w:lang w:val="es-ES"/>
              </w:rPr>
            </w:pPr>
          </w:p>
        </w:tc>
        <w:tc>
          <w:tcPr>
            <w:tcW w:w="639" w:type="pct"/>
            <w:tcBorders>
              <w:top w:val="single" w:sz="4" w:space="0" w:color="000000"/>
              <w:left w:val="single" w:sz="4" w:space="0" w:color="000000"/>
              <w:bottom w:val="single" w:sz="4" w:space="0" w:color="000000"/>
              <w:right w:val="single" w:sz="4" w:space="0" w:color="000000"/>
            </w:tcBorders>
          </w:tcPr>
          <w:p w14:paraId="029E178C" w14:textId="77777777" w:rsidR="00FB24C0" w:rsidRPr="00C33F4C" w:rsidRDefault="00FB24C0" w:rsidP="00C33F4C">
            <w:pPr>
              <w:keepNext/>
              <w:spacing w:after="0" w:line="240" w:lineRule="auto"/>
              <w:ind w:left="0" w:firstLine="0"/>
              <w:rPr>
                <w:color w:val="auto"/>
                <w:sz w:val="18"/>
                <w:szCs w:val="18"/>
                <w:lang w:val="es-ES"/>
              </w:rPr>
            </w:pPr>
          </w:p>
        </w:tc>
        <w:tc>
          <w:tcPr>
            <w:tcW w:w="410" w:type="pct"/>
            <w:tcBorders>
              <w:top w:val="single" w:sz="4" w:space="0" w:color="000000"/>
              <w:left w:val="single" w:sz="4" w:space="0" w:color="000000"/>
              <w:bottom w:val="single" w:sz="4" w:space="0" w:color="000000"/>
              <w:right w:val="single" w:sz="4" w:space="0" w:color="000000"/>
            </w:tcBorders>
          </w:tcPr>
          <w:p w14:paraId="05FA0CDC" w14:textId="77777777" w:rsidR="00FB24C0" w:rsidRPr="00C33F4C" w:rsidRDefault="00FB24C0" w:rsidP="00C33F4C">
            <w:pPr>
              <w:keepNext/>
              <w:spacing w:after="0" w:line="240" w:lineRule="auto"/>
              <w:ind w:left="0" w:firstLine="0"/>
              <w:rPr>
                <w:color w:val="auto"/>
                <w:sz w:val="18"/>
                <w:szCs w:val="18"/>
                <w:lang w:val="es-ES"/>
              </w:rPr>
            </w:pPr>
          </w:p>
        </w:tc>
        <w:tc>
          <w:tcPr>
            <w:tcW w:w="568" w:type="pct"/>
            <w:tcBorders>
              <w:top w:val="single" w:sz="4" w:space="0" w:color="000000"/>
              <w:left w:val="single" w:sz="4" w:space="0" w:color="000000"/>
              <w:bottom w:val="single" w:sz="4" w:space="0" w:color="000000"/>
              <w:right w:val="single" w:sz="4" w:space="0" w:color="000000"/>
            </w:tcBorders>
          </w:tcPr>
          <w:p w14:paraId="64CC13D6" w14:textId="77777777" w:rsidR="00FB24C0" w:rsidRPr="00C33F4C" w:rsidRDefault="00FB24C0" w:rsidP="00C33F4C">
            <w:pPr>
              <w:keepNext/>
              <w:spacing w:after="0" w:line="240" w:lineRule="auto"/>
              <w:ind w:left="0" w:firstLine="0"/>
              <w:rPr>
                <w:color w:val="auto"/>
                <w:sz w:val="18"/>
                <w:szCs w:val="18"/>
                <w:vertAlign w:val="superscript"/>
                <w:lang w:val="es-ES"/>
              </w:rPr>
            </w:pPr>
            <w:r w:rsidRPr="00C33F4C">
              <w:rPr>
                <w:color w:val="auto"/>
                <w:sz w:val="18"/>
                <w:szCs w:val="18"/>
                <w:lang w:val="es-ES"/>
              </w:rPr>
              <w:t>Osteonecrosis de la</w:t>
            </w:r>
            <w:r w:rsidR="00A25848" w:rsidRPr="00C33F4C">
              <w:rPr>
                <w:color w:val="auto"/>
                <w:sz w:val="18"/>
                <w:szCs w:val="18"/>
                <w:lang w:val="es-ES"/>
              </w:rPr>
              <w:t xml:space="preserve"> </w:t>
            </w:r>
            <w:proofErr w:type="spellStart"/>
            <w:proofErr w:type="gramStart"/>
            <w:r w:rsidRPr="00C33F4C">
              <w:rPr>
                <w:color w:val="auto"/>
                <w:sz w:val="18"/>
                <w:szCs w:val="18"/>
                <w:lang w:val="es-ES"/>
              </w:rPr>
              <w:t>mandíbula</w:t>
            </w:r>
            <w:r w:rsidRPr="00C33F4C">
              <w:rPr>
                <w:color w:val="auto"/>
                <w:sz w:val="18"/>
                <w:szCs w:val="18"/>
                <w:vertAlign w:val="superscript"/>
                <w:lang w:val="es-ES"/>
              </w:rPr>
              <w:t>a,b</w:t>
            </w:r>
            <w:proofErr w:type="spellEnd"/>
            <w:proofErr w:type="gramEnd"/>
            <w:r w:rsidR="00B83A7B" w:rsidRPr="00C33F4C">
              <w:rPr>
                <w:color w:val="auto"/>
                <w:sz w:val="18"/>
                <w:szCs w:val="18"/>
                <w:lang w:val="es-ES"/>
              </w:rPr>
              <w:t>,</w:t>
            </w:r>
          </w:p>
          <w:p w14:paraId="0421E742" w14:textId="77777777" w:rsidR="00FB24C0" w:rsidRPr="00C33F4C" w:rsidRDefault="00FB24C0" w:rsidP="00C33F4C">
            <w:pPr>
              <w:keepNext/>
              <w:spacing w:after="0" w:line="240" w:lineRule="auto"/>
              <w:ind w:left="0" w:firstLine="0"/>
              <w:rPr>
                <w:color w:val="auto"/>
                <w:sz w:val="18"/>
                <w:szCs w:val="18"/>
                <w:lang w:val="es-ES"/>
              </w:rPr>
            </w:pPr>
            <w:r w:rsidRPr="00C33F4C">
              <w:rPr>
                <w:color w:val="auto"/>
                <w:sz w:val="18"/>
                <w:szCs w:val="18"/>
                <w:lang w:val="es-ES"/>
              </w:rPr>
              <w:t>Osteonecrosis no</w:t>
            </w:r>
            <w:r w:rsidR="00A25848" w:rsidRPr="00C33F4C">
              <w:rPr>
                <w:color w:val="auto"/>
                <w:sz w:val="18"/>
                <w:szCs w:val="18"/>
                <w:lang w:val="es-ES"/>
              </w:rPr>
              <w:t xml:space="preserve"> </w:t>
            </w:r>
            <w:proofErr w:type="spellStart"/>
            <w:proofErr w:type="gramStart"/>
            <w:r w:rsidRPr="00C33F4C">
              <w:rPr>
                <w:color w:val="auto"/>
                <w:sz w:val="18"/>
                <w:szCs w:val="18"/>
                <w:lang w:val="es-ES"/>
              </w:rPr>
              <w:t>mandibular</w:t>
            </w:r>
            <w:r w:rsidRPr="00C33F4C">
              <w:rPr>
                <w:color w:val="auto"/>
                <w:sz w:val="18"/>
                <w:szCs w:val="18"/>
                <w:vertAlign w:val="superscript"/>
                <w:lang w:val="es-ES"/>
              </w:rPr>
              <w:t>a,f</w:t>
            </w:r>
            <w:proofErr w:type="spellEnd"/>
            <w:proofErr w:type="gramEnd"/>
            <w:r w:rsidRPr="00C33F4C">
              <w:rPr>
                <w:color w:val="auto"/>
                <w:sz w:val="18"/>
                <w:szCs w:val="18"/>
                <w:lang w:val="es-ES"/>
              </w:rPr>
              <w:t xml:space="preserve"> </w:t>
            </w:r>
          </w:p>
        </w:tc>
      </w:tr>
      <w:tr w:rsidR="00D445BE" w:rsidRPr="005161A1" w14:paraId="42CC9A47" w14:textId="77777777" w:rsidTr="00C33F4C">
        <w:trPr>
          <w:trHeight w:val="361"/>
        </w:trPr>
        <w:tc>
          <w:tcPr>
            <w:tcW w:w="823" w:type="pct"/>
            <w:tcBorders>
              <w:top w:val="single" w:sz="4" w:space="0" w:color="000000"/>
              <w:left w:val="single" w:sz="4" w:space="0" w:color="000000"/>
              <w:bottom w:val="single" w:sz="4" w:space="0" w:color="000000"/>
              <w:right w:val="single" w:sz="4" w:space="0" w:color="000000"/>
            </w:tcBorders>
          </w:tcPr>
          <w:p w14:paraId="69262D7F"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 xml:space="preserve">Trastornos renales y urinarios </w:t>
            </w:r>
          </w:p>
        </w:tc>
        <w:tc>
          <w:tcPr>
            <w:tcW w:w="1072" w:type="pct"/>
            <w:tcBorders>
              <w:top w:val="single" w:sz="4" w:space="0" w:color="000000"/>
              <w:left w:val="single" w:sz="4" w:space="0" w:color="000000"/>
              <w:bottom w:val="single" w:sz="4" w:space="0" w:color="000000"/>
              <w:right w:val="single" w:sz="4" w:space="0" w:color="000000"/>
            </w:tcBorders>
          </w:tcPr>
          <w:p w14:paraId="78AC46BD" w14:textId="77777777" w:rsidR="00FB24C0" w:rsidRPr="00C33F4C" w:rsidRDefault="00FB24C0" w:rsidP="00C33F4C">
            <w:pPr>
              <w:spacing w:after="0" w:line="240" w:lineRule="auto"/>
              <w:ind w:left="0" w:firstLine="0"/>
              <w:rPr>
                <w:color w:val="auto"/>
                <w:sz w:val="18"/>
                <w:szCs w:val="18"/>
                <w:lang w:val="es-ES"/>
              </w:rPr>
            </w:pPr>
            <w:proofErr w:type="spellStart"/>
            <w:proofErr w:type="gramStart"/>
            <w:r w:rsidRPr="00C33F4C">
              <w:rPr>
                <w:color w:val="auto"/>
                <w:sz w:val="18"/>
                <w:szCs w:val="18"/>
                <w:lang w:val="es-ES"/>
              </w:rPr>
              <w:t>Proteinuria</w:t>
            </w:r>
            <w:r w:rsidRPr="00C33F4C">
              <w:rPr>
                <w:color w:val="auto"/>
                <w:sz w:val="18"/>
                <w:szCs w:val="18"/>
                <w:vertAlign w:val="superscript"/>
                <w:lang w:val="es-ES"/>
              </w:rPr>
              <w:t>b,d</w:t>
            </w:r>
            <w:proofErr w:type="spellEnd"/>
            <w:proofErr w:type="gramEnd"/>
            <w:r w:rsidRPr="00C33F4C">
              <w:rPr>
                <w:i/>
                <w:color w:val="auto"/>
                <w:sz w:val="18"/>
                <w:szCs w:val="18"/>
                <w:lang w:val="es-ES"/>
              </w:rPr>
              <w:t xml:space="preserve"> </w:t>
            </w:r>
          </w:p>
        </w:tc>
        <w:tc>
          <w:tcPr>
            <w:tcW w:w="978" w:type="pct"/>
            <w:tcBorders>
              <w:top w:val="single" w:sz="4" w:space="0" w:color="000000"/>
              <w:left w:val="single" w:sz="4" w:space="0" w:color="000000"/>
              <w:bottom w:val="single" w:sz="4" w:space="0" w:color="000000"/>
              <w:right w:val="single" w:sz="4" w:space="0" w:color="000000"/>
            </w:tcBorders>
          </w:tcPr>
          <w:p w14:paraId="0422A631" w14:textId="77777777" w:rsidR="00FB24C0" w:rsidRPr="00C33F4C" w:rsidRDefault="00FB24C0" w:rsidP="00C33F4C">
            <w:pPr>
              <w:spacing w:after="0" w:line="240" w:lineRule="auto"/>
              <w:ind w:left="0" w:firstLine="0"/>
              <w:rPr>
                <w:color w:val="auto"/>
                <w:sz w:val="18"/>
                <w:szCs w:val="18"/>
                <w:lang w:val="es-ES"/>
              </w:rPr>
            </w:pPr>
          </w:p>
        </w:tc>
        <w:tc>
          <w:tcPr>
            <w:tcW w:w="509" w:type="pct"/>
            <w:tcBorders>
              <w:top w:val="single" w:sz="4" w:space="0" w:color="000000"/>
              <w:left w:val="single" w:sz="4" w:space="0" w:color="000000"/>
              <w:bottom w:val="single" w:sz="4" w:space="0" w:color="000000"/>
              <w:right w:val="single" w:sz="4" w:space="0" w:color="000000"/>
            </w:tcBorders>
          </w:tcPr>
          <w:p w14:paraId="404E5E12" w14:textId="77777777" w:rsidR="00FB24C0" w:rsidRPr="00C33F4C" w:rsidRDefault="00FB24C0" w:rsidP="00C33F4C">
            <w:pPr>
              <w:spacing w:after="0" w:line="240" w:lineRule="auto"/>
              <w:ind w:left="0" w:firstLine="0"/>
              <w:rPr>
                <w:color w:val="auto"/>
                <w:sz w:val="18"/>
                <w:szCs w:val="18"/>
                <w:lang w:val="es-ES"/>
              </w:rPr>
            </w:pPr>
          </w:p>
        </w:tc>
        <w:tc>
          <w:tcPr>
            <w:tcW w:w="639" w:type="pct"/>
            <w:tcBorders>
              <w:top w:val="single" w:sz="4" w:space="0" w:color="000000"/>
              <w:left w:val="single" w:sz="4" w:space="0" w:color="000000"/>
              <w:bottom w:val="single" w:sz="4" w:space="0" w:color="000000"/>
              <w:right w:val="single" w:sz="4" w:space="0" w:color="000000"/>
            </w:tcBorders>
          </w:tcPr>
          <w:p w14:paraId="197BC231" w14:textId="77777777" w:rsidR="00FB24C0" w:rsidRPr="00C33F4C" w:rsidRDefault="00FB24C0" w:rsidP="00C33F4C">
            <w:pPr>
              <w:spacing w:after="0" w:line="240" w:lineRule="auto"/>
              <w:ind w:left="0" w:firstLine="0"/>
              <w:rPr>
                <w:color w:val="auto"/>
                <w:sz w:val="18"/>
                <w:szCs w:val="18"/>
                <w:lang w:val="es-ES"/>
              </w:rPr>
            </w:pPr>
          </w:p>
        </w:tc>
        <w:tc>
          <w:tcPr>
            <w:tcW w:w="410" w:type="pct"/>
            <w:tcBorders>
              <w:top w:val="single" w:sz="4" w:space="0" w:color="000000"/>
              <w:left w:val="single" w:sz="4" w:space="0" w:color="000000"/>
              <w:bottom w:val="single" w:sz="4" w:space="0" w:color="000000"/>
              <w:right w:val="single" w:sz="4" w:space="0" w:color="000000"/>
            </w:tcBorders>
          </w:tcPr>
          <w:p w14:paraId="3BD5899F" w14:textId="77777777" w:rsidR="00FB24C0" w:rsidRPr="00C33F4C" w:rsidRDefault="00FB24C0" w:rsidP="00C33F4C">
            <w:pPr>
              <w:spacing w:after="0" w:line="240" w:lineRule="auto"/>
              <w:ind w:left="0" w:firstLine="0"/>
              <w:rPr>
                <w:color w:val="auto"/>
                <w:sz w:val="18"/>
                <w:szCs w:val="18"/>
                <w:lang w:val="es-ES"/>
              </w:rPr>
            </w:pPr>
          </w:p>
        </w:tc>
        <w:tc>
          <w:tcPr>
            <w:tcW w:w="568" w:type="pct"/>
            <w:tcBorders>
              <w:top w:val="single" w:sz="4" w:space="0" w:color="000000"/>
              <w:left w:val="single" w:sz="4" w:space="0" w:color="000000"/>
              <w:bottom w:val="single" w:sz="4" w:space="0" w:color="000000"/>
              <w:right w:val="single" w:sz="4" w:space="0" w:color="000000"/>
            </w:tcBorders>
          </w:tcPr>
          <w:p w14:paraId="0A0D7EF8" w14:textId="77777777" w:rsidR="00FB24C0" w:rsidRPr="00C33F4C" w:rsidRDefault="00FB24C0" w:rsidP="00C33F4C">
            <w:pPr>
              <w:spacing w:after="0" w:line="240" w:lineRule="auto"/>
              <w:ind w:left="0" w:firstLine="0"/>
              <w:rPr>
                <w:color w:val="auto"/>
                <w:sz w:val="18"/>
                <w:szCs w:val="18"/>
                <w:lang w:val="es-ES"/>
              </w:rPr>
            </w:pPr>
          </w:p>
        </w:tc>
      </w:tr>
      <w:tr w:rsidR="00D445BE" w:rsidRPr="005161A1" w14:paraId="59838450" w14:textId="77777777" w:rsidTr="00C33F4C">
        <w:trPr>
          <w:trHeight w:val="455"/>
        </w:trPr>
        <w:tc>
          <w:tcPr>
            <w:tcW w:w="823" w:type="pct"/>
            <w:tcBorders>
              <w:top w:val="single" w:sz="4" w:space="0" w:color="000000"/>
              <w:left w:val="single" w:sz="4" w:space="0" w:color="000000"/>
              <w:bottom w:val="single" w:sz="4" w:space="0" w:color="000000"/>
              <w:right w:val="single" w:sz="4" w:space="0" w:color="000000"/>
            </w:tcBorders>
          </w:tcPr>
          <w:p w14:paraId="3E4779BF"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 xml:space="preserve">Trastornos del aparato reproductor y de la mama </w:t>
            </w:r>
          </w:p>
        </w:tc>
        <w:tc>
          <w:tcPr>
            <w:tcW w:w="1072" w:type="pct"/>
            <w:tcBorders>
              <w:top w:val="single" w:sz="4" w:space="0" w:color="000000"/>
              <w:left w:val="single" w:sz="4" w:space="0" w:color="000000"/>
              <w:bottom w:val="single" w:sz="4" w:space="0" w:color="000000"/>
              <w:right w:val="single" w:sz="4" w:space="0" w:color="000000"/>
            </w:tcBorders>
          </w:tcPr>
          <w:p w14:paraId="57167A10"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 xml:space="preserve">Insuficiencia </w:t>
            </w:r>
            <w:proofErr w:type="spellStart"/>
            <w:proofErr w:type="gramStart"/>
            <w:r w:rsidRPr="00C33F4C">
              <w:rPr>
                <w:color w:val="auto"/>
                <w:sz w:val="18"/>
                <w:szCs w:val="18"/>
                <w:lang w:val="es-ES"/>
              </w:rPr>
              <w:t>ovárica</w:t>
            </w:r>
            <w:r w:rsidRPr="00C33F4C">
              <w:rPr>
                <w:color w:val="auto"/>
                <w:sz w:val="18"/>
                <w:szCs w:val="18"/>
                <w:vertAlign w:val="superscript"/>
                <w:lang w:val="es-ES"/>
              </w:rPr>
              <w:t>b,c</w:t>
            </w:r>
            <w:proofErr w:type="gramEnd"/>
            <w:r w:rsidRPr="00C33F4C">
              <w:rPr>
                <w:color w:val="auto"/>
                <w:sz w:val="18"/>
                <w:szCs w:val="18"/>
                <w:vertAlign w:val="superscript"/>
                <w:lang w:val="es-ES"/>
              </w:rPr>
              <w:t>,d</w:t>
            </w:r>
            <w:proofErr w:type="spellEnd"/>
            <w:r w:rsidRPr="00C33F4C">
              <w:rPr>
                <w:color w:val="auto"/>
                <w:sz w:val="18"/>
                <w:szCs w:val="18"/>
                <w:lang w:val="es-ES"/>
              </w:rPr>
              <w:t xml:space="preserve"> </w:t>
            </w:r>
          </w:p>
        </w:tc>
        <w:tc>
          <w:tcPr>
            <w:tcW w:w="978" w:type="pct"/>
            <w:tcBorders>
              <w:top w:val="single" w:sz="4" w:space="0" w:color="000000"/>
              <w:left w:val="single" w:sz="4" w:space="0" w:color="000000"/>
              <w:bottom w:val="single" w:sz="4" w:space="0" w:color="000000"/>
              <w:right w:val="single" w:sz="4" w:space="0" w:color="000000"/>
            </w:tcBorders>
          </w:tcPr>
          <w:p w14:paraId="1455A450"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 xml:space="preserve">Dolor pélvico </w:t>
            </w:r>
          </w:p>
        </w:tc>
        <w:tc>
          <w:tcPr>
            <w:tcW w:w="509" w:type="pct"/>
            <w:tcBorders>
              <w:top w:val="single" w:sz="4" w:space="0" w:color="000000"/>
              <w:left w:val="single" w:sz="4" w:space="0" w:color="000000"/>
              <w:bottom w:val="single" w:sz="4" w:space="0" w:color="000000"/>
              <w:right w:val="single" w:sz="4" w:space="0" w:color="000000"/>
            </w:tcBorders>
          </w:tcPr>
          <w:p w14:paraId="348D4524" w14:textId="77777777" w:rsidR="00FB24C0" w:rsidRPr="00C33F4C" w:rsidRDefault="00FB24C0" w:rsidP="00C33F4C">
            <w:pPr>
              <w:spacing w:after="0" w:line="240" w:lineRule="auto"/>
              <w:ind w:left="0" w:firstLine="0"/>
              <w:rPr>
                <w:color w:val="auto"/>
                <w:sz w:val="18"/>
                <w:szCs w:val="18"/>
                <w:lang w:val="es-ES"/>
              </w:rPr>
            </w:pPr>
          </w:p>
        </w:tc>
        <w:tc>
          <w:tcPr>
            <w:tcW w:w="639" w:type="pct"/>
            <w:tcBorders>
              <w:top w:val="single" w:sz="4" w:space="0" w:color="000000"/>
              <w:left w:val="single" w:sz="4" w:space="0" w:color="000000"/>
              <w:bottom w:val="single" w:sz="4" w:space="0" w:color="000000"/>
              <w:right w:val="single" w:sz="4" w:space="0" w:color="000000"/>
            </w:tcBorders>
          </w:tcPr>
          <w:p w14:paraId="2AA232C6" w14:textId="77777777" w:rsidR="00FB24C0" w:rsidRPr="00C33F4C" w:rsidRDefault="00FB24C0" w:rsidP="00C33F4C">
            <w:pPr>
              <w:spacing w:after="0" w:line="240" w:lineRule="auto"/>
              <w:ind w:left="0" w:firstLine="0"/>
              <w:rPr>
                <w:color w:val="auto"/>
                <w:sz w:val="18"/>
                <w:szCs w:val="18"/>
                <w:lang w:val="es-ES"/>
              </w:rPr>
            </w:pPr>
          </w:p>
        </w:tc>
        <w:tc>
          <w:tcPr>
            <w:tcW w:w="410" w:type="pct"/>
            <w:tcBorders>
              <w:top w:val="single" w:sz="4" w:space="0" w:color="000000"/>
              <w:left w:val="single" w:sz="4" w:space="0" w:color="000000"/>
              <w:bottom w:val="single" w:sz="4" w:space="0" w:color="000000"/>
              <w:right w:val="single" w:sz="4" w:space="0" w:color="000000"/>
            </w:tcBorders>
          </w:tcPr>
          <w:p w14:paraId="2B828E5A" w14:textId="77777777" w:rsidR="00FB24C0" w:rsidRPr="00C33F4C" w:rsidRDefault="00FB24C0" w:rsidP="00C33F4C">
            <w:pPr>
              <w:spacing w:after="0" w:line="240" w:lineRule="auto"/>
              <w:ind w:left="0" w:firstLine="0"/>
              <w:rPr>
                <w:color w:val="auto"/>
                <w:sz w:val="18"/>
                <w:szCs w:val="18"/>
                <w:lang w:val="es-ES"/>
              </w:rPr>
            </w:pPr>
          </w:p>
        </w:tc>
        <w:tc>
          <w:tcPr>
            <w:tcW w:w="568" w:type="pct"/>
            <w:tcBorders>
              <w:top w:val="single" w:sz="4" w:space="0" w:color="000000"/>
              <w:left w:val="single" w:sz="4" w:space="0" w:color="000000"/>
              <w:bottom w:val="single" w:sz="4" w:space="0" w:color="000000"/>
              <w:right w:val="single" w:sz="4" w:space="0" w:color="000000"/>
            </w:tcBorders>
          </w:tcPr>
          <w:p w14:paraId="4A9BE3EB" w14:textId="77777777" w:rsidR="00FB24C0" w:rsidRPr="00C33F4C" w:rsidRDefault="00FB24C0" w:rsidP="00C33F4C">
            <w:pPr>
              <w:spacing w:after="0" w:line="240" w:lineRule="auto"/>
              <w:ind w:left="0" w:firstLine="0"/>
              <w:rPr>
                <w:color w:val="auto"/>
                <w:sz w:val="18"/>
                <w:szCs w:val="18"/>
                <w:lang w:val="es-ES"/>
              </w:rPr>
            </w:pPr>
          </w:p>
        </w:tc>
      </w:tr>
      <w:tr w:rsidR="00D445BE" w:rsidRPr="005161A1" w14:paraId="14134A38" w14:textId="77777777" w:rsidTr="00C33F4C">
        <w:tblPrEx>
          <w:tblCellMar>
            <w:top w:w="49" w:type="dxa"/>
            <w:right w:w="102" w:type="dxa"/>
          </w:tblCellMar>
        </w:tblPrEx>
        <w:trPr>
          <w:trHeight w:val="450"/>
        </w:trPr>
        <w:tc>
          <w:tcPr>
            <w:tcW w:w="823" w:type="pct"/>
            <w:tcBorders>
              <w:top w:val="single" w:sz="4" w:space="0" w:color="000000"/>
              <w:left w:val="single" w:sz="4" w:space="0" w:color="000000"/>
              <w:bottom w:val="single" w:sz="4" w:space="0" w:color="000000"/>
              <w:right w:val="single" w:sz="4" w:space="0" w:color="000000"/>
            </w:tcBorders>
          </w:tcPr>
          <w:p w14:paraId="2577D804" w14:textId="77777777" w:rsidR="00FB24C0" w:rsidRPr="00C33F4C" w:rsidRDefault="00FB24C0" w:rsidP="00DE52D3">
            <w:pPr>
              <w:keepNext/>
              <w:keepLines/>
              <w:spacing w:after="0" w:line="240" w:lineRule="auto"/>
              <w:ind w:left="0" w:firstLine="0"/>
              <w:rPr>
                <w:color w:val="auto"/>
                <w:sz w:val="18"/>
                <w:szCs w:val="18"/>
                <w:lang w:val="es-ES"/>
              </w:rPr>
            </w:pPr>
            <w:r w:rsidRPr="00C33F4C">
              <w:rPr>
                <w:color w:val="auto"/>
                <w:sz w:val="18"/>
                <w:szCs w:val="18"/>
                <w:lang w:val="es-ES"/>
              </w:rPr>
              <w:t xml:space="preserve">Trastornos congénitos, familiares y genéticos </w:t>
            </w:r>
          </w:p>
        </w:tc>
        <w:tc>
          <w:tcPr>
            <w:tcW w:w="1072" w:type="pct"/>
            <w:tcBorders>
              <w:top w:val="single" w:sz="4" w:space="0" w:color="000000"/>
              <w:left w:val="single" w:sz="4" w:space="0" w:color="000000"/>
              <w:bottom w:val="single" w:sz="4" w:space="0" w:color="000000"/>
              <w:right w:val="single" w:sz="4" w:space="0" w:color="000000"/>
            </w:tcBorders>
          </w:tcPr>
          <w:p w14:paraId="01A6DAF6" w14:textId="77777777" w:rsidR="00FB24C0" w:rsidRPr="00C33F4C" w:rsidRDefault="00FB24C0" w:rsidP="00DE52D3">
            <w:pPr>
              <w:keepNext/>
              <w:keepLines/>
              <w:spacing w:after="0" w:line="240" w:lineRule="auto"/>
              <w:ind w:left="0" w:firstLine="0"/>
              <w:rPr>
                <w:color w:val="auto"/>
                <w:sz w:val="18"/>
                <w:szCs w:val="18"/>
                <w:lang w:val="es-ES"/>
              </w:rPr>
            </w:pPr>
          </w:p>
        </w:tc>
        <w:tc>
          <w:tcPr>
            <w:tcW w:w="978" w:type="pct"/>
            <w:tcBorders>
              <w:top w:val="single" w:sz="4" w:space="0" w:color="000000"/>
              <w:left w:val="single" w:sz="4" w:space="0" w:color="000000"/>
              <w:bottom w:val="single" w:sz="4" w:space="0" w:color="000000"/>
              <w:right w:val="single" w:sz="4" w:space="0" w:color="000000"/>
            </w:tcBorders>
          </w:tcPr>
          <w:p w14:paraId="792ACA1C" w14:textId="77777777" w:rsidR="00FB24C0" w:rsidRPr="00C33F4C" w:rsidRDefault="00FB24C0" w:rsidP="00DE52D3">
            <w:pPr>
              <w:keepNext/>
              <w:keepLines/>
              <w:spacing w:after="0" w:line="240" w:lineRule="auto"/>
              <w:ind w:left="0" w:firstLine="0"/>
              <w:rPr>
                <w:color w:val="auto"/>
                <w:sz w:val="18"/>
                <w:szCs w:val="18"/>
                <w:lang w:val="es-ES"/>
              </w:rPr>
            </w:pPr>
          </w:p>
        </w:tc>
        <w:tc>
          <w:tcPr>
            <w:tcW w:w="509" w:type="pct"/>
            <w:tcBorders>
              <w:top w:val="single" w:sz="4" w:space="0" w:color="000000"/>
              <w:left w:val="single" w:sz="4" w:space="0" w:color="000000"/>
              <w:bottom w:val="single" w:sz="4" w:space="0" w:color="000000"/>
              <w:right w:val="single" w:sz="4" w:space="0" w:color="000000"/>
            </w:tcBorders>
          </w:tcPr>
          <w:p w14:paraId="79987D98" w14:textId="77777777" w:rsidR="00FB24C0" w:rsidRPr="00C33F4C" w:rsidRDefault="00FB24C0" w:rsidP="00DE52D3">
            <w:pPr>
              <w:keepNext/>
              <w:keepLines/>
              <w:spacing w:after="0" w:line="240" w:lineRule="auto"/>
              <w:ind w:left="0" w:firstLine="0"/>
              <w:rPr>
                <w:color w:val="auto"/>
                <w:sz w:val="18"/>
                <w:szCs w:val="18"/>
                <w:lang w:val="es-ES"/>
              </w:rPr>
            </w:pPr>
          </w:p>
        </w:tc>
        <w:tc>
          <w:tcPr>
            <w:tcW w:w="639" w:type="pct"/>
            <w:tcBorders>
              <w:top w:val="single" w:sz="4" w:space="0" w:color="000000"/>
              <w:left w:val="single" w:sz="4" w:space="0" w:color="000000"/>
              <w:bottom w:val="single" w:sz="4" w:space="0" w:color="000000"/>
              <w:right w:val="single" w:sz="4" w:space="0" w:color="000000"/>
            </w:tcBorders>
          </w:tcPr>
          <w:p w14:paraId="6A172B79" w14:textId="77777777" w:rsidR="00FB24C0" w:rsidRPr="00C33F4C" w:rsidRDefault="00FB24C0" w:rsidP="00DE52D3">
            <w:pPr>
              <w:keepNext/>
              <w:keepLines/>
              <w:spacing w:after="0" w:line="240" w:lineRule="auto"/>
              <w:ind w:left="0" w:firstLine="0"/>
              <w:rPr>
                <w:color w:val="auto"/>
                <w:sz w:val="18"/>
                <w:szCs w:val="18"/>
                <w:lang w:val="es-ES"/>
              </w:rPr>
            </w:pPr>
          </w:p>
        </w:tc>
        <w:tc>
          <w:tcPr>
            <w:tcW w:w="410" w:type="pct"/>
            <w:tcBorders>
              <w:top w:val="single" w:sz="4" w:space="0" w:color="000000"/>
              <w:left w:val="single" w:sz="4" w:space="0" w:color="000000"/>
              <w:bottom w:val="single" w:sz="4" w:space="0" w:color="000000"/>
              <w:right w:val="single" w:sz="4" w:space="0" w:color="000000"/>
            </w:tcBorders>
          </w:tcPr>
          <w:p w14:paraId="15EBB985" w14:textId="77777777" w:rsidR="00FB24C0" w:rsidRPr="00C33F4C" w:rsidRDefault="00FB24C0" w:rsidP="00DE52D3">
            <w:pPr>
              <w:keepNext/>
              <w:keepLines/>
              <w:spacing w:after="0" w:line="240" w:lineRule="auto"/>
              <w:ind w:left="0" w:firstLine="0"/>
              <w:rPr>
                <w:color w:val="auto"/>
                <w:sz w:val="18"/>
                <w:szCs w:val="18"/>
                <w:lang w:val="es-ES"/>
              </w:rPr>
            </w:pPr>
          </w:p>
        </w:tc>
        <w:tc>
          <w:tcPr>
            <w:tcW w:w="568" w:type="pct"/>
            <w:tcBorders>
              <w:top w:val="single" w:sz="4" w:space="0" w:color="000000"/>
              <w:left w:val="single" w:sz="4" w:space="0" w:color="000000"/>
              <w:bottom w:val="single" w:sz="4" w:space="0" w:color="000000"/>
              <w:right w:val="single" w:sz="4" w:space="0" w:color="000000"/>
            </w:tcBorders>
          </w:tcPr>
          <w:p w14:paraId="0F38E0C3" w14:textId="77777777" w:rsidR="00FB24C0" w:rsidRPr="00C33F4C" w:rsidRDefault="00FB24C0" w:rsidP="00DE52D3">
            <w:pPr>
              <w:keepNext/>
              <w:keepLines/>
              <w:spacing w:after="0" w:line="240" w:lineRule="auto"/>
              <w:ind w:left="0" w:firstLine="0"/>
              <w:rPr>
                <w:color w:val="auto"/>
                <w:sz w:val="18"/>
                <w:szCs w:val="18"/>
                <w:lang w:val="es-ES"/>
              </w:rPr>
            </w:pPr>
            <w:r w:rsidRPr="00C33F4C">
              <w:rPr>
                <w:color w:val="auto"/>
                <w:sz w:val="18"/>
                <w:szCs w:val="18"/>
                <w:lang w:val="es-ES"/>
              </w:rPr>
              <w:t xml:space="preserve">Anomalías </w:t>
            </w:r>
            <w:proofErr w:type="spellStart"/>
            <w:proofErr w:type="gramStart"/>
            <w:r w:rsidRPr="00C33F4C">
              <w:rPr>
                <w:color w:val="auto"/>
                <w:sz w:val="18"/>
                <w:szCs w:val="18"/>
                <w:lang w:val="es-ES"/>
              </w:rPr>
              <w:t>fetales</w:t>
            </w:r>
            <w:r w:rsidRPr="00C33F4C">
              <w:rPr>
                <w:color w:val="auto"/>
                <w:sz w:val="18"/>
                <w:szCs w:val="18"/>
                <w:vertAlign w:val="superscript"/>
                <w:lang w:val="es-ES"/>
              </w:rPr>
              <w:t>a,b</w:t>
            </w:r>
            <w:proofErr w:type="spellEnd"/>
            <w:proofErr w:type="gramEnd"/>
            <w:r w:rsidRPr="00C33F4C">
              <w:rPr>
                <w:color w:val="auto"/>
                <w:sz w:val="18"/>
                <w:szCs w:val="18"/>
                <w:lang w:val="es-ES"/>
              </w:rPr>
              <w:t xml:space="preserve"> </w:t>
            </w:r>
          </w:p>
        </w:tc>
      </w:tr>
      <w:tr w:rsidR="00D445BE" w:rsidRPr="005161A1" w14:paraId="04E12D9B" w14:textId="77777777" w:rsidTr="00C33F4C">
        <w:tblPrEx>
          <w:tblCellMar>
            <w:top w:w="49" w:type="dxa"/>
            <w:right w:w="102" w:type="dxa"/>
          </w:tblCellMar>
        </w:tblPrEx>
        <w:trPr>
          <w:trHeight w:val="690"/>
        </w:trPr>
        <w:tc>
          <w:tcPr>
            <w:tcW w:w="823" w:type="pct"/>
            <w:tcBorders>
              <w:top w:val="single" w:sz="4" w:space="0" w:color="000000"/>
              <w:left w:val="single" w:sz="4" w:space="0" w:color="000000"/>
              <w:bottom w:val="single" w:sz="4" w:space="0" w:color="000000"/>
              <w:right w:val="single" w:sz="4" w:space="0" w:color="000000"/>
            </w:tcBorders>
          </w:tcPr>
          <w:p w14:paraId="431314B8"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 xml:space="preserve">Trastornos generales y alteraciones en el lugar de administración </w:t>
            </w:r>
          </w:p>
        </w:tc>
        <w:tc>
          <w:tcPr>
            <w:tcW w:w="1072" w:type="pct"/>
            <w:tcBorders>
              <w:top w:val="single" w:sz="4" w:space="0" w:color="000000"/>
              <w:left w:val="single" w:sz="4" w:space="0" w:color="000000"/>
              <w:bottom w:val="single" w:sz="4" w:space="0" w:color="000000"/>
              <w:right w:val="single" w:sz="4" w:space="0" w:color="000000"/>
            </w:tcBorders>
          </w:tcPr>
          <w:p w14:paraId="4E0EB088"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Astenia,</w:t>
            </w:r>
          </w:p>
          <w:p w14:paraId="24973B82"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Fatiga,</w:t>
            </w:r>
          </w:p>
          <w:p w14:paraId="58D2A57E"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Fiebre,</w:t>
            </w:r>
          </w:p>
          <w:p w14:paraId="2423C69D"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Dolor,</w:t>
            </w:r>
          </w:p>
          <w:p w14:paraId="0B8747D6"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 xml:space="preserve">Inflamación de la mucosa </w:t>
            </w:r>
          </w:p>
        </w:tc>
        <w:tc>
          <w:tcPr>
            <w:tcW w:w="978" w:type="pct"/>
            <w:tcBorders>
              <w:top w:val="single" w:sz="4" w:space="0" w:color="000000"/>
              <w:left w:val="single" w:sz="4" w:space="0" w:color="000000"/>
              <w:bottom w:val="single" w:sz="4" w:space="0" w:color="000000"/>
              <w:right w:val="single" w:sz="4" w:space="0" w:color="000000"/>
            </w:tcBorders>
          </w:tcPr>
          <w:p w14:paraId="5FDB8534" w14:textId="77777777" w:rsidR="00FB24C0" w:rsidRPr="00C33F4C" w:rsidRDefault="00FB24C0" w:rsidP="00C33F4C">
            <w:pPr>
              <w:spacing w:after="0" w:line="240" w:lineRule="auto"/>
              <w:ind w:left="0" w:firstLine="0"/>
              <w:rPr>
                <w:color w:val="auto"/>
                <w:sz w:val="18"/>
                <w:szCs w:val="18"/>
                <w:lang w:val="es-ES"/>
              </w:rPr>
            </w:pPr>
            <w:r w:rsidRPr="00C33F4C">
              <w:rPr>
                <w:color w:val="auto"/>
                <w:sz w:val="18"/>
                <w:szCs w:val="18"/>
                <w:lang w:val="es-ES"/>
              </w:rPr>
              <w:t xml:space="preserve">Letargia </w:t>
            </w:r>
          </w:p>
        </w:tc>
        <w:tc>
          <w:tcPr>
            <w:tcW w:w="509" w:type="pct"/>
            <w:tcBorders>
              <w:top w:val="single" w:sz="4" w:space="0" w:color="000000"/>
              <w:left w:val="single" w:sz="4" w:space="0" w:color="000000"/>
              <w:bottom w:val="single" w:sz="4" w:space="0" w:color="000000"/>
              <w:right w:val="single" w:sz="4" w:space="0" w:color="000000"/>
            </w:tcBorders>
          </w:tcPr>
          <w:p w14:paraId="0391F908" w14:textId="77777777" w:rsidR="00FB24C0" w:rsidRPr="00C33F4C" w:rsidRDefault="00FB24C0" w:rsidP="00C33F4C">
            <w:pPr>
              <w:spacing w:after="0" w:line="240" w:lineRule="auto"/>
              <w:ind w:left="0" w:firstLine="0"/>
              <w:rPr>
                <w:color w:val="auto"/>
                <w:sz w:val="18"/>
                <w:szCs w:val="18"/>
                <w:lang w:val="es-ES"/>
              </w:rPr>
            </w:pPr>
          </w:p>
        </w:tc>
        <w:tc>
          <w:tcPr>
            <w:tcW w:w="639" w:type="pct"/>
            <w:tcBorders>
              <w:top w:val="single" w:sz="4" w:space="0" w:color="000000"/>
              <w:left w:val="single" w:sz="4" w:space="0" w:color="000000"/>
              <w:bottom w:val="single" w:sz="4" w:space="0" w:color="000000"/>
              <w:right w:val="single" w:sz="4" w:space="0" w:color="000000"/>
            </w:tcBorders>
          </w:tcPr>
          <w:p w14:paraId="120B52EB" w14:textId="77777777" w:rsidR="00FB24C0" w:rsidRPr="00C33F4C" w:rsidRDefault="00FB24C0" w:rsidP="00C33F4C">
            <w:pPr>
              <w:spacing w:after="0" w:line="240" w:lineRule="auto"/>
              <w:ind w:left="0" w:firstLine="0"/>
              <w:rPr>
                <w:color w:val="auto"/>
                <w:sz w:val="18"/>
                <w:szCs w:val="18"/>
                <w:lang w:val="es-ES"/>
              </w:rPr>
            </w:pPr>
          </w:p>
        </w:tc>
        <w:tc>
          <w:tcPr>
            <w:tcW w:w="410" w:type="pct"/>
            <w:tcBorders>
              <w:top w:val="single" w:sz="4" w:space="0" w:color="000000"/>
              <w:left w:val="single" w:sz="4" w:space="0" w:color="000000"/>
              <w:bottom w:val="single" w:sz="4" w:space="0" w:color="000000"/>
              <w:right w:val="single" w:sz="4" w:space="0" w:color="000000"/>
            </w:tcBorders>
          </w:tcPr>
          <w:p w14:paraId="5778BEE3" w14:textId="77777777" w:rsidR="00FB24C0" w:rsidRPr="00C33F4C" w:rsidRDefault="00FB24C0" w:rsidP="00C33F4C">
            <w:pPr>
              <w:spacing w:after="0" w:line="240" w:lineRule="auto"/>
              <w:ind w:left="0" w:firstLine="0"/>
              <w:rPr>
                <w:color w:val="auto"/>
                <w:sz w:val="18"/>
                <w:szCs w:val="18"/>
                <w:lang w:val="es-ES"/>
              </w:rPr>
            </w:pPr>
          </w:p>
        </w:tc>
        <w:tc>
          <w:tcPr>
            <w:tcW w:w="568" w:type="pct"/>
            <w:tcBorders>
              <w:top w:val="single" w:sz="4" w:space="0" w:color="000000"/>
              <w:left w:val="single" w:sz="4" w:space="0" w:color="000000"/>
              <w:bottom w:val="single" w:sz="4" w:space="0" w:color="000000"/>
              <w:right w:val="single" w:sz="4" w:space="0" w:color="000000"/>
            </w:tcBorders>
          </w:tcPr>
          <w:p w14:paraId="4E3FE92C" w14:textId="77777777" w:rsidR="00FB24C0" w:rsidRPr="00C33F4C" w:rsidRDefault="00FB24C0" w:rsidP="00C33F4C">
            <w:pPr>
              <w:spacing w:after="0" w:line="240" w:lineRule="auto"/>
              <w:ind w:left="0" w:firstLine="0"/>
              <w:rPr>
                <w:color w:val="auto"/>
                <w:sz w:val="18"/>
                <w:szCs w:val="18"/>
                <w:lang w:val="es-ES"/>
              </w:rPr>
            </w:pPr>
          </w:p>
        </w:tc>
      </w:tr>
      <w:tr w:rsidR="00D445BE" w:rsidRPr="005161A1" w14:paraId="558809AA" w14:textId="77777777" w:rsidTr="00C33F4C">
        <w:tblPrEx>
          <w:tblCellMar>
            <w:top w:w="49" w:type="dxa"/>
            <w:right w:w="102" w:type="dxa"/>
          </w:tblCellMar>
        </w:tblPrEx>
        <w:trPr>
          <w:trHeight w:val="207"/>
        </w:trPr>
        <w:tc>
          <w:tcPr>
            <w:tcW w:w="823" w:type="pct"/>
            <w:tcBorders>
              <w:top w:val="single" w:sz="4" w:space="0" w:color="000000"/>
              <w:left w:val="single" w:sz="4" w:space="0" w:color="000000"/>
              <w:bottom w:val="single" w:sz="4" w:space="0" w:color="000000"/>
              <w:right w:val="single" w:sz="4" w:space="0" w:color="000000"/>
            </w:tcBorders>
          </w:tcPr>
          <w:p w14:paraId="4D9F4702" w14:textId="77777777" w:rsidR="00FB24C0" w:rsidRPr="00C33F4C" w:rsidRDefault="00FB24C0" w:rsidP="00624B43">
            <w:pPr>
              <w:keepNext/>
              <w:keepLines/>
              <w:spacing w:after="0" w:line="240" w:lineRule="auto"/>
              <w:ind w:left="0" w:firstLine="0"/>
              <w:rPr>
                <w:color w:val="auto"/>
                <w:sz w:val="18"/>
                <w:szCs w:val="18"/>
                <w:lang w:val="es-ES"/>
              </w:rPr>
            </w:pPr>
            <w:r w:rsidRPr="00C33F4C">
              <w:rPr>
                <w:color w:val="auto"/>
                <w:sz w:val="18"/>
                <w:szCs w:val="18"/>
                <w:lang w:val="es-ES"/>
              </w:rPr>
              <w:lastRenderedPageBreak/>
              <w:t>Exploraciones</w:t>
            </w:r>
            <w:r w:rsidR="005B23EF" w:rsidRPr="00C33F4C">
              <w:rPr>
                <w:color w:val="auto"/>
                <w:sz w:val="18"/>
                <w:szCs w:val="18"/>
                <w:lang w:val="es-ES"/>
              </w:rPr>
              <w:t xml:space="preserve"> </w:t>
            </w:r>
            <w:r w:rsidR="00AD6539" w:rsidRPr="00C33F4C">
              <w:rPr>
                <w:color w:val="auto"/>
                <w:sz w:val="18"/>
                <w:szCs w:val="18"/>
                <w:lang w:val="es-ES"/>
              </w:rPr>
              <w:t>complementari</w:t>
            </w:r>
            <w:r w:rsidR="004C45A3" w:rsidRPr="00C33F4C">
              <w:rPr>
                <w:color w:val="auto"/>
                <w:sz w:val="18"/>
                <w:szCs w:val="18"/>
                <w:lang w:val="es-ES"/>
              </w:rPr>
              <w:t>as</w:t>
            </w:r>
            <w:r w:rsidRPr="00C33F4C">
              <w:rPr>
                <w:color w:val="auto"/>
                <w:sz w:val="18"/>
                <w:szCs w:val="18"/>
                <w:lang w:val="es-ES"/>
              </w:rPr>
              <w:t xml:space="preserve"> </w:t>
            </w:r>
          </w:p>
        </w:tc>
        <w:tc>
          <w:tcPr>
            <w:tcW w:w="1072" w:type="pct"/>
            <w:tcBorders>
              <w:top w:val="single" w:sz="4" w:space="0" w:color="000000"/>
              <w:left w:val="single" w:sz="4" w:space="0" w:color="000000"/>
              <w:bottom w:val="single" w:sz="4" w:space="0" w:color="000000"/>
              <w:right w:val="single" w:sz="4" w:space="0" w:color="000000"/>
            </w:tcBorders>
          </w:tcPr>
          <w:p w14:paraId="7273FE4D" w14:textId="77777777" w:rsidR="00FB24C0" w:rsidRPr="00C33F4C" w:rsidRDefault="00FB24C0" w:rsidP="00624B43">
            <w:pPr>
              <w:keepNext/>
              <w:keepLines/>
              <w:spacing w:after="0" w:line="240" w:lineRule="auto"/>
              <w:ind w:left="0" w:firstLine="0"/>
              <w:rPr>
                <w:color w:val="auto"/>
                <w:sz w:val="18"/>
                <w:szCs w:val="18"/>
                <w:lang w:val="es-ES"/>
              </w:rPr>
            </w:pPr>
            <w:r w:rsidRPr="00C33F4C">
              <w:rPr>
                <w:color w:val="auto"/>
                <w:sz w:val="18"/>
                <w:szCs w:val="18"/>
                <w:lang w:val="es-ES"/>
              </w:rPr>
              <w:t xml:space="preserve">Pérdida de peso </w:t>
            </w:r>
          </w:p>
        </w:tc>
        <w:tc>
          <w:tcPr>
            <w:tcW w:w="978" w:type="pct"/>
            <w:tcBorders>
              <w:top w:val="single" w:sz="4" w:space="0" w:color="000000"/>
              <w:left w:val="single" w:sz="4" w:space="0" w:color="000000"/>
              <w:bottom w:val="single" w:sz="4" w:space="0" w:color="000000"/>
              <w:right w:val="single" w:sz="4" w:space="0" w:color="000000"/>
            </w:tcBorders>
          </w:tcPr>
          <w:p w14:paraId="66EFC35C" w14:textId="77777777" w:rsidR="00FB24C0" w:rsidRPr="00C33F4C" w:rsidRDefault="00FB24C0" w:rsidP="00C33F4C">
            <w:pPr>
              <w:spacing w:after="0" w:line="240" w:lineRule="auto"/>
              <w:ind w:left="0" w:firstLine="0"/>
              <w:rPr>
                <w:color w:val="auto"/>
                <w:sz w:val="18"/>
                <w:szCs w:val="18"/>
                <w:lang w:val="es-ES"/>
              </w:rPr>
            </w:pPr>
          </w:p>
        </w:tc>
        <w:tc>
          <w:tcPr>
            <w:tcW w:w="509" w:type="pct"/>
            <w:tcBorders>
              <w:top w:val="single" w:sz="4" w:space="0" w:color="000000"/>
              <w:left w:val="single" w:sz="4" w:space="0" w:color="000000"/>
              <w:bottom w:val="single" w:sz="4" w:space="0" w:color="000000"/>
              <w:right w:val="single" w:sz="4" w:space="0" w:color="000000"/>
            </w:tcBorders>
          </w:tcPr>
          <w:p w14:paraId="17269623" w14:textId="77777777" w:rsidR="00FB24C0" w:rsidRPr="00C33F4C" w:rsidRDefault="00FB24C0" w:rsidP="00C33F4C">
            <w:pPr>
              <w:spacing w:after="0" w:line="240" w:lineRule="auto"/>
              <w:ind w:left="0" w:firstLine="0"/>
              <w:rPr>
                <w:color w:val="auto"/>
                <w:sz w:val="18"/>
                <w:szCs w:val="18"/>
                <w:lang w:val="es-ES"/>
              </w:rPr>
            </w:pPr>
          </w:p>
        </w:tc>
        <w:tc>
          <w:tcPr>
            <w:tcW w:w="639" w:type="pct"/>
            <w:tcBorders>
              <w:top w:val="single" w:sz="4" w:space="0" w:color="000000"/>
              <w:left w:val="single" w:sz="4" w:space="0" w:color="000000"/>
              <w:bottom w:val="single" w:sz="4" w:space="0" w:color="000000"/>
              <w:right w:val="single" w:sz="4" w:space="0" w:color="000000"/>
            </w:tcBorders>
          </w:tcPr>
          <w:p w14:paraId="3E5A7DE7" w14:textId="77777777" w:rsidR="00FB24C0" w:rsidRPr="00C33F4C" w:rsidRDefault="00FB24C0" w:rsidP="00C33F4C">
            <w:pPr>
              <w:spacing w:after="0" w:line="240" w:lineRule="auto"/>
              <w:ind w:left="0" w:firstLine="0"/>
              <w:rPr>
                <w:color w:val="auto"/>
                <w:sz w:val="18"/>
                <w:szCs w:val="18"/>
                <w:lang w:val="es-ES"/>
              </w:rPr>
            </w:pPr>
          </w:p>
        </w:tc>
        <w:tc>
          <w:tcPr>
            <w:tcW w:w="410" w:type="pct"/>
            <w:tcBorders>
              <w:top w:val="single" w:sz="4" w:space="0" w:color="000000"/>
              <w:left w:val="single" w:sz="4" w:space="0" w:color="000000"/>
              <w:bottom w:val="single" w:sz="4" w:space="0" w:color="000000"/>
              <w:right w:val="single" w:sz="4" w:space="0" w:color="000000"/>
            </w:tcBorders>
          </w:tcPr>
          <w:p w14:paraId="309CE1CF" w14:textId="77777777" w:rsidR="00FB24C0" w:rsidRPr="00C33F4C" w:rsidRDefault="00FB24C0" w:rsidP="00C33F4C">
            <w:pPr>
              <w:spacing w:after="0" w:line="240" w:lineRule="auto"/>
              <w:ind w:left="0" w:firstLine="0"/>
              <w:rPr>
                <w:color w:val="auto"/>
                <w:sz w:val="18"/>
                <w:szCs w:val="18"/>
                <w:lang w:val="es-ES"/>
              </w:rPr>
            </w:pPr>
          </w:p>
        </w:tc>
        <w:tc>
          <w:tcPr>
            <w:tcW w:w="568" w:type="pct"/>
            <w:tcBorders>
              <w:top w:val="single" w:sz="4" w:space="0" w:color="000000"/>
              <w:left w:val="single" w:sz="4" w:space="0" w:color="000000"/>
              <w:bottom w:val="single" w:sz="4" w:space="0" w:color="000000"/>
              <w:right w:val="single" w:sz="4" w:space="0" w:color="000000"/>
            </w:tcBorders>
          </w:tcPr>
          <w:p w14:paraId="0D8F8257" w14:textId="77777777" w:rsidR="00FB24C0" w:rsidRPr="00C33F4C" w:rsidRDefault="00FB24C0" w:rsidP="00C33F4C">
            <w:pPr>
              <w:spacing w:after="0" w:line="240" w:lineRule="auto"/>
              <w:ind w:left="0" w:firstLine="0"/>
              <w:rPr>
                <w:color w:val="auto"/>
                <w:sz w:val="18"/>
                <w:szCs w:val="18"/>
                <w:lang w:val="es-ES"/>
              </w:rPr>
            </w:pPr>
          </w:p>
        </w:tc>
      </w:tr>
    </w:tbl>
    <w:p w14:paraId="5EE7923A" w14:textId="77777777" w:rsidR="00FB24C0" w:rsidRPr="00346F75" w:rsidRDefault="00FB24C0" w:rsidP="00FB24C0">
      <w:pPr>
        <w:spacing w:after="0" w:line="240" w:lineRule="auto"/>
        <w:ind w:left="0" w:firstLine="0"/>
        <w:rPr>
          <w:color w:val="auto"/>
          <w:sz w:val="20"/>
          <w:szCs w:val="20"/>
          <w:lang w:val="es-ES"/>
        </w:rPr>
      </w:pPr>
    </w:p>
    <w:p w14:paraId="0F1A294D" w14:textId="2CEE0FCB" w:rsidR="00FB24C0" w:rsidRPr="00F751E2" w:rsidRDefault="00FB24C0" w:rsidP="00FB24C0">
      <w:pPr>
        <w:spacing w:after="0" w:line="240" w:lineRule="auto"/>
        <w:ind w:left="0" w:firstLine="0"/>
        <w:rPr>
          <w:color w:val="auto"/>
          <w:sz w:val="20"/>
          <w:szCs w:val="20"/>
          <w:lang w:val="es-ES"/>
        </w:rPr>
      </w:pPr>
      <w:r w:rsidRPr="00F751E2">
        <w:rPr>
          <w:color w:val="auto"/>
          <w:sz w:val="20"/>
          <w:szCs w:val="20"/>
          <w:lang w:val="es-ES"/>
        </w:rPr>
        <w:t xml:space="preserve">Cuando en los ensayos clínicos se observaron reacciones adversas en todos los grados y de grado 3-5, se ha notificado la frecuencia más alta observada en los </w:t>
      </w:r>
      <w:proofErr w:type="spellStart"/>
      <w:proofErr w:type="gramStart"/>
      <w:r w:rsidRPr="00F751E2">
        <w:rPr>
          <w:color w:val="auto"/>
          <w:sz w:val="20"/>
          <w:szCs w:val="20"/>
          <w:lang w:val="es-ES"/>
        </w:rPr>
        <w:t>pacientes.Los</w:t>
      </w:r>
      <w:proofErr w:type="spellEnd"/>
      <w:proofErr w:type="gramEnd"/>
      <w:r w:rsidRPr="00F751E2">
        <w:rPr>
          <w:color w:val="auto"/>
          <w:sz w:val="20"/>
          <w:szCs w:val="20"/>
          <w:lang w:val="es-ES"/>
        </w:rPr>
        <w:t xml:space="preserve"> datos no están ajustados para los diferentes tiempos de tratamiento.</w:t>
      </w:r>
    </w:p>
    <w:p w14:paraId="79AF1D5A" w14:textId="77777777" w:rsidR="00FB24C0" w:rsidRPr="00F751E2" w:rsidRDefault="00FB24C0" w:rsidP="00FB24C0">
      <w:pPr>
        <w:spacing w:after="0" w:line="240" w:lineRule="auto"/>
        <w:ind w:left="0" w:firstLine="0"/>
        <w:rPr>
          <w:color w:val="auto"/>
          <w:sz w:val="20"/>
          <w:szCs w:val="20"/>
          <w:lang w:val="es-ES"/>
        </w:rPr>
      </w:pPr>
    </w:p>
    <w:p w14:paraId="4E05F03E" w14:textId="755B91F1" w:rsidR="00FB24C0" w:rsidRPr="00F751E2" w:rsidRDefault="00FB24C0" w:rsidP="00FB24C0">
      <w:pPr>
        <w:spacing w:after="0" w:line="240" w:lineRule="auto"/>
        <w:ind w:left="567" w:hanging="567"/>
        <w:rPr>
          <w:color w:val="auto"/>
          <w:sz w:val="20"/>
          <w:szCs w:val="20"/>
          <w:lang w:val="es-ES"/>
        </w:rPr>
      </w:pPr>
      <w:proofErr w:type="spellStart"/>
      <w:r w:rsidRPr="00F751E2">
        <w:rPr>
          <w:color w:val="auto"/>
          <w:sz w:val="20"/>
          <w:szCs w:val="20"/>
          <w:vertAlign w:val="superscript"/>
          <w:lang w:val="es-ES"/>
        </w:rPr>
        <w:t>a</w:t>
      </w:r>
      <w:proofErr w:type="spellEnd"/>
      <w:r w:rsidRPr="00F751E2">
        <w:rPr>
          <w:color w:val="auto"/>
          <w:sz w:val="20"/>
          <w:szCs w:val="20"/>
          <w:lang w:val="es-ES"/>
        </w:rPr>
        <w:tab/>
        <w:t xml:space="preserve">Para más información, consulte la </w:t>
      </w:r>
      <w:r w:rsidR="00471B84">
        <w:rPr>
          <w:color w:val="auto"/>
          <w:sz w:val="20"/>
          <w:szCs w:val="20"/>
          <w:lang w:val="es-ES"/>
        </w:rPr>
        <w:t>t</w:t>
      </w:r>
      <w:r w:rsidRPr="00F751E2">
        <w:rPr>
          <w:color w:val="auto"/>
          <w:sz w:val="20"/>
          <w:szCs w:val="20"/>
          <w:lang w:val="es-ES"/>
        </w:rPr>
        <w:t xml:space="preserve">abla 3 “Reacciones adversas notificadas durante la experiencia </w:t>
      </w:r>
      <w:proofErr w:type="spellStart"/>
      <w:r w:rsidRPr="00F751E2">
        <w:rPr>
          <w:color w:val="auto"/>
          <w:sz w:val="20"/>
          <w:szCs w:val="20"/>
          <w:lang w:val="es-ES"/>
        </w:rPr>
        <w:t>poscomercialización</w:t>
      </w:r>
      <w:proofErr w:type="spellEnd"/>
      <w:r w:rsidRPr="00F751E2">
        <w:rPr>
          <w:color w:val="auto"/>
          <w:sz w:val="20"/>
          <w:szCs w:val="20"/>
          <w:lang w:val="es-ES"/>
        </w:rPr>
        <w:t>”.</w:t>
      </w:r>
    </w:p>
    <w:p w14:paraId="54DE5FC0" w14:textId="77777777" w:rsidR="00FB24C0" w:rsidRPr="00F751E2" w:rsidRDefault="00FB24C0" w:rsidP="00FB24C0">
      <w:pPr>
        <w:spacing w:after="0" w:line="240" w:lineRule="auto"/>
        <w:ind w:left="567" w:hanging="567"/>
        <w:rPr>
          <w:color w:val="auto"/>
          <w:sz w:val="20"/>
          <w:szCs w:val="20"/>
          <w:lang w:val="es-ES"/>
        </w:rPr>
      </w:pPr>
      <w:r w:rsidRPr="00F751E2">
        <w:rPr>
          <w:color w:val="auto"/>
          <w:sz w:val="20"/>
          <w:szCs w:val="20"/>
          <w:vertAlign w:val="superscript"/>
          <w:lang w:val="es-ES"/>
        </w:rPr>
        <w:t>b</w:t>
      </w:r>
      <w:r w:rsidRPr="00F751E2">
        <w:rPr>
          <w:color w:val="auto"/>
          <w:sz w:val="20"/>
          <w:szCs w:val="20"/>
          <w:lang w:val="es-ES"/>
        </w:rPr>
        <w:tab/>
        <w:t>Los términos representan un grupo de acontecimientos adversos que describen un concepto médico en lugar de una sola afección o términos de referencia de MedDRA (Diccionario Médico para Actividades Regulatorias). Este conjunto de términos médicos puede implicar la misma fisiopatología subyacente (ej., agrupación de reacciones tromboembólicas arteriales incluyendo accidente cerebrovascular, infarto de miocardio, accidente isquémico transitorio y otras reacciones tromboembólicas arteriales).</w:t>
      </w:r>
    </w:p>
    <w:p w14:paraId="720C31CC" w14:textId="77777777" w:rsidR="00FB24C0" w:rsidRPr="00F751E2" w:rsidRDefault="00FB24C0" w:rsidP="00FB24C0">
      <w:pPr>
        <w:spacing w:after="0" w:line="240" w:lineRule="auto"/>
        <w:ind w:left="567" w:hanging="567"/>
        <w:rPr>
          <w:color w:val="auto"/>
          <w:sz w:val="20"/>
          <w:szCs w:val="20"/>
          <w:lang w:val="es-ES"/>
        </w:rPr>
      </w:pPr>
      <w:r w:rsidRPr="00F751E2">
        <w:rPr>
          <w:color w:val="auto"/>
          <w:sz w:val="20"/>
          <w:szCs w:val="20"/>
          <w:vertAlign w:val="superscript"/>
          <w:lang w:val="es-ES"/>
        </w:rPr>
        <w:t>c</w:t>
      </w:r>
      <w:r w:rsidRPr="00F751E2">
        <w:rPr>
          <w:color w:val="auto"/>
          <w:sz w:val="20"/>
          <w:szCs w:val="20"/>
          <w:lang w:val="es-ES"/>
        </w:rPr>
        <w:tab/>
        <w:t xml:space="preserve">Basado en un </w:t>
      </w:r>
      <w:proofErr w:type="spellStart"/>
      <w:r w:rsidRPr="00F751E2">
        <w:rPr>
          <w:color w:val="auto"/>
          <w:sz w:val="20"/>
          <w:szCs w:val="20"/>
          <w:lang w:val="es-ES"/>
        </w:rPr>
        <w:t>subestudio</w:t>
      </w:r>
      <w:proofErr w:type="spellEnd"/>
      <w:r w:rsidRPr="00F751E2">
        <w:rPr>
          <w:color w:val="auto"/>
          <w:sz w:val="20"/>
          <w:szCs w:val="20"/>
          <w:lang w:val="es-ES"/>
        </w:rPr>
        <w:t xml:space="preserve"> del NSABP C-08 con 295 pacientes.</w:t>
      </w:r>
    </w:p>
    <w:p w14:paraId="58DF5246" w14:textId="227C075C" w:rsidR="00FB24C0" w:rsidRPr="00D16829" w:rsidRDefault="00FB24C0" w:rsidP="00FB24C0">
      <w:pPr>
        <w:spacing w:after="0" w:line="240" w:lineRule="auto"/>
        <w:ind w:left="567" w:hanging="567"/>
        <w:rPr>
          <w:color w:val="auto"/>
          <w:sz w:val="20"/>
          <w:szCs w:val="20"/>
          <w:lang w:val="es-ES"/>
        </w:rPr>
      </w:pPr>
      <w:r w:rsidRPr="00F751E2">
        <w:rPr>
          <w:color w:val="auto"/>
          <w:sz w:val="20"/>
          <w:szCs w:val="20"/>
          <w:vertAlign w:val="superscript"/>
          <w:lang w:val="es-ES"/>
        </w:rPr>
        <w:t>d</w:t>
      </w:r>
      <w:r w:rsidRPr="00F751E2">
        <w:rPr>
          <w:color w:val="auto"/>
          <w:sz w:val="20"/>
          <w:szCs w:val="20"/>
          <w:lang w:val="es-ES"/>
        </w:rPr>
        <w:tab/>
      </w:r>
      <w:r w:rsidRPr="00D16829">
        <w:rPr>
          <w:color w:val="auto"/>
          <w:sz w:val="20"/>
          <w:szCs w:val="20"/>
          <w:lang w:val="es-ES"/>
        </w:rPr>
        <w:t>Para obtener información adicional, consulte más adelante en la sección “</w:t>
      </w:r>
      <w:r w:rsidR="00623CC3">
        <w:rPr>
          <w:color w:val="auto"/>
          <w:sz w:val="20"/>
          <w:szCs w:val="20"/>
          <w:u w:color="000000"/>
          <w:lang w:val="es-ES"/>
        </w:rPr>
        <w:t>Descripción de</w:t>
      </w:r>
      <w:r w:rsidRPr="00D16829">
        <w:rPr>
          <w:color w:val="auto"/>
          <w:sz w:val="20"/>
          <w:szCs w:val="20"/>
          <w:lang w:val="es-ES"/>
        </w:rPr>
        <w:t xml:space="preserve"> reacciones adversas graves seleccionadas”.</w:t>
      </w:r>
    </w:p>
    <w:p w14:paraId="0A642851" w14:textId="77777777" w:rsidR="00FB24C0" w:rsidRPr="00F751E2" w:rsidRDefault="00FB24C0" w:rsidP="00FB24C0">
      <w:pPr>
        <w:spacing w:after="0" w:line="240" w:lineRule="auto"/>
        <w:ind w:left="567" w:hanging="567"/>
        <w:rPr>
          <w:color w:val="auto"/>
          <w:sz w:val="20"/>
          <w:szCs w:val="20"/>
          <w:lang w:val="es-ES"/>
        </w:rPr>
      </w:pPr>
      <w:proofErr w:type="spellStart"/>
      <w:r w:rsidRPr="00F751E2">
        <w:rPr>
          <w:color w:val="auto"/>
          <w:sz w:val="20"/>
          <w:szCs w:val="20"/>
          <w:vertAlign w:val="superscript"/>
          <w:lang w:val="es-ES"/>
        </w:rPr>
        <w:t>e</w:t>
      </w:r>
      <w:proofErr w:type="spellEnd"/>
      <w:r w:rsidRPr="00F751E2">
        <w:rPr>
          <w:color w:val="auto"/>
          <w:sz w:val="20"/>
          <w:szCs w:val="20"/>
          <w:lang w:val="es-ES"/>
        </w:rPr>
        <w:tab/>
        <w:t>Las Fístulas recto-vaginales son las fístulas más frecuentes en la categoría de fístula GI-vaginal.</w:t>
      </w:r>
    </w:p>
    <w:p w14:paraId="3F6B5995" w14:textId="77777777" w:rsidR="00FB24C0" w:rsidRPr="00F751E2" w:rsidRDefault="00FB24C0" w:rsidP="00FB24C0">
      <w:pPr>
        <w:spacing w:after="0" w:line="240" w:lineRule="auto"/>
        <w:ind w:left="567" w:hanging="567"/>
        <w:rPr>
          <w:color w:val="auto"/>
          <w:sz w:val="20"/>
          <w:szCs w:val="20"/>
          <w:lang w:val="es-ES"/>
        </w:rPr>
      </w:pPr>
      <w:r w:rsidRPr="00F751E2">
        <w:rPr>
          <w:color w:val="auto"/>
          <w:sz w:val="20"/>
          <w:szCs w:val="20"/>
          <w:vertAlign w:val="superscript"/>
          <w:lang w:val="es-ES"/>
        </w:rPr>
        <w:t>f</w:t>
      </w:r>
      <w:r w:rsidRPr="00F751E2">
        <w:rPr>
          <w:color w:val="auto"/>
          <w:sz w:val="20"/>
          <w:szCs w:val="20"/>
          <w:lang w:val="es-ES"/>
        </w:rPr>
        <w:tab/>
        <w:t>Observado sólo en población pediátrica</w:t>
      </w:r>
      <w:r w:rsidR="00346F75">
        <w:rPr>
          <w:color w:val="auto"/>
          <w:sz w:val="20"/>
          <w:szCs w:val="20"/>
          <w:lang w:val="es-ES"/>
        </w:rPr>
        <w:t>.</w:t>
      </w:r>
    </w:p>
    <w:p w14:paraId="14587EC6" w14:textId="77777777" w:rsidR="00FB24C0" w:rsidRPr="00F751E2" w:rsidRDefault="00FB24C0" w:rsidP="0083653C">
      <w:pPr>
        <w:spacing w:after="0" w:line="240" w:lineRule="auto"/>
        <w:ind w:left="0" w:firstLine="0"/>
        <w:rPr>
          <w:color w:val="auto"/>
          <w:szCs w:val="20"/>
          <w:lang w:val="es-ES"/>
        </w:rPr>
      </w:pPr>
    </w:p>
    <w:p w14:paraId="22043D03" w14:textId="77777777" w:rsidR="00FB24C0" w:rsidRDefault="00FB24C0" w:rsidP="00B43B7E">
      <w:pPr>
        <w:keepNext/>
        <w:spacing w:after="0" w:line="240" w:lineRule="auto"/>
        <w:ind w:left="0" w:firstLine="0"/>
        <w:rPr>
          <w:b/>
          <w:color w:val="auto"/>
          <w:lang w:val="es-ES"/>
        </w:rPr>
      </w:pPr>
      <w:r w:rsidRPr="00443040">
        <w:rPr>
          <w:b/>
          <w:color w:val="auto"/>
          <w:lang w:val="es-ES"/>
        </w:rPr>
        <w:t>Tabla 2</w:t>
      </w:r>
      <w:r w:rsidR="00467740">
        <w:rPr>
          <w:b/>
          <w:color w:val="auto"/>
          <w:lang w:val="es-ES"/>
        </w:rPr>
        <w:t>.</w:t>
      </w:r>
      <w:r w:rsidRPr="00443040">
        <w:rPr>
          <w:b/>
          <w:color w:val="auto"/>
          <w:lang w:val="es-ES"/>
        </w:rPr>
        <w:t xml:space="preserve"> Reacciones adversas graves clasificadas por frecuencia</w:t>
      </w:r>
    </w:p>
    <w:p w14:paraId="17A54FB8" w14:textId="77777777" w:rsidR="00FB24C0" w:rsidRPr="00443040" w:rsidRDefault="00FB24C0" w:rsidP="00B43B7E">
      <w:pPr>
        <w:keepNext/>
        <w:spacing w:after="0" w:line="240" w:lineRule="auto"/>
        <w:ind w:left="0" w:firstLine="0"/>
        <w:rPr>
          <w:color w:val="auto"/>
          <w:lang w:val="es-ES"/>
        </w:rPr>
      </w:pPr>
    </w:p>
    <w:tbl>
      <w:tblPr>
        <w:tblW w:w="54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1473"/>
        <w:gridCol w:w="1748"/>
        <w:gridCol w:w="785"/>
        <w:gridCol w:w="992"/>
        <w:gridCol w:w="992"/>
        <w:gridCol w:w="1913"/>
      </w:tblGrid>
      <w:tr w:rsidR="00262475" w:rsidRPr="00720E6F" w14:paraId="29E2E13C" w14:textId="77777777" w:rsidTr="00262475">
        <w:trPr>
          <w:cantSplit/>
          <w:trHeight w:val="300"/>
          <w:tblHeader/>
        </w:trPr>
        <w:tc>
          <w:tcPr>
            <w:tcW w:w="1112" w:type="pct"/>
            <w:noWrap/>
          </w:tcPr>
          <w:p w14:paraId="3BEFFF17" w14:textId="77777777" w:rsidR="0083653C" w:rsidRPr="00720E6F" w:rsidRDefault="0083653C" w:rsidP="00B43B7E">
            <w:pPr>
              <w:spacing w:line="240" w:lineRule="auto"/>
              <w:ind w:left="12" w:hanging="6"/>
              <w:jc w:val="center"/>
              <w:rPr>
                <w:b/>
                <w:sz w:val="18"/>
                <w:szCs w:val="18"/>
                <w:lang w:val="nb-NO"/>
              </w:rPr>
            </w:pPr>
            <w:r w:rsidRPr="00720E6F">
              <w:rPr>
                <w:b/>
                <w:sz w:val="18"/>
                <w:szCs w:val="18"/>
                <w:lang w:val="nb-NO"/>
              </w:rPr>
              <w:t>Sistema de clasificación de órganos</w:t>
            </w:r>
          </w:p>
        </w:tc>
        <w:tc>
          <w:tcPr>
            <w:tcW w:w="724" w:type="pct"/>
            <w:noWrap/>
          </w:tcPr>
          <w:p w14:paraId="0119E682" w14:textId="77777777" w:rsidR="0083653C" w:rsidRPr="00720E6F" w:rsidRDefault="0083653C" w:rsidP="00B43B7E">
            <w:pPr>
              <w:spacing w:line="240" w:lineRule="auto"/>
              <w:ind w:left="12" w:hanging="6"/>
              <w:jc w:val="center"/>
              <w:rPr>
                <w:b/>
                <w:sz w:val="18"/>
                <w:szCs w:val="18"/>
                <w:lang w:val="nb-NO"/>
              </w:rPr>
            </w:pPr>
            <w:r w:rsidRPr="00720E6F">
              <w:rPr>
                <w:b/>
                <w:sz w:val="18"/>
                <w:szCs w:val="18"/>
                <w:lang w:val="nb-NO"/>
              </w:rPr>
              <w:t>Muy frecuentes</w:t>
            </w:r>
          </w:p>
        </w:tc>
        <w:tc>
          <w:tcPr>
            <w:tcW w:w="860" w:type="pct"/>
            <w:noWrap/>
          </w:tcPr>
          <w:p w14:paraId="59ACB1D6" w14:textId="77777777" w:rsidR="0083653C" w:rsidRPr="00720E6F" w:rsidRDefault="0083653C" w:rsidP="00B43B7E">
            <w:pPr>
              <w:spacing w:line="240" w:lineRule="auto"/>
              <w:ind w:left="12" w:hanging="6"/>
              <w:jc w:val="center"/>
              <w:rPr>
                <w:b/>
                <w:sz w:val="18"/>
                <w:szCs w:val="18"/>
                <w:lang w:val="nb-NO"/>
              </w:rPr>
            </w:pPr>
            <w:r w:rsidRPr="00720E6F">
              <w:rPr>
                <w:b/>
                <w:sz w:val="18"/>
                <w:szCs w:val="18"/>
                <w:lang w:val="nb-NO"/>
              </w:rPr>
              <w:t>Frecuentes</w:t>
            </w:r>
          </w:p>
        </w:tc>
        <w:tc>
          <w:tcPr>
            <w:tcW w:w="386" w:type="pct"/>
            <w:noWrap/>
          </w:tcPr>
          <w:p w14:paraId="512F49D1" w14:textId="77777777" w:rsidR="0083653C" w:rsidRPr="00720E6F" w:rsidRDefault="003D638A" w:rsidP="00B43B7E">
            <w:pPr>
              <w:spacing w:line="240" w:lineRule="auto"/>
              <w:ind w:left="12" w:hanging="6"/>
              <w:jc w:val="center"/>
              <w:rPr>
                <w:b/>
                <w:sz w:val="18"/>
                <w:szCs w:val="18"/>
                <w:lang w:val="nb-NO"/>
              </w:rPr>
            </w:pPr>
            <w:r>
              <w:rPr>
                <w:b/>
                <w:sz w:val="18"/>
                <w:szCs w:val="18"/>
                <w:lang w:val="nb-NO"/>
              </w:rPr>
              <w:t>Poco fre</w:t>
            </w:r>
            <w:r w:rsidR="0083653C" w:rsidRPr="00720E6F">
              <w:rPr>
                <w:b/>
                <w:sz w:val="18"/>
                <w:szCs w:val="18"/>
                <w:lang w:val="nb-NO"/>
              </w:rPr>
              <w:t>cuentes</w:t>
            </w:r>
          </w:p>
        </w:tc>
        <w:tc>
          <w:tcPr>
            <w:tcW w:w="488" w:type="pct"/>
            <w:noWrap/>
          </w:tcPr>
          <w:p w14:paraId="1E2FAB86" w14:textId="77777777" w:rsidR="0083653C" w:rsidRPr="00720E6F" w:rsidRDefault="0083653C" w:rsidP="00B43B7E">
            <w:pPr>
              <w:spacing w:line="240" w:lineRule="auto"/>
              <w:ind w:left="12" w:hanging="6"/>
              <w:jc w:val="center"/>
              <w:rPr>
                <w:b/>
                <w:sz w:val="18"/>
                <w:szCs w:val="18"/>
                <w:lang w:val="nb-NO"/>
              </w:rPr>
            </w:pPr>
            <w:r w:rsidRPr="00720E6F">
              <w:rPr>
                <w:b/>
                <w:sz w:val="18"/>
                <w:szCs w:val="18"/>
                <w:lang w:val="nb-NO"/>
              </w:rPr>
              <w:t>Raras</w:t>
            </w:r>
          </w:p>
        </w:tc>
        <w:tc>
          <w:tcPr>
            <w:tcW w:w="488" w:type="pct"/>
            <w:noWrap/>
          </w:tcPr>
          <w:p w14:paraId="25D3E9EE" w14:textId="77777777" w:rsidR="0083653C" w:rsidRPr="00720E6F" w:rsidRDefault="0083653C" w:rsidP="00B43B7E">
            <w:pPr>
              <w:spacing w:line="240" w:lineRule="auto"/>
              <w:ind w:left="12" w:hanging="6"/>
              <w:jc w:val="center"/>
              <w:rPr>
                <w:b/>
                <w:sz w:val="18"/>
                <w:szCs w:val="18"/>
                <w:lang w:val="nb-NO"/>
              </w:rPr>
            </w:pPr>
            <w:r w:rsidRPr="00720E6F">
              <w:rPr>
                <w:b/>
                <w:sz w:val="18"/>
                <w:szCs w:val="18"/>
                <w:lang w:val="nb-NO"/>
              </w:rPr>
              <w:t>Muy raras</w:t>
            </w:r>
          </w:p>
        </w:tc>
        <w:tc>
          <w:tcPr>
            <w:tcW w:w="941" w:type="pct"/>
            <w:noWrap/>
          </w:tcPr>
          <w:p w14:paraId="4DC2166B" w14:textId="77777777" w:rsidR="0083653C" w:rsidRPr="00720E6F" w:rsidRDefault="0083653C" w:rsidP="00B43B7E">
            <w:pPr>
              <w:spacing w:line="240" w:lineRule="auto"/>
              <w:ind w:left="12" w:hanging="6"/>
              <w:jc w:val="center"/>
              <w:rPr>
                <w:b/>
                <w:sz w:val="18"/>
                <w:szCs w:val="18"/>
                <w:lang w:val="nb-NO"/>
              </w:rPr>
            </w:pPr>
            <w:r w:rsidRPr="00720E6F">
              <w:rPr>
                <w:b/>
                <w:sz w:val="18"/>
                <w:szCs w:val="18"/>
                <w:lang w:val="nb-NO"/>
              </w:rPr>
              <w:t>Frecuencia no conocida</w:t>
            </w:r>
          </w:p>
        </w:tc>
      </w:tr>
      <w:tr w:rsidR="00262475" w:rsidRPr="00720E6F" w14:paraId="785B2539" w14:textId="77777777" w:rsidTr="00262475">
        <w:trPr>
          <w:cantSplit/>
          <w:trHeight w:val="300"/>
        </w:trPr>
        <w:tc>
          <w:tcPr>
            <w:tcW w:w="1112" w:type="pct"/>
            <w:noWrap/>
          </w:tcPr>
          <w:p w14:paraId="7FE796E1" w14:textId="77777777" w:rsidR="0083653C" w:rsidRPr="00346F75" w:rsidRDefault="0083653C" w:rsidP="00B43B7E">
            <w:pPr>
              <w:spacing w:line="240" w:lineRule="auto"/>
              <w:ind w:left="12" w:hanging="6"/>
              <w:rPr>
                <w:sz w:val="18"/>
                <w:szCs w:val="18"/>
                <w:lang w:val="nb-NO"/>
              </w:rPr>
            </w:pPr>
            <w:r w:rsidRPr="00346F75">
              <w:rPr>
                <w:sz w:val="18"/>
                <w:szCs w:val="18"/>
                <w:lang w:val="nb-NO"/>
              </w:rPr>
              <w:t>Infecciones e infestaciones</w:t>
            </w:r>
          </w:p>
        </w:tc>
        <w:tc>
          <w:tcPr>
            <w:tcW w:w="724" w:type="pct"/>
          </w:tcPr>
          <w:p w14:paraId="72943F01" w14:textId="77777777" w:rsidR="0083653C" w:rsidRPr="00346F75" w:rsidRDefault="0083653C" w:rsidP="00B43B7E">
            <w:pPr>
              <w:spacing w:line="240" w:lineRule="auto"/>
              <w:ind w:left="12" w:hanging="6"/>
              <w:rPr>
                <w:sz w:val="18"/>
                <w:szCs w:val="18"/>
                <w:lang w:val="nb-NO"/>
              </w:rPr>
            </w:pPr>
          </w:p>
        </w:tc>
        <w:tc>
          <w:tcPr>
            <w:tcW w:w="860" w:type="pct"/>
            <w:noWrap/>
          </w:tcPr>
          <w:p w14:paraId="3C420093" w14:textId="77777777" w:rsidR="0083653C" w:rsidRPr="00A51019" w:rsidRDefault="0083653C" w:rsidP="00B43B7E">
            <w:pPr>
              <w:spacing w:line="240" w:lineRule="auto"/>
              <w:ind w:left="12" w:hanging="6"/>
              <w:rPr>
                <w:sz w:val="18"/>
                <w:szCs w:val="18"/>
                <w:lang w:val="es-ES"/>
              </w:rPr>
            </w:pPr>
            <w:r w:rsidRPr="00A51019">
              <w:rPr>
                <w:sz w:val="18"/>
                <w:szCs w:val="18"/>
                <w:lang w:val="es-ES"/>
              </w:rPr>
              <w:t>Sepsis,</w:t>
            </w:r>
          </w:p>
          <w:p w14:paraId="4B1CE0F1" w14:textId="77777777" w:rsidR="0083653C" w:rsidRPr="00A51019" w:rsidRDefault="0083653C" w:rsidP="00B43B7E">
            <w:pPr>
              <w:spacing w:line="240" w:lineRule="auto"/>
              <w:ind w:left="12" w:hanging="6"/>
              <w:rPr>
                <w:sz w:val="18"/>
                <w:szCs w:val="18"/>
                <w:lang w:val="es-ES"/>
              </w:rPr>
            </w:pPr>
            <w:r w:rsidRPr="00A51019">
              <w:rPr>
                <w:sz w:val="18"/>
                <w:szCs w:val="18"/>
                <w:lang w:val="es-ES"/>
              </w:rPr>
              <w:t>Celulitis</w:t>
            </w:r>
          </w:p>
          <w:p w14:paraId="2DEE59B7" w14:textId="77777777" w:rsidR="0083653C" w:rsidRPr="00A51019" w:rsidRDefault="0083653C" w:rsidP="00B43B7E">
            <w:pPr>
              <w:spacing w:line="240" w:lineRule="auto"/>
              <w:ind w:left="12" w:hanging="6"/>
              <w:rPr>
                <w:sz w:val="18"/>
                <w:szCs w:val="18"/>
                <w:lang w:val="es-ES"/>
              </w:rPr>
            </w:pPr>
            <w:proofErr w:type="spellStart"/>
            <w:proofErr w:type="gramStart"/>
            <w:r w:rsidRPr="00A51019">
              <w:rPr>
                <w:sz w:val="18"/>
                <w:szCs w:val="18"/>
                <w:lang w:val="es-ES"/>
              </w:rPr>
              <w:t>Absceso</w:t>
            </w:r>
            <w:r w:rsidRPr="00A51019">
              <w:rPr>
                <w:sz w:val="18"/>
                <w:szCs w:val="18"/>
                <w:vertAlign w:val="superscript"/>
                <w:lang w:val="es-ES"/>
              </w:rPr>
              <w:t>a,b</w:t>
            </w:r>
            <w:proofErr w:type="spellEnd"/>
            <w:proofErr w:type="gramEnd"/>
            <w:r w:rsidRPr="00A51019">
              <w:rPr>
                <w:sz w:val="18"/>
                <w:szCs w:val="18"/>
                <w:lang w:val="es-ES"/>
              </w:rPr>
              <w:t>,</w:t>
            </w:r>
          </w:p>
          <w:p w14:paraId="2BF484FE" w14:textId="77777777" w:rsidR="0083653C" w:rsidRPr="00A51019" w:rsidRDefault="0083653C" w:rsidP="00B43B7E">
            <w:pPr>
              <w:spacing w:line="240" w:lineRule="auto"/>
              <w:ind w:left="12" w:hanging="6"/>
              <w:rPr>
                <w:sz w:val="18"/>
                <w:szCs w:val="18"/>
                <w:lang w:val="es-ES"/>
              </w:rPr>
            </w:pPr>
            <w:r w:rsidRPr="00A51019">
              <w:rPr>
                <w:sz w:val="18"/>
                <w:szCs w:val="18"/>
                <w:lang w:val="es-ES"/>
              </w:rPr>
              <w:t>Infección</w:t>
            </w:r>
          </w:p>
          <w:p w14:paraId="5E9ED100" w14:textId="77777777" w:rsidR="0083653C" w:rsidRPr="00A51019" w:rsidRDefault="0083653C" w:rsidP="00B43B7E">
            <w:pPr>
              <w:spacing w:line="240" w:lineRule="auto"/>
              <w:ind w:left="12" w:hanging="6"/>
              <w:rPr>
                <w:sz w:val="18"/>
                <w:szCs w:val="18"/>
                <w:lang w:val="es-ES"/>
              </w:rPr>
            </w:pPr>
            <w:r w:rsidRPr="00A51019">
              <w:rPr>
                <w:sz w:val="18"/>
                <w:szCs w:val="18"/>
                <w:lang w:val="es-ES"/>
              </w:rPr>
              <w:t>Infección en el tracto urinario</w:t>
            </w:r>
          </w:p>
        </w:tc>
        <w:tc>
          <w:tcPr>
            <w:tcW w:w="386" w:type="pct"/>
          </w:tcPr>
          <w:p w14:paraId="0DC4C6D8" w14:textId="77777777" w:rsidR="0083653C" w:rsidRPr="00A51019" w:rsidRDefault="0083653C" w:rsidP="00B43B7E">
            <w:pPr>
              <w:spacing w:line="240" w:lineRule="auto"/>
              <w:ind w:left="12" w:hanging="6"/>
              <w:rPr>
                <w:sz w:val="18"/>
                <w:szCs w:val="18"/>
                <w:lang w:val="es-ES"/>
              </w:rPr>
            </w:pPr>
          </w:p>
        </w:tc>
        <w:tc>
          <w:tcPr>
            <w:tcW w:w="488" w:type="pct"/>
          </w:tcPr>
          <w:p w14:paraId="510CF7C7" w14:textId="77777777" w:rsidR="0083653C" w:rsidRPr="00A51019" w:rsidRDefault="0083653C" w:rsidP="00B43B7E">
            <w:pPr>
              <w:spacing w:line="240" w:lineRule="auto"/>
              <w:ind w:left="12" w:hanging="6"/>
              <w:rPr>
                <w:sz w:val="18"/>
                <w:szCs w:val="18"/>
                <w:lang w:val="es-ES"/>
              </w:rPr>
            </w:pPr>
          </w:p>
        </w:tc>
        <w:tc>
          <w:tcPr>
            <w:tcW w:w="488" w:type="pct"/>
          </w:tcPr>
          <w:p w14:paraId="798A66AE" w14:textId="77777777" w:rsidR="0083653C" w:rsidRPr="00A51019" w:rsidRDefault="0083653C" w:rsidP="00B43B7E">
            <w:pPr>
              <w:spacing w:line="240" w:lineRule="auto"/>
              <w:ind w:left="12" w:hanging="6"/>
              <w:rPr>
                <w:sz w:val="18"/>
                <w:szCs w:val="18"/>
                <w:lang w:val="es-ES"/>
              </w:rPr>
            </w:pPr>
          </w:p>
        </w:tc>
        <w:tc>
          <w:tcPr>
            <w:tcW w:w="941" w:type="pct"/>
            <w:noWrap/>
          </w:tcPr>
          <w:p w14:paraId="4D9215CD" w14:textId="3D4D2215" w:rsidR="0083653C" w:rsidRPr="00346F75" w:rsidRDefault="0083653C" w:rsidP="00A4245F">
            <w:pPr>
              <w:spacing w:line="240" w:lineRule="auto"/>
              <w:ind w:left="12" w:hanging="6"/>
              <w:rPr>
                <w:sz w:val="18"/>
                <w:szCs w:val="18"/>
                <w:lang w:val="nb-NO"/>
              </w:rPr>
            </w:pPr>
            <w:r w:rsidRPr="00346F75">
              <w:rPr>
                <w:sz w:val="18"/>
                <w:szCs w:val="18"/>
                <w:lang w:val="nb-NO"/>
              </w:rPr>
              <w:t>Fascitis necrosante</w:t>
            </w:r>
            <w:r w:rsidR="00A4245F" w:rsidRPr="00346F75">
              <w:rPr>
                <w:sz w:val="18"/>
                <w:szCs w:val="18"/>
                <w:vertAlign w:val="superscript"/>
                <w:lang w:val="nb-NO"/>
              </w:rPr>
              <w:t>c</w:t>
            </w:r>
          </w:p>
        </w:tc>
      </w:tr>
      <w:tr w:rsidR="00262475" w:rsidRPr="00720E6F" w14:paraId="18E40F38" w14:textId="77777777" w:rsidTr="00262475">
        <w:trPr>
          <w:cantSplit/>
          <w:trHeight w:val="300"/>
        </w:trPr>
        <w:tc>
          <w:tcPr>
            <w:tcW w:w="1112" w:type="pct"/>
            <w:noWrap/>
          </w:tcPr>
          <w:p w14:paraId="5BAFEE0C" w14:textId="77777777" w:rsidR="0083653C" w:rsidRPr="00346F75" w:rsidRDefault="0083653C" w:rsidP="006B686D">
            <w:pPr>
              <w:spacing w:line="240" w:lineRule="auto"/>
              <w:rPr>
                <w:sz w:val="18"/>
                <w:szCs w:val="18"/>
                <w:lang w:val="nb-NO"/>
              </w:rPr>
            </w:pPr>
            <w:r w:rsidRPr="00346F75">
              <w:rPr>
                <w:sz w:val="18"/>
                <w:szCs w:val="18"/>
                <w:lang w:val="nb-NO"/>
              </w:rPr>
              <w:t>Trastornos de la sangre y del sistema linfático</w:t>
            </w:r>
          </w:p>
        </w:tc>
        <w:tc>
          <w:tcPr>
            <w:tcW w:w="724" w:type="pct"/>
            <w:noWrap/>
          </w:tcPr>
          <w:p w14:paraId="074C2365" w14:textId="77777777" w:rsidR="0083653C" w:rsidRPr="00445FFE" w:rsidRDefault="0083653C" w:rsidP="006B686D">
            <w:pPr>
              <w:spacing w:line="240" w:lineRule="auto"/>
              <w:rPr>
                <w:sz w:val="18"/>
                <w:szCs w:val="18"/>
                <w:lang w:val="it-IT"/>
              </w:rPr>
            </w:pPr>
            <w:r w:rsidRPr="00445FFE">
              <w:rPr>
                <w:sz w:val="18"/>
                <w:szCs w:val="18"/>
                <w:lang w:val="it-IT"/>
              </w:rPr>
              <w:t>Neutropenia febril,</w:t>
            </w:r>
          </w:p>
          <w:p w14:paraId="0EF695CA" w14:textId="77777777" w:rsidR="0083653C" w:rsidRPr="00445FFE" w:rsidRDefault="0083653C" w:rsidP="006B686D">
            <w:pPr>
              <w:spacing w:line="240" w:lineRule="auto"/>
              <w:rPr>
                <w:sz w:val="18"/>
                <w:szCs w:val="18"/>
                <w:lang w:val="it-IT"/>
              </w:rPr>
            </w:pPr>
            <w:r w:rsidRPr="00445FFE">
              <w:rPr>
                <w:sz w:val="18"/>
                <w:szCs w:val="18"/>
                <w:lang w:val="it-IT"/>
              </w:rPr>
              <w:t>Leucopenia,</w:t>
            </w:r>
          </w:p>
          <w:p w14:paraId="24DD0D6C" w14:textId="77777777" w:rsidR="0083653C" w:rsidRPr="00445FFE" w:rsidRDefault="0083653C" w:rsidP="006B686D">
            <w:pPr>
              <w:spacing w:line="240" w:lineRule="auto"/>
              <w:rPr>
                <w:sz w:val="18"/>
                <w:szCs w:val="18"/>
                <w:lang w:val="it-IT"/>
              </w:rPr>
            </w:pPr>
            <w:r w:rsidRPr="00445FFE">
              <w:rPr>
                <w:sz w:val="18"/>
                <w:szCs w:val="18"/>
                <w:lang w:val="it-IT"/>
              </w:rPr>
              <w:t>Neutropenia</w:t>
            </w:r>
            <w:r w:rsidRPr="00445FFE">
              <w:rPr>
                <w:sz w:val="18"/>
                <w:szCs w:val="18"/>
                <w:vertAlign w:val="superscript"/>
                <w:lang w:val="it-IT"/>
              </w:rPr>
              <w:t>a</w:t>
            </w:r>
            <w:r w:rsidRPr="00445FFE">
              <w:rPr>
                <w:sz w:val="18"/>
                <w:szCs w:val="18"/>
                <w:lang w:val="it-IT"/>
              </w:rPr>
              <w:t>, Trombocitopenia</w:t>
            </w:r>
          </w:p>
        </w:tc>
        <w:tc>
          <w:tcPr>
            <w:tcW w:w="860" w:type="pct"/>
            <w:noWrap/>
          </w:tcPr>
          <w:p w14:paraId="4F58B410" w14:textId="77777777" w:rsidR="0083653C" w:rsidRPr="00346F75" w:rsidRDefault="0083653C" w:rsidP="006B686D">
            <w:pPr>
              <w:spacing w:line="240" w:lineRule="auto"/>
              <w:rPr>
                <w:sz w:val="18"/>
                <w:szCs w:val="18"/>
                <w:lang w:val="nb-NO"/>
              </w:rPr>
            </w:pPr>
            <w:r w:rsidRPr="00346F75">
              <w:rPr>
                <w:sz w:val="18"/>
                <w:szCs w:val="18"/>
                <w:lang w:val="nb-NO"/>
              </w:rPr>
              <w:t>Anemia,</w:t>
            </w:r>
          </w:p>
          <w:p w14:paraId="19009CC3" w14:textId="77777777" w:rsidR="0083653C" w:rsidRPr="00346F75" w:rsidRDefault="0083653C" w:rsidP="006B686D">
            <w:pPr>
              <w:spacing w:line="240" w:lineRule="auto"/>
              <w:rPr>
                <w:sz w:val="18"/>
                <w:szCs w:val="18"/>
                <w:lang w:val="nb-NO"/>
              </w:rPr>
            </w:pPr>
            <w:r w:rsidRPr="00346F75">
              <w:rPr>
                <w:sz w:val="18"/>
                <w:szCs w:val="18"/>
                <w:lang w:val="nb-NO"/>
              </w:rPr>
              <w:t>Linfopenia</w:t>
            </w:r>
          </w:p>
        </w:tc>
        <w:tc>
          <w:tcPr>
            <w:tcW w:w="386" w:type="pct"/>
          </w:tcPr>
          <w:p w14:paraId="478A9B3D" w14:textId="77777777" w:rsidR="0083653C" w:rsidRPr="00346F75" w:rsidRDefault="0083653C" w:rsidP="006B686D">
            <w:pPr>
              <w:spacing w:line="240" w:lineRule="auto"/>
              <w:rPr>
                <w:sz w:val="18"/>
                <w:szCs w:val="18"/>
                <w:lang w:val="nb-NO"/>
              </w:rPr>
            </w:pPr>
          </w:p>
        </w:tc>
        <w:tc>
          <w:tcPr>
            <w:tcW w:w="488" w:type="pct"/>
          </w:tcPr>
          <w:p w14:paraId="2B72480E" w14:textId="77777777" w:rsidR="0083653C" w:rsidRPr="00346F75" w:rsidRDefault="0083653C" w:rsidP="006B686D">
            <w:pPr>
              <w:spacing w:line="240" w:lineRule="auto"/>
              <w:rPr>
                <w:sz w:val="18"/>
                <w:szCs w:val="18"/>
                <w:lang w:val="nb-NO"/>
              </w:rPr>
            </w:pPr>
          </w:p>
        </w:tc>
        <w:tc>
          <w:tcPr>
            <w:tcW w:w="488" w:type="pct"/>
          </w:tcPr>
          <w:p w14:paraId="5A431335" w14:textId="77777777" w:rsidR="0083653C" w:rsidRPr="00346F75" w:rsidRDefault="0083653C" w:rsidP="006B686D">
            <w:pPr>
              <w:spacing w:line="240" w:lineRule="auto"/>
              <w:rPr>
                <w:sz w:val="18"/>
                <w:szCs w:val="18"/>
                <w:lang w:val="nb-NO"/>
              </w:rPr>
            </w:pPr>
          </w:p>
        </w:tc>
        <w:tc>
          <w:tcPr>
            <w:tcW w:w="941" w:type="pct"/>
          </w:tcPr>
          <w:p w14:paraId="5A44B517" w14:textId="77777777" w:rsidR="0083653C" w:rsidRPr="00346F75" w:rsidRDefault="0083653C" w:rsidP="006B686D">
            <w:pPr>
              <w:spacing w:line="240" w:lineRule="auto"/>
              <w:rPr>
                <w:sz w:val="18"/>
                <w:szCs w:val="18"/>
                <w:lang w:val="nb-NO"/>
              </w:rPr>
            </w:pPr>
          </w:p>
        </w:tc>
      </w:tr>
      <w:tr w:rsidR="00262475" w:rsidRPr="00535C81" w14:paraId="2F690442" w14:textId="77777777" w:rsidTr="00262475">
        <w:trPr>
          <w:cantSplit/>
          <w:trHeight w:val="300"/>
        </w:trPr>
        <w:tc>
          <w:tcPr>
            <w:tcW w:w="1112" w:type="pct"/>
            <w:noWrap/>
          </w:tcPr>
          <w:p w14:paraId="0028A559" w14:textId="77777777" w:rsidR="0083653C" w:rsidRPr="00346F75" w:rsidRDefault="0083653C" w:rsidP="006B686D">
            <w:pPr>
              <w:spacing w:line="240" w:lineRule="auto"/>
              <w:rPr>
                <w:sz w:val="18"/>
                <w:szCs w:val="18"/>
                <w:lang w:val="nb-NO"/>
              </w:rPr>
            </w:pPr>
            <w:r w:rsidRPr="00346F75">
              <w:rPr>
                <w:sz w:val="18"/>
                <w:szCs w:val="18"/>
                <w:lang w:val="nb-NO"/>
              </w:rPr>
              <w:t>Trastornos del sistema inmunológico</w:t>
            </w:r>
          </w:p>
        </w:tc>
        <w:tc>
          <w:tcPr>
            <w:tcW w:w="724" w:type="pct"/>
          </w:tcPr>
          <w:p w14:paraId="325BFE2E" w14:textId="77777777" w:rsidR="0083653C" w:rsidRPr="00346F75" w:rsidRDefault="0083653C" w:rsidP="006B686D">
            <w:pPr>
              <w:spacing w:line="240" w:lineRule="auto"/>
              <w:rPr>
                <w:sz w:val="18"/>
                <w:szCs w:val="18"/>
                <w:lang w:val="nb-NO"/>
              </w:rPr>
            </w:pPr>
          </w:p>
        </w:tc>
        <w:tc>
          <w:tcPr>
            <w:tcW w:w="860" w:type="pct"/>
          </w:tcPr>
          <w:p w14:paraId="0E33030E" w14:textId="669CD0C4" w:rsidR="0083653C" w:rsidRPr="00346F75" w:rsidRDefault="00BE0ACF" w:rsidP="006B686D">
            <w:pPr>
              <w:spacing w:line="240" w:lineRule="auto"/>
              <w:rPr>
                <w:sz w:val="18"/>
                <w:szCs w:val="18"/>
                <w:lang w:val="nb-NO"/>
              </w:rPr>
            </w:pPr>
            <w:r w:rsidRPr="00A51019">
              <w:rPr>
                <w:sz w:val="18"/>
                <w:szCs w:val="18"/>
                <w:lang w:val="es-ES"/>
              </w:rPr>
              <w:t xml:space="preserve">Hipersensibilidad, reacciones a la </w:t>
            </w:r>
            <w:proofErr w:type="gramStart"/>
            <w:r w:rsidRPr="00A51019">
              <w:rPr>
                <w:sz w:val="18"/>
                <w:szCs w:val="18"/>
                <w:lang w:val="es-ES"/>
              </w:rPr>
              <w:t>perfusión</w:t>
            </w:r>
            <w:r w:rsidRPr="00346F75">
              <w:rPr>
                <w:sz w:val="18"/>
                <w:szCs w:val="18"/>
                <w:vertAlign w:val="superscript"/>
                <w:lang w:val="nb-NO"/>
              </w:rPr>
              <w:t>a,b</w:t>
            </w:r>
            <w:proofErr w:type="gramEnd"/>
            <w:r w:rsidRPr="00346F75">
              <w:rPr>
                <w:sz w:val="18"/>
                <w:szCs w:val="18"/>
                <w:vertAlign w:val="superscript"/>
                <w:lang w:val="nb-NO"/>
              </w:rPr>
              <w:t>,c</w:t>
            </w:r>
          </w:p>
        </w:tc>
        <w:tc>
          <w:tcPr>
            <w:tcW w:w="386" w:type="pct"/>
            <w:noWrap/>
          </w:tcPr>
          <w:p w14:paraId="5608F7DE" w14:textId="77777777" w:rsidR="0083653C" w:rsidRPr="00346F75" w:rsidRDefault="0083653C" w:rsidP="006B686D">
            <w:pPr>
              <w:spacing w:line="240" w:lineRule="auto"/>
              <w:rPr>
                <w:sz w:val="18"/>
                <w:szCs w:val="18"/>
                <w:lang w:val="nb-NO"/>
              </w:rPr>
            </w:pPr>
          </w:p>
        </w:tc>
        <w:tc>
          <w:tcPr>
            <w:tcW w:w="488" w:type="pct"/>
            <w:noWrap/>
          </w:tcPr>
          <w:p w14:paraId="3119D9F0" w14:textId="7BDFB403" w:rsidR="0083653C" w:rsidRPr="00346F75" w:rsidRDefault="00BE0ACF" w:rsidP="006B686D">
            <w:pPr>
              <w:spacing w:line="240" w:lineRule="auto"/>
              <w:rPr>
                <w:sz w:val="18"/>
                <w:szCs w:val="18"/>
                <w:lang w:val="nb-NO"/>
              </w:rPr>
            </w:pPr>
            <w:r w:rsidRPr="00291D34">
              <w:rPr>
                <w:color w:val="auto"/>
                <w:sz w:val="18"/>
                <w:szCs w:val="18"/>
                <w:lang w:val="es-ES"/>
              </w:rPr>
              <w:t>Shock anafiláctico</w:t>
            </w:r>
          </w:p>
        </w:tc>
        <w:tc>
          <w:tcPr>
            <w:tcW w:w="488" w:type="pct"/>
            <w:noWrap/>
          </w:tcPr>
          <w:p w14:paraId="47CAA14E" w14:textId="77777777" w:rsidR="0083653C" w:rsidRPr="00346F75" w:rsidRDefault="0083653C" w:rsidP="006B686D">
            <w:pPr>
              <w:spacing w:line="240" w:lineRule="auto"/>
              <w:rPr>
                <w:sz w:val="18"/>
                <w:szCs w:val="18"/>
                <w:lang w:val="nb-NO"/>
              </w:rPr>
            </w:pPr>
          </w:p>
        </w:tc>
        <w:tc>
          <w:tcPr>
            <w:tcW w:w="941" w:type="pct"/>
            <w:noWrap/>
          </w:tcPr>
          <w:p w14:paraId="439B145D" w14:textId="347AA125" w:rsidR="0083653C" w:rsidRPr="00A51019" w:rsidRDefault="0083653C" w:rsidP="00A4245F">
            <w:pPr>
              <w:spacing w:line="240" w:lineRule="auto"/>
              <w:rPr>
                <w:sz w:val="18"/>
                <w:szCs w:val="18"/>
                <w:lang w:val="es-ES"/>
              </w:rPr>
            </w:pPr>
          </w:p>
        </w:tc>
      </w:tr>
      <w:tr w:rsidR="00262475" w:rsidRPr="00720E6F" w14:paraId="09DCA6E6" w14:textId="77777777" w:rsidTr="00262475">
        <w:trPr>
          <w:cantSplit/>
          <w:trHeight w:val="300"/>
        </w:trPr>
        <w:tc>
          <w:tcPr>
            <w:tcW w:w="1112" w:type="pct"/>
            <w:noWrap/>
          </w:tcPr>
          <w:p w14:paraId="6AD534F6" w14:textId="77777777" w:rsidR="0083653C" w:rsidRPr="00346F75" w:rsidRDefault="0083653C" w:rsidP="006B686D">
            <w:pPr>
              <w:spacing w:line="240" w:lineRule="auto"/>
              <w:rPr>
                <w:sz w:val="18"/>
                <w:szCs w:val="18"/>
                <w:lang w:val="nb-NO"/>
              </w:rPr>
            </w:pPr>
            <w:r w:rsidRPr="00346F75">
              <w:rPr>
                <w:sz w:val="18"/>
                <w:szCs w:val="18"/>
                <w:lang w:val="nb-NO"/>
              </w:rPr>
              <w:t>Trastornos del metabolismo y de la nutrición</w:t>
            </w:r>
          </w:p>
        </w:tc>
        <w:tc>
          <w:tcPr>
            <w:tcW w:w="724" w:type="pct"/>
          </w:tcPr>
          <w:p w14:paraId="105DAB2B" w14:textId="77777777" w:rsidR="0083653C" w:rsidRPr="00346F75" w:rsidRDefault="0083653C" w:rsidP="006B686D">
            <w:pPr>
              <w:spacing w:line="240" w:lineRule="auto"/>
              <w:rPr>
                <w:sz w:val="18"/>
                <w:szCs w:val="18"/>
                <w:lang w:val="nb-NO"/>
              </w:rPr>
            </w:pPr>
          </w:p>
        </w:tc>
        <w:tc>
          <w:tcPr>
            <w:tcW w:w="860" w:type="pct"/>
            <w:noWrap/>
          </w:tcPr>
          <w:p w14:paraId="747C5660" w14:textId="77777777" w:rsidR="0083653C" w:rsidRPr="00346F75" w:rsidRDefault="0083653C" w:rsidP="006B686D">
            <w:pPr>
              <w:spacing w:line="240" w:lineRule="auto"/>
              <w:rPr>
                <w:sz w:val="18"/>
                <w:szCs w:val="18"/>
                <w:lang w:val="nb-NO"/>
              </w:rPr>
            </w:pPr>
            <w:r w:rsidRPr="00346F75">
              <w:rPr>
                <w:sz w:val="18"/>
                <w:szCs w:val="18"/>
                <w:lang w:val="nb-NO"/>
              </w:rPr>
              <w:t>Deshidratación</w:t>
            </w:r>
            <w:r w:rsidR="00553F84">
              <w:rPr>
                <w:sz w:val="18"/>
                <w:szCs w:val="18"/>
                <w:lang w:val="nb-NO"/>
              </w:rPr>
              <w:t>,</w:t>
            </w:r>
          </w:p>
          <w:p w14:paraId="610AA532" w14:textId="77777777" w:rsidR="0083653C" w:rsidRPr="00346F75" w:rsidRDefault="0083653C" w:rsidP="006B686D">
            <w:pPr>
              <w:spacing w:line="240" w:lineRule="auto"/>
              <w:rPr>
                <w:sz w:val="18"/>
                <w:szCs w:val="18"/>
                <w:lang w:val="nb-NO"/>
              </w:rPr>
            </w:pPr>
            <w:r w:rsidRPr="00346F75">
              <w:rPr>
                <w:sz w:val="18"/>
                <w:szCs w:val="18"/>
                <w:lang w:val="nb-NO"/>
              </w:rPr>
              <w:t>Hiponatremia</w:t>
            </w:r>
          </w:p>
        </w:tc>
        <w:tc>
          <w:tcPr>
            <w:tcW w:w="386" w:type="pct"/>
          </w:tcPr>
          <w:p w14:paraId="707066F9" w14:textId="77777777" w:rsidR="0083653C" w:rsidRPr="00346F75" w:rsidRDefault="0083653C" w:rsidP="006B686D">
            <w:pPr>
              <w:spacing w:line="240" w:lineRule="auto"/>
              <w:rPr>
                <w:sz w:val="18"/>
                <w:szCs w:val="18"/>
                <w:lang w:val="nb-NO"/>
              </w:rPr>
            </w:pPr>
          </w:p>
        </w:tc>
        <w:tc>
          <w:tcPr>
            <w:tcW w:w="488" w:type="pct"/>
          </w:tcPr>
          <w:p w14:paraId="232B494F" w14:textId="77777777" w:rsidR="0083653C" w:rsidRPr="00346F75" w:rsidRDefault="0083653C" w:rsidP="006B686D">
            <w:pPr>
              <w:spacing w:line="240" w:lineRule="auto"/>
              <w:rPr>
                <w:sz w:val="18"/>
                <w:szCs w:val="18"/>
                <w:lang w:val="nb-NO"/>
              </w:rPr>
            </w:pPr>
          </w:p>
        </w:tc>
        <w:tc>
          <w:tcPr>
            <w:tcW w:w="488" w:type="pct"/>
            <w:noWrap/>
          </w:tcPr>
          <w:p w14:paraId="4EA81013" w14:textId="77777777" w:rsidR="0083653C" w:rsidRPr="00346F75" w:rsidRDefault="0083653C" w:rsidP="006B686D">
            <w:pPr>
              <w:spacing w:line="240" w:lineRule="auto"/>
              <w:rPr>
                <w:sz w:val="18"/>
                <w:szCs w:val="18"/>
                <w:lang w:val="nb-NO"/>
              </w:rPr>
            </w:pPr>
          </w:p>
        </w:tc>
        <w:tc>
          <w:tcPr>
            <w:tcW w:w="941" w:type="pct"/>
            <w:noWrap/>
          </w:tcPr>
          <w:p w14:paraId="207D8178" w14:textId="77777777" w:rsidR="0083653C" w:rsidRPr="00346F75" w:rsidRDefault="0083653C" w:rsidP="006B686D">
            <w:pPr>
              <w:spacing w:line="240" w:lineRule="auto"/>
              <w:rPr>
                <w:sz w:val="18"/>
                <w:szCs w:val="18"/>
                <w:lang w:val="nb-NO"/>
              </w:rPr>
            </w:pPr>
          </w:p>
        </w:tc>
      </w:tr>
      <w:tr w:rsidR="00262475" w:rsidRPr="00720E6F" w14:paraId="469BA6A6" w14:textId="77777777" w:rsidTr="00262475">
        <w:trPr>
          <w:cantSplit/>
          <w:trHeight w:val="300"/>
        </w:trPr>
        <w:tc>
          <w:tcPr>
            <w:tcW w:w="1112" w:type="pct"/>
            <w:noWrap/>
          </w:tcPr>
          <w:p w14:paraId="70FB71E9" w14:textId="77777777" w:rsidR="0083653C" w:rsidRPr="00346F75" w:rsidRDefault="0083653C" w:rsidP="006B686D">
            <w:pPr>
              <w:spacing w:line="240" w:lineRule="auto"/>
              <w:rPr>
                <w:sz w:val="18"/>
                <w:szCs w:val="18"/>
                <w:lang w:val="nb-NO"/>
              </w:rPr>
            </w:pPr>
            <w:r w:rsidRPr="00346F75">
              <w:rPr>
                <w:sz w:val="18"/>
                <w:szCs w:val="18"/>
                <w:lang w:val="nb-NO"/>
              </w:rPr>
              <w:t>Trastornos del sistema nervioso</w:t>
            </w:r>
          </w:p>
        </w:tc>
        <w:tc>
          <w:tcPr>
            <w:tcW w:w="724" w:type="pct"/>
            <w:noWrap/>
          </w:tcPr>
          <w:p w14:paraId="794DE5DC" w14:textId="77777777" w:rsidR="0083653C" w:rsidRPr="00346F75" w:rsidRDefault="0083653C" w:rsidP="006B686D">
            <w:pPr>
              <w:spacing w:line="240" w:lineRule="auto"/>
              <w:rPr>
                <w:sz w:val="18"/>
                <w:szCs w:val="18"/>
                <w:lang w:val="nb-NO"/>
              </w:rPr>
            </w:pPr>
            <w:r w:rsidRPr="00346F75">
              <w:rPr>
                <w:sz w:val="18"/>
                <w:szCs w:val="18"/>
                <w:lang w:val="nb-NO"/>
              </w:rPr>
              <w:t>Neuropatía sensorial periférica</w:t>
            </w:r>
            <w:r w:rsidRPr="00346F75">
              <w:rPr>
                <w:sz w:val="18"/>
                <w:szCs w:val="18"/>
                <w:vertAlign w:val="superscript"/>
                <w:lang w:val="nb-NO"/>
              </w:rPr>
              <w:t>a</w:t>
            </w:r>
          </w:p>
        </w:tc>
        <w:tc>
          <w:tcPr>
            <w:tcW w:w="860" w:type="pct"/>
            <w:noWrap/>
          </w:tcPr>
          <w:p w14:paraId="3C78309E" w14:textId="77777777" w:rsidR="0083653C" w:rsidRPr="00A51019" w:rsidRDefault="0083653C" w:rsidP="006B686D">
            <w:pPr>
              <w:spacing w:line="240" w:lineRule="auto"/>
              <w:rPr>
                <w:sz w:val="18"/>
                <w:szCs w:val="18"/>
                <w:lang w:val="es-ES"/>
              </w:rPr>
            </w:pPr>
            <w:r w:rsidRPr="00A51019">
              <w:rPr>
                <w:sz w:val="18"/>
                <w:szCs w:val="18"/>
                <w:lang w:val="es-ES"/>
              </w:rPr>
              <w:t>Accidente cerebrovascular,</w:t>
            </w:r>
          </w:p>
          <w:p w14:paraId="69EDF570" w14:textId="77777777" w:rsidR="0083653C" w:rsidRPr="00A51019" w:rsidRDefault="0083653C" w:rsidP="006B686D">
            <w:pPr>
              <w:spacing w:line="240" w:lineRule="auto"/>
              <w:rPr>
                <w:sz w:val="18"/>
                <w:szCs w:val="18"/>
                <w:lang w:val="es-ES"/>
              </w:rPr>
            </w:pPr>
            <w:r w:rsidRPr="00A51019">
              <w:rPr>
                <w:sz w:val="18"/>
                <w:szCs w:val="18"/>
                <w:lang w:val="es-ES"/>
              </w:rPr>
              <w:t>Síncope,</w:t>
            </w:r>
          </w:p>
          <w:p w14:paraId="68EDB3EF" w14:textId="77777777" w:rsidR="0083653C" w:rsidRPr="00A51019" w:rsidRDefault="0083653C" w:rsidP="006B686D">
            <w:pPr>
              <w:spacing w:line="240" w:lineRule="auto"/>
              <w:rPr>
                <w:sz w:val="18"/>
                <w:szCs w:val="18"/>
                <w:lang w:val="es-ES"/>
              </w:rPr>
            </w:pPr>
            <w:r w:rsidRPr="00A51019">
              <w:rPr>
                <w:sz w:val="18"/>
                <w:szCs w:val="18"/>
                <w:lang w:val="es-ES"/>
              </w:rPr>
              <w:t>Somnolencia,</w:t>
            </w:r>
          </w:p>
          <w:p w14:paraId="021CC766" w14:textId="77777777" w:rsidR="0083653C" w:rsidRPr="00A51019" w:rsidRDefault="0083653C" w:rsidP="006B686D">
            <w:pPr>
              <w:spacing w:line="240" w:lineRule="auto"/>
              <w:rPr>
                <w:sz w:val="18"/>
                <w:szCs w:val="18"/>
                <w:lang w:val="es-ES"/>
              </w:rPr>
            </w:pPr>
            <w:r w:rsidRPr="00A51019">
              <w:rPr>
                <w:sz w:val="18"/>
                <w:szCs w:val="18"/>
                <w:lang w:val="es-ES"/>
              </w:rPr>
              <w:t>Cefalea</w:t>
            </w:r>
          </w:p>
        </w:tc>
        <w:tc>
          <w:tcPr>
            <w:tcW w:w="386" w:type="pct"/>
          </w:tcPr>
          <w:p w14:paraId="251A32ED" w14:textId="77777777" w:rsidR="0083653C" w:rsidRPr="00A51019" w:rsidRDefault="0083653C" w:rsidP="006B686D">
            <w:pPr>
              <w:spacing w:line="240" w:lineRule="auto"/>
              <w:rPr>
                <w:sz w:val="18"/>
                <w:szCs w:val="18"/>
                <w:lang w:val="es-ES"/>
              </w:rPr>
            </w:pPr>
          </w:p>
        </w:tc>
        <w:tc>
          <w:tcPr>
            <w:tcW w:w="488" w:type="pct"/>
          </w:tcPr>
          <w:p w14:paraId="792081A4" w14:textId="77777777" w:rsidR="0083653C" w:rsidRPr="00A51019" w:rsidRDefault="0083653C" w:rsidP="006B686D">
            <w:pPr>
              <w:spacing w:line="240" w:lineRule="auto"/>
              <w:rPr>
                <w:sz w:val="18"/>
                <w:szCs w:val="18"/>
                <w:lang w:val="es-ES"/>
              </w:rPr>
            </w:pPr>
          </w:p>
        </w:tc>
        <w:tc>
          <w:tcPr>
            <w:tcW w:w="488" w:type="pct"/>
          </w:tcPr>
          <w:p w14:paraId="6F1A75B9" w14:textId="77777777" w:rsidR="0083653C" w:rsidRPr="00A51019" w:rsidRDefault="0083653C" w:rsidP="006B686D">
            <w:pPr>
              <w:spacing w:line="240" w:lineRule="auto"/>
              <w:rPr>
                <w:sz w:val="18"/>
                <w:szCs w:val="18"/>
                <w:lang w:val="es-ES"/>
              </w:rPr>
            </w:pPr>
          </w:p>
        </w:tc>
        <w:tc>
          <w:tcPr>
            <w:tcW w:w="941" w:type="pct"/>
            <w:noWrap/>
          </w:tcPr>
          <w:p w14:paraId="652331DE" w14:textId="77777777" w:rsidR="0083653C" w:rsidRPr="00346F75" w:rsidRDefault="0083653C" w:rsidP="006B686D">
            <w:pPr>
              <w:spacing w:line="240" w:lineRule="auto"/>
              <w:rPr>
                <w:sz w:val="18"/>
                <w:szCs w:val="18"/>
                <w:lang w:val="nb-NO"/>
              </w:rPr>
            </w:pPr>
            <w:r w:rsidRPr="00346F75">
              <w:rPr>
                <w:sz w:val="18"/>
                <w:szCs w:val="18"/>
                <w:lang w:val="nb-NO"/>
              </w:rPr>
              <w:t>Síndrome de encefalopatía posterior reversible</w:t>
            </w:r>
            <w:r w:rsidRPr="00346F75">
              <w:rPr>
                <w:sz w:val="18"/>
                <w:szCs w:val="18"/>
                <w:vertAlign w:val="superscript"/>
                <w:lang w:val="nb-NO"/>
              </w:rPr>
              <w:t>a,b,c</w:t>
            </w:r>
            <w:r w:rsidRPr="00346F75">
              <w:rPr>
                <w:sz w:val="18"/>
                <w:szCs w:val="18"/>
                <w:lang w:val="nb-NO"/>
              </w:rPr>
              <w:t>,</w:t>
            </w:r>
          </w:p>
          <w:p w14:paraId="123CEEA3" w14:textId="77777777" w:rsidR="0083653C" w:rsidRPr="00346F75" w:rsidRDefault="0083653C">
            <w:pPr>
              <w:spacing w:line="240" w:lineRule="auto"/>
              <w:rPr>
                <w:sz w:val="18"/>
                <w:szCs w:val="18"/>
                <w:lang w:val="nb-NO"/>
              </w:rPr>
            </w:pPr>
            <w:r w:rsidRPr="00346F75">
              <w:rPr>
                <w:sz w:val="18"/>
                <w:szCs w:val="18"/>
                <w:lang w:val="nb-NO"/>
              </w:rPr>
              <w:t>Encefalopatía hipertensiva</w:t>
            </w:r>
            <w:r w:rsidR="008470BC" w:rsidRPr="00346F75">
              <w:rPr>
                <w:sz w:val="18"/>
                <w:szCs w:val="18"/>
                <w:vertAlign w:val="superscript"/>
                <w:lang w:val="nb-NO"/>
              </w:rPr>
              <w:t>c</w:t>
            </w:r>
          </w:p>
        </w:tc>
      </w:tr>
      <w:tr w:rsidR="00262475" w:rsidRPr="00714463" w14:paraId="3B50509D" w14:textId="77777777" w:rsidTr="00262475">
        <w:trPr>
          <w:cantSplit/>
          <w:trHeight w:val="300"/>
        </w:trPr>
        <w:tc>
          <w:tcPr>
            <w:tcW w:w="1112" w:type="pct"/>
            <w:noWrap/>
          </w:tcPr>
          <w:p w14:paraId="5C551A6D" w14:textId="77777777" w:rsidR="0083653C" w:rsidRPr="00346F75" w:rsidRDefault="0083653C" w:rsidP="006B686D">
            <w:pPr>
              <w:spacing w:line="240" w:lineRule="auto"/>
              <w:rPr>
                <w:rFonts w:eastAsia="Calibri"/>
                <w:sz w:val="18"/>
                <w:szCs w:val="18"/>
                <w:lang w:val="nb-NO"/>
              </w:rPr>
            </w:pPr>
            <w:r w:rsidRPr="00346F75">
              <w:rPr>
                <w:rFonts w:eastAsia="Calibri"/>
                <w:sz w:val="18"/>
                <w:szCs w:val="18"/>
                <w:lang w:val="nb-NO"/>
              </w:rPr>
              <w:t>Trastornos cardíacos</w:t>
            </w:r>
          </w:p>
        </w:tc>
        <w:tc>
          <w:tcPr>
            <w:tcW w:w="724" w:type="pct"/>
            <w:noWrap/>
          </w:tcPr>
          <w:p w14:paraId="47E3A58F" w14:textId="77777777" w:rsidR="0083653C" w:rsidRPr="00346F75" w:rsidRDefault="0083653C" w:rsidP="006B686D">
            <w:pPr>
              <w:autoSpaceDE w:val="0"/>
              <w:autoSpaceDN w:val="0"/>
              <w:adjustRightInd w:val="0"/>
              <w:spacing w:line="240" w:lineRule="auto"/>
              <w:rPr>
                <w:sz w:val="18"/>
                <w:szCs w:val="18"/>
                <w:lang w:val="nb-NO"/>
              </w:rPr>
            </w:pPr>
          </w:p>
        </w:tc>
        <w:tc>
          <w:tcPr>
            <w:tcW w:w="860" w:type="pct"/>
            <w:noWrap/>
          </w:tcPr>
          <w:p w14:paraId="03533040" w14:textId="77777777" w:rsidR="0083653C" w:rsidRPr="00A51019" w:rsidRDefault="0083653C" w:rsidP="006B686D">
            <w:pPr>
              <w:spacing w:line="240" w:lineRule="auto"/>
              <w:rPr>
                <w:sz w:val="18"/>
                <w:szCs w:val="18"/>
                <w:lang w:val="es-ES"/>
              </w:rPr>
            </w:pPr>
            <w:r w:rsidRPr="00A51019">
              <w:rPr>
                <w:sz w:val="18"/>
                <w:szCs w:val="18"/>
                <w:lang w:val="es-ES"/>
              </w:rPr>
              <w:t xml:space="preserve">Insuficiencia cardíaca </w:t>
            </w:r>
            <w:proofErr w:type="spellStart"/>
            <w:proofErr w:type="gramStart"/>
            <w:r w:rsidRPr="00A51019">
              <w:rPr>
                <w:sz w:val="18"/>
                <w:szCs w:val="18"/>
                <w:lang w:val="es-ES"/>
              </w:rPr>
              <w:t>congestiva</w:t>
            </w:r>
            <w:r w:rsidRPr="00A51019">
              <w:rPr>
                <w:sz w:val="18"/>
                <w:szCs w:val="18"/>
                <w:vertAlign w:val="superscript"/>
                <w:lang w:val="es-ES"/>
              </w:rPr>
              <w:t>a,b</w:t>
            </w:r>
            <w:proofErr w:type="spellEnd"/>
            <w:proofErr w:type="gramEnd"/>
            <w:r w:rsidRPr="00A51019">
              <w:rPr>
                <w:sz w:val="18"/>
                <w:szCs w:val="18"/>
                <w:lang w:val="es-ES"/>
              </w:rPr>
              <w:t>,</w:t>
            </w:r>
          </w:p>
          <w:p w14:paraId="296EBDCD" w14:textId="77777777" w:rsidR="0083653C" w:rsidRPr="00A51019" w:rsidRDefault="0083653C" w:rsidP="006B686D">
            <w:pPr>
              <w:spacing w:line="240" w:lineRule="auto"/>
              <w:rPr>
                <w:sz w:val="18"/>
                <w:szCs w:val="18"/>
                <w:lang w:val="es-ES"/>
              </w:rPr>
            </w:pPr>
            <w:r w:rsidRPr="00A51019">
              <w:rPr>
                <w:sz w:val="18"/>
                <w:szCs w:val="18"/>
                <w:lang w:val="es-ES"/>
              </w:rPr>
              <w:t>Taquicardia supraventricular</w:t>
            </w:r>
          </w:p>
        </w:tc>
        <w:tc>
          <w:tcPr>
            <w:tcW w:w="386" w:type="pct"/>
          </w:tcPr>
          <w:p w14:paraId="18741DF2" w14:textId="77777777" w:rsidR="0083653C" w:rsidRPr="00A51019" w:rsidRDefault="0083653C" w:rsidP="006B686D">
            <w:pPr>
              <w:spacing w:line="240" w:lineRule="auto"/>
              <w:rPr>
                <w:sz w:val="18"/>
                <w:szCs w:val="18"/>
                <w:lang w:val="es-ES"/>
              </w:rPr>
            </w:pPr>
          </w:p>
        </w:tc>
        <w:tc>
          <w:tcPr>
            <w:tcW w:w="488" w:type="pct"/>
          </w:tcPr>
          <w:p w14:paraId="39AD876F" w14:textId="77777777" w:rsidR="0083653C" w:rsidRPr="00A51019" w:rsidRDefault="0083653C" w:rsidP="006B686D">
            <w:pPr>
              <w:spacing w:line="240" w:lineRule="auto"/>
              <w:rPr>
                <w:sz w:val="18"/>
                <w:szCs w:val="18"/>
                <w:lang w:val="es-ES"/>
              </w:rPr>
            </w:pPr>
          </w:p>
        </w:tc>
        <w:tc>
          <w:tcPr>
            <w:tcW w:w="488" w:type="pct"/>
          </w:tcPr>
          <w:p w14:paraId="513181D8" w14:textId="77777777" w:rsidR="0083653C" w:rsidRPr="00A51019" w:rsidRDefault="0083653C" w:rsidP="006B686D">
            <w:pPr>
              <w:spacing w:line="240" w:lineRule="auto"/>
              <w:rPr>
                <w:sz w:val="18"/>
                <w:szCs w:val="18"/>
                <w:lang w:val="es-ES"/>
              </w:rPr>
            </w:pPr>
          </w:p>
        </w:tc>
        <w:tc>
          <w:tcPr>
            <w:tcW w:w="941" w:type="pct"/>
            <w:noWrap/>
          </w:tcPr>
          <w:p w14:paraId="734F111C" w14:textId="77777777" w:rsidR="0083653C" w:rsidRPr="00A51019" w:rsidRDefault="0083653C" w:rsidP="006B686D">
            <w:pPr>
              <w:spacing w:line="240" w:lineRule="auto"/>
              <w:rPr>
                <w:sz w:val="18"/>
                <w:szCs w:val="18"/>
                <w:lang w:val="es-ES"/>
              </w:rPr>
            </w:pPr>
          </w:p>
        </w:tc>
      </w:tr>
      <w:tr w:rsidR="00262475" w:rsidRPr="000D5A65" w14:paraId="36EC47A9" w14:textId="77777777" w:rsidTr="00262475">
        <w:trPr>
          <w:cantSplit/>
          <w:trHeight w:val="300"/>
        </w:trPr>
        <w:tc>
          <w:tcPr>
            <w:tcW w:w="1112" w:type="pct"/>
            <w:noWrap/>
          </w:tcPr>
          <w:p w14:paraId="1331712D" w14:textId="77777777" w:rsidR="0083653C" w:rsidRPr="00346F75" w:rsidRDefault="0083653C" w:rsidP="006B686D">
            <w:pPr>
              <w:spacing w:line="240" w:lineRule="auto"/>
              <w:rPr>
                <w:sz w:val="18"/>
                <w:szCs w:val="18"/>
                <w:lang w:val="nb-NO"/>
              </w:rPr>
            </w:pPr>
            <w:r w:rsidRPr="00346F75">
              <w:rPr>
                <w:sz w:val="18"/>
                <w:szCs w:val="18"/>
                <w:lang w:val="nb-NO"/>
              </w:rPr>
              <w:t>Trastornos vasculares</w:t>
            </w:r>
          </w:p>
        </w:tc>
        <w:tc>
          <w:tcPr>
            <w:tcW w:w="724" w:type="pct"/>
            <w:noWrap/>
          </w:tcPr>
          <w:p w14:paraId="6ACF9287" w14:textId="77777777" w:rsidR="0083653C" w:rsidRPr="00346F75" w:rsidRDefault="0083653C" w:rsidP="006B686D">
            <w:pPr>
              <w:spacing w:line="240" w:lineRule="auto"/>
              <w:rPr>
                <w:sz w:val="18"/>
                <w:szCs w:val="18"/>
                <w:lang w:val="nb-NO"/>
              </w:rPr>
            </w:pPr>
            <w:r w:rsidRPr="00346F75">
              <w:rPr>
                <w:sz w:val="18"/>
                <w:szCs w:val="18"/>
                <w:lang w:val="nb-NO"/>
              </w:rPr>
              <w:t>Hipertensión</w:t>
            </w:r>
            <w:r w:rsidRPr="00BF58AD">
              <w:rPr>
                <w:sz w:val="18"/>
                <w:szCs w:val="18"/>
                <w:vertAlign w:val="superscript"/>
                <w:lang w:val="nb-NO"/>
              </w:rPr>
              <w:t>a,b</w:t>
            </w:r>
          </w:p>
        </w:tc>
        <w:tc>
          <w:tcPr>
            <w:tcW w:w="860" w:type="pct"/>
            <w:noWrap/>
          </w:tcPr>
          <w:p w14:paraId="38353450" w14:textId="77777777" w:rsidR="00CF1F9F" w:rsidRPr="00A51019" w:rsidRDefault="0083653C" w:rsidP="006B686D">
            <w:pPr>
              <w:spacing w:line="240" w:lineRule="auto"/>
              <w:rPr>
                <w:sz w:val="18"/>
                <w:szCs w:val="18"/>
                <w:lang w:val="es-ES"/>
              </w:rPr>
            </w:pPr>
            <w:r w:rsidRPr="00A51019">
              <w:rPr>
                <w:sz w:val="18"/>
                <w:szCs w:val="18"/>
                <w:lang w:val="es-ES"/>
              </w:rPr>
              <w:t>Tromboembolismo (arterial)</w:t>
            </w:r>
            <w:proofErr w:type="spellStart"/>
            <w:proofErr w:type="gramStart"/>
            <w:r w:rsidRPr="00A51019">
              <w:rPr>
                <w:sz w:val="18"/>
                <w:szCs w:val="18"/>
                <w:vertAlign w:val="superscript"/>
                <w:lang w:val="es-ES"/>
              </w:rPr>
              <w:t>a,b</w:t>
            </w:r>
            <w:proofErr w:type="spellEnd"/>
            <w:proofErr w:type="gramEnd"/>
            <w:r w:rsidR="00CF1F9F" w:rsidRPr="00A51019">
              <w:rPr>
                <w:sz w:val="18"/>
                <w:szCs w:val="18"/>
                <w:lang w:val="es-ES"/>
              </w:rPr>
              <w:t>,</w:t>
            </w:r>
          </w:p>
          <w:p w14:paraId="6C24B0DC" w14:textId="77777777" w:rsidR="0083653C" w:rsidRPr="00A51019" w:rsidRDefault="0083653C" w:rsidP="006B686D">
            <w:pPr>
              <w:spacing w:line="240" w:lineRule="auto"/>
              <w:rPr>
                <w:sz w:val="18"/>
                <w:szCs w:val="18"/>
                <w:lang w:val="es-ES"/>
              </w:rPr>
            </w:pPr>
            <w:proofErr w:type="spellStart"/>
            <w:proofErr w:type="gramStart"/>
            <w:r w:rsidRPr="00A51019">
              <w:rPr>
                <w:sz w:val="18"/>
                <w:szCs w:val="18"/>
                <w:lang w:val="es-ES"/>
              </w:rPr>
              <w:t>Hemorragia</w:t>
            </w:r>
            <w:r w:rsidRPr="00A51019">
              <w:rPr>
                <w:sz w:val="18"/>
                <w:szCs w:val="18"/>
                <w:vertAlign w:val="superscript"/>
                <w:lang w:val="es-ES"/>
              </w:rPr>
              <w:t>a,b</w:t>
            </w:r>
            <w:proofErr w:type="spellEnd"/>
            <w:proofErr w:type="gramEnd"/>
            <w:r w:rsidRPr="00A51019">
              <w:rPr>
                <w:sz w:val="18"/>
                <w:szCs w:val="18"/>
                <w:lang w:val="es-ES"/>
              </w:rPr>
              <w:t>,</w:t>
            </w:r>
          </w:p>
          <w:p w14:paraId="56A1D2EB" w14:textId="77777777" w:rsidR="0083653C" w:rsidRPr="00A51019" w:rsidRDefault="0083653C" w:rsidP="006B686D">
            <w:pPr>
              <w:spacing w:line="240" w:lineRule="auto"/>
              <w:rPr>
                <w:sz w:val="18"/>
                <w:szCs w:val="18"/>
                <w:lang w:val="es-ES"/>
              </w:rPr>
            </w:pPr>
            <w:r w:rsidRPr="00A51019">
              <w:rPr>
                <w:sz w:val="18"/>
                <w:szCs w:val="18"/>
                <w:lang w:val="es-ES"/>
              </w:rPr>
              <w:t>Tromboembolismo (venoso)</w:t>
            </w:r>
            <w:proofErr w:type="spellStart"/>
            <w:proofErr w:type="gramStart"/>
            <w:r w:rsidRPr="00A51019">
              <w:rPr>
                <w:sz w:val="18"/>
                <w:szCs w:val="18"/>
                <w:vertAlign w:val="superscript"/>
                <w:lang w:val="es-ES"/>
              </w:rPr>
              <w:t>a,b</w:t>
            </w:r>
            <w:proofErr w:type="spellEnd"/>
            <w:proofErr w:type="gramEnd"/>
            <w:r w:rsidRPr="00A51019">
              <w:rPr>
                <w:sz w:val="18"/>
                <w:szCs w:val="18"/>
                <w:lang w:val="es-ES"/>
              </w:rPr>
              <w:t>,</w:t>
            </w:r>
          </w:p>
          <w:p w14:paraId="192569E6" w14:textId="77777777" w:rsidR="0083653C" w:rsidRPr="00346F75" w:rsidRDefault="0083653C" w:rsidP="006B686D">
            <w:pPr>
              <w:spacing w:line="240" w:lineRule="auto"/>
              <w:rPr>
                <w:sz w:val="18"/>
                <w:szCs w:val="18"/>
                <w:lang w:val="nb-NO"/>
              </w:rPr>
            </w:pPr>
            <w:r w:rsidRPr="00A51019">
              <w:rPr>
                <w:sz w:val="18"/>
                <w:szCs w:val="18"/>
                <w:lang w:val="es-ES"/>
              </w:rPr>
              <w:t>Trombosis venosa profunda</w:t>
            </w:r>
          </w:p>
        </w:tc>
        <w:tc>
          <w:tcPr>
            <w:tcW w:w="386" w:type="pct"/>
          </w:tcPr>
          <w:p w14:paraId="4B5C5EF1" w14:textId="77777777" w:rsidR="0083653C" w:rsidRPr="00346F75" w:rsidRDefault="0083653C" w:rsidP="006B686D">
            <w:pPr>
              <w:spacing w:line="240" w:lineRule="auto"/>
              <w:rPr>
                <w:sz w:val="18"/>
                <w:szCs w:val="18"/>
                <w:lang w:val="nb-NO"/>
              </w:rPr>
            </w:pPr>
          </w:p>
        </w:tc>
        <w:tc>
          <w:tcPr>
            <w:tcW w:w="488" w:type="pct"/>
          </w:tcPr>
          <w:p w14:paraId="31B31AD8" w14:textId="77777777" w:rsidR="0083653C" w:rsidRPr="00346F75" w:rsidRDefault="0083653C" w:rsidP="006B686D">
            <w:pPr>
              <w:spacing w:line="240" w:lineRule="auto"/>
              <w:rPr>
                <w:sz w:val="18"/>
                <w:szCs w:val="18"/>
                <w:lang w:val="nb-NO"/>
              </w:rPr>
            </w:pPr>
          </w:p>
        </w:tc>
        <w:tc>
          <w:tcPr>
            <w:tcW w:w="488" w:type="pct"/>
          </w:tcPr>
          <w:p w14:paraId="3F199B66" w14:textId="77777777" w:rsidR="0083653C" w:rsidRPr="00346F75" w:rsidRDefault="0083653C" w:rsidP="006B686D">
            <w:pPr>
              <w:spacing w:line="240" w:lineRule="auto"/>
              <w:rPr>
                <w:sz w:val="18"/>
                <w:szCs w:val="18"/>
                <w:lang w:val="nb-NO"/>
              </w:rPr>
            </w:pPr>
          </w:p>
        </w:tc>
        <w:tc>
          <w:tcPr>
            <w:tcW w:w="941" w:type="pct"/>
            <w:noWrap/>
          </w:tcPr>
          <w:p w14:paraId="7124DF11" w14:textId="28B73E62" w:rsidR="001B74AB" w:rsidRDefault="0083653C" w:rsidP="006B686D">
            <w:pPr>
              <w:spacing w:line="240" w:lineRule="auto"/>
              <w:rPr>
                <w:sz w:val="18"/>
                <w:szCs w:val="18"/>
                <w:lang w:val="es-ES"/>
              </w:rPr>
            </w:pPr>
            <w:r w:rsidRPr="00A51019">
              <w:rPr>
                <w:sz w:val="18"/>
                <w:szCs w:val="18"/>
                <w:lang w:val="es-ES"/>
              </w:rPr>
              <w:t xml:space="preserve">Microangiopatía trombótica renal </w:t>
            </w:r>
            <w:proofErr w:type="spellStart"/>
            <w:proofErr w:type="gramStart"/>
            <w:r w:rsidRPr="00A51019">
              <w:rPr>
                <w:sz w:val="18"/>
                <w:szCs w:val="18"/>
                <w:vertAlign w:val="superscript"/>
                <w:lang w:val="es-ES"/>
              </w:rPr>
              <w:t>b,c</w:t>
            </w:r>
            <w:proofErr w:type="spellEnd"/>
            <w:proofErr w:type="gramEnd"/>
            <w:r w:rsidR="001B74AB">
              <w:rPr>
                <w:sz w:val="18"/>
                <w:szCs w:val="18"/>
                <w:lang w:val="es-ES"/>
              </w:rPr>
              <w:t xml:space="preserve">, </w:t>
            </w:r>
          </w:p>
          <w:p w14:paraId="546B641B" w14:textId="32B191C3" w:rsidR="0083653C" w:rsidRPr="009973F0" w:rsidRDefault="001B74AB" w:rsidP="006B686D">
            <w:pPr>
              <w:spacing w:line="240" w:lineRule="auto"/>
              <w:rPr>
                <w:sz w:val="18"/>
                <w:szCs w:val="18"/>
                <w:lang w:val="es-ES"/>
              </w:rPr>
            </w:pPr>
            <w:r w:rsidRPr="004A42D1">
              <w:rPr>
                <w:sz w:val="18"/>
                <w:szCs w:val="18"/>
                <w:lang w:val="es-ES"/>
              </w:rPr>
              <w:t>Aneurisma</w:t>
            </w:r>
            <w:r w:rsidR="00332029" w:rsidRPr="004A42D1">
              <w:rPr>
                <w:sz w:val="18"/>
                <w:szCs w:val="18"/>
                <w:lang w:val="es-ES"/>
              </w:rPr>
              <w:t>s</w:t>
            </w:r>
            <w:r w:rsidRPr="004A42D1">
              <w:rPr>
                <w:sz w:val="18"/>
                <w:szCs w:val="18"/>
                <w:lang w:val="es-ES"/>
              </w:rPr>
              <w:t xml:space="preserve"> y disecciones arteriales</w:t>
            </w:r>
          </w:p>
        </w:tc>
      </w:tr>
      <w:tr w:rsidR="00262475" w:rsidRPr="00714463" w14:paraId="3D5FA13B" w14:textId="77777777" w:rsidTr="00262475">
        <w:trPr>
          <w:cantSplit/>
          <w:trHeight w:val="300"/>
        </w:trPr>
        <w:tc>
          <w:tcPr>
            <w:tcW w:w="1112" w:type="pct"/>
            <w:noWrap/>
          </w:tcPr>
          <w:p w14:paraId="2185EECB" w14:textId="77777777" w:rsidR="0083653C" w:rsidRPr="00A51019" w:rsidRDefault="0083653C" w:rsidP="006B686D">
            <w:pPr>
              <w:spacing w:line="240" w:lineRule="auto"/>
              <w:rPr>
                <w:sz w:val="18"/>
                <w:szCs w:val="18"/>
                <w:lang w:val="es-ES"/>
              </w:rPr>
            </w:pPr>
            <w:r w:rsidRPr="00A51019">
              <w:rPr>
                <w:sz w:val="18"/>
                <w:szCs w:val="18"/>
                <w:lang w:val="es-ES"/>
              </w:rPr>
              <w:lastRenderedPageBreak/>
              <w:t>Trastornos respiratorios, torácicos y mediastínicos</w:t>
            </w:r>
          </w:p>
        </w:tc>
        <w:tc>
          <w:tcPr>
            <w:tcW w:w="724" w:type="pct"/>
            <w:noWrap/>
          </w:tcPr>
          <w:p w14:paraId="2A26B7C4" w14:textId="77777777" w:rsidR="0083653C" w:rsidRPr="00A51019" w:rsidRDefault="0083653C" w:rsidP="006B686D">
            <w:pPr>
              <w:spacing w:line="240" w:lineRule="auto"/>
              <w:rPr>
                <w:sz w:val="18"/>
                <w:szCs w:val="18"/>
                <w:lang w:val="es-ES"/>
              </w:rPr>
            </w:pPr>
          </w:p>
        </w:tc>
        <w:tc>
          <w:tcPr>
            <w:tcW w:w="860" w:type="pct"/>
            <w:noWrap/>
          </w:tcPr>
          <w:p w14:paraId="2A64A1C3" w14:textId="77777777" w:rsidR="0083653C" w:rsidRPr="00A51019" w:rsidRDefault="0083653C" w:rsidP="006B686D">
            <w:pPr>
              <w:spacing w:line="240" w:lineRule="auto"/>
              <w:rPr>
                <w:sz w:val="18"/>
                <w:szCs w:val="18"/>
                <w:lang w:val="es-ES"/>
              </w:rPr>
            </w:pPr>
            <w:r w:rsidRPr="00A51019">
              <w:rPr>
                <w:sz w:val="18"/>
                <w:szCs w:val="18"/>
                <w:lang w:val="es-ES"/>
              </w:rPr>
              <w:t>Hemorragia pulmonar/</w:t>
            </w:r>
          </w:p>
          <w:p w14:paraId="719E7B39" w14:textId="77777777" w:rsidR="0083653C" w:rsidRPr="00A51019" w:rsidRDefault="0083653C" w:rsidP="006B686D">
            <w:pPr>
              <w:spacing w:line="240" w:lineRule="auto"/>
              <w:rPr>
                <w:sz w:val="18"/>
                <w:szCs w:val="18"/>
                <w:lang w:val="es-ES"/>
              </w:rPr>
            </w:pPr>
            <w:proofErr w:type="spellStart"/>
            <w:proofErr w:type="gramStart"/>
            <w:r w:rsidRPr="00A51019">
              <w:rPr>
                <w:sz w:val="18"/>
                <w:szCs w:val="18"/>
                <w:lang w:val="es-ES"/>
              </w:rPr>
              <w:t>Hemoptisis</w:t>
            </w:r>
            <w:r w:rsidRPr="00A51019">
              <w:rPr>
                <w:sz w:val="18"/>
                <w:szCs w:val="18"/>
                <w:vertAlign w:val="superscript"/>
                <w:lang w:val="es-ES"/>
              </w:rPr>
              <w:t>a,b</w:t>
            </w:r>
            <w:proofErr w:type="spellEnd"/>
            <w:proofErr w:type="gramEnd"/>
            <w:r w:rsidRPr="00A51019">
              <w:rPr>
                <w:sz w:val="18"/>
                <w:szCs w:val="18"/>
                <w:lang w:val="es-ES"/>
              </w:rPr>
              <w:t>,</w:t>
            </w:r>
          </w:p>
          <w:p w14:paraId="67EA1B30" w14:textId="77777777" w:rsidR="0083653C" w:rsidRPr="00A51019" w:rsidRDefault="0083653C" w:rsidP="006B686D">
            <w:pPr>
              <w:spacing w:line="240" w:lineRule="auto"/>
              <w:rPr>
                <w:sz w:val="18"/>
                <w:szCs w:val="18"/>
                <w:lang w:val="es-ES"/>
              </w:rPr>
            </w:pPr>
            <w:r w:rsidRPr="00A51019">
              <w:rPr>
                <w:sz w:val="18"/>
                <w:szCs w:val="18"/>
                <w:lang w:val="es-ES"/>
              </w:rPr>
              <w:t>Embolia pulmonar,</w:t>
            </w:r>
          </w:p>
          <w:p w14:paraId="1B21E66B" w14:textId="77777777" w:rsidR="0083653C" w:rsidRPr="009B581C" w:rsidRDefault="0083653C" w:rsidP="006B686D">
            <w:pPr>
              <w:spacing w:line="240" w:lineRule="auto"/>
              <w:rPr>
                <w:sz w:val="18"/>
                <w:szCs w:val="18"/>
                <w:lang w:val="es-ES"/>
              </w:rPr>
            </w:pPr>
            <w:r w:rsidRPr="009B581C">
              <w:rPr>
                <w:sz w:val="18"/>
                <w:szCs w:val="18"/>
                <w:lang w:val="es-ES"/>
              </w:rPr>
              <w:t>Epistaxis,</w:t>
            </w:r>
          </w:p>
          <w:p w14:paraId="7E915283" w14:textId="77777777" w:rsidR="0083653C" w:rsidRPr="009B581C" w:rsidRDefault="0083653C" w:rsidP="006B686D">
            <w:pPr>
              <w:spacing w:line="240" w:lineRule="auto"/>
              <w:rPr>
                <w:sz w:val="18"/>
                <w:szCs w:val="18"/>
                <w:lang w:val="es-ES"/>
              </w:rPr>
            </w:pPr>
            <w:r w:rsidRPr="009B581C">
              <w:rPr>
                <w:sz w:val="18"/>
                <w:szCs w:val="18"/>
                <w:lang w:val="es-ES"/>
              </w:rPr>
              <w:t>Disnea,</w:t>
            </w:r>
          </w:p>
          <w:p w14:paraId="28175BE9" w14:textId="77777777" w:rsidR="0083653C" w:rsidRPr="009B581C" w:rsidRDefault="005C5627" w:rsidP="006B686D">
            <w:pPr>
              <w:spacing w:line="240" w:lineRule="auto"/>
              <w:rPr>
                <w:sz w:val="18"/>
                <w:szCs w:val="18"/>
                <w:lang w:val="es-ES"/>
              </w:rPr>
            </w:pPr>
            <w:r w:rsidRPr="009B581C">
              <w:rPr>
                <w:sz w:val="18"/>
                <w:szCs w:val="18"/>
                <w:lang w:val="es-ES"/>
              </w:rPr>
              <w:t>Hipoxia</w:t>
            </w:r>
          </w:p>
        </w:tc>
        <w:tc>
          <w:tcPr>
            <w:tcW w:w="386" w:type="pct"/>
          </w:tcPr>
          <w:p w14:paraId="232DB7E9" w14:textId="77777777" w:rsidR="0083653C" w:rsidRPr="009B581C" w:rsidRDefault="0083653C" w:rsidP="006B686D">
            <w:pPr>
              <w:spacing w:line="240" w:lineRule="auto"/>
              <w:rPr>
                <w:sz w:val="18"/>
                <w:szCs w:val="18"/>
                <w:lang w:val="es-ES"/>
              </w:rPr>
            </w:pPr>
          </w:p>
        </w:tc>
        <w:tc>
          <w:tcPr>
            <w:tcW w:w="488" w:type="pct"/>
          </w:tcPr>
          <w:p w14:paraId="2BF53D50" w14:textId="77777777" w:rsidR="0083653C" w:rsidRPr="009B581C" w:rsidRDefault="0083653C" w:rsidP="006B686D">
            <w:pPr>
              <w:spacing w:line="240" w:lineRule="auto"/>
              <w:rPr>
                <w:sz w:val="18"/>
                <w:szCs w:val="18"/>
                <w:lang w:val="es-ES"/>
              </w:rPr>
            </w:pPr>
          </w:p>
        </w:tc>
        <w:tc>
          <w:tcPr>
            <w:tcW w:w="488" w:type="pct"/>
          </w:tcPr>
          <w:p w14:paraId="7A3DED77" w14:textId="77777777" w:rsidR="0083653C" w:rsidRPr="009B581C" w:rsidRDefault="0083653C" w:rsidP="006B686D">
            <w:pPr>
              <w:spacing w:line="240" w:lineRule="auto"/>
              <w:rPr>
                <w:sz w:val="18"/>
                <w:szCs w:val="18"/>
                <w:lang w:val="es-ES"/>
              </w:rPr>
            </w:pPr>
          </w:p>
        </w:tc>
        <w:tc>
          <w:tcPr>
            <w:tcW w:w="941" w:type="pct"/>
            <w:noWrap/>
          </w:tcPr>
          <w:p w14:paraId="34CBF268" w14:textId="00EF6AD2" w:rsidR="0083653C" w:rsidRPr="00346F75" w:rsidRDefault="0083653C" w:rsidP="006B686D">
            <w:pPr>
              <w:spacing w:line="240" w:lineRule="auto"/>
              <w:rPr>
                <w:sz w:val="18"/>
                <w:szCs w:val="18"/>
                <w:lang w:val="da-DK"/>
              </w:rPr>
            </w:pPr>
            <w:r w:rsidRPr="00346F75">
              <w:rPr>
                <w:sz w:val="18"/>
                <w:szCs w:val="18"/>
                <w:lang w:val="da-DK"/>
              </w:rPr>
              <w:t>Hipertensión pulmonar</w:t>
            </w:r>
            <w:r w:rsidRPr="00346F75">
              <w:rPr>
                <w:sz w:val="18"/>
                <w:szCs w:val="18"/>
                <w:vertAlign w:val="superscript"/>
                <w:lang w:val="da-DK"/>
              </w:rPr>
              <w:t>c</w:t>
            </w:r>
            <w:r w:rsidRPr="00346F75">
              <w:rPr>
                <w:sz w:val="18"/>
                <w:szCs w:val="18"/>
                <w:lang w:val="da-DK"/>
              </w:rPr>
              <w:t>,</w:t>
            </w:r>
          </w:p>
          <w:p w14:paraId="0F1F4325" w14:textId="212D1E2D" w:rsidR="0083653C" w:rsidRPr="00346F75" w:rsidRDefault="0083653C" w:rsidP="00A4245F">
            <w:pPr>
              <w:spacing w:line="240" w:lineRule="auto"/>
              <w:rPr>
                <w:sz w:val="18"/>
                <w:szCs w:val="18"/>
                <w:lang w:val="da-DK"/>
              </w:rPr>
            </w:pPr>
            <w:r w:rsidRPr="00346F75">
              <w:rPr>
                <w:sz w:val="18"/>
                <w:szCs w:val="18"/>
                <w:lang w:val="da-DK"/>
              </w:rPr>
              <w:t>Perforación del tabique nasal</w:t>
            </w:r>
            <w:r w:rsidR="00A4245F" w:rsidRPr="00346F75">
              <w:rPr>
                <w:sz w:val="18"/>
                <w:szCs w:val="18"/>
                <w:vertAlign w:val="superscript"/>
                <w:lang w:val="da-DK"/>
              </w:rPr>
              <w:t>c</w:t>
            </w:r>
          </w:p>
        </w:tc>
      </w:tr>
      <w:tr w:rsidR="00262475" w:rsidRPr="009B581C" w14:paraId="4A05C9F8" w14:textId="77777777" w:rsidTr="00262475">
        <w:trPr>
          <w:cantSplit/>
          <w:trHeight w:val="300"/>
        </w:trPr>
        <w:tc>
          <w:tcPr>
            <w:tcW w:w="1112" w:type="pct"/>
            <w:noWrap/>
          </w:tcPr>
          <w:p w14:paraId="18B93684" w14:textId="6131BC9B" w:rsidR="0083653C" w:rsidRPr="00346F75" w:rsidRDefault="0083653C" w:rsidP="006B686D">
            <w:pPr>
              <w:spacing w:line="240" w:lineRule="auto"/>
              <w:rPr>
                <w:sz w:val="18"/>
                <w:szCs w:val="18"/>
              </w:rPr>
            </w:pPr>
            <w:proofErr w:type="spellStart"/>
            <w:r w:rsidRPr="00346F75">
              <w:rPr>
                <w:sz w:val="18"/>
                <w:szCs w:val="18"/>
              </w:rPr>
              <w:t>Trastornos</w:t>
            </w:r>
            <w:proofErr w:type="spellEnd"/>
            <w:r w:rsidRPr="00346F75">
              <w:rPr>
                <w:sz w:val="18"/>
                <w:szCs w:val="18"/>
              </w:rPr>
              <w:t xml:space="preserve"> </w:t>
            </w:r>
            <w:proofErr w:type="spellStart"/>
            <w:r w:rsidRPr="00346F75">
              <w:rPr>
                <w:sz w:val="18"/>
                <w:szCs w:val="18"/>
              </w:rPr>
              <w:t>gastrointestinales</w:t>
            </w:r>
            <w:proofErr w:type="spellEnd"/>
          </w:p>
        </w:tc>
        <w:tc>
          <w:tcPr>
            <w:tcW w:w="724" w:type="pct"/>
            <w:noWrap/>
          </w:tcPr>
          <w:p w14:paraId="146D36E1" w14:textId="77777777" w:rsidR="0083653C" w:rsidRPr="00A51019" w:rsidRDefault="0083653C" w:rsidP="006B686D">
            <w:pPr>
              <w:spacing w:line="240" w:lineRule="auto"/>
              <w:rPr>
                <w:sz w:val="18"/>
                <w:szCs w:val="18"/>
                <w:lang w:val="es-ES"/>
              </w:rPr>
            </w:pPr>
            <w:r w:rsidRPr="00A51019">
              <w:rPr>
                <w:sz w:val="18"/>
                <w:szCs w:val="18"/>
                <w:lang w:val="es-ES"/>
              </w:rPr>
              <w:t>Diarrea,</w:t>
            </w:r>
          </w:p>
          <w:p w14:paraId="3CDF0FCF" w14:textId="77777777" w:rsidR="0083653C" w:rsidRPr="00A51019" w:rsidRDefault="0083653C" w:rsidP="006B686D">
            <w:pPr>
              <w:spacing w:line="240" w:lineRule="auto"/>
              <w:rPr>
                <w:sz w:val="18"/>
                <w:szCs w:val="18"/>
                <w:lang w:val="es-ES"/>
              </w:rPr>
            </w:pPr>
            <w:r w:rsidRPr="00A51019">
              <w:rPr>
                <w:sz w:val="18"/>
                <w:szCs w:val="18"/>
                <w:lang w:val="es-ES"/>
              </w:rPr>
              <w:t>Náuseas,</w:t>
            </w:r>
          </w:p>
          <w:p w14:paraId="546E4945" w14:textId="77777777" w:rsidR="0083653C" w:rsidRPr="00A51019" w:rsidRDefault="0083653C" w:rsidP="006B686D">
            <w:pPr>
              <w:spacing w:line="240" w:lineRule="auto"/>
              <w:rPr>
                <w:sz w:val="18"/>
                <w:szCs w:val="18"/>
                <w:lang w:val="es-ES"/>
              </w:rPr>
            </w:pPr>
            <w:r w:rsidRPr="00A51019">
              <w:rPr>
                <w:sz w:val="18"/>
                <w:szCs w:val="18"/>
                <w:lang w:val="es-ES"/>
              </w:rPr>
              <w:t>Vómitos,</w:t>
            </w:r>
          </w:p>
          <w:p w14:paraId="25FDCA70" w14:textId="77777777" w:rsidR="0083653C" w:rsidRPr="00A51019" w:rsidRDefault="0083653C" w:rsidP="006B686D">
            <w:pPr>
              <w:spacing w:line="240" w:lineRule="auto"/>
              <w:rPr>
                <w:sz w:val="18"/>
                <w:szCs w:val="18"/>
                <w:lang w:val="es-ES"/>
              </w:rPr>
            </w:pPr>
            <w:r w:rsidRPr="00A51019">
              <w:rPr>
                <w:sz w:val="18"/>
                <w:szCs w:val="18"/>
                <w:lang w:val="es-ES"/>
              </w:rPr>
              <w:t>Dolor abdominal</w:t>
            </w:r>
          </w:p>
        </w:tc>
        <w:tc>
          <w:tcPr>
            <w:tcW w:w="860" w:type="pct"/>
            <w:noWrap/>
          </w:tcPr>
          <w:p w14:paraId="144BF385" w14:textId="77777777" w:rsidR="0083653C" w:rsidRPr="00A51019" w:rsidRDefault="0083653C" w:rsidP="006B686D">
            <w:pPr>
              <w:spacing w:line="240" w:lineRule="auto"/>
              <w:rPr>
                <w:sz w:val="18"/>
                <w:szCs w:val="18"/>
                <w:lang w:val="es-ES"/>
              </w:rPr>
            </w:pPr>
            <w:r w:rsidRPr="00A51019">
              <w:rPr>
                <w:sz w:val="18"/>
                <w:szCs w:val="18"/>
                <w:lang w:val="es-ES"/>
              </w:rPr>
              <w:t>Perforación intestinal,</w:t>
            </w:r>
          </w:p>
          <w:p w14:paraId="40C9FE12" w14:textId="77777777" w:rsidR="0083653C" w:rsidRPr="00A51019" w:rsidRDefault="0083653C" w:rsidP="006B686D">
            <w:pPr>
              <w:spacing w:line="240" w:lineRule="auto"/>
              <w:rPr>
                <w:sz w:val="18"/>
                <w:szCs w:val="18"/>
                <w:lang w:val="es-ES"/>
              </w:rPr>
            </w:pPr>
            <w:r w:rsidRPr="00A51019">
              <w:rPr>
                <w:sz w:val="18"/>
                <w:szCs w:val="18"/>
                <w:lang w:val="es-ES"/>
              </w:rPr>
              <w:t>Íleo,</w:t>
            </w:r>
          </w:p>
          <w:p w14:paraId="2024E0B1" w14:textId="77777777" w:rsidR="0083653C" w:rsidRPr="00A51019" w:rsidRDefault="0083653C" w:rsidP="006B686D">
            <w:pPr>
              <w:spacing w:line="240" w:lineRule="auto"/>
              <w:rPr>
                <w:sz w:val="18"/>
                <w:szCs w:val="18"/>
                <w:lang w:val="es-ES"/>
              </w:rPr>
            </w:pPr>
            <w:r w:rsidRPr="00A51019">
              <w:rPr>
                <w:sz w:val="18"/>
                <w:szCs w:val="18"/>
                <w:lang w:val="es-ES"/>
              </w:rPr>
              <w:t>Obstrucción intestinal,</w:t>
            </w:r>
          </w:p>
          <w:p w14:paraId="41CCAC36" w14:textId="77777777" w:rsidR="0083653C" w:rsidRPr="00A51019" w:rsidRDefault="00C647EA" w:rsidP="006B686D">
            <w:pPr>
              <w:spacing w:line="240" w:lineRule="auto"/>
              <w:rPr>
                <w:sz w:val="18"/>
                <w:szCs w:val="18"/>
                <w:lang w:val="es-ES"/>
              </w:rPr>
            </w:pPr>
            <w:r w:rsidRPr="00A51019">
              <w:rPr>
                <w:sz w:val="18"/>
                <w:szCs w:val="18"/>
                <w:lang w:val="es-ES"/>
              </w:rPr>
              <w:t xml:space="preserve">Fístulas </w:t>
            </w:r>
            <w:proofErr w:type="spellStart"/>
            <w:proofErr w:type="gramStart"/>
            <w:r w:rsidRPr="00A51019">
              <w:rPr>
                <w:sz w:val="18"/>
                <w:szCs w:val="18"/>
                <w:lang w:val="es-ES"/>
              </w:rPr>
              <w:t>recto</w:t>
            </w:r>
            <w:r w:rsidR="0083653C" w:rsidRPr="00A51019">
              <w:rPr>
                <w:sz w:val="18"/>
                <w:szCs w:val="18"/>
                <w:lang w:val="es-ES"/>
              </w:rPr>
              <w:t>vaginales</w:t>
            </w:r>
            <w:r w:rsidR="0083653C" w:rsidRPr="00A51019">
              <w:rPr>
                <w:sz w:val="18"/>
                <w:szCs w:val="18"/>
                <w:vertAlign w:val="superscript"/>
                <w:lang w:val="es-ES"/>
              </w:rPr>
              <w:t>c,d</w:t>
            </w:r>
            <w:proofErr w:type="spellEnd"/>
            <w:proofErr w:type="gramEnd"/>
            <w:r w:rsidR="0083653C" w:rsidRPr="00A51019">
              <w:rPr>
                <w:sz w:val="18"/>
                <w:szCs w:val="18"/>
                <w:lang w:val="es-ES"/>
              </w:rPr>
              <w:t>,</w:t>
            </w:r>
          </w:p>
          <w:p w14:paraId="63F75926" w14:textId="77777777" w:rsidR="0083653C" w:rsidRPr="00A51019" w:rsidRDefault="0083653C" w:rsidP="006B686D">
            <w:pPr>
              <w:spacing w:line="240" w:lineRule="auto"/>
              <w:rPr>
                <w:sz w:val="18"/>
                <w:szCs w:val="18"/>
                <w:lang w:val="es-ES"/>
              </w:rPr>
            </w:pPr>
            <w:r w:rsidRPr="00A51019">
              <w:rPr>
                <w:sz w:val="18"/>
                <w:szCs w:val="18"/>
                <w:lang w:val="es-ES"/>
              </w:rPr>
              <w:t>Trastorno gastrointestinal,</w:t>
            </w:r>
          </w:p>
          <w:p w14:paraId="2323F63A" w14:textId="77777777" w:rsidR="0083653C" w:rsidRPr="00346F75" w:rsidRDefault="0083653C" w:rsidP="006B686D">
            <w:pPr>
              <w:spacing w:line="240" w:lineRule="auto"/>
              <w:rPr>
                <w:sz w:val="18"/>
                <w:szCs w:val="18"/>
              </w:rPr>
            </w:pPr>
            <w:proofErr w:type="spellStart"/>
            <w:r w:rsidRPr="00346F75">
              <w:rPr>
                <w:sz w:val="18"/>
                <w:szCs w:val="18"/>
              </w:rPr>
              <w:t>Estomatitis</w:t>
            </w:r>
            <w:proofErr w:type="spellEnd"/>
            <w:r w:rsidRPr="00346F75">
              <w:rPr>
                <w:sz w:val="18"/>
                <w:szCs w:val="18"/>
              </w:rPr>
              <w:t>,</w:t>
            </w:r>
          </w:p>
          <w:p w14:paraId="35A9C65E" w14:textId="77777777" w:rsidR="0083653C" w:rsidRPr="00346F75" w:rsidRDefault="0083653C" w:rsidP="006B686D">
            <w:pPr>
              <w:spacing w:line="240" w:lineRule="auto"/>
              <w:rPr>
                <w:sz w:val="18"/>
                <w:szCs w:val="18"/>
              </w:rPr>
            </w:pPr>
            <w:r w:rsidRPr="00346F75">
              <w:rPr>
                <w:sz w:val="18"/>
                <w:szCs w:val="18"/>
              </w:rPr>
              <w:t>Proctalgia</w:t>
            </w:r>
          </w:p>
        </w:tc>
        <w:tc>
          <w:tcPr>
            <w:tcW w:w="386" w:type="pct"/>
          </w:tcPr>
          <w:p w14:paraId="4D2BDFEF" w14:textId="77777777" w:rsidR="0083653C" w:rsidRPr="00346F75" w:rsidRDefault="0083653C" w:rsidP="006B686D">
            <w:pPr>
              <w:spacing w:line="240" w:lineRule="auto"/>
              <w:rPr>
                <w:sz w:val="18"/>
                <w:szCs w:val="18"/>
              </w:rPr>
            </w:pPr>
          </w:p>
        </w:tc>
        <w:tc>
          <w:tcPr>
            <w:tcW w:w="488" w:type="pct"/>
          </w:tcPr>
          <w:p w14:paraId="273AC139" w14:textId="77777777" w:rsidR="0083653C" w:rsidRPr="00346F75" w:rsidRDefault="0083653C" w:rsidP="006B686D">
            <w:pPr>
              <w:spacing w:line="240" w:lineRule="auto"/>
              <w:rPr>
                <w:sz w:val="18"/>
                <w:szCs w:val="18"/>
              </w:rPr>
            </w:pPr>
          </w:p>
        </w:tc>
        <w:tc>
          <w:tcPr>
            <w:tcW w:w="488" w:type="pct"/>
          </w:tcPr>
          <w:p w14:paraId="141362AE" w14:textId="77777777" w:rsidR="0083653C" w:rsidRPr="00346F75" w:rsidRDefault="0083653C" w:rsidP="006B686D">
            <w:pPr>
              <w:spacing w:line="240" w:lineRule="auto"/>
              <w:rPr>
                <w:sz w:val="18"/>
                <w:szCs w:val="18"/>
              </w:rPr>
            </w:pPr>
          </w:p>
        </w:tc>
        <w:tc>
          <w:tcPr>
            <w:tcW w:w="941" w:type="pct"/>
            <w:noWrap/>
          </w:tcPr>
          <w:p w14:paraId="46BD5ED0" w14:textId="77777777" w:rsidR="0083653C" w:rsidRPr="00A51019" w:rsidRDefault="0083653C" w:rsidP="006B686D">
            <w:pPr>
              <w:autoSpaceDE w:val="0"/>
              <w:autoSpaceDN w:val="0"/>
              <w:adjustRightInd w:val="0"/>
              <w:spacing w:line="240" w:lineRule="auto"/>
              <w:rPr>
                <w:sz w:val="18"/>
                <w:szCs w:val="18"/>
                <w:lang w:val="es-ES"/>
              </w:rPr>
            </w:pPr>
            <w:r w:rsidRPr="00A51019">
              <w:rPr>
                <w:sz w:val="18"/>
                <w:szCs w:val="18"/>
                <w:lang w:val="es-ES"/>
              </w:rPr>
              <w:t xml:space="preserve">Perforación </w:t>
            </w:r>
            <w:proofErr w:type="spellStart"/>
            <w:proofErr w:type="gramStart"/>
            <w:r w:rsidRPr="00A51019">
              <w:rPr>
                <w:sz w:val="18"/>
                <w:szCs w:val="18"/>
                <w:lang w:val="es-ES"/>
              </w:rPr>
              <w:t>gastrointestinal</w:t>
            </w:r>
            <w:r w:rsidRPr="00A51019">
              <w:rPr>
                <w:sz w:val="18"/>
                <w:szCs w:val="18"/>
                <w:vertAlign w:val="superscript"/>
                <w:lang w:val="es-ES"/>
              </w:rPr>
              <w:t>a,b</w:t>
            </w:r>
            <w:proofErr w:type="spellEnd"/>
            <w:proofErr w:type="gramEnd"/>
            <w:r w:rsidRPr="00A51019">
              <w:rPr>
                <w:sz w:val="18"/>
                <w:szCs w:val="18"/>
                <w:lang w:val="es-ES"/>
              </w:rPr>
              <w:t>,</w:t>
            </w:r>
          </w:p>
          <w:p w14:paraId="69EB34D7" w14:textId="77777777" w:rsidR="0083653C" w:rsidRPr="00A51019" w:rsidRDefault="0083653C" w:rsidP="006B686D">
            <w:pPr>
              <w:autoSpaceDE w:val="0"/>
              <w:autoSpaceDN w:val="0"/>
              <w:adjustRightInd w:val="0"/>
              <w:spacing w:line="240" w:lineRule="auto"/>
              <w:rPr>
                <w:sz w:val="18"/>
                <w:szCs w:val="18"/>
                <w:lang w:val="es-ES"/>
              </w:rPr>
            </w:pPr>
            <w:r w:rsidRPr="00A51019">
              <w:rPr>
                <w:sz w:val="18"/>
                <w:szCs w:val="18"/>
                <w:lang w:val="es-ES"/>
              </w:rPr>
              <w:t xml:space="preserve">Úlcera </w:t>
            </w:r>
            <w:proofErr w:type="spellStart"/>
            <w:r w:rsidRPr="00A51019">
              <w:rPr>
                <w:sz w:val="18"/>
                <w:szCs w:val="18"/>
                <w:lang w:val="es-ES"/>
              </w:rPr>
              <w:t>gastrointestinal</w:t>
            </w:r>
            <w:r w:rsidRPr="00A51019">
              <w:rPr>
                <w:sz w:val="18"/>
                <w:szCs w:val="18"/>
                <w:vertAlign w:val="superscript"/>
                <w:lang w:val="es-ES"/>
              </w:rPr>
              <w:t>c</w:t>
            </w:r>
            <w:proofErr w:type="spellEnd"/>
            <w:r w:rsidRPr="00A51019">
              <w:rPr>
                <w:sz w:val="18"/>
                <w:szCs w:val="18"/>
                <w:lang w:val="es-ES"/>
              </w:rPr>
              <w:t>,</w:t>
            </w:r>
          </w:p>
          <w:p w14:paraId="7F570FCB" w14:textId="77777777" w:rsidR="0083653C" w:rsidRPr="009B581C" w:rsidRDefault="0083653C" w:rsidP="006B686D">
            <w:pPr>
              <w:autoSpaceDE w:val="0"/>
              <w:autoSpaceDN w:val="0"/>
              <w:adjustRightInd w:val="0"/>
              <w:spacing w:line="240" w:lineRule="auto"/>
              <w:rPr>
                <w:sz w:val="18"/>
                <w:szCs w:val="18"/>
                <w:lang w:val="it-IT"/>
              </w:rPr>
            </w:pPr>
            <w:r w:rsidRPr="009B581C">
              <w:rPr>
                <w:sz w:val="18"/>
                <w:szCs w:val="18"/>
                <w:lang w:val="it-IT"/>
              </w:rPr>
              <w:t>Hemoragia rectal</w:t>
            </w:r>
          </w:p>
        </w:tc>
      </w:tr>
      <w:tr w:rsidR="00262475" w:rsidRPr="002C10E1" w14:paraId="04C858C9" w14:textId="77777777" w:rsidTr="00262475">
        <w:trPr>
          <w:cantSplit/>
          <w:trHeight w:val="300"/>
        </w:trPr>
        <w:tc>
          <w:tcPr>
            <w:tcW w:w="1112" w:type="pct"/>
            <w:noWrap/>
          </w:tcPr>
          <w:p w14:paraId="5B22063C" w14:textId="77777777" w:rsidR="0083653C" w:rsidRPr="00346F75" w:rsidRDefault="0083653C" w:rsidP="006B686D">
            <w:pPr>
              <w:spacing w:line="240" w:lineRule="auto"/>
              <w:rPr>
                <w:sz w:val="18"/>
                <w:szCs w:val="18"/>
              </w:rPr>
            </w:pPr>
            <w:proofErr w:type="spellStart"/>
            <w:r w:rsidRPr="00346F75">
              <w:rPr>
                <w:sz w:val="18"/>
                <w:szCs w:val="18"/>
              </w:rPr>
              <w:t>Trastornos</w:t>
            </w:r>
            <w:proofErr w:type="spellEnd"/>
            <w:r w:rsidRPr="00346F75">
              <w:rPr>
                <w:sz w:val="18"/>
                <w:szCs w:val="18"/>
              </w:rPr>
              <w:t xml:space="preserve"> </w:t>
            </w:r>
            <w:proofErr w:type="spellStart"/>
            <w:r w:rsidRPr="00346F75">
              <w:rPr>
                <w:sz w:val="18"/>
                <w:szCs w:val="18"/>
              </w:rPr>
              <w:t>hepatobiliares</w:t>
            </w:r>
            <w:proofErr w:type="spellEnd"/>
          </w:p>
        </w:tc>
        <w:tc>
          <w:tcPr>
            <w:tcW w:w="724" w:type="pct"/>
          </w:tcPr>
          <w:p w14:paraId="43560F27" w14:textId="77777777" w:rsidR="0083653C" w:rsidRPr="00346F75" w:rsidRDefault="0083653C" w:rsidP="006B686D">
            <w:pPr>
              <w:spacing w:line="240" w:lineRule="auto"/>
              <w:rPr>
                <w:sz w:val="18"/>
                <w:szCs w:val="18"/>
              </w:rPr>
            </w:pPr>
          </w:p>
        </w:tc>
        <w:tc>
          <w:tcPr>
            <w:tcW w:w="860" w:type="pct"/>
            <w:noWrap/>
          </w:tcPr>
          <w:p w14:paraId="57901F76" w14:textId="77777777" w:rsidR="0083653C" w:rsidRPr="00346F75" w:rsidRDefault="0083653C" w:rsidP="006B686D">
            <w:pPr>
              <w:spacing w:line="240" w:lineRule="auto"/>
              <w:rPr>
                <w:sz w:val="18"/>
                <w:szCs w:val="18"/>
              </w:rPr>
            </w:pPr>
          </w:p>
        </w:tc>
        <w:tc>
          <w:tcPr>
            <w:tcW w:w="386" w:type="pct"/>
            <w:noWrap/>
          </w:tcPr>
          <w:p w14:paraId="4F13D8F8" w14:textId="77777777" w:rsidR="0083653C" w:rsidRPr="00346F75" w:rsidRDefault="0083653C" w:rsidP="006B686D">
            <w:pPr>
              <w:spacing w:line="240" w:lineRule="auto"/>
              <w:rPr>
                <w:sz w:val="18"/>
                <w:szCs w:val="18"/>
              </w:rPr>
            </w:pPr>
          </w:p>
        </w:tc>
        <w:tc>
          <w:tcPr>
            <w:tcW w:w="488" w:type="pct"/>
            <w:noWrap/>
          </w:tcPr>
          <w:p w14:paraId="47777989" w14:textId="77777777" w:rsidR="0083653C" w:rsidRPr="00346F75" w:rsidRDefault="0083653C" w:rsidP="006B686D">
            <w:pPr>
              <w:spacing w:line="240" w:lineRule="auto"/>
              <w:rPr>
                <w:sz w:val="18"/>
                <w:szCs w:val="18"/>
              </w:rPr>
            </w:pPr>
          </w:p>
        </w:tc>
        <w:tc>
          <w:tcPr>
            <w:tcW w:w="488" w:type="pct"/>
            <w:noWrap/>
          </w:tcPr>
          <w:p w14:paraId="4D7E55A2" w14:textId="77777777" w:rsidR="0083653C" w:rsidRPr="00346F75" w:rsidRDefault="0083653C" w:rsidP="006B686D">
            <w:pPr>
              <w:spacing w:line="240" w:lineRule="auto"/>
              <w:rPr>
                <w:sz w:val="18"/>
                <w:szCs w:val="18"/>
              </w:rPr>
            </w:pPr>
          </w:p>
        </w:tc>
        <w:tc>
          <w:tcPr>
            <w:tcW w:w="941" w:type="pct"/>
            <w:noWrap/>
          </w:tcPr>
          <w:p w14:paraId="02A81207" w14:textId="77777777" w:rsidR="0083653C" w:rsidRPr="00346F75" w:rsidRDefault="0083653C" w:rsidP="006B686D">
            <w:pPr>
              <w:spacing w:line="240" w:lineRule="auto"/>
              <w:rPr>
                <w:sz w:val="18"/>
                <w:szCs w:val="18"/>
                <w:lang w:val="nb-NO"/>
              </w:rPr>
            </w:pPr>
            <w:r w:rsidRPr="00346F75">
              <w:rPr>
                <w:sz w:val="18"/>
                <w:szCs w:val="18"/>
                <w:lang w:val="nb-NO"/>
              </w:rPr>
              <w:t>Perforación de la vesicular biliar</w:t>
            </w:r>
            <w:r w:rsidRPr="00346F75">
              <w:rPr>
                <w:sz w:val="18"/>
                <w:szCs w:val="18"/>
                <w:vertAlign w:val="superscript"/>
                <w:lang w:val="nb-NO"/>
              </w:rPr>
              <w:t>b,c</w:t>
            </w:r>
          </w:p>
        </w:tc>
      </w:tr>
      <w:tr w:rsidR="00262475" w:rsidRPr="00CC02A8" w14:paraId="79A2979F" w14:textId="77777777" w:rsidTr="00262475">
        <w:trPr>
          <w:cantSplit/>
          <w:trHeight w:val="300"/>
        </w:trPr>
        <w:tc>
          <w:tcPr>
            <w:tcW w:w="1112" w:type="pct"/>
            <w:noWrap/>
          </w:tcPr>
          <w:p w14:paraId="1502BA04" w14:textId="77777777" w:rsidR="0083653C" w:rsidRPr="00346F75" w:rsidRDefault="0083653C" w:rsidP="006B686D">
            <w:pPr>
              <w:spacing w:line="240" w:lineRule="auto"/>
              <w:rPr>
                <w:sz w:val="18"/>
                <w:szCs w:val="18"/>
                <w:lang w:val="nb-NO"/>
              </w:rPr>
            </w:pPr>
            <w:r w:rsidRPr="00346F75">
              <w:rPr>
                <w:sz w:val="18"/>
                <w:szCs w:val="18"/>
                <w:lang w:val="nb-NO"/>
              </w:rPr>
              <w:t>Trastornos de la piel y del tejido subcutáneo</w:t>
            </w:r>
          </w:p>
        </w:tc>
        <w:tc>
          <w:tcPr>
            <w:tcW w:w="724" w:type="pct"/>
          </w:tcPr>
          <w:p w14:paraId="24A6EF42" w14:textId="77777777" w:rsidR="0083653C" w:rsidRPr="00346F75" w:rsidRDefault="0083653C" w:rsidP="006B686D">
            <w:pPr>
              <w:spacing w:line="240" w:lineRule="auto"/>
              <w:rPr>
                <w:sz w:val="18"/>
                <w:szCs w:val="18"/>
                <w:lang w:val="nb-NO"/>
              </w:rPr>
            </w:pPr>
          </w:p>
        </w:tc>
        <w:tc>
          <w:tcPr>
            <w:tcW w:w="860" w:type="pct"/>
            <w:noWrap/>
          </w:tcPr>
          <w:p w14:paraId="333569F7" w14:textId="77777777" w:rsidR="0083653C" w:rsidRPr="00346F75" w:rsidRDefault="0083653C" w:rsidP="006B686D">
            <w:pPr>
              <w:spacing w:line="240" w:lineRule="auto"/>
              <w:rPr>
                <w:sz w:val="18"/>
                <w:szCs w:val="18"/>
                <w:lang w:val="nb-NO"/>
              </w:rPr>
            </w:pPr>
            <w:r w:rsidRPr="00346F75">
              <w:rPr>
                <w:sz w:val="18"/>
                <w:szCs w:val="18"/>
                <w:lang w:val="nb-NO"/>
              </w:rPr>
              <w:t>Complicaciones en la cicatrización de heridas</w:t>
            </w:r>
            <w:r w:rsidRPr="00346F75">
              <w:rPr>
                <w:sz w:val="18"/>
                <w:szCs w:val="18"/>
                <w:vertAlign w:val="superscript"/>
                <w:lang w:val="nb-NO"/>
              </w:rPr>
              <w:t>a,b</w:t>
            </w:r>
            <w:r w:rsidRPr="00346F75">
              <w:rPr>
                <w:sz w:val="18"/>
                <w:szCs w:val="18"/>
                <w:lang w:val="nb-NO"/>
              </w:rPr>
              <w:t>,</w:t>
            </w:r>
          </w:p>
          <w:p w14:paraId="232F06A8" w14:textId="77777777" w:rsidR="0083653C" w:rsidRPr="00346F75" w:rsidRDefault="0083653C" w:rsidP="006B686D">
            <w:pPr>
              <w:spacing w:line="240" w:lineRule="auto"/>
              <w:rPr>
                <w:sz w:val="18"/>
                <w:szCs w:val="18"/>
                <w:lang w:val="nb-NO"/>
              </w:rPr>
            </w:pPr>
            <w:r w:rsidRPr="00346F75">
              <w:rPr>
                <w:sz w:val="18"/>
                <w:szCs w:val="18"/>
                <w:lang w:val="nb-NO"/>
              </w:rPr>
              <w:t>Síndrome de eritrodisestesia palmoplantar</w:t>
            </w:r>
          </w:p>
        </w:tc>
        <w:tc>
          <w:tcPr>
            <w:tcW w:w="386" w:type="pct"/>
          </w:tcPr>
          <w:p w14:paraId="5E1F15A9" w14:textId="77777777" w:rsidR="0083653C" w:rsidRPr="00346F75" w:rsidRDefault="0083653C" w:rsidP="006B686D">
            <w:pPr>
              <w:spacing w:line="240" w:lineRule="auto"/>
              <w:rPr>
                <w:sz w:val="18"/>
                <w:szCs w:val="18"/>
                <w:lang w:val="nb-NO"/>
              </w:rPr>
            </w:pPr>
          </w:p>
        </w:tc>
        <w:tc>
          <w:tcPr>
            <w:tcW w:w="488" w:type="pct"/>
          </w:tcPr>
          <w:p w14:paraId="698EE68C" w14:textId="77777777" w:rsidR="0083653C" w:rsidRPr="00346F75" w:rsidRDefault="0083653C" w:rsidP="006B686D">
            <w:pPr>
              <w:spacing w:line="240" w:lineRule="auto"/>
              <w:rPr>
                <w:sz w:val="18"/>
                <w:szCs w:val="18"/>
                <w:lang w:val="nb-NO"/>
              </w:rPr>
            </w:pPr>
          </w:p>
        </w:tc>
        <w:tc>
          <w:tcPr>
            <w:tcW w:w="488" w:type="pct"/>
          </w:tcPr>
          <w:p w14:paraId="2A2F6B77" w14:textId="77777777" w:rsidR="0083653C" w:rsidRPr="00346F75" w:rsidRDefault="0083653C" w:rsidP="006B686D">
            <w:pPr>
              <w:spacing w:line="240" w:lineRule="auto"/>
              <w:rPr>
                <w:sz w:val="18"/>
                <w:szCs w:val="18"/>
                <w:lang w:val="nb-NO"/>
              </w:rPr>
            </w:pPr>
          </w:p>
        </w:tc>
        <w:tc>
          <w:tcPr>
            <w:tcW w:w="941" w:type="pct"/>
          </w:tcPr>
          <w:p w14:paraId="783A8F91" w14:textId="77777777" w:rsidR="0083653C" w:rsidRPr="00346F75" w:rsidRDefault="0083653C" w:rsidP="006B686D">
            <w:pPr>
              <w:spacing w:line="240" w:lineRule="auto"/>
              <w:rPr>
                <w:sz w:val="18"/>
                <w:szCs w:val="18"/>
                <w:lang w:val="nb-NO"/>
              </w:rPr>
            </w:pPr>
          </w:p>
        </w:tc>
      </w:tr>
      <w:tr w:rsidR="00262475" w:rsidRPr="00720E6F" w14:paraId="09407E4F" w14:textId="77777777" w:rsidTr="00262475">
        <w:trPr>
          <w:cantSplit/>
          <w:trHeight w:val="300"/>
        </w:trPr>
        <w:tc>
          <w:tcPr>
            <w:tcW w:w="1112" w:type="pct"/>
            <w:noWrap/>
          </w:tcPr>
          <w:p w14:paraId="6D9FA8F8" w14:textId="77777777" w:rsidR="0083653C" w:rsidRPr="00A51019" w:rsidRDefault="0083653C" w:rsidP="006B686D">
            <w:pPr>
              <w:spacing w:line="240" w:lineRule="auto"/>
              <w:rPr>
                <w:sz w:val="18"/>
                <w:szCs w:val="18"/>
                <w:lang w:val="es-ES"/>
              </w:rPr>
            </w:pPr>
            <w:r w:rsidRPr="00A51019">
              <w:rPr>
                <w:sz w:val="18"/>
                <w:szCs w:val="18"/>
                <w:lang w:val="es-ES"/>
              </w:rPr>
              <w:t xml:space="preserve">Trastornos </w:t>
            </w:r>
            <w:proofErr w:type="spellStart"/>
            <w:r w:rsidRPr="00A51019">
              <w:rPr>
                <w:sz w:val="18"/>
                <w:szCs w:val="18"/>
                <w:lang w:val="es-ES"/>
              </w:rPr>
              <w:t>musculoesque-léticos</w:t>
            </w:r>
            <w:proofErr w:type="spellEnd"/>
            <w:r w:rsidRPr="00A51019">
              <w:rPr>
                <w:sz w:val="18"/>
                <w:szCs w:val="18"/>
                <w:lang w:val="es-ES"/>
              </w:rPr>
              <w:t xml:space="preserve"> y del tejido conjuntivo</w:t>
            </w:r>
          </w:p>
        </w:tc>
        <w:tc>
          <w:tcPr>
            <w:tcW w:w="724" w:type="pct"/>
          </w:tcPr>
          <w:p w14:paraId="212215D3" w14:textId="77777777" w:rsidR="0083653C" w:rsidRPr="00A51019" w:rsidRDefault="0083653C" w:rsidP="006B686D">
            <w:pPr>
              <w:spacing w:line="240" w:lineRule="auto"/>
              <w:rPr>
                <w:sz w:val="18"/>
                <w:szCs w:val="18"/>
                <w:lang w:val="es-ES"/>
              </w:rPr>
            </w:pPr>
          </w:p>
        </w:tc>
        <w:tc>
          <w:tcPr>
            <w:tcW w:w="860" w:type="pct"/>
            <w:noWrap/>
          </w:tcPr>
          <w:p w14:paraId="33AC1080" w14:textId="77777777" w:rsidR="0083653C" w:rsidRPr="00A51019" w:rsidRDefault="0083653C" w:rsidP="006B686D">
            <w:pPr>
              <w:spacing w:line="240" w:lineRule="auto"/>
              <w:rPr>
                <w:sz w:val="18"/>
                <w:szCs w:val="18"/>
                <w:lang w:val="es-ES"/>
              </w:rPr>
            </w:pPr>
            <w:proofErr w:type="spellStart"/>
            <w:proofErr w:type="gramStart"/>
            <w:r w:rsidRPr="00A51019">
              <w:rPr>
                <w:sz w:val="18"/>
                <w:szCs w:val="18"/>
                <w:lang w:val="es-ES"/>
              </w:rPr>
              <w:t>Fístula</w:t>
            </w:r>
            <w:r w:rsidRPr="00A51019">
              <w:rPr>
                <w:sz w:val="18"/>
                <w:szCs w:val="18"/>
                <w:vertAlign w:val="superscript"/>
                <w:lang w:val="es-ES"/>
              </w:rPr>
              <w:t>a,b</w:t>
            </w:r>
            <w:proofErr w:type="spellEnd"/>
            <w:proofErr w:type="gramEnd"/>
            <w:r w:rsidR="00206982" w:rsidRPr="00A51019">
              <w:rPr>
                <w:sz w:val="18"/>
                <w:szCs w:val="18"/>
                <w:lang w:val="es-ES"/>
              </w:rPr>
              <w:t>,</w:t>
            </w:r>
          </w:p>
          <w:p w14:paraId="6B01D7F6" w14:textId="77777777" w:rsidR="0083653C" w:rsidRPr="00A51019" w:rsidRDefault="0083653C" w:rsidP="006B686D">
            <w:pPr>
              <w:spacing w:line="240" w:lineRule="auto"/>
              <w:rPr>
                <w:sz w:val="18"/>
                <w:szCs w:val="18"/>
                <w:lang w:val="es-ES"/>
              </w:rPr>
            </w:pPr>
            <w:r w:rsidRPr="00A51019">
              <w:rPr>
                <w:sz w:val="18"/>
                <w:szCs w:val="18"/>
                <w:lang w:val="es-ES"/>
              </w:rPr>
              <w:t>Mialgia,</w:t>
            </w:r>
          </w:p>
          <w:p w14:paraId="40C6F3ED" w14:textId="77777777" w:rsidR="0083653C" w:rsidRPr="00A51019" w:rsidRDefault="0083653C" w:rsidP="006B686D">
            <w:pPr>
              <w:spacing w:line="240" w:lineRule="auto"/>
              <w:rPr>
                <w:sz w:val="18"/>
                <w:szCs w:val="18"/>
                <w:lang w:val="es-ES"/>
              </w:rPr>
            </w:pPr>
            <w:r w:rsidRPr="00A51019">
              <w:rPr>
                <w:sz w:val="18"/>
                <w:szCs w:val="18"/>
                <w:lang w:val="es-ES"/>
              </w:rPr>
              <w:t>Artralgia,</w:t>
            </w:r>
          </w:p>
          <w:p w14:paraId="2B8892CE" w14:textId="77777777" w:rsidR="0083653C" w:rsidRPr="00A51019" w:rsidRDefault="0083653C" w:rsidP="006B686D">
            <w:pPr>
              <w:spacing w:line="240" w:lineRule="auto"/>
              <w:rPr>
                <w:sz w:val="18"/>
                <w:szCs w:val="18"/>
                <w:lang w:val="es-ES"/>
              </w:rPr>
            </w:pPr>
            <w:r w:rsidRPr="00A51019">
              <w:rPr>
                <w:sz w:val="18"/>
                <w:szCs w:val="18"/>
                <w:lang w:val="es-ES"/>
              </w:rPr>
              <w:t>Debilidad muscular,</w:t>
            </w:r>
          </w:p>
          <w:p w14:paraId="3174BC28" w14:textId="77777777" w:rsidR="0083653C" w:rsidRPr="00346F75" w:rsidRDefault="0083653C" w:rsidP="006B686D">
            <w:pPr>
              <w:spacing w:line="240" w:lineRule="auto"/>
              <w:rPr>
                <w:sz w:val="18"/>
                <w:szCs w:val="18"/>
              </w:rPr>
            </w:pPr>
            <w:proofErr w:type="spellStart"/>
            <w:r w:rsidRPr="00346F75">
              <w:rPr>
                <w:sz w:val="18"/>
                <w:szCs w:val="18"/>
              </w:rPr>
              <w:t>Dolor</w:t>
            </w:r>
            <w:proofErr w:type="spellEnd"/>
            <w:r w:rsidRPr="00346F75">
              <w:rPr>
                <w:sz w:val="18"/>
                <w:szCs w:val="18"/>
              </w:rPr>
              <w:t xml:space="preserve"> de </w:t>
            </w:r>
            <w:proofErr w:type="spellStart"/>
            <w:r w:rsidRPr="00346F75">
              <w:rPr>
                <w:sz w:val="18"/>
                <w:szCs w:val="18"/>
              </w:rPr>
              <w:t>espalda</w:t>
            </w:r>
            <w:proofErr w:type="spellEnd"/>
          </w:p>
        </w:tc>
        <w:tc>
          <w:tcPr>
            <w:tcW w:w="386" w:type="pct"/>
          </w:tcPr>
          <w:p w14:paraId="666323C5" w14:textId="77777777" w:rsidR="0083653C" w:rsidRPr="00346F75" w:rsidRDefault="0083653C" w:rsidP="006B686D">
            <w:pPr>
              <w:spacing w:line="240" w:lineRule="auto"/>
              <w:rPr>
                <w:sz w:val="18"/>
                <w:szCs w:val="18"/>
              </w:rPr>
            </w:pPr>
          </w:p>
        </w:tc>
        <w:tc>
          <w:tcPr>
            <w:tcW w:w="488" w:type="pct"/>
          </w:tcPr>
          <w:p w14:paraId="04602339" w14:textId="77777777" w:rsidR="0083653C" w:rsidRPr="00346F75" w:rsidRDefault="0083653C" w:rsidP="006B686D">
            <w:pPr>
              <w:spacing w:line="240" w:lineRule="auto"/>
              <w:rPr>
                <w:sz w:val="18"/>
                <w:szCs w:val="18"/>
              </w:rPr>
            </w:pPr>
          </w:p>
        </w:tc>
        <w:tc>
          <w:tcPr>
            <w:tcW w:w="488" w:type="pct"/>
          </w:tcPr>
          <w:p w14:paraId="7733EF56" w14:textId="77777777" w:rsidR="0083653C" w:rsidRPr="00346F75" w:rsidRDefault="0083653C" w:rsidP="006B686D">
            <w:pPr>
              <w:spacing w:line="240" w:lineRule="auto"/>
              <w:rPr>
                <w:sz w:val="18"/>
                <w:szCs w:val="18"/>
              </w:rPr>
            </w:pPr>
          </w:p>
        </w:tc>
        <w:tc>
          <w:tcPr>
            <w:tcW w:w="941" w:type="pct"/>
          </w:tcPr>
          <w:p w14:paraId="1E71A7D6" w14:textId="77777777" w:rsidR="0083653C" w:rsidRPr="00346F75" w:rsidRDefault="0083653C" w:rsidP="006B686D">
            <w:pPr>
              <w:spacing w:line="240" w:lineRule="auto"/>
              <w:rPr>
                <w:sz w:val="18"/>
                <w:szCs w:val="18"/>
              </w:rPr>
            </w:pPr>
            <w:r w:rsidRPr="00346F75">
              <w:rPr>
                <w:sz w:val="18"/>
                <w:szCs w:val="18"/>
              </w:rPr>
              <w:t xml:space="preserve">Osteonecrosis </w:t>
            </w:r>
            <w:proofErr w:type="spellStart"/>
            <w:proofErr w:type="gramStart"/>
            <w:r w:rsidRPr="00346F75">
              <w:rPr>
                <w:sz w:val="18"/>
                <w:szCs w:val="18"/>
              </w:rPr>
              <w:t>mandibular</w:t>
            </w:r>
            <w:r w:rsidRPr="00346F75">
              <w:rPr>
                <w:sz w:val="18"/>
                <w:szCs w:val="18"/>
                <w:vertAlign w:val="superscript"/>
              </w:rPr>
              <w:t>b,c</w:t>
            </w:r>
            <w:proofErr w:type="spellEnd"/>
            <w:proofErr w:type="gramEnd"/>
          </w:p>
        </w:tc>
      </w:tr>
      <w:tr w:rsidR="00262475" w:rsidRPr="00720E6F" w14:paraId="4DF159A2" w14:textId="77777777" w:rsidTr="00262475">
        <w:trPr>
          <w:cantSplit/>
          <w:trHeight w:val="300"/>
        </w:trPr>
        <w:tc>
          <w:tcPr>
            <w:tcW w:w="1112" w:type="pct"/>
            <w:noWrap/>
          </w:tcPr>
          <w:p w14:paraId="0A3A4DB5" w14:textId="77777777" w:rsidR="0083653C" w:rsidRPr="00346F75" w:rsidRDefault="0083653C" w:rsidP="006B686D">
            <w:pPr>
              <w:spacing w:line="240" w:lineRule="auto"/>
              <w:rPr>
                <w:sz w:val="18"/>
                <w:szCs w:val="18"/>
              </w:rPr>
            </w:pPr>
            <w:proofErr w:type="spellStart"/>
            <w:r w:rsidRPr="00346F75">
              <w:rPr>
                <w:sz w:val="18"/>
                <w:szCs w:val="18"/>
              </w:rPr>
              <w:t>Trastornos</w:t>
            </w:r>
            <w:proofErr w:type="spellEnd"/>
            <w:r w:rsidRPr="00346F75">
              <w:rPr>
                <w:sz w:val="18"/>
                <w:szCs w:val="18"/>
              </w:rPr>
              <w:t xml:space="preserve"> </w:t>
            </w:r>
            <w:proofErr w:type="spellStart"/>
            <w:r w:rsidRPr="00346F75">
              <w:rPr>
                <w:sz w:val="18"/>
                <w:szCs w:val="18"/>
              </w:rPr>
              <w:t>renales</w:t>
            </w:r>
            <w:proofErr w:type="spellEnd"/>
            <w:r w:rsidRPr="00346F75">
              <w:rPr>
                <w:sz w:val="18"/>
                <w:szCs w:val="18"/>
              </w:rPr>
              <w:t xml:space="preserve"> y </w:t>
            </w:r>
            <w:proofErr w:type="spellStart"/>
            <w:r w:rsidRPr="00346F75">
              <w:rPr>
                <w:sz w:val="18"/>
                <w:szCs w:val="18"/>
              </w:rPr>
              <w:t>urinarios</w:t>
            </w:r>
            <w:proofErr w:type="spellEnd"/>
          </w:p>
        </w:tc>
        <w:tc>
          <w:tcPr>
            <w:tcW w:w="724" w:type="pct"/>
          </w:tcPr>
          <w:p w14:paraId="79C3C449" w14:textId="77777777" w:rsidR="0083653C" w:rsidRPr="00346F75" w:rsidRDefault="0083653C" w:rsidP="006B686D">
            <w:pPr>
              <w:spacing w:line="240" w:lineRule="auto"/>
              <w:rPr>
                <w:sz w:val="18"/>
                <w:szCs w:val="18"/>
              </w:rPr>
            </w:pPr>
          </w:p>
        </w:tc>
        <w:tc>
          <w:tcPr>
            <w:tcW w:w="860" w:type="pct"/>
            <w:noWrap/>
          </w:tcPr>
          <w:p w14:paraId="664E12D0" w14:textId="77777777" w:rsidR="0083653C" w:rsidRPr="00346F75" w:rsidRDefault="0083653C" w:rsidP="006B686D">
            <w:pPr>
              <w:spacing w:line="240" w:lineRule="auto"/>
              <w:rPr>
                <w:sz w:val="18"/>
                <w:szCs w:val="18"/>
              </w:rPr>
            </w:pPr>
            <w:proofErr w:type="spellStart"/>
            <w:proofErr w:type="gramStart"/>
            <w:r w:rsidRPr="00346F75">
              <w:rPr>
                <w:sz w:val="18"/>
                <w:szCs w:val="18"/>
              </w:rPr>
              <w:t>Proteinuria</w:t>
            </w:r>
            <w:r w:rsidRPr="00346F75">
              <w:rPr>
                <w:sz w:val="18"/>
                <w:szCs w:val="18"/>
                <w:vertAlign w:val="superscript"/>
              </w:rPr>
              <w:t>a,b</w:t>
            </w:r>
            <w:proofErr w:type="spellEnd"/>
            <w:proofErr w:type="gramEnd"/>
          </w:p>
        </w:tc>
        <w:tc>
          <w:tcPr>
            <w:tcW w:w="386" w:type="pct"/>
          </w:tcPr>
          <w:p w14:paraId="5C349DC9" w14:textId="77777777" w:rsidR="0083653C" w:rsidRPr="00346F75" w:rsidRDefault="0083653C" w:rsidP="006B686D">
            <w:pPr>
              <w:spacing w:line="240" w:lineRule="auto"/>
              <w:rPr>
                <w:sz w:val="18"/>
                <w:szCs w:val="18"/>
              </w:rPr>
            </w:pPr>
          </w:p>
        </w:tc>
        <w:tc>
          <w:tcPr>
            <w:tcW w:w="488" w:type="pct"/>
          </w:tcPr>
          <w:p w14:paraId="69961B42" w14:textId="77777777" w:rsidR="0083653C" w:rsidRPr="00346F75" w:rsidRDefault="0083653C" w:rsidP="006B686D">
            <w:pPr>
              <w:spacing w:line="240" w:lineRule="auto"/>
              <w:rPr>
                <w:sz w:val="18"/>
                <w:szCs w:val="18"/>
              </w:rPr>
            </w:pPr>
          </w:p>
        </w:tc>
        <w:tc>
          <w:tcPr>
            <w:tcW w:w="488" w:type="pct"/>
            <w:noWrap/>
          </w:tcPr>
          <w:p w14:paraId="3EA09AC1" w14:textId="77777777" w:rsidR="0083653C" w:rsidRPr="00346F75" w:rsidRDefault="0083653C" w:rsidP="006B686D">
            <w:pPr>
              <w:spacing w:line="240" w:lineRule="auto"/>
              <w:rPr>
                <w:sz w:val="18"/>
                <w:szCs w:val="18"/>
              </w:rPr>
            </w:pPr>
          </w:p>
        </w:tc>
        <w:tc>
          <w:tcPr>
            <w:tcW w:w="941" w:type="pct"/>
            <w:noWrap/>
          </w:tcPr>
          <w:p w14:paraId="325DA78B" w14:textId="77777777" w:rsidR="0083653C" w:rsidRPr="00346F75" w:rsidRDefault="0083653C" w:rsidP="006B686D">
            <w:pPr>
              <w:spacing w:line="240" w:lineRule="auto"/>
              <w:rPr>
                <w:sz w:val="18"/>
                <w:szCs w:val="18"/>
              </w:rPr>
            </w:pPr>
          </w:p>
        </w:tc>
      </w:tr>
      <w:tr w:rsidR="00262475" w:rsidRPr="00720E6F" w14:paraId="7090FA92" w14:textId="77777777" w:rsidTr="00262475">
        <w:trPr>
          <w:cantSplit/>
          <w:trHeight w:val="300"/>
        </w:trPr>
        <w:tc>
          <w:tcPr>
            <w:tcW w:w="1112" w:type="pct"/>
            <w:noWrap/>
          </w:tcPr>
          <w:p w14:paraId="3F088966" w14:textId="77777777" w:rsidR="0083653C" w:rsidRPr="00A51019" w:rsidRDefault="0083653C" w:rsidP="006B686D">
            <w:pPr>
              <w:spacing w:line="240" w:lineRule="auto"/>
              <w:rPr>
                <w:sz w:val="18"/>
                <w:szCs w:val="18"/>
                <w:lang w:val="es-ES"/>
              </w:rPr>
            </w:pPr>
            <w:r w:rsidRPr="00A51019">
              <w:rPr>
                <w:sz w:val="18"/>
                <w:szCs w:val="18"/>
                <w:lang w:val="es-ES"/>
              </w:rPr>
              <w:t>Trastornos del aparato reproductor y de la mama</w:t>
            </w:r>
          </w:p>
        </w:tc>
        <w:tc>
          <w:tcPr>
            <w:tcW w:w="724" w:type="pct"/>
          </w:tcPr>
          <w:p w14:paraId="458BD6F6" w14:textId="77777777" w:rsidR="0083653C" w:rsidRPr="00A51019" w:rsidRDefault="0083653C" w:rsidP="006B686D">
            <w:pPr>
              <w:spacing w:line="240" w:lineRule="auto"/>
              <w:rPr>
                <w:sz w:val="18"/>
                <w:szCs w:val="18"/>
                <w:lang w:val="es-ES"/>
              </w:rPr>
            </w:pPr>
          </w:p>
        </w:tc>
        <w:tc>
          <w:tcPr>
            <w:tcW w:w="860" w:type="pct"/>
            <w:noWrap/>
          </w:tcPr>
          <w:p w14:paraId="20C26B18" w14:textId="77777777" w:rsidR="0083653C" w:rsidRPr="00346F75" w:rsidRDefault="0083653C" w:rsidP="006B686D">
            <w:pPr>
              <w:spacing w:line="240" w:lineRule="auto"/>
              <w:rPr>
                <w:sz w:val="18"/>
                <w:szCs w:val="18"/>
              </w:rPr>
            </w:pPr>
            <w:proofErr w:type="spellStart"/>
            <w:r w:rsidRPr="00346F75">
              <w:rPr>
                <w:sz w:val="18"/>
                <w:szCs w:val="18"/>
              </w:rPr>
              <w:t>Dolor</w:t>
            </w:r>
            <w:proofErr w:type="spellEnd"/>
            <w:r w:rsidRPr="00346F75">
              <w:rPr>
                <w:sz w:val="18"/>
                <w:szCs w:val="18"/>
              </w:rPr>
              <w:t xml:space="preserve"> </w:t>
            </w:r>
            <w:proofErr w:type="spellStart"/>
            <w:r w:rsidRPr="00346F75">
              <w:rPr>
                <w:sz w:val="18"/>
                <w:szCs w:val="18"/>
              </w:rPr>
              <w:t>pélvico</w:t>
            </w:r>
            <w:proofErr w:type="spellEnd"/>
          </w:p>
        </w:tc>
        <w:tc>
          <w:tcPr>
            <w:tcW w:w="386" w:type="pct"/>
          </w:tcPr>
          <w:p w14:paraId="5D933562" w14:textId="77777777" w:rsidR="0083653C" w:rsidRPr="00346F75" w:rsidRDefault="0083653C" w:rsidP="006B686D">
            <w:pPr>
              <w:spacing w:line="240" w:lineRule="auto"/>
              <w:rPr>
                <w:sz w:val="18"/>
                <w:szCs w:val="18"/>
              </w:rPr>
            </w:pPr>
          </w:p>
        </w:tc>
        <w:tc>
          <w:tcPr>
            <w:tcW w:w="488" w:type="pct"/>
            <w:noWrap/>
          </w:tcPr>
          <w:p w14:paraId="7373DD3F" w14:textId="77777777" w:rsidR="0083653C" w:rsidRPr="00346F75" w:rsidRDefault="0083653C" w:rsidP="006B686D">
            <w:pPr>
              <w:spacing w:line="240" w:lineRule="auto"/>
              <w:rPr>
                <w:sz w:val="18"/>
                <w:szCs w:val="18"/>
              </w:rPr>
            </w:pPr>
          </w:p>
        </w:tc>
        <w:tc>
          <w:tcPr>
            <w:tcW w:w="488" w:type="pct"/>
            <w:noWrap/>
          </w:tcPr>
          <w:p w14:paraId="3EFBA243" w14:textId="77777777" w:rsidR="0083653C" w:rsidRPr="00346F75" w:rsidRDefault="0083653C" w:rsidP="006B686D">
            <w:pPr>
              <w:spacing w:line="240" w:lineRule="auto"/>
              <w:rPr>
                <w:sz w:val="18"/>
                <w:szCs w:val="18"/>
              </w:rPr>
            </w:pPr>
          </w:p>
        </w:tc>
        <w:tc>
          <w:tcPr>
            <w:tcW w:w="941" w:type="pct"/>
            <w:noWrap/>
          </w:tcPr>
          <w:p w14:paraId="568CBF3A" w14:textId="77777777" w:rsidR="0083653C" w:rsidRPr="00346F75" w:rsidRDefault="0083653C" w:rsidP="006B686D">
            <w:pPr>
              <w:spacing w:line="240" w:lineRule="auto"/>
              <w:rPr>
                <w:sz w:val="18"/>
                <w:szCs w:val="18"/>
              </w:rPr>
            </w:pPr>
            <w:proofErr w:type="spellStart"/>
            <w:r w:rsidRPr="00346F75">
              <w:rPr>
                <w:sz w:val="18"/>
                <w:szCs w:val="18"/>
              </w:rPr>
              <w:t>Insuficiencia</w:t>
            </w:r>
            <w:proofErr w:type="spellEnd"/>
            <w:r w:rsidRPr="00346F75">
              <w:rPr>
                <w:sz w:val="18"/>
                <w:szCs w:val="18"/>
              </w:rPr>
              <w:t xml:space="preserve"> </w:t>
            </w:r>
            <w:proofErr w:type="spellStart"/>
            <w:proofErr w:type="gramStart"/>
            <w:r w:rsidRPr="00346F75">
              <w:rPr>
                <w:sz w:val="18"/>
                <w:szCs w:val="18"/>
              </w:rPr>
              <w:t>ovárica</w:t>
            </w:r>
            <w:r w:rsidRPr="00346F75">
              <w:rPr>
                <w:sz w:val="18"/>
                <w:szCs w:val="18"/>
                <w:vertAlign w:val="superscript"/>
              </w:rPr>
              <w:t>a,b</w:t>
            </w:r>
            <w:proofErr w:type="spellEnd"/>
            <w:proofErr w:type="gramEnd"/>
          </w:p>
        </w:tc>
      </w:tr>
      <w:tr w:rsidR="00262475" w:rsidRPr="00720E6F" w14:paraId="02A2C03B" w14:textId="77777777" w:rsidTr="00262475">
        <w:trPr>
          <w:cantSplit/>
          <w:trHeight w:val="300"/>
        </w:trPr>
        <w:tc>
          <w:tcPr>
            <w:tcW w:w="1112" w:type="pct"/>
            <w:tcBorders>
              <w:bottom w:val="single" w:sz="4" w:space="0" w:color="auto"/>
            </w:tcBorders>
            <w:noWrap/>
          </w:tcPr>
          <w:p w14:paraId="04E99F77" w14:textId="77777777" w:rsidR="0083653C" w:rsidRPr="00A51019" w:rsidRDefault="0083653C" w:rsidP="006B686D">
            <w:pPr>
              <w:spacing w:line="240" w:lineRule="auto"/>
              <w:rPr>
                <w:sz w:val="18"/>
                <w:szCs w:val="18"/>
                <w:lang w:val="es-ES"/>
              </w:rPr>
            </w:pPr>
            <w:r w:rsidRPr="00A51019">
              <w:rPr>
                <w:sz w:val="18"/>
                <w:szCs w:val="18"/>
                <w:lang w:val="es-ES"/>
              </w:rPr>
              <w:t>Trastornos congénitos, familiares y genéticos</w:t>
            </w:r>
          </w:p>
        </w:tc>
        <w:tc>
          <w:tcPr>
            <w:tcW w:w="724" w:type="pct"/>
            <w:tcBorders>
              <w:bottom w:val="single" w:sz="4" w:space="0" w:color="auto"/>
            </w:tcBorders>
          </w:tcPr>
          <w:p w14:paraId="1197456A" w14:textId="77777777" w:rsidR="0083653C" w:rsidRPr="00A51019" w:rsidRDefault="0083653C" w:rsidP="006B686D">
            <w:pPr>
              <w:spacing w:line="240" w:lineRule="auto"/>
              <w:rPr>
                <w:sz w:val="18"/>
                <w:szCs w:val="18"/>
                <w:lang w:val="es-ES"/>
              </w:rPr>
            </w:pPr>
          </w:p>
        </w:tc>
        <w:tc>
          <w:tcPr>
            <w:tcW w:w="860" w:type="pct"/>
            <w:tcBorders>
              <w:bottom w:val="single" w:sz="4" w:space="0" w:color="auto"/>
            </w:tcBorders>
          </w:tcPr>
          <w:p w14:paraId="734EBB49" w14:textId="77777777" w:rsidR="0083653C" w:rsidRPr="00A51019" w:rsidRDefault="0083653C" w:rsidP="006B686D">
            <w:pPr>
              <w:spacing w:line="240" w:lineRule="auto"/>
              <w:rPr>
                <w:sz w:val="18"/>
                <w:szCs w:val="18"/>
                <w:lang w:val="es-ES"/>
              </w:rPr>
            </w:pPr>
          </w:p>
        </w:tc>
        <w:tc>
          <w:tcPr>
            <w:tcW w:w="386" w:type="pct"/>
            <w:tcBorders>
              <w:bottom w:val="single" w:sz="4" w:space="0" w:color="auto"/>
            </w:tcBorders>
          </w:tcPr>
          <w:p w14:paraId="2E73E02C" w14:textId="77777777" w:rsidR="0083653C" w:rsidRPr="00A51019" w:rsidRDefault="0083653C" w:rsidP="006B686D">
            <w:pPr>
              <w:spacing w:line="240" w:lineRule="auto"/>
              <w:rPr>
                <w:sz w:val="18"/>
                <w:szCs w:val="18"/>
                <w:lang w:val="es-ES"/>
              </w:rPr>
            </w:pPr>
          </w:p>
        </w:tc>
        <w:tc>
          <w:tcPr>
            <w:tcW w:w="488" w:type="pct"/>
            <w:tcBorders>
              <w:bottom w:val="single" w:sz="4" w:space="0" w:color="auto"/>
            </w:tcBorders>
          </w:tcPr>
          <w:p w14:paraId="2E6BCD2E" w14:textId="77777777" w:rsidR="0083653C" w:rsidRPr="00A51019" w:rsidRDefault="0083653C" w:rsidP="006B686D">
            <w:pPr>
              <w:spacing w:line="240" w:lineRule="auto"/>
              <w:rPr>
                <w:sz w:val="18"/>
                <w:szCs w:val="18"/>
                <w:lang w:val="es-ES"/>
              </w:rPr>
            </w:pPr>
          </w:p>
        </w:tc>
        <w:tc>
          <w:tcPr>
            <w:tcW w:w="488" w:type="pct"/>
            <w:tcBorders>
              <w:bottom w:val="single" w:sz="4" w:space="0" w:color="auto"/>
            </w:tcBorders>
            <w:noWrap/>
          </w:tcPr>
          <w:p w14:paraId="78AB2557" w14:textId="77777777" w:rsidR="0083653C" w:rsidRPr="00A51019" w:rsidRDefault="0083653C" w:rsidP="006B686D">
            <w:pPr>
              <w:spacing w:line="240" w:lineRule="auto"/>
              <w:rPr>
                <w:sz w:val="18"/>
                <w:szCs w:val="18"/>
                <w:lang w:val="es-ES"/>
              </w:rPr>
            </w:pPr>
          </w:p>
        </w:tc>
        <w:tc>
          <w:tcPr>
            <w:tcW w:w="941" w:type="pct"/>
            <w:tcBorders>
              <w:bottom w:val="single" w:sz="4" w:space="0" w:color="auto"/>
            </w:tcBorders>
            <w:noWrap/>
          </w:tcPr>
          <w:p w14:paraId="58C46D52" w14:textId="11814FEB" w:rsidR="0083653C" w:rsidRPr="00346F75" w:rsidRDefault="0083653C" w:rsidP="006B686D">
            <w:pPr>
              <w:spacing w:line="240" w:lineRule="auto"/>
              <w:rPr>
                <w:sz w:val="18"/>
                <w:szCs w:val="18"/>
              </w:rPr>
            </w:pPr>
            <w:proofErr w:type="spellStart"/>
            <w:r w:rsidRPr="00593EBF">
              <w:rPr>
                <w:sz w:val="18"/>
                <w:szCs w:val="18"/>
              </w:rPr>
              <w:t>Anomalías</w:t>
            </w:r>
            <w:proofErr w:type="spellEnd"/>
            <w:r w:rsidRPr="00593EBF">
              <w:rPr>
                <w:sz w:val="18"/>
                <w:szCs w:val="18"/>
              </w:rPr>
              <w:t xml:space="preserve"> </w:t>
            </w:r>
            <w:proofErr w:type="spellStart"/>
            <w:proofErr w:type="gramStart"/>
            <w:r w:rsidRPr="00593EBF">
              <w:rPr>
                <w:sz w:val="18"/>
                <w:szCs w:val="18"/>
              </w:rPr>
              <w:t>fetales</w:t>
            </w:r>
            <w:r w:rsidR="00593EBF" w:rsidRPr="00593EBF">
              <w:rPr>
                <w:sz w:val="18"/>
                <w:szCs w:val="18"/>
                <w:vertAlign w:val="superscript"/>
              </w:rPr>
              <w:t>a,c</w:t>
            </w:r>
            <w:proofErr w:type="spellEnd"/>
            <w:proofErr w:type="gramEnd"/>
          </w:p>
        </w:tc>
      </w:tr>
      <w:tr w:rsidR="00262475" w:rsidRPr="00714463" w14:paraId="00810FB1" w14:textId="77777777" w:rsidTr="00262475">
        <w:trPr>
          <w:cantSplit/>
          <w:trHeight w:val="300"/>
        </w:trPr>
        <w:tc>
          <w:tcPr>
            <w:tcW w:w="1112" w:type="pct"/>
            <w:tcBorders>
              <w:top w:val="single" w:sz="4" w:space="0" w:color="auto"/>
              <w:left w:val="single" w:sz="4" w:space="0" w:color="auto"/>
              <w:bottom w:val="single" w:sz="4" w:space="0" w:color="auto"/>
              <w:right w:val="single" w:sz="4" w:space="0" w:color="auto"/>
            </w:tcBorders>
            <w:noWrap/>
          </w:tcPr>
          <w:p w14:paraId="38B537F4" w14:textId="77777777" w:rsidR="0083653C" w:rsidRPr="00346F75" w:rsidRDefault="0083653C" w:rsidP="006B686D">
            <w:pPr>
              <w:spacing w:line="240" w:lineRule="auto"/>
              <w:rPr>
                <w:sz w:val="18"/>
                <w:szCs w:val="18"/>
                <w:lang w:val="nb-NO"/>
              </w:rPr>
            </w:pPr>
            <w:r w:rsidRPr="00346F75">
              <w:rPr>
                <w:sz w:val="18"/>
                <w:szCs w:val="18"/>
                <w:lang w:val="nb-NO"/>
              </w:rPr>
              <w:t>Trastornos generales y alteraciones en el lugar de administración</w:t>
            </w:r>
          </w:p>
        </w:tc>
        <w:tc>
          <w:tcPr>
            <w:tcW w:w="724" w:type="pct"/>
            <w:tcBorders>
              <w:top w:val="single" w:sz="4" w:space="0" w:color="auto"/>
              <w:left w:val="single" w:sz="4" w:space="0" w:color="auto"/>
              <w:bottom w:val="single" w:sz="4" w:space="0" w:color="auto"/>
              <w:right w:val="single" w:sz="4" w:space="0" w:color="auto"/>
            </w:tcBorders>
            <w:noWrap/>
          </w:tcPr>
          <w:p w14:paraId="1B305F0A" w14:textId="77777777" w:rsidR="004D2345" w:rsidRPr="00346F75" w:rsidRDefault="004D2345" w:rsidP="004D2345">
            <w:pPr>
              <w:spacing w:line="240" w:lineRule="auto"/>
              <w:rPr>
                <w:sz w:val="18"/>
                <w:szCs w:val="18"/>
                <w:lang w:val="nb-NO"/>
              </w:rPr>
            </w:pPr>
            <w:r w:rsidRPr="00346F75">
              <w:rPr>
                <w:sz w:val="18"/>
                <w:szCs w:val="18"/>
                <w:lang w:val="nb-NO"/>
              </w:rPr>
              <w:t>Astenia,</w:t>
            </w:r>
          </w:p>
          <w:p w14:paraId="29BAD37B" w14:textId="77777777" w:rsidR="0083653C" w:rsidRPr="00346F75" w:rsidRDefault="004D2345" w:rsidP="004D2345">
            <w:pPr>
              <w:spacing w:line="240" w:lineRule="auto"/>
              <w:rPr>
                <w:sz w:val="18"/>
                <w:szCs w:val="18"/>
                <w:lang w:val="nb-NO"/>
              </w:rPr>
            </w:pPr>
            <w:r w:rsidRPr="00346F75">
              <w:rPr>
                <w:sz w:val="18"/>
                <w:szCs w:val="18"/>
                <w:lang w:val="nb-NO"/>
              </w:rPr>
              <w:t>Fatiga</w:t>
            </w:r>
          </w:p>
        </w:tc>
        <w:tc>
          <w:tcPr>
            <w:tcW w:w="860" w:type="pct"/>
            <w:tcBorders>
              <w:top w:val="single" w:sz="4" w:space="0" w:color="auto"/>
              <w:left w:val="single" w:sz="4" w:space="0" w:color="auto"/>
              <w:bottom w:val="single" w:sz="4" w:space="0" w:color="auto"/>
              <w:right w:val="single" w:sz="4" w:space="0" w:color="auto"/>
            </w:tcBorders>
            <w:noWrap/>
          </w:tcPr>
          <w:p w14:paraId="7F4FEF25" w14:textId="77777777" w:rsidR="004D2345" w:rsidRPr="00346F75" w:rsidRDefault="004D2345" w:rsidP="004D2345">
            <w:pPr>
              <w:spacing w:line="240" w:lineRule="auto"/>
              <w:rPr>
                <w:sz w:val="18"/>
                <w:szCs w:val="18"/>
                <w:lang w:val="nb-NO"/>
              </w:rPr>
            </w:pPr>
            <w:r w:rsidRPr="00346F75">
              <w:rPr>
                <w:sz w:val="18"/>
                <w:szCs w:val="18"/>
                <w:lang w:val="nb-NO"/>
              </w:rPr>
              <w:t>Dolor,</w:t>
            </w:r>
          </w:p>
          <w:p w14:paraId="38965A00" w14:textId="77777777" w:rsidR="004D2345" w:rsidRPr="00346F75" w:rsidRDefault="004D2345" w:rsidP="004D2345">
            <w:pPr>
              <w:spacing w:line="240" w:lineRule="auto"/>
              <w:rPr>
                <w:sz w:val="18"/>
                <w:szCs w:val="18"/>
                <w:lang w:val="nb-NO"/>
              </w:rPr>
            </w:pPr>
            <w:r w:rsidRPr="00346F75">
              <w:rPr>
                <w:sz w:val="18"/>
                <w:szCs w:val="18"/>
                <w:lang w:val="nb-NO"/>
              </w:rPr>
              <w:t>Letargia,</w:t>
            </w:r>
          </w:p>
          <w:p w14:paraId="7B0779B4" w14:textId="77777777" w:rsidR="0083653C" w:rsidRPr="00346F75" w:rsidRDefault="004D2345" w:rsidP="004D2345">
            <w:pPr>
              <w:spacing w:line="240" w:lineRule="auto"/>
              <w:rPr>
                <w:sz w:val="18"/>
                <w:szCs w:val="18"/>
                <w:lang w:val="nb-NO"/>
              </w:rPr>
            </w:pPr>
            <w:r w:rsidRPr="00346F75">
              <w:rPr>
                <w:sz w:val="18"/>
                <w:szCs w:val="18"/>
                <w:lang w:val="nb-NO"/>
              </w:rPr>
              <w:t>Inflamación de la mucosa</w:t>
            </w:r>
          </w:p>
        </w:tc>
        <w:tc>
          <w:tcPr>
            <w:tcW w:w="386" w:type="pct"/>
            <w:tcBorders>
              <w:top w:val="single" w:sz="4" w:space="0" w:color="auto"/>
              <w:left w:val="single" w:sz="4" w:space="0" w:color="auto"/>
              <w:bottom w:val="single" w:sz="4" w:space="0" w:color="auto"/>
              <w:right w:val="single" w:sz="4" w:space="0" w:color="auto"/>
            </w:tcBorders>
          </w:tcPr>
          <w:p w14:paraId="68D4E812" w14:textId="77777777" w:rsidR="0083653C" w:rsidRPr="00346F75" w:rsidRDefault="0083653C" w:rsidP="006B686D">
            <w:pPr>
              <w:spacing w:line="240" w:lineRule="auto"/>
              <w:rPr>
                <w:sz w:val="18"/>
                <w:szCs w:val="18"/>
                <w:lang w:val="nb-NO"/>
              </w:rPr>
            </w:pPr>
          </w:p>
        </w:tc>
        <w:tc>
          <w:tcPr>
            <w:tcW w:w="488" w:type="pct"/>
            <w:tcBorders>
              <w:top w:val="single" w:sz="4" w:space="0" w:color="auto"/>
              <w:left w:val="single" w:sz="4" w:space="0" w:color="auto"/>
              <w:bottom w:val="single" w:sz="4" w:space="0" w:color="auto"/>
              <w:right w:val="single" w:sz="4" w:space="0" w:color="auto"/>
            </w:tcBorders>
          </w:tcPr>
          <w:p w14:paraId="4AD7FA24" w14:textId="77777777" w:rsidR="0083653C" w:rsidRPr="00346F75" w:rsidRDefault="0083653C" w:rsidP="006B686D">
            <w:pPr>
              <w:spacing w:line="240" w:lineRule="auto"/>
              <w:rPr>
                <w:sz w:val="18"/>
                <w:szCs w:val="18"/>
                <w:lang w:val="nb-NO"/>
              </w:rPr>
            </w:pPr>
          </w:p>
        </w:tc>
        <w:tc>
          <w:tcPr>
            <w:tcW w:w="488" w:type="pct"/>
            <w:tcBorders>
              <w:top w:val="single" w:sz="4" w:space="0" w:color="auto"/>
              <w:left w:val="single" w:sz="4" w:space="0" w:color="auto"/>
              <w:bottom w:val="single" w:sz="4" w:space="0" w:color="auto"/>
              <w:right w:val="single" w:sz="4" w:space="0" w:color="auto"/>
            </w:tcBorders>
          </w:tcPr>
          <w:p w14:paraId="5AA41DBB" w14:textId="77777777" w:rsidR="0083653C" w:rsidRPr="00346F75" w:rsidRDefault="0083653C" w:rsidP="006B686D">
            <w:pPr>
              <w:spacing w:line="240" w:lineRule="auto"/>
              <w:rPr>
                <w:sz w:val="18"/>
                <w:szCs w:val="18"/>
                <w:lang w:val="nb-NO"/>
              </w:rPr>
            </w:pPr>
          </w:p>
        </w:tc>
        <w:tc>
          <w:tcPr>
            <w:tcW w:w="941" w:type="pct"/>
            <w:tcBorders>
              <w:top w:val="single" w:sz="4" w:space="0" w:color="auto"/>
              <w:left w:val="single" w:sz="4" w:space="0" w:color="auto"/>
              <w:bottom w:val="single" w:sz="4" w:space="0" w:color="auto"/>
              <w:right w:val="single" w:sz="4" w:space="0" w:color="auto"/>
            </w:tcBorders>
          </w:tcPr>
          <w:p w14:paraId="651562ED" w14:textId="77777777" w:rsidR="0083653C" w:rsidRPr="00346F75" w:rsidRDefault="0083653C" w:rsidP="006B686D">
            <w:pPr>
              <w:spacing w:line="240" w:lineRule="auto"/>
              <w:rPr>
                <w:sz w:val="18"/>
                <w:szCs w:val="18"/>
                <w:lang w:val="nb-NO"/>
              </w:rPr>
            </w:pPr>
          </w:p>
        </w:tc>
      </w:tr>
    </w:tbl>
    <w:p w14:paraId="7243BADC" w14:textId="77777777" w:rsidR="00FB24C0" w:rsidRPr="00935C0D" w:rsidRDefault="00FB24C0" w:rsidP="00FB24C0">
      <w:pPr>
        <w:spacing w:after="0" w:line="240" w:lineRule="auto"/>
        <w:ind w:left="0" w:firstLine="0"/>
        <w:rPr>
          <w:color w:val="auto"/>
          <w:sz w:val="20"/>
          <w:szCs w:val="20"/>
          <w:lang w:val="es-ES"/>
        </w:rPr>
      </w:pPr>
    </w:p>
    <w:p w14:paraId="2B6487A8" w14:textId="0AAEE8AE" w:rsidR="00FB24C0" w:rsidRPr="005D04B0" w:rsidRDefault="00FB24C0" w:rsidP="00254CE1">
      <w:pPr>
        <w:spacing w:after="0" w:line="240" w:lineRule="auto"/>
        <w:ind w:left="0" w:firstLine="0"/>
        <w:rPr>
          <w:color w:val="auto"/>
          <w:sz w:val="20"/>
          <w:szCs w:val="20"/>
          <w:lang w:val="es-ES"/>
        </w:rPr>
      </w:pPr>
      <w:r w:rsidRPr="005D04B0">
        <w:rPr>
          <w:color w:val="auto"/>
          <w:sz w:val="20"/>
          <w:szCs w:val="20"/>
          <w:lang w:val="es-ES"/>
        </w:rPr>
        <w:t xml:space="preserve">La </w:t>
      </w:r>
      <w:r w:rsidR="00471B84">
        <w:rPr>
          <w:color w:val="auto"/>
          <w:sz w:val="20"/>
          <w:szCs w:val="20"/>
          <w:lang w:val="es-ES"/>
        </w:rPr>
        <w:t>t</w:t>
      </w:r>
      <w:r w:rsidRPr="005D04B0">
        <w:rPr>
          <w:color w:val="auto"/>
          <w:sz w:val="20"/>
          <w:szCs w:val="20"/>
          <w:lang w:val="es-ES"/>
        </w:rPr>
        <w:t xml:space="preserve">abla 2 muestra la frecuencia de reacciones adversas graves. Las reacciones graves se definen como </w:t>
      </w:r>
      <w:r w:rsidR="00254CE1">
        <w:rPr>
          <w:color w:val="auto"/>
          <w:sz w:val="20"/>
          <w:szCs w:val="20"/>
          <w:lang w:val="es-ES"/>
        </w:rPr>
        <w:t>reacciones adversas</w:t>
      </w:r>
      <w:r w:rsidRPr="005D04B0">
        <w:rPr>
          <w:color w:val="auto"/>
          <w:sz w:val="20"/>
          <w:szCs w:val="20"/>
          <w:lang w:val="es-ES"/>
        </w:rPr>
        <w:t xml:space="preserve"> con una diferencia del 2% en comparación con el brazo de control en los </w:t>
      </w:r>
      <w:r w:rsidR="00254CE1">
        <w:rPr>
          <w:color w:val="auto"/>
          <w:sz w:val="20"/>
          <w:szCs w:val="20"/>
          <w:lang w:val="es-ES"/>
        </w:rPr>
        <w:t>ensayos</w:t>
      </w:r>
      <w:r w:rsidRPr="005D04B0">
        <w:rPr>
          <w:color w:val="auto"/>
          <w:sz w:val="20"/>
          <w:szCs w:val="20"/>
          <w:lang w:val="es-ES"/>
        </w:rPr>
        <w:t xml:space="preserve"> clínicos para reacciones NCI-CTCAE de Grado 3-5. La </w:t>
      </w:r>
      <w:r w:rsidR="00471B84">
        <w:rPr>
          <w:color w:val="auto"/>
          <w:sz w:val="20"/>
          <w:szCs w:val="20"/>
          <w:lang w:val="es-ES"/>
        </w:rPr>
        <w:t>t</w:t>
      </w:r>
      <w:r w:rsidRPr="005D04B0">
        <w:rPr>
          <w:color w:val="auto"/>
          <w:sz w:val="20"/>
          <w:szCs w:val="20"/>
          <w:lang w:val="es-ES"/>
        </w:rPr>
        <w:t>abla 2 también incluye las reacciones adversas que son consideradas por el TAC como clínicamente significativas o graves.</w:t>
      </w:r>
      <w:r w:rsidRPr="005D04B0">
        <w:rPr>
          <w:rFonts w:eastAsia="Arial"/>
          <w:color w:val="auto"/>
          <w:sz w:val="20"/>
          <w:szCs w:val="20"/>
          <w:lang w:val="es-ES"/>
        </w:rPr>
        <w:t xml:space="preserve"> </w:t>
      </w:r>
      <w:r w:rsidRPr="005D04B0">
        <w:rPr>
          <w:color w:val="auto"/>
          <w:sz w:val="20"/>
          <w:szCs w:val="20"/>
          <w:lang w:val="es-ES"/>
        </w:rPr>
        <w:t xml:space="preserve">Estas reacciones adversas clínicamente significativas se notificaron en los ensayos clínicos, pero las reacciones de grado 3-5 no cumplieron el umbral de al menos un 2% de diferencia en comparación con el brazo de control. La </w:t>
      </w:r>
      <w:r w:rsidR="00471B84">
        <w:rPr>
          <w:color w:val="auto"/>
          <w:sz w:val="20"/>
          <w:szCs w:val="20"/>
          <w:lang w:val="es-ES"/>
        </w:rPr>
        <w:t>t</w:t>
      </w:r>
      <w:r w:rsidRPr="005D04B0">
        <w:rPr>
          <w:color w:val="auto"/>
          <w:sz w:val="20"/>
          <w:szCs w:val="20"/>
          <w:lang w:val="es-ES"/>
        </w:rPr>
        <w:t xml:space="preserve">abla 2 también incluye las reacciones adversas clínicamente significativas que se observaron sólo posteriormente a la comercialización, por lo tanto, se desconoce la frecuencia y el grado de NCI-CTCAE. Estas reacciones clínicamente significativas, por tanto, han sido incluidos en la </w:t>
      </w:r>
      <w:r w:rsidR="00471B84">
        <w:rPr>
          <w:color w:val="auto"/>
          <w:sz w:val="20"/>
          <w:szCs w:val="20"/>
          <w:lang w:val="es-ES"/>
        </w:rPr>
        <w:t>t</w:t>
      </w:r>
      <w:r w:rsidRPr="005D04B0">
        <w:rPr>
          <w:color w:val="auto"/>
          <w:sz w:val="20"/>
          <w:szCs w:val="20"/>
          <w:lang w:val="es-ES"/>
        </w:rPr>
        <w:t xml:space="preserve">abla 2 en la columna titulada </w:t>
      </w:r>
      <w:r w:rsidR="00445D58">
        <w:rPr>
          <w:color w:val="auto"/>
          <w:sz w:val="20"/>
          <w:szCs w:val="20"/>
          <w:lang w:val="es-ES"/>
        </w:rPr>
        <w:t>“</w:t>
      </w:r>
      <w:r w:rsidRPr="005D04B0">
        <w:rPr>
          <w:color w:val="auto"/>
          <w:sz w:val="20"/>
          <w:szCs w:val="20"/>
          <w:lang w:val="es-ES"/>
        </w:rPr>
        <w:t>Frecuencia no conocida”.</w:t>
      </w:r>
    </w:p>
    <w:p w14:paraId="4AB4EF1A" w14:textId="77777777" w:rsidR="008611B6" w:rsidRPr="005D04B0" w:rsidRDefault="008611B6" w:rsidP="00FB24C0">
      <w:pPr>
        <w:spacing w:after="0" w:line="240" w:lineRule="auto"/>
        <w:ind w:left="0" w:firstLine="0"/>
        <w:rPr>
          <w:color w:val="auto"/>
          <w:sz w:val="20"/>
          <w:szCs w:val="20"/>
          <w:lang w:val="es-ES"/>
        </w:rPr>
      </w:pPr>
    </w:p>
    <w:p w14:paraId="1A45A5B2" w14:textId="77777777" w:rsidR="00981DAB" w:rsidRDefault="00FB24C0" w:rsidP="00FB24C0">
      <w:pPr>
        <w:spacing w:after="0" w:line="240" w:lineRule="auto"/>
        <w:ind w:left="567" w:hanging="567"/>
        <w:rPr>
          <w:color w:val="auto"/>
          <w:sz w:val="20"/>
          <w:szCs w:val="20"/>
          <w:lang w:val="es-ES"/>
        </w:rPr>
      </w:pPr>
      <w:r w:rsidRPr="005D04B0">
        <w:rPr>
          <w:color w:val="auto"/>
          <w:sz w:val="20"/>
          <w:szCs w:val="20"/>
          <w:vertAlign w:val="superscript"/>
          <w:lang w:val="es-ES"/>
        </w:rPr>
        <w:t>a</w:t>
      </w:r>
      <w:r w:rsidRPr="005D04B0">
        <w:rPr>
          <w:color w:val="auto"/>
          <w:sz w:val="20"/>
          <w:szCs w:val="20"/>
          <w:lang w:val="es-ES"/>
        </w:rPr>
        <w:tab/>
        <w:t xml:space="preserve">Los términos representan un grupo de acontecimientos adversos que describen un concepto médico en </w:t>
      </w:r>
      <w:r w:rsidRPr="007C680D">
        <w:rPr>
          <w:color w:val="auto"/>
          <w:sz w:val="20"/>
          <w:szCs w:val="20"/>
          <w:lang w:val="es-ES"/>
        </w:rPr>
        <w:t>lugar de una sola afección o términos de referencia de MedDRA (Diccionario Médico para Actividades Regulatorias). Este conjunto de términos médicos puede implicar la misma fisiopatología subyacente (ej., las reacciones tromboembólicas arteriales incluyen accidente cerebrovascular, infarto de miocardio, accidente isquémico transitorio y otras reaccion</w:t>
      </w:r>
      <w:r w:rsidR="00981DAB">
        <w:rPr>
          <w:color w:val="auto"/>
          <w:sz w:val="20"/>
          <w:szCs w:val="20"/>
          <w:lang w:val="es-ES"/>
        </w:rPr>
        <w:t>es tromboembólicas arteriales).</w:t>
      </w:r>
    </w:p>
    <w:p w14:paraId="7CF24AB1" w14:textId="77777777" w:rsidR="00FB24C0" w:rsidRPr="007C680D" w:rsidRDefault="00BC5139" w:rsidP="00FB24C0">
      <w:pPr>
        <w:spacing w:after="0" w:line="240" w:lineRule="auto"/>
        <w:ind w:left="567" w:hanging="567"/>
        <w:rPr>
          <w:color w:val="auto"/>
          <w:sz w:val="20"/>
          <w:szCs w:val="20"/>
          <w:lang w:val="es-ES"/>
        </w:rPr>
      </w:pPr>
      <w:r w:rsidRPr="00BC5139">
        <w:rPr>
          <w:color w:val="auto"/>
          <w:sz w:val="20"/>
          <w:szCs w:val="20"/>
          <w:vertAlign w:val="superscript"/>
          <w:lang w:val="es-ES"/>
        </w:rPr>
        <w:t>b</w:t>
      </w:r>
      <w:r>
        <w:rPr>
          <w:color w:val="auto"/>
          <w:sz w:val="20"/>
          <w:szCs w:val="20"/>
          <w:lang w:val="es-ES"/>
        </w:rPr>
        <w:tab/>
      </w:r>
      <w:r w:rsidR="00FB24C0" w:rsidRPr="007C680D">
        <w:rPr>
          <w:color w:val="auto"/>
          <w:sz w:val="20"/>
          <w:szCs w:val="20"/>
          <w:lang w:val="es-ES"/>
        </w:rPr>
        <w:t>Para obtener información adicional, consulte más adelante en la sección “Descripción de reacciones adversas graves</w:t>
      </w:r>
      <w:r w:rsidR="00FB24C0" w:rsidRPr="007C680D">
        <w:rPr>
          <w:color w:val="auto"/>
          <w:sz w:val="20"/>
          <w:szCs w:val="20"/>
          <w:u w:color="000000"/>
          <w:lang w:val="es-ES"/>
        </w:rPr>
        <w:t xml:space="preserve"> seleccionadas”.</w:t>
      </w:r>
    </w:p>
    <w:p w14:paraId="76286EDE" w14:textId="5F84CA60" w:rsidR="00FB24C0" w:rsidRPr="005D04B0" w:rsidRDefault="00FB24C0" w:rsidP="00FB24C0">
      <w:pPr>
        <w:spacing w:after="0" w:line="240" w:lineRule="auto"/>
        <w:ind w:left="567" w:hanging="567"/>
        <w:rPr>
          <w:color w:val="auto"/>
          <w:sz w:val="20"/>
          <w:szCs w:val="20"/>
          <w:lang w:val="es-ES"/>
        </w:rPr>
      </w:pPr>
      <w:r w:rsidRPr="005D04B0">
        <w:rPr>
          <w:color w:val="auto"/>
          <w:sz w:val="20"/>
          <w:szCs w:val="20"/>
          <w:vertAlign w:val="superscript"/>
          <w:lang w:val="es-ES"/>
        </w:rPr>
        <w:t>c</w:t>
      </w:r>
      <w:r w:rsidRPr="005D04B0">
        <w:rPr>
          <w:color w:val="auto"/>
          <w:sz w:val="20"/>
          <w:szCs w:val="20"/>
          <w:lang w:val="es-ES"/>
        </w:rPr>
        <w:tab/>
        <w:t xml:space="preserve">Para obtener información adicional, consulte la </w:t>
      </w:r>
      <w:r w:rsidR="00471B84">
        <w:rPr>
          <w:color w:val="auto"/>
          <w:sz w:val="20"/>
          <w:szCs w:val="20"/>
          <w:lang w:val="es-ES"/>
        </w:rPr>
        <w:t>t</w:t>
      </w:r>
      <w:r w:rsidRPr="005D04B0">
        <w:rPr>
          <w:color w:val="auto"/>
          <w:sz w:val="20"/>
          <w:szCs w:val="20"/>
          <w:lang w:val="es-ES"/>
        </w:rPr>
        <w:t xml:space="preserve">abla 3 “Reacciones adversas notificadas durante la experiencia </w:t>
      </w:r>
      <w:proofErr w:type="spellStart"/>
      <w:r w:rsidRPr="005D04B0">
        <w:rPr>
          <w:color w:val="auto"/>
          <w:sz w:val="20"/>
          <w:szCs w:val="20"/>
          <w:lang w:val="es-ES"/>
        </w:rPr>
        <w:t>poscomercialización</w:t>
      </w:r>
      <w:proofErr w:type="spellEnd"/>
      <w:r w:rsidRPr="005D04B0">
        <w:rPr>
          <w:color w:val="auto"/>
          <w:sz w:val="20"/>
          <w:szCs w:val="20"/>
          <w:lang w:val="es-ES"/>
        </w:rPr>
        <w:t>”.</w:t>
      </w:r>
    </w:p>
    <w:p w14:paraId="0832438C" w14:textId="77777777" w:rsidR="00FB24C0" w:rsidRPr="005D04B0" w:rsidRDefault="00FB24C0" w:rsidP="00FB24C0">
      <w:pPr>
        <w:spacing w:after="0" w:line="240" w:lineRule="auto"/>
        <w:ind w:left="567" w:hanging="567"/>
        <w:rPr>
          <w:color w:val="auto"/>
          <w:sz w:val="20"/>
          <w:szCs w:val="20"/>
          <w:lang w:val="es-ES"/>
        </w:rPr>
      </w:pPr>
      <w:r w:rsidRPr="005D04B0">
        <w:rPr>
          <w:color w:val="auto"/>
          <w:sz w:val="20"/>
          <w:szCs w:val="20"/>
          <w:vertAlign w:val="superscript"/>
          <w:lang w:val="es-ES"/>
        </w:rPr>
        <w:t>d</w:t>
      </w:r>
      <w:r w:rsidRPr="005D04B0">
        <w:rPr>
          <w:color w:val="auto"/>
          <w:sz w:val="20"/>
          <w:szCs w:val="20"/>
          <w:lang w:val="es-ES"/>
        </w:rPr>
        <w:tab/>
        <w:t>Las fístulas recto-vaginales son las fístulas más frecuentes dentro de la categoría de fístula GI-vaginal.</w:t>
      </w:r>
    </w:p>
    <w:p w14:paraId="0B55FFF2" w14:textId="77777777" w:rsidR="00FB24C0" w:rsidRPr="00443040" w:rsidRDefault="00FB24C0" w:rsidP="00FB24C0">
      <w:pPr>
        <w:spacing w:after="0" w:line="240" w:lineRule="auto"/>
        <w:ind w:left="0" w:firstLine="0"/>
        <w:rPr>
          <w:color w:val="auto"/>
          <w:lang w:val="es-ES"/>
        </w:rPr>
      </w:pPr>
    </w:p>
    <w:p w14:paraId="7D488F39" w14:textId="77777777" w:rsidR="00FB24C0" w:rsidRPr="00443040" w:rsidRDefault="00FB24C0" w:rsidP="00FB24C0">
      <w:pPr>
        <w:keepNext/>
        <w:spacing w:after="0" w:line="240" w:lineRule="auto"/>
        <w:ind w:left="0" w:firstLine="0"/>
        <w:rPr>
          <w:color w:val="auto"/>
          <w:u w:val="single"/>
          <w:lang w:val="es-ES"/>
        </w:rPr>
      </w:pPr>
      <w:r w:rsidRPr="00443040">
        <w:rPr>
          <w:color w:val="auto"/>
          <w:u w:val="single"/>
          <w:lang w:val="es-ES"/>
        </w:rPr>
        <w:lastRenderedPageBreak/>
        <w:t>Descripción de reacciones adversas graves seleccionadas</w:t>
      </w:r>
    </w:p>
    <w:p w14:paraId="63AB7345" w14:textId="77777777" w:rsidR="00FB24C0" w:rsidRPr="00443040" w:rsidRDefault="00FB24C0" w:rsidP="00FB24C0">
      <w:pPr>
        <w:keepNext/>
        <w:spacing w:after="0" w:line="240" w:lineRule="auto"/>
        <w:ind w:left="0" w:firstLine="0"/>
        <w:rPr>
          <w:color w:val="auto"/>
          <w:lang w:val="es-ES"/>
        </w:rPr>
      </w:pPr>
    </w:p>
    <w:p w14:paraId="4371F7C1" w14:textId="5CA8E6D5" w:rsidR="00FB24C0" w:rsidRDefault="00FB24C0" w:rsidP="00B43B7E">
      <w:pPr>
        <w:keepNext/>
        <w:spacing w:after="0" w:line="240" w:lineRule="auto"/>
        <w:ind w:left="0" w:firstLine="0"/>
        <w:rPr>
          <w:color w:val="auto"/>
          <w:u w:val="single"/>
          <w:lang w:val="es-ES"/>
        </w:rPr>
      </w:pPr>
      <w:r w:rsidRPr="0078275C">
        <w:rPr>
          <w:i/>
          <w:color w:val="auto"/>
          <w:u w:val="single"/>
          <w:lang w:val="es-ES"/>
        </w:rPr>
        <w:t xml:space="preserve">Perforaciones gastrointestinales (GI) y </w:t>
      </w:r>
      <w:r w:rsidR="00382D82">
        <w:rPr>
          <w:i/>
          <w:color w:val="auto"/>
          <w:u w:val="single"/>
          <w:lang w:val="es-ES"/>
        </w:rPr>
        <w:t>f</w:t>
      </w:r>
      <w:r w:rsidRPr="0078275C">
        <w:rPr>
          <w:i/>
          <w:color w:val="auto"/>
          <w:u w:val="single"/>
          <w:lang w:val="es-ES"/>
        </w:rPr>
        <w:t xml:space="preserve">ístulas </w:t>
      </w:r>
      <w:r w:rsidRPr="0078275C">
        <w:rPr>
          <w:color w:val="auto"/>
          <w:u w:val="single"/>
          <w:lang w:val="es-ES"/>
        </w:rPr>
        <w:t>(ver sección 4.4)</w:t>
      </w:r>
    </w:p>
    <w:p w14:paraId="063A9137" w14:textId="77777777" w:rsidR="0078275C" w:rsidRPr="0078275C" w:rsidRDefault="0078275C" w:rsidP="00B43B7E">
      <w:pPr>
        <w:keepNext/>
        <w:spacing w:after="0" w:line="240" w:lineRule="auto"/>
        <w:ind w:left="0" w:firstLine="0"/>
        <w:rPr>
          <w:color w:val="auto"/>
          <w:lang w:val="es-ES"/>
        </w:rPr>
      </w:pPr>
    </w:p>
    <w:p w14:paraId="0FE1A641" w14:textId="77777777" w:rsidR="00FB24C0" w:rsidRPr="00443040" w:rsidRDefault="00FB24C0" w:rsidP="00FB24C0">
      <w:pPr>
        <w:spacing w:after="0" w:line="240" w:lineRule="auto"/>
        <w:ind w:left="0" w:firstLine="0"/>
        <w:rPr>
          <w:color w:val="auto"/>
          <w:lang w:val="es-ES"/>
        </w:rPr>
      </w:pPr>
      <w:r w:rsidRPr="00443040">
        <w:rPr>
          <w:color w:val="auto"/>
          <w:lang w:val="es-ES"/>
        </w:rPr>
        <w:t xml:space="preserve">Se ha asociado el uso de </w:t>
      </w:r>
      <w:r w:rsidR="008470BC">
        <w:rPr>
          <w:color w:val="auto"/>
          <w:lang w:val="es-ES"/>
        </w:rPr>
        <w:t>bevacizumab</w:t>
      </w:r>
      <w:r w:rsidR="008470BC" w:rsidRPr="00443040">
        <w:rPr>
          <w:color w:val="auto"/>
          <w:lang w:val="es-ES"/>
        </w:rPr>
        <w:t xml:space="preserve"> </w:t>
      </w:r>
      <w:r w:rsidRPr="00443040">
        <w:rPr>
          <w:color w:val="auto"/>
          <w:lang w:val="es-ES"/>
        </w:rPr>
        <w:t>con casos graves de perforación gastrointestinal.</w:t>
      </w:r>
    </w:p>
    <w:p w14:paraId="5EB3B2B9" w14:textId="77777777" w:rsidR="00FB24C0" w:rsidRPr="00443040" w:rsidRDefault="00FB24C0" w:rsidP="00FB24C0">
      <w:pPr>
        <w:spacing w:after="0" w:line="240" w:lineRule="auto"/>
        <w:ind w:left="0" w:firstLine="0"/>
        <w:rPr>
          <w:color w:val="auto"/>
          <w:lang w:val="es-ES"/>
        </w:rPr>
      </w:pPr>
    </w:p>
    <w:p w14:paraId="2EDC5C5E" w14:textId="43D11453" w:rsidR="00FB24C0" w:rsidRDefault="00FB24C0" w:rsidP="00FB24C0">
      <w:pPr>
        <w:spacing w:after="0" w:line="240" w:lineRule="auto"/>
        <w:ind w:left="0" w:firstLine="0"/>
        <w:rPr>
          <w:color w:val="auto"/>
          <w:lang w:val="es-ES"/>
        </w:rPr>
      </w:pPr>
      <w:r w:rsidRPr="00443040">
        <w:rPr>
          <w:color w:val="auto"/>
          <w:lang w:val="es-ES"/>
        </w:rPr>
        <w:t>En los ensayos clínicos se han notificado casos de perforaciones gastrointestinales con una incidencia de menos del 1% en pacientes con cáncer de pulmón no microcítico, hasta un 1,3% en pacientes con cáncer de mama metastásico, hasta un 2</w:t>
      </w:r>
      <w:r w:rsidR="00445D58">
        <w:rPr>
          <w:color w:val="auto"/>
          <w:lang w:val="es-ES"/>
        </w:rPr>
        <w:t>,0</w:t>
      </w:r>
      <w:r w:rsidRPr="00443040">
        <w:rPr>
          <w:color w:val="auto"/>
          <w:lang w:val="es-ES"/>
        </w:rPr>
        <w:t>% en pacientes con cáncer de células renales metastásico o en pacientes con cáncer de ovario, y hasta un 2,7% en pacientes con cáncer colorrectal metastásico (incluyendo fistula gastrointestinal y absceso). Del ensayo clínico (GOG-0240) en pacientes con cáncer de cérvix persistente, recurrente o metastásico, se notificaron perforaciones GI (todos los grados) en el 3,2% de los pacientes, todos tenían antecedentes de radiación pélvica previa.</w:t>
      </w:r>
    </w:p>
    <w:p w14:paraId="56D050F9" w14:textId="77777777" w:rsidR="00B43B7E" w:rsidRPr="00443040" w:rsidRDefault="00B43B7E" w:rsidP="00FB24C0">
      <w:pPr>
        <w:spacing w:after="0" w:line="240" w:lineRule="auto"/>
        <w:ind w:left="0" w:firstLine="0"/>
        <w:rPr>
          <w:color w:val="auto"/>
          <w:lang w:val="es-ES"/>
        </w:rPr>
      </w:pPr>
    </w:p>
    <w:p w14:paraId="10BF3D99" w14:textId="77777777" w:rsidR="00FB24C0" w:rsidRPr="00443040" w:rsidRDefault="00FB24C0" w:rsidP="00FB24C0">
      <w:pPr>
        <w:spacing w:after="0" w:line="240" w:lineRule="auto"/>
        <w:ind w:left="0" w:firstLine="0"/>
        <w:rPr>
          <w:color w:val="auto"/>
          <w:lang w:val="es-ES"/>
        </w:rPr>
      </w:pPr>
      <w:r w:rsidRPr="00443040">
        <w:rPr>
          <w:color w:val="auto"/>
          <w:lang w:val="es-ES"/>
        </w:rPr>
        <w:t>Hubo diferencia en el tipo y gravedad de aparición de estos acontecimientos, comprendiendo desde la presencia de aire libre detectada en radiografía simple de abdomen, que se resolvió sin necesidad de tratamiento, hasta la perforación intestinal con absceso abdominal y desenlace mortal. Algunos casos ya presentaban inflamación intrabdominal subyacente como consecuencia de úlcera gástrica, necrosis tumoral, diverticulitis o de colitis asociada a la quimioterapia.</w:t>
      </w:r>
    </w:p>
    <w:p w14:paraId="13AAC198" w14:textId="77777777" w:rsidR="00FB24C0" w:rsidRPr="00443040" w:rsidRDefault="00FB24C0" w:rsidP="00FB24C0">
      <w:pPr>
        <w:spacing w:after="0" w:line="240" w:lineRule="auto"/>
        <w:ind w:left="0" w:firstLine="0"/>
        <w:rPr>
          <w:color w:val="auto"/>
          <w:lang w:val="es-ES"/>
        </w:rPr>
      </w:pPr>
    </w:p>
    <w:p w14:paraId="18D1A1BD" w14:textId="77777777" w:rsidR="00FB24C0" w:rsidRPr="00443040" w:rsidRDefault="00FB24C0" w:rsidP="00FB24C0">
      <w:pPr>
        <w:spacing w:after="0" w:line="240" w:lineRule="auto"/>
        <w:ind w:left="0" w:firstLine="0"/>
        <w:rPr>
          <w:color w:val="auto"/>
          <w:lang w:val="es-ES"/>
        </w:rPr>
      </w:pPr>
      <w:r w:rsidRPr="00443040">
        <w:rPr>
          <w:color w:val="auto"/>
          <w:lang w:val="es-ES"/>
        </w:rPr>
        <w:t>Se notificó un desenlace mortal en aproximadamente un tercio de los casos graves de perforaciones gastrointestinales, los cuales representan entre el 0,2%-1% de todos los pacientes tratados con</w:t>
      </w:r>
      <w:r w:rsidR="00121BC9">
        <w:rPr>
          <w:color w:val="auto"/>
          <w:lang w:val="es-ES"/>
        </w:rPr>
        <w:t xml:space="preserve"> bevacizumab</w:t>
      </w:r>
      <w:r w:rsidRPr="00443040">
        <w:rPr>
          <w:color w:val="auto"/>
          <w:lang w:val="es-ES"/>
        </w:rPr>
        <w:t>.</w:t>
      </w:r>
    </w:p>
    <w:p w14:paraId="3D368802" w14:textId="77777777" w:rsidR="00FB24C0" w:rsidRPr="00443040" w:rsidRDefault="00FB24C0" w:rsidP="00FB24C0">
      <w:pPr>
        <w:spacing w:after="0" w:line="240" w:lineRule="auto"/>
        <w:ind w:left="0" w:firstLine="0"/>
        <w:rPr>
          <w:color w:val="auto"/>
          <w:lang w:val="es-ES"/>
        </w:rPr>
      </w:pPr>
    </w:p>
    <w:p w14:paraId="700C7EFA" w14:textId="77777777" w:rsidR="00FB24C0" w:rsidRPr="00443040" w:rsidRDefault="00FB24C0" w:rsidP="00FB24C0">
      <w:pPr>
        <w:spacing w:after="0" w:line="240" w:lineRule="auto"/>
        <w:ind w:left="0" w:firstLine="0"/>
        <w:rPr>
          <w:color w:val="auto"/>
          <w:lang w:val="es-ES"/>
        </w:rPr>
      </w:pPr>
      <w:r w:rsidRPr="00443040">
        <w:rPr>
          <w:color w:val="auto"/>
          <w:lang w:val="es-ES"/>
        </w:rPr>
        <w:t xml:space="preserve">En ensayos clínicos con </w:t>
      </w:r>
      <w:r w:rsidR="00121BC9">
        <w:rPr>
          <w:color w:val="auto"/>
          <w:lang w:val="es-ES"/>
        </w:rPr>
        <w:t>bevacizumab</w:t>
      </w:r>
      <w:r w:rsidRPr="00443040">
        <w:rPr>
          <w:color w:val="auto"/>
          <w:lang w:val="es-ES"/>
        </w:rPr>
        <w:t xml:space="preserve"> se han notificado fístulas gastrointestinales (todos los grados) con una incidencia de hasta el 2% en pacientes con cáncer colorrectal metastásico y cáncer de ovario, aunque también se notificaron con menos frecuencia en pacientes con otros tipos de cáncer.</w:t>
      </w:r>
    </w:p>
    <w:p w14:paraId="2A703D40" w14:textId="77777777" w:rsidR="00FB24C0" w:rsidRPr="00443040" w:rsidRDefault="00FB24C0" w:rsidP="00FB24C0">
      <w:pPr>
        <w:spacing w:after="0" w:line="240" w:lineRule="auto"/>
        <w:ind w:left="0" w:firstLine="0"/>
        <w:rPr>
          <w:color w:val="auto"/>
          <w:lang w:val="es-ES"/>
        </w:rPr>
      </w:pPr>
    </w:p>
    <w:p w14:paraId="2EEA809D" w14:textId="77777777" w:rsidR="00FB24C0" w:rsidRPr="00935C0D" w:rsidRDefault="00FB24C0" w:rsidP="00B43B7E">
      <w:pPr>
        <w:keepNext/>
        <w:spacing w:after="0" w:line="240" w:lineRule="auto"/>
        <w:ind w:left="0" w:firstLine="0"/>
        <w:rPr>
          <w:i/>
          <w:color w:val="auto"/>
          <w:u w:val="single"/>
          <w:lang w:val="es-ES"/>
        </w:rPr>
      </w:pPr>
      <w:r w:rsidRPr="00935C0D">
        <w:rPr>
          <w:i/>
          <w:color w:val="auto"/>
          <w:u w:val="single"/>
          <w:lang w:val="es-ES"/>
        </w:rPr>
        <w:t>Fístulas GI-vaginales en el estudio GOG-0240</w:t>
      </w:r>
    </w:p>
    <w:p w14:paraId="7554E1FF" w14:textId="77777777" w:rsidR="0078275C" w:rsidRPr="00935C0D" w:rsidRDefault="0078275C" w:rsidP="00B43B7E">
      <w:pPr>
        <w:keepNext/>
        <w:spacing w:after="0" w:line="240" w:lineRule="auto"/>
        <w:ind w:left="0" w:firstLine="0"/>
        <w:rPr>
          <w:color w:val="auto"/>
          <w:lang w:val="es-ES"/>
        </w:rPr>
      </w:pPr>
    </w:p>
    <w:p w14:paraId="546EE11B" w14:textId="44137436" w:rsidR="00FB24C0" w:rsidRPr="00935C0D" w:rsidRDefault="00FB24C0" w:rsidP="00FB24C0">
      <w:pPr>
        <w:spacing w:after="0" w:line="240" w:lineRule="auto"/>
        <w:ind w:left="0" w:firstLine="0"/>
        <w:rPr>
          <w:color w:val="auto"/>
          <w:lang w:val="es-ES"/>
        </w:rPr>
      </w:pPr>
      <w:r w:rsidRPr="00935C0D">
        <w:rPr>
          <w:color w:val="auto"/>
          <w:lang w:val="es-ES"/>
        </w:rPr>
        <w:t xml:space="preserve">En un ensayo con pacientes con cáncer de cérvix persistente, recurrente o metastásico, la incidencia de fístulas GI-vaginales fue del 8,3% en pacientes tratados con </w:t>
      </w:r>
      <w:r w:rsidR="00121BC9">
        <w:rPr>
          <w:color w:val="auto"/>
          <w:lang w:val="es-ES"/>
        </w:rPr>
        <w:t>bevacizumab</w:t>
      </w:r>
      <w:r w:rsidRPr="00935C0D">
        <w:rPr>
          <w:color w:val="auto"/>
          <w:lang w:val="es-ES"/>
        </w:rPr>
        <w:t xml:space="preserve"> y del 0,9% en pacientes control, todos ellos tenían antecedentes de radiación pélvica previa. La frecuencia de fístulas GI-vaginales en el grupo tratado con </w:t>
      </w:r>
      <w:r w:rsidR="00121BC9">
        <w:rPr>
          <w:color w:val="auto"/>
          <w:lang w:val="es-ES"/>
        </w:rPr>
        <w:t>bevacizumab</w:t>
      </w:r>
      <w:r w:rsidRPr="00935C0D">
        <w:rPr>
          <w:color w:val="auto"/>
          <w:lang w:val="es-ES"/>
        </w:rPr>
        <w:t xml:space="preserve"> + quimioterapia fue mayor en pacientes con recurrencia de la enfermedad dentro del campo previamente radiado (16,7%) comparado con pacientes sin radiación previa y/o sin recurrencia dentro del campo previamente radiado (3,6%). Las frecuencias correspondientes en el grupo control que recibió únicamente quimioterapia fueron del 1,1% frente al 0,8% respectivamente. Los pacientes que desarrollen fístulas GI-vaginales pueden tener también obstrucciones intestinales y requerir intervención quirúrgica</w:t>
      </w:r>
      <w:r w:rsidR="009E5C5D">
        <w:rPr>
          <w:color w:val="auto"/>
          <w:lang w:val="es-ES"/>
        </w:rPr>
        <w:t>,</w:t>
      </w:r>
      <w:r w:rsidRPr="00935C0D">
        <w:rPr>
          <w:color w:val="auto"/>
          <w:lang w:val="es-ES"/>
        </w:rPr>
        <w:t xml:space="preserve"> así como ostomía derivativa.</w:t>
      </w:r>
    </w:p>
    <w:p w14:paraId="3CBEB12F" w14:textId="77777777" w:rsidR="00FB24C0" w:rsidRPr="00935C0D" w:rsidRDefault="00FB24C0" w:rsidP="00FB24C0">
      <w:pPr>
        <w:spacing w:after="0" w:line="240" w:lineRule="auto"/>
        <w:ind w:left="0" w:firstLine="0"/>
        <w:rPr>
          <w:color w:val="auto"/>
          <w:lang w:val="es-ES"/>
        </w:rPr>
      </w:pPr>
    </w:p>
    <w:p w14:paraId="7AA032E2" w14:textId="77777777" w:rsidR="00FB24C0" w:rsidRPr="00935C0D" w:rsidRDefault="00FB24C0" w:rsidP="00B43B7E">
      <w:pPr>
        <w:keepNext/>
        <w:spacing w:after="0" w:line="240" w:lineRule="auto"/>
        <w:ind w:left="0" w:firstLine="0"/>
        <w:rPr>
          <w:color w:val="auto"/>
          <w:u w:val="single"/>
          <w:lang w:val="es-ES"/>
        </w:rPr>
      </w:pPr>
      <w:r w:rsidRPr="00935C0D">
        <w:rPr>
          <w:i/>
          <w:color w:val="auto"/>
          <w:u w:val="single"/>
          <w:lang w:val="es-ES"/>
        </w:rPr>
        <w:t xml:space="preserve">Fístulas no-GI </w:t>
      </w:r>
      <w:r w:rsidRPr="00935C0D">
        <w:rPr>
          <w:color w:val="auto"/>
          <w:u w:val="single"/>
          <w:lang w:val="es-ES"/>
        </w:rPr>
        <w:t>(ver sección 4.4)</w:t>
      </w:r>
    </w:p>
    <w:p w14:paraId="6ECD0DFF" w14:textId="77777777" w:rsidR="0078275C" w:rsidRPr="00935C0D" w:rsidRDefault="0078275C" w:rsidP="00B43B7E">
      <w:pPr>
        <w:keepNext/>
        <w:spacing w:after="0" w:line="240" w:lineRule="auto"/>
        <w:ind w:left="0" w:firstLine="0"/>
        <w:rPr>
          <w:color w:val="auto"/>
          <w:lang w:val="es-ES"/>
        </w:rPr>
      </w:pPr>
    </w:p>
    <w:p w14:paraId="4B9EE041" w14:textId="77777777" w:rsidR="00FB24C0" w:rsidRPr="00935C0D" w:rsidRDefault="00FB24C0" w:rsidP="00FB24C0">
      <w:pPr>
        <w:spacing w:after="0" w:line="240" w:lineRule="auto"/>
        <w:ind w:left="0" w:firstLine="0"/>
        <w:rPr>
          <w:color w:val="auto"/>
          <w:lang w:val="es-ES"/>
        </w:rPr>
      </w:pPr>
      <w:r w:rsidRPr="00935C0D">
        <w:rPr>
          <w:color w:val="auto"/>
          <w:lang w:val="es-ES"/>
        </w:rPr>
        <w:t xml:space="preserve">El uso de </w:t>
      </w:r>
      <w:r w:rsidR="00121BC9">
        <w:rPr>
          <w:color w:val="auto"/>
          <w:lang w:val="es-ES"/>
        </w:rPr>
        <w:t>bevacizumab</w:t>
      </w:r>
      <w:r w:rsidR="00121BC9" w:rsidRPr="00935C0D" w:rsidDel="00121BC9">
        <w:rPr>
          <w:color w:val="auto"/>
          <w:lang w:val="es-ES"/>
        </w:rPr>
        <w:t xml:space="preserve"> </w:t>
      </w:r>
      <w:r w:rsidRPr="00935C0D">
        <w:rPr>
          <w:color w:val="auto"/>
          <w:lang w:val="es-ES"/>
        </w:rPr>
        <w:t>se ha asociado con casos graves de fístulas incluyendo reacciones con desenlace mortal.</w:t>
      </w:r>
    </w:p>
    <w:p w14:paraId="290DF7C1" w14:textId="77777777" w:rsidR="00FB24C0" w:rsidRPr="00935C0D" w:rsidRDefault="00FB24C0" w:rsidP="00FB24C0">
      <w:pPr>
        <w:spacing w:after="0" w:line="240" w:lineRule="auto"/>
        <w:ind w:left="0" w:firstLine="0"/>
        <w:rPr>
          <w:color w:val="auto"/>
          <w:lang w:val="es-ES"/>
        </w:rPr>
      </w:pPr>
    </w:p>
    <w:p w14:paraId="17E66E4C" w14:textId="6E3E9BB6" w:rsidR="00FB24C0" w:rsidRPr="00935C0D" w:rsidRDefault="00FB24C0" w:rsidP="00FB24C0">
      <w:pPr>
        <w:spacing w:after="0" w:line="240" w:lineRule="auto"/>
        <w:ind w:left="0" w:firstLine="0"/>
        <w:rPr>
          <w:color w:val="auto"/>
          <w:lang w:val="es-ES"/>
        </w:rPr>
      </w:pPr>
      <w:r w:rsidRPr="00935C0D">
        <w:rPr>
          <w:color w:val="auto"/>
          <w:lang w:val="es-ES"/>
        </w:rPr>
        <w:t>Del ensayo clínico (GOG-</w:t>
      </w:r>
      <w:r w:rsidR="00526CE1">
        <w:rPr>
          <w:color w:val="auto"/>
          <w:lang w:val="es-ES"/>
        </w:rPr>
        <w:t>0</w:t>
      </w:r>
      <w:r w:rsidRPr="00935C0D">
        <w:rPr>
          <w:color w:val="auto"/>
          <w:lang w:val="es-ES"/>
        </w:rPr>
        <w:t xml:space="preserve">240) en pacientes con cáncer de cérvix persistente, recurrente o metastásico, se notificó que el 1,8% de los pacientes tratados con </w:t>
      </w:r>
      <w:r w:rsidR="00121BC9">
        <w:rPr>
          <w:color w:val="auto"/>
          <w:lang w:val="es-ES"/>
        </w:rPr>
        <w:t>bevacizumab</w:t>
      </w:r>
      <w:r w:rsidRPr="00935C0D">
        <w:rPr>
          <w:color w:val="auto"/>
          <w:lang w:val="es-ES"/>
        </w:rPr>
        <w:t xml:space="preserve"> y el 1,4% de los pacientes del grupo control habían tenido fístulas no gastrointestinales vaginales, vesicales o del tracto genital femenino.</w:t>
      </w:r>
    </w:p>
    <w:p w14:paraId="7E222283" w14:textId="77777777" w:rsidR="00FB24C0" w:rsidRPr="00935C0D" w:rsidRDefault="00FB24C0" w:rsidP="00FB24C0">
      <w:pPr>
        <w:spacing w:after="0" w:line="240" w:lineRule="auto"/>
        <w:ind w:left="0" w:firstLine="0"/>
        <w:rPr>
          <w:color w:val="auto"/>
          <w:lang w:val="es-ES"/>
        </w:rPr>
      </w:pPr>
    </w:p>
    <w:p w14:paraId="7E92F1AC" w14:textId="77777777" w:rsidR="00FB24C0" w:rsidRPr="00935C0D" w:rsidRDefault="00FB24C0" w:rsidP="00FB24C0">
      <w:pPr>
        <w:spacing w:after="0" w:line="240" w:lineRule="auto"/>
        <w:ind w:left="0" w:firstLine="0"/>
        <w:rPr>
          <w:color w:val="auto"/>
          <w:lang w:val="es-ES"/>
        </w:rPr>
      </w:pPr>
      <w:r w:rsidRPr="00935C0D">
        <w:rPr>
          <w:color w:val="auto"/>
          <w:lang w:val="es-ES"/>
        </w:rPr>
        <w:t>En varias indicaciones se observaron casos poco frecuentes (</w:t>
      </w:r>
      <w:r w:rsidRPr="00935C0D">
        <w:rPr>
          <w:rFonts w:eastAsia="Segoe UI Symbol"/>
          <w:color w:val="auto"/>
          <w:lang w:val="es-ES"/>
        </w:rPr>
        <w:t>≥</w:t>
      </w:r>
      <w:r w:rsidRPr="00935C0D">
        <w:rPr>
          <w:color w:val="auto"/>
          <w:lang w:val="es-ES"/>
        </w:rPr>
        <w:t> 0,1%</w:t>
      </w:r>
      <w:r w:rsidR="0078275C" w:rsidRPr="00935C0D">
        <w:rPr>
          <w:color w:val="auto"/>
          <w:lang w:val="es-ES"/>
        </w:rPr>
        <w:t xml:space="preserve"> </w:t>
      </w:r>
      <w:r w:rsidRPr="00935C0D">
        <w:rPr>
          <w:color w:val="auto"/>
          <w:lang w:val="es-ES"/>
        </w:rPr>
        <w:t>y</w:t>
      </w:r>
      <w:r w:rsidR="0078275C" w:rsidRPr="00935C0D">
        <w:rPr>
          <w:color w:val="auto"/>
          <w:lang w:val="es-ES"/>
        </w:rPr>
        <w:t xml:space="preserve"> </w:t>
      </w:r>
      <w:r w:rsidRPr="00935C0D">
        <w:rPr>
          <w:color w:val="auto"/>
          <w:lang w:val="es-ES"/>
        </w:rPr>
        <w:t xml:space="preserve">&lt; 1%) de fístulas que implican a otras partes del organismo diferentes del tracto gastrointestinal (p. ej. fístulas broncopleurales y biliares). También se han notificado fístulas durante la experiencia </w:t>
      </w:r>
      <w:proofErr w:type="spellStart"/>
      <w:r w:rsidRPr="00935C0D">
        <w:rPr>
          <w:color w:val="auto"/>
          <w:lang w:val="es-ES"/>
        </w:rPr>
        <w:t>poscomercialización</w:t>
      </w:r>
      <w:proofErr w:type="spellEnd"/>
      <w:r w:rsidRPr="00935C0D">
        <w:rPr>
          <w:color w:val="auto"/>
          <w:lang w:val="es-ES"/>
        </w:rPr>
        <w:t>.</w:t>
      </w:r>
    </w:p>
    <w:p w14:paraId="664E5DE0" w14:textId="77777777" w:rsidR="00FB24C0" w:rsidRPr="00935C0D" w:rsidRDefault="00FB24C0" w:rsidP="00FB24C0">
      <w:pPr>
        <w:spacing w:after="0" w:line="240" w:lineRule="auto"/>
        <w:ind w:left="0" w:firstLine="0"/>
        <w:rPr>
          <w:color w:val="auto"/>
          <w:lang w:val="es-ES"/>
        </w:rPr>
      </w:pPr>
    </w:p>
    <w:p w14:paraId="67744718" w14:textId="77777777" w:rsidR="00FB24C0" w:rsidRPr="00935C0D" w:rsidRDefault="00FB24C0" w:rsidP="00FB24C0">
      <w:pPr>
        <w:spacing w:after="0" w:line="240" w:lineRule="auto"/>
        <w:ind w:left="0" w:firstLine="0"/>
        <w:rPr>
          <w:color w:val="auto"/>
          <w:lang w:val="es-ES"/>
        </w:rPr>
      </w:pPr>
      <w:r w:rsidRPr="00935C0D">
        <w:rPr>
          <w:color w:val="auto"/>
          <w:lang w:val="es-ES"/>
        </w:rPr>
        <w:t xml:space="preserve">Las reacciones se notificaron en distintos momentos del tratamiento, desde la primera semana hasta pasado el primer año desde el inicio del tratamiento con </w:t>
      </w:r>
      <w:r w:rsidR="00121BC9">
        <w:rPr>
          <w:color w:val="auto"/>
          <w:lang w:val="es-ES"/>
        </w:rPr>
        <w:t>bevacizumab</w:t>
      </w:r>
      <w:r w:rsidRPr="00935C0D">
        <w:rPr>
          <w:color w:val="auto"/>
          <w:lang w:val="es-ES"/>
        </w:rPr>
        <w:t>, produciéndose la mayoría de las reacciones dentro de los 6 primeros meses de tratamiento.</w:t>
      </w:r>
    </w:p>
    <w:p w14:paraId="72D8530F" w14:textId="77777777" w:rsidR="00FB24C0" w:rsidRPr="00935C0D" w:rsidRDefault="00FB24C0" w:rsidP="00FB24C0">
      <w:pPr>
        <w:spacing w:after="0" w:line="240" w:lineRule="auto"/>
        <w:ind w:left="0" w:firstLine="0"/>
        <w:rPr>
          <w:color w:val="auto"/>
          <w:lang w:val="es-ES"/>
        </w:rPr>
      </w:pPr>
    </w:p>
    <w:p w14:paraId="6FF76380" w14:textId="77777777" w:rsidR="00FB24C0" w:rsidRPr="00935C0D" w:rsidRDefault="00FB24C0" w:rsidP="00B43B7E">
      <w:pPr>
        <w:keepNext/>
        <w:spacing w:after="0" w:line="240" w:lineRule="auto"/>
        <w:ind w:left="0" w:firstLine="0"/>
        <w:rPr>
          <w:color w:val="auto"/>
          <w:u w:val="single"/>
          <w:lang w:val="es-ES"/>
        </w:rPr>
      </w:pPr>
      <w:r w:rsidRPr="00935C0D">
        <w:rPr>
          <w:i/>
          <w:color w:val="auto"/>
          <w:u w:val="single"/>
          <w:lang w:val="es-ES"/>
        </w:rPr>
        <w:t xml:space="preserve">Cicatrización de heridas </w:t>
      </w:r>
      <w:r w:rsidRPr="00935C0D">
        <w:rPr>
          <w:color w:val="auto"/>
          <w:u w:val="single"/>
          <w:lang w:val="es-ES"/>
        </w:rPr>
        <w:t>(ver sección 4.4)</w:t>
      </w:r>
    </w:p>
    <w:p w14:paraId="00B12BDA" w14:textId="77777777" w:rsidR="0078275C" w:rsidRPr="00935C0D" w:rsidRDefault="0078275C" w:rsidP="00B43B7E">
      <w:pPr>
        <w:keepNext/>
        <w:spacing w:after="0" w:line="240" w:lineRule="auto"/>
        <w:ind w:left="0" w:firstLine="0"/>
        <w:rPr>
          <w:i/>
          <w:color w:val="auto"/>
          <w:lang w:val="es-ES"/>
        </w:rPr>
      </w:pPr>
    </w:p>
    <w:p w14:paraId="27EBF189" w14:textId="77777777" w:rsidR="00FB24C0" w:rsidRPr="00935C0D" w:rsidRDefault="00FB24C0" w:rsidP="00FB24C0">
      <w:pPr>
        <w:spacing w:after="0" w:line="240" w:lineRule="auto"/>
        <w:ind w:left="0" w:firstLine="0"/>
        <w:rPr>
          <w:color w:val="auto"/>
          <w:lang w:val="es-ES"/>
        </w:rPr>
      </w:pPr>
      <w:r w:rsidRPr="00935C0D">
        <w:rPr>
          <w:color w:val="auto"/>
          <w:lang w:val="es-ES"/>
        </w:rPr>
        <w:t xml:space="preserve">Debido a que </w:t>
      </w:r>
      <w:r w:rsidR="00121BC9">
        <w:rPr>
          <w:color w:val="auto"/>
          <w:lang w:val="es-ES"/>
        </w:rPr>
        <w:t>bevacizumab</w:t>
      </w:r>
      <w:r w:rsidRPr="00935C0D">
        <w:rPr>
          <w:color w:val="auto"/>
          <w:lang w:val="es-ES"/>
        </w:rPr>
        <w:t xml:space="preserve"> puede tener un impacto negativo en la cicatrización de heridas, se excluyeron de los ensayos clínicos fase III aquellos pacientes que se habían sometido a cirugía mayor en los últimos 28 días.</w:t>
      </w:r>
    </w:p>
    <w:p w14:paraId="219DD61C" w14:textId="77777777" w:rsidR="00FB24C0" w:rsidRPr="00935C0D" w:rsidRDefault="00FB24C0" w:rsidP="00FB24C0">
      <w:pPr>
        <w:spacing w:after="0" w:line="240" w:lineRule="auto"/>
        <w:ind w:left="0" w:firstLine="0"/>
        <w:rPr>
          <w:color w:val="auto"/>
          <w:lang w:val="es-ES"/>
        </w:rPr>
      </w:pPr>
    </w:p>
    <w:p w14:paraId="3F2BBE23" w14:textId="395E1203" w:rsidR="00FB24C0" w:rsidRPr="00935C0D" w:rsidRDefault="00FB24C0" w:rsidP="00FB24C0">
      <w:pPr>
        <w:spacing w:after="0" w:line="240" w:lineRule="auto"/>
        <w:ind w:left="0" w:firstLine="0"/>
        <w:rPr>
          <w:color w:val="auto"/>
          <w:lang w:val="es-ES"/>
        </w:rPr>
      </w:pPr>
      <w:r w:rsidRPr="00935C0D">
        <w:rPr>
          <w:color w:val="auto"/>
          <w:lang w:val="es-ES"/>
        </w:rPr>
        <w:t xml:space="preserve">En los ensayos clínicos de carcinoma metastásico de colon o recto, los pacientes que habían sido sometidos a cirugía mayor entre los 28 y los 60 días antes de iniciar la terapia con </w:t>
      </w:r>
      <w:r w:rsidR="00121BC9">
        <w:rPr>
          <w:color w:val="auto"/>
          <w:lang w:val="es-ES"/>
        </w:rPr>
        <w:t>bevacizumab</w:t>
      </w:r>
      <w:r w:rsidR="00121BC9" w:rsidRPr="00935C0D" w:rsidDel="00121BC9">
        <w:rPr>
          <w:color w:val="auto"/>
          <w:lang w:val="es-ES"/>
        </w:rPr>
        <w:t xml:space="preserve"> </w:t>
      </w:r>
      <w:r w:rsidRPr="00935C0D">
        <w:rPr>
          <w:color w:val="auto"/>
          <w:lang w:val="es-ES"/>
        </w:rPr>
        <w:t>no presentaron un aumento del riesgo de hemorragia postoperatoria ni se observaron complicaciones en la cicatrización de heridas. Se observó que</w:t>
      </w:r>
      <w:r w:rsidR="009E5C5D">
        <w:rPr>
          <w:color w:val="auto"/>
          <w:lang w:val="es-ES"/>
        </w:rPr>
        <w:t>,</w:t>
      </w:r>
      <w:r w:rsidRPr="00935C0D">
        <w:rPr>
          <w:color w:val="auto"/>
          <w:lang w:val="es-ES"/>
        </w:rPr>
        <w:t xml:space="preserve"> si los pacientes estaban siendo tratados con </w:t>
      </w:r>
      <w:r w:rsidR="00121BC9">
        <w:rPr>
          <w:color w:val="auto"/>
          <w:lang w:val="es-ES"/>
        </w:rPr>
        <w:t>bevacizumab</w:t>
      </w:r>
      <w:r w:rsidRPr="00935C0D">
        <w:rPr>
          <w:color w:val="auto"/>
          <w:lang w:val="es-ES"/>
        </w:rPr>
        <w:t xml:space="preserve"> en el momento de la cirugía, presentaban un aumento del riesgo de hemorragia postoperatoria o complicaciones en la cicatrización de heridas en los 60 días siguientes a la cirugía mayor. La incidencia osciló entre el 10% (4/40) y el 20% (3/15).</w:t>
      </w:r>
    </w:p>
    <w:p w14:paraId="0C2A0B43" w14:textId="77777777" w:rsidR="00FB24C0" w:rsidRPr="00935C0D" w:rsidRDefault="00FB24C0" w:rsidP="00FB24C0">
      <w:pPr>
        <w:spacing w:after="0" w:line="240" w:lineRule="auto"/>
        <w:ind w:left="0" w:firstLine="0"/>
        <w:rPr>
          <w:color w:val="auto"/>
          <w:lang w:val="es-ES"/>
        </w:rPr>
      </w:pPr>
    </w:p>
    <w:p w14:paraId="43FED086" w14:textId="77777777" w:rsidR="00FB24C0" w:rsidRPr="00935C0D" w:rsidRDefault="00FB24C0" w:rsidP="00FB24C0">
      <w:pPr>
        <w:spacing w:after="0" w:line="240" w:lineRule="auto"/>
        <w:ind w:left="0" w:firstLine="0"/>
        <w:rPr>
          <w:color w:val="auto"/>
          <w:lang w:val="es-ES"/>
        </w:rPr>
      </w:pPr>
      <w:r w:rsidRPr="00935C0D">
        <w:rPr>
          <w:color w:val="auto"/>
          <w:lang w:val="es-ES"/>
        </w:rPr>
        <w:t>Se han notificado complicaciones graves en la cicatrización de heridas, incluyendo complicación de una anastomosis, algunas de las cuales con resultado de muerte.</w:t>
      </w:r>
    </w:p>
    <w:p w14:paraId="21926D96" w14:textId="77777777" w:rsidR="00B43B7E" w:rsidRPr="00935C0D" w:rsidRDefault="00B43B7E" w:rsidP="00FB24C0">
      <w:pPr>
        <w:spacing w:after="0" w:line="240" w:lineRule="auto"/>
        <w:ind w:left="0" w:firstLine="0"/>
        <w:rPr>
          <w:color w:val="auto"/>
          <w:lang w:val="es-ES"/>
        </w:rPr>
      </w:pPr>
    </w:p>
    <w:p w14:paraId="0982E338" w14:textId="77777777" w:rsidR="00FB24C0" w:rsidRPr="00935C0D" w:rsidRDefault="00FB24C0" w:rsidP="00FB24C0">
      <w:pPr>
        <w:spacing w:after="0" w:line="240" w:lineRule="auto"/>
        <w:ind w:left="0" w:firstLine="0"/>
        <w:rPr>
          <w:color w:val="auto"/>
          <w:lang w:val="es-ES"/>
        </w:rPr>
      </w:pPr>
      <w:r w:rsidRPr="00935C0D">
        <w:rPr>
          <w:color w:val="auto"/>
          <w:lang w:val="es-ES"/>
        </w:rPr>
        <w:t>En los ensayos de cáncer de mama localmente recidivante y metastásico se observaron complicaciones en la cicatrización de heridas de Grado 3-5 hasta en un 1,1% de los pacientes tratados con</w:t>
      </w:r>
      <w:r w:rsidR="00121BC9">
        <w:rPr>
          <w:color w:val="auto"/>
          <w:lang w:val="es-ES"/>
        </w:rPr>
        <w:t xml:space="preserve"> bevacizumab</w:t>
      </w:r>
      <w:r w:rsidR="00121BC9" w:rsidRPr="00935C0D" w:rsidDel="00121BC9">
        <w:rPr>
          <w:color w:val="auto"/>
          <w:lang w:val="es-ES"/>
        </w:rPr>
        <w:t xml:space="preserve"> </w:t>
      </w:r>
      <w:r w:rsidRPr="00935C0D">
        <w:rPr>
          <w:color w:val="auto"/>
          <w:lang w:val="es-ES"/>
        </w:rPr>
        <w:t>comparado con hasta un 0,9% de los pacientes en los brazos control (NCI-CTCAE v.3).</w:t>
      </w:r>
    </w:p>
    <w:p w14:paraId="7D539902" w14:textId="77777777" w:rsidR="00FB24C0" w:rsidRPr="00935C0D" w:rsidRDefault="00FB24C0" w:rsidP="00FB24C0">
      <w:pPr>
        <w:spacing w:after="0" w:line="240" w:lineRule="auto"/>
        <w:ind w:left="0" w:firstLine="0"/>
        <w:rPr>
          <w:color w:val="auto"/>
          <w:lang w:val="es-ES"/>
        </w:rPr>
      </w:pPr>
    </w:p>
    <w:p w14:paraId="0B21CE60" w14:textId="77777777" w:rsidR="00FB24C0" w:rsidRPr="00935C0D" w:rsidRDefault="00FB24C0" w:rsidP="00FB24C0">
      <w:pPr>
        <w:spacing w:after="0" w:line="240" w:lineRule="auto"/>
        <w:ind w:left="0" w:firstLine="0"/>
        <w:rPr>
          <w:color w:val="auto"/>
          <w:lang w:val="es-ES"/>
        </w:rPr>
      </w:pPr>
      <w:r w:rsidRPr="00935C0D">
        <w:rPr>
          <w:color w:val="auto"/>
          <w:lang w:val="es-ES"/>
        </w:rPr>
        <w:t>En ensayos clínicos de cáncer de ovario, se observaron complicaciones en la cicatrización de heridas de Grado 3-5 hasta en un 1,8% de los pacientes del brazo de bevacizumab frente al 0,1% del brazo control (NCI-CTCAE v.3).</w:t>
      </w:r>
    </w:p>
    <w:p w14:paraId="2AF6FB0A" w14:textId="77777777" w:rsidR="00FB24C0" w:rsidRPr="00935C0D" w:rsidRDefault="00FB24C0" w:rsidP="00FB24C0">
      <w:pPr>
        <w:spacing w:after="0" w:line="240" w:lineRule="auto"/>
        <w:ind w:left="0" w:firstLine="0"/>
        <w:rPr>
          <w:color w:val="auto"/>
          <w:lang w:val="es-ES"/>
        </w:rPr>
      </w:pPr>
    </w:p>
    <w:p w14:paraId="60097105" w14:textId="77777777" w:rsidR="00FB24C0" w:rsidRPr="00935C0D" w:rsidRDefault="00FB24C0" w:rsidP="00B43B7E">
      <w:pPr>
        <w:keepNext/>
        <w:spacing w:after="0" w:line="240" w:lineRule="auto"/>
        <w:ind w:left="0" w:firstLine="0"/>
        <w:rPr>
          <w:color w:val="auto"/>
          <w:u w:val="single"/>
          <w:lang w:val="es-ES"/>
        </w:rPr>
      </w:pPr>
      <w:r w:rsidRPr="00935C0D">
        <w:rPr>
          <w:i/>
          <w:color w:val="auto"/>
          <w:u w:val="single"/>
          <w:lang w:val="es-ES"/>
        </w:rPr>
        <w:t xml:space="preserve">Hipertensión </w:t>
      </w:r>
      <w:r w:rsidRPr="00935C0D">
        <w:rPr>
          <w:color w:val="auto"/>
          <w:u w:val="single"/>
          <w:lang w:val="es-ES"/>
        </w:rPr>
        <w:t>(ver sección 4.4)</w:t>
      </w:r>
    </w:p>
    <w:p w14:paraId="6541A41B" w14:textId="77777777" w:rsidR="0078275C" w:rsidRPr="00935C0D" w:rsidRDefault="0078275C" w:rsidP="00B43B7E">
      <w:pPr>
        <w:keepNext/>
        <w:spacing w:after="0" w:line="240" w:lineRule="auto"/>
        <w:ind w:left="0" w:firstLine="0"/>
        <w:rPr>
          <w:i/>
          <w:color w:val="auto"/>
          <w:lang w:val="es-ES"/>
        </w:rPr>
      </w:pPr>
    </w:p>
    <w:p w14:paraId="2241911A" w14:textId="77777777" w:rsidR="00FB24C0" w:rsidRPr="00935C0D" w:rsidRDefault="00FB24C0" w:rsidP="00FB24C0">
      <w:pPr>
        <w:spacing w:after="0" w:line="240" w:lineRule="auto"/>
        <w:ind w:left="0" w:firstLine="0"/>
        <w:rPr>
          <w:color w:val="auto"/>
          <w:lang w:val="es-ES"/>
        </w:rPr>
      </w:pPr>
      <w:r w:rsidRPr="00935C0D">
        <w:rPr>
          <w:color w:val="auto"/>
          <w:lang w:val="es-ES"/>
        </w:rPr>
        <w:t xml:space="preserve">En los ensayos clínicos, a excepción del estudio JO25567, la incidencia global de hipertensión (todos los grados) fue de hasta un 42,1% en los brazos que incluyeron </w:t>
      </w:r>
      <w:r w:rsidR="00121BC9" w:rsidRPr="00D1096C">
        <w:rPr>
          <w:rFonts w:eastAsia="Calibri"/>
          <w:lang w:val="es-ES"/>
        </w:rPr>
        <w:t>bevacizumab</w:t>
      </w:r>
      <w:r w:rsidRPr="00935C0D">
        <w:rPr>
          <w:color w:val="auto"/>
          <w:lang w:val="es-ES"/>
        </w:rPr>
        <w:t xml:space="preserve"> comparado con hasta el 14% en los brazos control. La incidencia global NCI-CTC de la hipertensión de Grado 3 y 4 se produjo en 0,4% al 17,9% de los pacientes tratados con </w:t>
      </w:r>
      <w:r w:rsidR="00121BC9" w:rsidRPr="00D1096C">
        <w:rPr>
          <w:rFonts w:eastAsia="Calibri"/>
          <w:lang w:val="es-ES"/>
        </w:rPr>
        <w:t>bevacizumab</w:t>
      </w:r>
      <w:r w:rsidRPr="00935C0D">
        <w:rPr>
          <w:color w:val="auto"/>
          <w:lang w:val="es-ES"/>
        </w:rPr>
        <w:t xml:space="preserve">. La hipertensión de Grado 4 (crisis hipertensiva) se produjo en hasta un 1,0% de los pacientes tratados con </w:t>
      </w:r>
      <w:r w:rsidR="00121BC9" w:rsidRPr="00D1096C">
        <w:rPr>
          <w:rFonts w:eastAsia="Calibri"/>
          <w:lang w:val="es-ES"/>
        </w:rPr>
        <w:t>bevacizumab</w:t>
      </w:r>
      <w:r w:rsidRPr="00935C0D">
        <w:rPr>
          <w:color w:val="auto"/>
          <w:lang w:val="es-ES"/>
        </w:rPr>
        <w:t xml:space="preserve"> y quimioterapia comparado con hasta el 0,2% de los pacientes tratados con la misma quimioterapia sola.</w:t>
      </w:r>
    </w:p>
    <w:p w14:paraId="48685E7F" w14:textId="77777777" w:rsidR="00FB24C0" w:rsidRPr="00935C0D" w:rsidRDefault="00FB24C0" w:rsidP="00FB24C0">
      <w:pPr>
        <w:spacing w:after="0" w:line="240" w:lineRule="auto"/>
        <w:ind w:left="0" w:firstLine="0"/>
        <w:rPr>
          <w:color w:val="auto"/>
          <w:lang w:val="es-ES"/>
        </w:rPr>
      </w:pPr>
    </w:p>
    <w:p w14:paraId="66FE15FC" w14:textId="77777777" w:rsidR="00FB24C0" w:rsidRPr="00935C0D" w:rsidRDefault="00FB24C0" w:rsidP="00FB24C0">
      <w:pPr>
        <w:spacing w:after="0" w:line="240" w:lineRule="auto"/>
        <w:ind w:left="0" w:firstLine="0"/>
        <w:rPr>
          <w:color w:val="auto"/>
          <w:lang w:val="es-ES"/>
        </w:rPr>
      </w:pPr>
      <w:r w:rsidRPr="00935C0D">
        <w:rPr>
          <w:color w:val="auto"/>
          <w:lang w:val="es-ES"/>
        </w:rPr>
        <w:t xml:space="preserve">En el estudio JO25567, se observaron todos los grados de hipertensión en el 77,3% de los pacientes que recibieron </w:t>
      </w:r>
      <w:r w:rsidR="00121BC9" w:rsidRPr="00D1096C">
        <w:rPr>
          <w:rFonts w:eastAsia="Calibri"/>
          <w:lang w:val="es-ES"/>
        </w:rPr>
        <w:t>bevacizumab</w:t>
      </w:r>
      <w:r w:rsidRPr="00935C0D">
        <w:rPr>
          <w:color w:val="auto"/>
          <w:lang w:val="es-ES"/>
        </w:rPr>
        <w:t xml:space="preserve"> en combinación con </w:t>
      </w:r>
      <w:proofErr w:type="spellStart"/>
      <w:r w:rsidRPr="00935C0D">
        <w:rPr>
          <w:color w:val="auto"/>
          <w:lang w:val="es-ES"/>
        </w:rPr>
        <w:t>erlotinib</w:t>
      </w:r>
      <w:proofErr w:type="spellEnd"/>
      <w:r w:rsidRPr="00935C0D">
        <w:rPr>
          <w:color w:val="auto"/>
          <w:lang w:val="es-ES"/>
        </w:rPr>
        <w:t xml:space="preserve"> como primera línea de tratamiento para CPNM no escamoso con mutaciones activadoras en EGFR, en comparación con el 14,3% de los pacientes tratados con </w:t>
      </w:r>
      <w:proofErr w:type="spellStart"/>
      <w:r w:rsidRPr="00935C0D">
        <w:rPr>
          <w:color w:val="auto"/>
          <w:lang w:val="es-ES"/>
        </w:rPr>
        <w:t>erlotinib</w:t>
      </w:r>
      <w:proofErr w:type="spellEnd"/>
      <w:r w:rsidRPr="00935C0D">
        <w:rPr>
          <w:color w:val="auto"/>
          <w:lang w:val="es-ES"/>
        </w:rPr>
        <w:t xml:space="preserve"> solo. La hipertensión de Grado 3 se produjo en el 60,0% de los pacientes tratados con </w:t>
      </w:r>
      <w:r w:rsidR="00121BC9" w:rsidRPr="00D1096C">
        <w:rPr>
          <w:rFonts w:eastAsia="Calibri"/>
          <w:lang w:val="es-ES"/>
        </w:rPr>
        <w:t>bevacizumab</w:t>
      </w:r>
      <w:r w:rsidRPr="00935C0D">
        <w:rPr>
          <w:color w:val="auto"/>
          <w:lang w:val="es-ES"/>
        </w:rPr>
        <w:t xml:space="preserve"> en combinación con </w:t>
      </w:r>
      <w:proofErr w:type="spellStart"/>
      <w:r w:rsidRPr="00935C0D">
        <w:rPr>
          <w:color w:val="auto"/>
          <w:lang w:val="es-ES"/>
        </w:rPr>
        <w:t>erlotinib</w:t>
      </w:r>
      <w:proofErr w:type="spellEnd"/>
      <w:r w:rsidRPr="00935C0D">
        <w:rPr>
          <w:color w:val="auto"/>
          <w:lang w:val="es-ES"/>
        </w:rPr>
        <w:t xml:space="preserve"> en comparación con el 11,7% de los pacientes tratados con </w:t>
      </w:r>
      <w:proofErr w:type="spellStart"/>
      <w:r w:rsidRPr="00935C0D">
        <w:rPr>
          <w:color w:val="auto"/>
          <w:lang w:val="es-ES"/>
        </w:rPr>
        <w:t>erlotinib</w:t>
      </w:r>
      <w:proofErr w:type="spellEnd"/>
      <w:r w:rsidRPr="00935C0D">
        <w:rPr>
          <w:color w:val="auto"/>
          <w:lang w:val="es-ES"/>
        </w:rPr>
        <w:t xml:space="preserve"> solo. No hubo acontecimientos de hipertensión de grado 4 o 5.</w:t>
      </w:r>
    </w:p>
    <w:p w14:paraId="3C9E5B4F" w14:textId="77777777" w:rsidR="00FB24C0" w:rsidRPr="00935C0D" w:rsidRDefault="00FB24C0" w:rsidP="00FB24C0">
      <w:pPr>
        <w:spacing w:after="0" w:line="240" w:lineRule="auto"/>
        <w:ind w:left="0" w:firstLine="0"/>
        <w:rPr>
          <w:color w:val="auto"/>
          <w:lang w:val="es-ES"/>
        </w:rPr>
      </w:pPr>
    </w:p>
    <w:p w14:paraId="2221BBB8" w14:textId="38C8300C" w:rsidR="00FB24C0" w:rsidRPr="00935C0D" w:rsidRDefault="00FB24C0" w:rsidP="00FB24C0">
      <w:pPr>
        <w:spacing w:after="0" w:line="240" w:lineRule="auto"/>
        <w:ind w:left="0" w:firstLine="0"/>
        <w:rPr>
          <w:color w:val="auto"/>
          <w:lang w:val="es-ES"/>
        </w:rPr>
      </w:pPr>
      <w:r w:rsidRPr="00935C0D">
        <w:rPr>
          <w:color w:val="auto"/>
          <w:lang w:val="es-ES"/>
        </w:rPr>
        <w:t xml:space="preserve">En general, la hipertensión se controló adecuadamente con antihipertensivos orales tales como inhibidores de la enzima convertidora de angiotensina, diuréticos y bloqueadores de los canales de calcio. Rara vez fue necesaria la interrupción del tratamiento con </w:t>
      </w:r>
      <w:r w:rsidR="00121BC9" w:rsidRPr="00D1096C">
        <w:rPr>
          <w:rFonts w:eastAsia="Calibri"/>
          <w:lang w:val="es-ES"/>
        </w:rPr>
        <w:t>bevacizumab</w:t>
      </w:r>
      <w:r w:rsidR="00B675B7">
        <w:rPr>
          <w:rFonts w:eastAsia="Calibri"/>
          <w:lang w:val="es-ES"/>
        </w:rPr>
        <w:t xml:space="preserve"> </w:t>
      </w:r>
      <w:r w:rsidRPr="00935C0D">
        <w:rPr>
          <w:color w:val="auto"/>
          <w:lang w:val="es-ES"/>
        </w:rPr>
        <w:t>o la hospitalización.</w:t>
      </w:r>
    </w:p>
    <w:p w14:paraId="032B4968" w14:textId="77777777" w:rsidR="00FB24C0" w:rsidRPr="00935C0D" w:rsidRDefault="00FB24C0" w:rsidP="00FB24C0">
      <w:pPr>
        <w:spacing w:after="0" w:line="240" w:lineRule="auto"/>
        <w:ind w:left="0" w:firstLine="0"/>
        <w:rPr>
          <w:color w:val="auto"/>
          <w:lang w:val="es-ES"/>
        </w:rPr>
      </w:pPr>
    </w:p>
    <w:p w14:paraId="2EABB9CE" w14:textId="77777777" w:rsidR="00FB24C0" w:rsidRPr="00935C0D" w:rsidRDefault="00FB24C0" w:rsidP="00FB24C0">
      <w:pPr>
        <w:spacing w:after="0" w:line="240" w:lineRule="auto"/>
        <w:ind w:left="0" w:firstLine="0"/>
        <w:rPr>
          <w:color w:val="auto"/>
          <w:lang w:val="es-ES"/>
        </w:rPr>
      </w:pPr>
      <w:r w:rsidRPr="00935C0D">
        <w:rPr>
          <w:color w:val="auto"/>
          <w:lang w:val="es-ES"/>
        </w:rPr>
        <w:t>Se han notificado casos muy raros de encefalopatía hipertensiva, algunos de los cuales fueron mortales.</w:t>
      </w:r>
    </w:p>
    <w:p w14:paraId="0D03CEF6" w14:textId="77777777" w:rsidR="00FB24C0" w:rsidRPr="00935C0D" w:rsidRDefault="00FB24C0" w:rsidP="00FB24C0">
      <w:pPr>
        <w:spacing w:after="0" w:line="240" w:lineRule="auto"/>
        <w:ind w:left="0" w:firstLine="0"/>
        <w:rPr>
          <w:color w:val="auto"/>
          <w:lang w:val="es-ES"/>
        </w:rPr>
      </w:pPr>
    </w:p>
    <w:p w14:paraId="6627638B" w14:textId="77777777" w:rsidR="00FB24C0" w:rsidRPr="00935C0D" w:rsidRDefault="00FB24C0" w:rsidP="00FB24C0">
      <w:pPr>
        <w:spacing w:after="0" w:line="240" w:lineRule="auto"/>
        <w:ind w:left="0" w:firstLine="0"/>
        <w:rPr>
          <w:color w:val="auto"/>
          <w:lang w:val="es-ES"/>
        </w:rPr>
      </w:pPr>
      <w:r w:rsidRPr="00935C0D">
        <w:rPr>
          <w:color w:val="auto"/>
          <w:lang w:val="es-ES"/>
        </w:rPr>
        <w:t xml:space="preserve">No existe una correlación entre el riesgo de hipertensión asociada al tratamiento con </w:t>
      </w:r>
      <w:r w:rsidR="00121BC9" w:rsidRPr="00D1096C">
        <w:rPr>
          <w:rFonts w:eastAsia="Calibri"/>
          <w:lang w:val="es-ES"/>
        </w:rPr>
        <w:t>bevacizumab</w:t>
      </w:r>
      <w:r w:rsidRPr="00935C0D">
        <w:rPr>
          <w:color w:val="auto"/>
          <w:lang w:val="es-ES"/>
        </w:rPr>
        <w:t xml:space="preserve"> y las características basales de los pacientes, la enfermedad subyacente o la terapia concomitante.</w:t>
      </w:r>
    </w:p>
    <w:p w14:paraId="1022C3D6" w14:textId="77777777" w:rsidR="00FB24C0" w:rsidRPr="00935C0D" w:rsidRDefault="00FB24C0" w:rsidP="00FB24C0">
      <w:pPr>
        <w:spacing w:after="0" w:line="240" w:lineRule="auto"/>
        <w:ind w:left="0" w:firstLine="0"/>
        <w:rPr>
          <w:color w:val="auto"/>
          <w:lang w:val="es-ES"/>
        </w:rPr>
      </w:pPr>
    </w:p>
    <w:p w14:paraId="20BF9148" w14:textId="77777777" w:rsidR="00FB24C0" w:rsidRPr="00935C0D" w:rsidRDefault="00FB24C0" w:rsidP="00B43B7E">
      <w:pPr>
        <w:keepNext/>
        <w:spacing w:after="0" w:line="240" w:lineRule="auto"/>
        <w:ind w:left="0" w:firstLine="0"/>
        <w:rPr>
          <w:color w:val="auto"/>
          <w:u w:val="single"/>
          <w:lang w:val="es-ES"/>
        </w:rPr>
      </w:pPr>
      <w:r w:rsidRPr="00935C0D">
        <w:rPr>
          <w:i/>
          <w:color w:val="auto"/>
          <w:u w:val="single"/>
          <w:lang w:val="es-ES"/>
        </w:rPr>
        <w:t>Síndrome de Encefalopatía Reversible Posterior</w:t>
      </w:r>
      <w:r w:rsidRPr="00935C0D">
        <w:rPr>
          <w:color w:val="auto"/>
          <w:u w:val="single"/>
          <w:lang w:val="es-ES"/>
        </w:rPr>
        <w:t xml:space="preserve"> (ver sección 4.4)</w:t>
      </w:r>
    </w:p>
    <w:p w14:paraId="703534E5" w14:textId="77777777" w:rsidR="0078275C" w:rsidRPr="00935C0D" w:rsidRDefault="0078275C" w:rsidP="00B43B7E">
      <w:pPr>
        <w:keepNext/>
        <w:spacing w:after="0" w:line="240" w:lineRule="auto"/>
        <w:ind w:left="0" w:firstLine="0"/>
        <w:rPr>
          <w:color w:val="auto"/>
          <w:lang w:val="es-ES"/>
        </w:rPr>
      </w:pPr>
    </w:p>
    <w:p w14:paraId="443B28CE" w14:textId="77777777" w:rsidR="00FB24C0" w:rsidRPr="00935C0D" w:rsidRDefault="00FB24C0" w:rsidP="00FB24C0">
      <w:pPr>
        <w:spacing w:after="0" w:line="240" w:lineRule="auto"/>
        <w:ind w:left="0" w:firstLine="0"/>
        <w:rPr>
          <w:color w:val="auto"/>
          <w:lang w:val="es-ES"/>
        </w:rPr>
      </w:pPr>
      <w:r w:rsidRPr="00935C0D">
        <w:rPr>
          <w:color w:val="auto"/>
          <w:lang w:val="es-ES"/>
        </w:rPr>
        <w:t xml:space="preserve">Se han notificado casos raros de pacientes tratados con </w:t>
      </w:r>
      <w:r w:rsidR="00121BC9" w:rsidRPr="00D1096C">
        <w:rPr>
          <w:rFonts w:eastAsia="Calibri"/>
          <w:lang w:val="es-ES"/>
        </w:rPr>
        <w:t>bevacizumab</w:t>
      </w:r>
      <w:r w:rsidRPr="00935C0D">
        <w:rPr>
          <w:color w:val="auto"/>
          <w:lang w:val="es-ES"/>
        </w:rPr>
        <w:t xml:space="preserve"> que desarrollan signos y síntomas consistentes con el Síndrome de Encefalopatía Reversible Posterior (SERP), un caso raro de trastorno neurológico. Su manifestación puede incluir convulsiones, dolor de cabeza, estado mental alterado, </w:t>
      </w:r>
      <w:r w:rsidRPr="00935C0D">
        <w:rPr>
          <w:color w:val="auto"/>
          <w:lang w:val="es-ES"/>
        </w:rPr>
        <w:lastRenderedPageBreak/>
        <w:t>alteraciones visuales, o ceguera cortical, con o sin hipertensión asociada. Las características clínicas del SERP son, a menudo, inespecíficas, y, por lo tanto, el diagnóstico de SERP requiere confirmación mediante técnicas de imagen cerebral, preferiblemente resonancia magnética (RM).</w:t>
      </w:r>
    </w:p>
    <w:p w14:paraId="2C994B2B" w14:textId="77777777" w:rsidR="00FB24C0" w:rsidRPr="00935C0D" w:rsidRDefault="00FB24C0" w:rsidP="00FB24C0">
      <w:pPr>
        <w:spacing w:after="0" w:line="240" w:lineRule="auto"/>
        <w:ind w:left="0" w:firstLine="0"/>
        <w:rPr>
          <w:color w:val="auto"/>
          <w:lang w:val="es-ES"/>
        </w:rPr>
      </w:pPr>
    </w:p>
    <w:p w14:paraId="0FE56C6B" w14:textId="77777777" w:rsidR="00FB24C0" w:rsidRPr="00935C0D" w:rsidRDefault="00FB24C0" w:rsidP="00FB24C0">
      <w:pPr>
        <w:spacing w:after="0" w:line="240" w:lineRule="auto"/>
        <w:ind w:left="0" w:firstLine="0"/>
        <w:rPr>
          <w:color w:val="auto"/>
          <w:lang w:val="es-ES"/>
        </w:rPr>
      </w:pPr>
      <w:r w:rsidRPr="00935C0D">
        <w:rPr>
          <w:color w:val="auto"/>
          <w:lang w:val="es-ES"/>
        </w:rPr>
        <w:t xml:space="preserve">En pacientes que desarrollan SERP, se recomienda un reconocimiento temprano de los síntomas, con un tratamiento oportuno de los síntomas específicos, incluyendo control de la hipertensión (si está asociado con hipertensión grave no controlada), además de interrumpir el tratamiento con bevacizumab. Los síntomas normalmente se resuelven o mejoran en los días posteriores a la interrupción del tratamiento, aunque algunos pacientes han experimentado algunas secuelas neurológicas. No se conoce la seguridad de la reiniciación del tratamiento con </w:t>
      </w:r>
      <w:r w:rsidR="00121BC9" w:rsidRPr="00D1096C">
        <w:rPr>
          <w:rFonts w:eastAsia="Calibri"/>
          <w:lang w:val="es-ES"/>
        </w:rPr>
        <w:t>bevacizumab</w:t>
      </w:r>
      <w:r w:rsidRPr="00935C0D">
        <w:rPr>
          <w:color w:val="auto"/>
          <w:lang w:val="es-ES"/>
        </w:rPr>
        <w:t xml:space="preserve"> en pacientes que hayan experimentado previamente SERP.</w:t>
      </w:r>
    </w:p>
    <w:p w14:paraId="6F7CF665" w14:textId="77777777" w:rsidR="00FB24C0" w:rsidRPr="00935C0D" w:rsidRDefault="00FB24C0" w:rsidP="00FB24C0">
      <w:pPr>
        <w:spacing w:after="0" w:line="240" w:lineRule="auto"/>
        <w:ind w:left="0" w:firstLine="0"/>
        <w:rPr>
          <w:color w:val="auto"/>
          <w:lang w:val="es-ES"/>
        </w:rPr>
      </w:pPr>
    </w:p>
    <w:p w14:paraId="2805835E" w14:textId="77777777" w:rsidR="00FB24C0" w:rsidRPr="00935C0D" w:rsidRDefault="00FB24C0" w:rsidP="00FB24C0">
      <w:pPr>
        <w:spacing w:after="0" w:line="240" w:lineRule="auto"/>
        <w:ind w:left="0" w:firstLine="0"/>
        <w:rPr>
          <w:color w:val="auto"/>
          <w:lang w:val="es-ES"/>
        </w:rPr>
      </w:pPr>
      <w:r w:rsidRPr="00935C0D">
        <w:rPr>
          <w:color w:val="auto"/>
          <w:lang w:val="es-ES"/>
        </w:rPr>
        <w:t>A través de los ensayos clínicos, se han notificado 8 casos de SERP. Dos de los ocho casos no tuvieron confirmación radiológica por RM.</w:t>
      </w:r>
    </w:p>
    <w:p w14:paraId="768D7E98" w14:textId="77777777" w:rsidR="00FB24C0" w:rsidRPr="00935C0D" w:rsidRDefault="00FB24C0" w:rsidP="00FB24C0">
      <w:pPr>
        <w:spacing w:after="0" w:line="240" w:lineRule="auto"/>
        <w:ind w:left="0" w:firstLine="0"/>
        <w:rPr>
          <w:color w:val="auto"/>
          <w:lang w:val="es-ES"/>
        </w:rPr>
      </w:pPr>
    </w:p>
    <w:p w14:paraId="2D3E7811" w14:textId="77777777" w:rsidR="00FB24C0" w:rsidRPr="00935C0D" w:rsidRDefault="00FB24C0" w:rsidP="00B43B7E">
      <w:pPr>
        <w:keepNext/>
        <w:spacing w:after="0" w:line="240" w:lineRule="auto"/>
        <w:ind w:left="0" w:firstLine="0"/>
        <w:rPr>
          <w:color w:val="auto"/>
          <w:u w:val="single"/>
          <w:lang w:val="es-ES"/>
        </w:rPr>
      </w:pPr>
      <w:r w:rsidRPr="00935C0D">
        <w:rPr>
          <w:i/>
          <w:color w:val="auto"/>
          <w:u w:val="single"/>
          <w:lang w:val="es-ES"/>
        </w:rPr>
        <w:t xml:space="preserve">Proteinuria </w:t>
      </w:r>
      <w:r w:rsidRPr="00935C0D">
        <w:rPr>
          <w:color w:val="auto"/>
          <w:u w:val="single"/>
          <w:lang w:val="es-ES"/>
        </w:rPr>
        <w:t>(ver sección 4.4)</w:t>
      </w:r>
    </w:p>
    <w:p w14:paraId="5090FEEA" w14:textId="77777777" w:rsidR="0078275C" w:rsidRPr="00935C0D" w:rsidRDefault="0078275C" w:rsidP="00B43B7E">
      <w:pPr>
        <w:keepNext/>
        <w:spacing w:after="0" w:line="240" w:lineRule="auto"/>
        <w:ind w:left="0" w:firstLine="0"/>
        <w:rPr>
          <w:color w:val="auto"/>
          <w:u w:val="single"/>
          <w:lang w:val="es-ES"/>
        </w:rPr>
      </w:pPr>
    </w:p>
    <w:p w14:paraId="65902F92" w14:textId="77777777" w:rsidR="00FB24C0" w:rsidRPr="00935C0D" w:rsidRDefault="00FB24C0" w:rsidP="00FB24C0">
      <w:pPr>
        <w:spacing w:after="0" w:line="240" w:lineRule="auto"/>
        <w:ind w:left="0" w:firstLine="0"/>
        <w:rPr>
          <w:color w:val="auto"/>
          <w:lang w:val="es-ES"/>
        </w:rPr>
      </w:pPr>
      <w:r w:rsidRPr="00935C0D">
        <w:rPr>
          <w:color w:val="auto"/>
          <w:lang w:val="es-ES"/>
        </w:rPr>
        <w:t xml:space="preserve">En los ensayos clínicos, se han notificado casos de proteinuria en un intervalo desde el 0,7% hasta el 54,7% de los pacientes tratados con </w:t>
      </w:r>
      <w:r w:rsidR="00F60E7F" w:rsidRPr="00D1096C">
        <w:rPr>
          <w:rFonts w:eastAsia="Calibri"/>
          <w:lang w:val="es-ES"/>
        </w:rPr>
        <w:t>bevacizumab</w:t>
      </w:r>
      <w:r w:rsidRPr="00935C0D">
        <w:rPr>
          <w:color w:val="auto"/>
          <w:lang w:val="es-ES"/>
        </w:rPr>
        <w:t>.</w:t>
      </w:r>
    </w:p>
    <w:p w14:paraId="677DE8B3" w14:textId="77777777" w:rsidR="00B43B7E" w:rsidRPr="00935C0D" w:rsidRDefault="00B43B7E" w:rsidP="00FB24C0">
      <w:pPr>
        <w:spacing w:after="0" w:line="240" w:lineRule="auto"/>
        <w:ind w:left="0" w:firstLine="0"/>
        <w:rPr>
          <w:color w:val="auto"/>
          <w:lang w:val="es-ES"/>
        </w:rPr>
      </w:pPr>
    </w:p>
    <w:p w14:paraId="6455141C" w14:textId="11B4A308" w:rsidR="00FB24C0" w:rsidRPr="00935C0D" w:rsidRDefault="00FB24C0" w:rsidP="00FB24C0">
      <w:pPr>
        <w:spacing w:after="0" w:line="240" w:lineRule="auto"/>
        <w:ind w:left="0" w:firstLine="0"/>
        <w:rPr>
          <w:color w:val="auto"/>
          <w:lang w:val="es-ES"/>
        </w:rPr>
      </w:pPr>
      <w:r w:rsidRPr="00935C0D">
        <w:rPr>
          <w:color w:val="auto"/>
          <w:lang w:val="es-ES"/>
        </w:rPr>
        <w:t>La gravedad de la proteinuria varió desde clínicamente asintomática, transitoria, indicios de</w:t>
      </w:r>
      <w:r w:rsidR="00B43B7E" w:rsidRPr="00935C0D">
        <w:rPr>
          <w:color w:val="auto"/>
          <w:lang w:val="es-ES"/>
        </w:rPr>
        <w:t xml:space="preserve"> </w:t>
      </w:r>
      <w:r w:rsidRPr="00935C0D">
        <w:rPr>
          <w:color w:val="auto"/>
          <w:lang w:val="es-ES"/>
        </w:rPr>
        <w:t>proteinuria hasta síndrome nefrótico, siendo la gran mayoría de los casos proteinuria de Grado 1 (NCI</w:t>
      </w:r>
      <w:r w:rsidR="00214E52">
        <w:rPr>
          <w:color w:val="auto"/>
          <w:lang w:val="es-ES"/>
        </w:rPr>
        <w:t>-</w:t>
      </w:r>
      <w:r w:rsidRPr="00935C0D">
        <w:rPr>
          <w:color w:val="auto"/>
          <w:lang w:val="es-ES"/>
        </w:rPr>
        <w:t>CTCAE v.3). Se registró proteinuria de Grado 3 hasta en un 10,9% de los pacientes tratados. La proteinuria de Grado 4 (síndrome nefrótico) se observó en hasta el 1,4% de los pacientes tratados. Se recomienda hacer pruebas de proteinuria antes de</w:t>
      </w:r>
      <w:r w:rsidRPr="00443040">
        <w:rPr>
          <w:color w:val="auto"/>
          <w:lang w:val="es-ES"/>
        </w:rPr>
        <w:t xml:space="preserve"> </w:t>
      </w:r>
      <w:r w:rsidRPr="00935C0D">
        <w:rPr>
          <w:color w:val="auto"/>
          <w:lang w:val="es-ES"/>
        </w:rPr>
        <w:t xml:space="preserve">comenzar el tratamiento con </w:t>
      </w:r>
      <w:r w:rsidR="00AA71D6">
        <w:rPr>
          <w:color w:val="auto"/>
          <w:lang w:val="es-ES"/>
        </w:rPr>
        <w:t>MVASI</w:t>
      </w:r>
      <w:r w:rsidRPr="00935C0D">
        <w:rPr>
          <w:color w:val="auto"/>
          <w:lang w:val="es-ES"/>
        </w:rPr>
        <w:t xml:space="preserve">. En la mayoría de los ensayos clínicos donde los niveles de proteínas en la orina fueron </w:t>
      </w:r>
      <w:r w:rsidRPr="00935C0D">
        <w:rPr>
          <w:rFonts w:eastAsia="Segoe UI Symbol"/>
          <w:color w:val="auto"/>
          <w:lang w:val="es-ES"/>
        </w:rPr>
        <w:t>≥</w:t>
      </w:r>
      <w:r w:rsidRPr="00935C0D">
        <w:rPr>
          <w:rFonts w:eastAsia="Arial"/>
          <w:color w:val="auto"/>
          <w:lang w:val="es-ES"/>
        </w:rPr>
        <w:t> </w:t>
      </w:r>
      <w:r w:rsidRPr="00935C0D">
        <w:rPr>
          <w:color w:val="auto"/>
          <w:lang w:val="es-ES"/>
        </w:rPr>
        <w:t>2</w:t>
      </w:r>
      <w:r w:rsidR="0078275C" w:rsidRPr="00935C0D">
        <w:rPr>
          <w:color w:val="auto"/>
          <w:lang w:val="es-ES"/>
        </w:rPr>
        <w:t> g/24 </w:t>
      </w:r>
      <w:r w:rsidRPr="00935C0D">
        <w:rPr>
          <w:color w:val="auto"/>
          <w:lang w:val="es-ES"/>
        </w:rPr>
        <w:t xml:space="preserve">h, el tratamiento con </w:t>
      </w:r>
      <w:r w:rsidR="004C3A37">
        <w:rPr>
          <w:color w:val="auto"/>
          <w:lang w:val="es-ES"/>
        </w:rPr>
        <w:t>b</w:t>
      </w:r>
      <w:r w:rsidR="00863B46">
        <w:rPr>
          <w:color w:val="auto"/>
          <w:lang w:val="es-ES"/>
        </w:rPr>
        <w:t>evacizumab</w:t>
      </w:r>
      <w:r w:rsidRPr="00935C0D">
        <w:rPr>
          <w:color w:val="auto"/>
          <w:lang w:val="es-ES"/>
        </w:rPr>
        <w:t xml:space="preserve"> fue suspendido hasta la recuperación de niveles &lt; 2</w:t>
      </w:r>
      <w:r w:rsidR="0078275C" w:rsidRPr="00935C0D">
        <w:rPr>
          <w:color w:val="auto"/>
          <w:lang w:val="es-ES"/>
        </w:rPr>
        <w:t> g/24 </w:t>
      </w:r>
      <w:r w:rsidRPr="00935C0D">
        <w:rPr>
          <w:color w:val="auto"/>
          <w:lang w:val="es-ES"/>
        </w:rPr>
        <w:t>h.</w:t>
      </w:r>
    </w:p>
    <w:p w14:paraId="2EF16465" w14:textId="77777777" w:rsidR="00FB24C0" w:rsidRPr="00935C0D" w:rsidRDefault="00FB24C0" w:rsidP="00FB24C0">
      <w:pPr>
        <w:spacing w:after="0" w:line="240" w:lineRule="auto"/>
        <w:ind w:left="0" w:firstLine="0"/>
        <w:rPr>
          <w:color w:val="auto"/>
          <w:lang w:val="es-ES"/>
        </w:rPr>
      </w:pPr>
    </w:p>
    <w:p w14:paraId="7DA53195" w14:textId="77777777" w:rsidR="00FB24C0" w:rsidRPr="00935C0D" w:rsidRDefault="00FB24C0" w:rsidP="00B43B7E">
      <w:pPr>
        <w:keepNext/>
        <w:spacing w:after="0" w:line="240" w:lineRule="auto"/>
        <w:ind w:left="0" w:firstLine="0"/>
        <w:rPr>
          <w:color w:val="auto"/>
          <w:u w:val="single"/>
          <w:lang w:val="es-ES"/>
        </w:rPr>
      </w:pPr>
      <w:r w:rsidRPr="00935C0D">
        <w:rPr>
          <w:i/>
          <w:color w:val="auto"/>
          <w:u w:val="single"/>
          <w:lang w:val="es-ES"/>
        </w:rPr>
        <w:t xml:space="preserve">Hemorragia </w:t>
      </w:r>
      <w:r w:rsidRPr="00935C0D">
        <w:rPr>
          <w:color w:val="auto"/>
          <w:u w:val="single"/>
          <w:lang w:val="es-ES"/>
        </w:rPr>
        <w:t>(ver sección 4.4)</w:t>
      </w:r>
    </w:p>
    <w:p w14:paraId="456C187D" w14:textId="77777777" w:rsidR="0078275C" w:rsidRPr="00935C0D" w:rsidRDefault="0078275C" w:rsidP="00B43B7E">
      <w:pPr>
        <w:keepNext/>
        <w:spacing w:after="0" w:line="240" w:lineRule="auto"/>
        <w:ind w:left="0" w:firstLine="0"/>
        <w:rPr>
          <w:i/>
          <w:color w:val="auto"/>
          <w:lang w:val="es-ES"/>
        </w:rPr>
      </w:pPr>
    </w:p>
    <w:p w14:paraId="5EF45AE2" w14:textId="77777777" w:rsidR="00FB24C0" w:rsidRPr="00935C0D" w:rsidRDefault="00FB24C0" w:rsidP="00FB24C0">
      <w:pPr>
        <w:spacing w:after="0" w:line="240" w:lineRule="auto"/>
        <w:ind w:left="0" w:firstLine="0"/>
        <w:rPr>
          <w:color w:val="auto"/>
          <w:lang w:val="es-ES"/>
        </w:rPr>
      </w:pPr>
      <w:r w:rsidRPr="00935C0D">
        <w:rPr>
          <w:color w:val="auto"/>
          <w:lang w:val="es-ES"/>
        </w:rPr>
        <w:t xml:space="preserve">En los ensayos clínicos en todas las indicaciones, la incidencia global de reacciones hemorrágicas de Grado 3-5 según la escala NCI-CTCAE v.3, osciló desde 0,4% hasta 6,9% en los pacientes tratados con </w:t>
      </w:r>
      <w:r w:rsidR="00F60E7F" w:rsidRPr="00D1096C">
        <w:rPr>
          <w:lang w:val="es-ES"/>
        </w:rPr>
        <w:t>bevacizumab</w:t>
      </w:r>
      <w:r w:rsidRPr="00935C0D">
        <w:rPr>
          <w:color w:val="auto"/>
          <w:lang w:val="es-ES"/>
        </w:rPr>
        <w:t>, comparado con hasta un 4,5% de los pacientes en el grupo de quimioterapia control.</w:t>
      </w:r>
    </w:p>
    <w:p w14:paraId="5F4F8A62" w14:textId="77777777" w:rsidR="00FB24C0" w:rsidRPr="00935C0D" w:rsidRDefault="00FB24C0" w:rsidP="00FB24C0">
      <w:pPr>
        <w:spacing w:after="0" w:line="240" w:lineRule="auto"/>
        <w:ind w:left="0" w:firstLine="0"/>
        <w:rPr>
          <w:color w:val="auto"/>
          <w:lang w:val="es-ES"/>
        </w:rPr>
      </w:pPr>
    </w:p>
    <w:p w14:paraId="097CBC3A" w14:textId="77777777" w:rsidR="00FB24C0" w:rsidRPr="00935C0D" w:rsidRDefault="00FB24C0" w:rsidP="00FB24C0">
      <w:pPr>
        <w:spacing w:after="0" w:line="240" w:lineRule="auto"/>
        <w:ind w:left="0" w:firstLine="0"/>
        <w:rPr>
          <w:color w:val="auto"/>
          <w:lang w:val="es-ES"/>
        </w:rPr>
      </w:pPr>
      <w:r w:rsidRPr="00935C0D">
        <w:rPr>
          <w:color w:val="auto"/>
          <w:lang w:val="es-ES"/>
        </w:rPr>
        <w:t xml:space="preserve">Del ensayo clínico (GOG-0240) en pacientes con cáncer de cérvix persistente, recurrente o metastásico, se han notificado reacciones hemorrágicas de Grado 3-5 en hasta el 8,3% de los pacientes tratados con </w:t>
      </w:r>
      <w:r w:rsidR="00F60E7F" w:rsidRPr="00D1096C">
        <w:rPr>
          <w:lang w:val="es-ES"/>
        </w:rPr>
        <w:t>bevacizumab</w:t>
      </w:r>
      <w:r w:rsidRPr="00935C0D">
        <w:rPr>
          <w:color w:val="auto"/>
          <w:lang w:val="es-ES"/>
        </w:rPr>
        <w:t xml:space="preserve"> en combinación con </w:t>
      </w:r>
      <w:proofErr w:type="spellStart"/>
      <w:r w:rsidRPr="00935C0D">
        <w:rPr>
          <w:color w:val="auto"/>
          <w:lang w:val="es-ES"/>
        </w:rPr>
        <w:t>paclitaxel</w:t>
      </w:r>
      <w:proofErr w:type="spellEnd"/>
      <w:r w:rsidRPr="00935C0D">
        <w:rPr>
          <w:color w:val="auto"/>
          <w:lang w:val="es-ES"/>
        </w:rPr>
        <w:t xml:space="preserve"> y </w:t>
      </w:r>
      <w:proofErr w:type="spellStart"/>
      <w:r w:rsidRPr="00935C0D">
        <w:rPr>
          <w:color w:val="auto"/>
          <w:lang w:val="es-ES"/>
        </w:rPr>
        <w:t>topotecán</w:t>
      </w:r>
      <w:proofErr w:type="spellEnd"/>
      <w:r w:rsidRPr="00935C0D">
        <w:rPr>
          <w:color w:val="auto"/>
          <w:lang w:val="es-ES"/>
        </w:rPr>
        <w:t xml:space="preserve"> comparado con hasta el 4,6% de pacientes tratados con </w:t>
      </w:r>
      <w:proofErr w:type="spellStart"/>
      <w:r w:rsidRPr="00935C0D">
        <w:rPr>
          <w:color w:val="auto"/>
          <w:lang w:val="es-ES"/>
        </w:rPr>
        <w:t>paclitaxel</w:t>
      </w:r>
      <w:proofErr w:type="spellEnd"/>
      <w:r w:rsidRPr="00935C0D">
        <w:rPr>
          <w:color w:val="auto"/>
          <w:lang w:val="es-ES"/>
        </w:rPr>
        <w:t xml:space="preserve"> y </w:t>
      </w:r>
      <w:proofErr w:type="spellStart"/>
      <w:r w:rsidRPr="00935C0D">
        <w:rPr>
          <w:color w:val="auto"/>
          <w:lang w:val="es-ES"/>
        </w:rPr>
        <w:t>topotecán</w:t>
      </w:r>
      <w:proofErr w:type="spellEnd"/>
      <w:r w:rsidRPr="00935C0D">
        <w:rPr>
          <w:color w:val="auto"/>
          <w:lang w:val="es-ES"/>
        </w:rPr>
        <w:t>.</w:t>
      </w:r>
    </w:p>
    <w:p w14:paraId="114DC2C2" w14:textId="77777777" w:rsidR="00FB24C0" w:rsidRPr="00935C0D" w:rsidRDefault="00FB24C0" w:rsidP="00FB24C0">
      <w:pPr>
        <w:spacing w:after="0" w:line="240" w:lineRule="auto"/>
        <w:ind w:left="0" w:firstLine="0"/>
        <w:rPr>
          <w:color w:val="auto"/>
          <w:lang w:val="es-ES"/>
        </w:rPr>
      </w:pPr>
    </w:p>
    <w:p w14:paraId="6F353D1A" w14:textId="77777777" w:rsidR="00FB24C0" w:rsidRPr="00935C0D" w:rsidRDefault="00FB24C0" w:rsidP="00FB24C0">
      <w:pPr>
        <w:spacing w:after="0" w:line="240" w:lineRule="auto"/>
        <w:ind w:left="0" w:firstLine="0"/>
        <w:rPr>
          <w:color w:val="auto"/>
          <w:lang w:val="es-ES"/>
        </w:rPr>
      </w:pPr>
      <w:r w:rsidRPr="00935C0D">
        <w:rPr>
          <w:color w:val="auto"/>
          <w:lang w:val="es-ES"/>
        </w:rPr>
        <w:t>Las reacciones hemorrágicas observadas en los ensayos clínicos fueron en su mayoría hemorragias asociadas al tumor (ver más adelante) y hemorragias mucocutáneas menores (</w:t>
      </w:r>
      <w:proofErr w:type="spellStart"/>
      <w:proofErr w:type="gramStart"/>
      <w:r w:rsidRPr="00935C0D">
        <w:rPr>
          <w:color w:val="auto"/>
          <w:lang w:val="es-ES"/>
        </w:rPr>
        <w:t>p.ej</w:t>
      </w:r>
      <w:proofErr w:type="spellEnd"/>
      <w:proofErr w:type="gramEnd"/>
      <w:r w:rsidRPr="00935C0D">
        <w:rPr>
          <w:color w:val="auto"/>
          <w:lang w:val="es-ES"/>
        </w:rPr>
        <w:t>, epistaxis).</w:t>
      </w:r>
    </w:p>
    <w:p w14:paraId="68760A3A" w14:textId="77777777" w:rsidR="00FB24C0" w:rsidRPr="00935C0D" w:rsidRDefault="00FB24C0" w:rsidP="00FB24C0">
      <w:pPr>
        <w:spacing w:after="0" w:line="240" w:lineRule="auto"/>
        <w:ind w:left="0" w:firstLine="0"/>
        <w:rPr>
          <w:color w:val="auto"/>
          <w:lang w:val="es-ES"/>
        </w:rPr>
      </w:pPr>
    </w:p>
    <w:p w14:paraId="13732F9C" w14:textId="77777777" w:rsidR="00FB24C0" w:rsidRPr="00935C0D" w:rsidRDefault="00FB24C0" w:rsidP="00B43B7E">
      <w:pPr>
        <w:keepNext/>
        <w:spacing w:after="0" w:line="240" w:lineRule="auto"/>
        <w:ind w:left="0" w:firstLine="0"/>
        <w:rPr>
          <w:color w:val="auto"/>
          <w:u w:val="single"/>
          <w:lang w:val="es-ES"/>
        </w:rPr>
      </w:pPr>
      <w:r w:rsidRPr="00935C0D">
        <w:rPr>
          <w:i/>
          <w:color w:val="auto"/>
          <w:u w:val="single"/>
          <w:lang w:val="es-ES"/>
        </w:rPr>
        <w:t xml:space="preserve">Hemorragias asociadas al tumor </w:t>
      </w:r>
      <w:r w:rsidRPr="00935C0D">
        <w:rPr>
          <w:color w:val="auto"/>
          <w:u w:val="single"/>
          <w:lang w:val="es-ES"/>
        </w:rPr>
        <w:t>(ver sección 4.4)</w:t>
      </w:r>
    </w:p>
    <w:p w14:paraId="44F633A9" w14:textId="77777777" w:rsidR="0078275C" w:rsidRPr="00935C0D" w:rsidRDefault="0078275C" w:rsidP="00B43B7E">
      <w:pPr>
        <w:keepNext/>
        <w:spacing w:after="0" w:line="240" w:lineRule="auto"/>
        <w:ind w:left="0" w:firstLine="0"/>
        <w:rPr>
          <w:color w:val="auto"/>
          <w:lang w:val="es-ES"/>
        </w:rPr>
      </w:pPr>
    </w:p>
    <w:p w14:paraId="3428B8E1" w14:textId="77777777" w:rsidR="00FB24C0" w:rsidRPr="00935C0D" w:rsidRDefault="00FB24C0" w:rsidP="00FB24C0">
      <w:pPr>
        <w:spacing w:after="0" w:line="240" w:lineRule="auto"/>
        <w:ind w:left="0" w:firstLine="0"/>
        <w:rPr>
          <w:color w:val="auto"/>
          <w:lang w:val="es-ES"/>
        </w:rPr>
      </w:pPr>
      <w:r w:rsidRPr="00935C0D">
        <w:rPr>
          <w:color w:val="auto"/>
          <w:lang w:val="es-ES"/>
        </w:rPr>
        <w:t xml:space="preserve">La hemorragia pulmonar/hemoptisis grave o masiva se ha observado principalmente en ensayos con pacientes con cáncer de pulmón no microcítico (CPNM). Los posibles factores de riesgo incluyen histología de células escamosas, tratamiento con fármacos antirreumáticos/antiinflamatorios, tratamiento con anticoagulantes, radioterapia previa, tratamiento con </w:t>
      </w:r>
      <w:r w:rsidR="00D41255" w:rsidRPr="00D1096C">
        <w:rPr>
          <w:lang w:val="es-ES"/>
        </w:rPr>
        <w:t>bevacizumab</w:t>
      </w:r>
      <w:r w:rsidRPr="00935C0D">
        <w:rPr>
          <w:color w:val="auto"/>
          <w:lang w:val="es-ES"/>
        </w:rPr>
        <w:t xml:space="preserve">, historial médico previo de aterosclerosis, localización del tumor central y cavitación de tumores antes o durante el tratamiento. Las únicas variables que mostraron una correlación estadísticamente significativa con la hemorragia fueron el tratamiento con </w:t>
      </w:r>
      <w:r w:rsidR="00D41255" w:rsidRPr="00D1096C">
        <w:rPr>
          <w:lang w:val="es-ES"/>
        </w:rPr>
        <w:t>bevacizumab</w:t>
      </w:r>
      <w:r w:rsidRPr="00935C0D">
        <w:rPr>
          <w:color w:val="auto"/>
          <w:lang w:val="es-ES"/>
        </w:rPr>
        <w:t xml:space="preserve"> y la histología de células escamosas. Los pacientes con CPNM con un tipo histológico diagnosticado de células escamosas o con histología de tipo celular mixto con predominio de células escamosas se excluyeron de los ensayos fase III posteriores, mientras que los pacientes con histología tumoral desconocida sí se incluyeron.</w:t>
      </w:r>
    </w:p>
    <w:p w14:paraId="19496B74" w14:textId="77777777" w:rsidR="00FB24C0" w:rsidRPr="00935C0D" w:rsidRDefault="00FB24C0" w:rsidP="00FB24C0">
      <w:pPr>
        <w:spacing w:after="0" w:line="240" w:lineRule="auto"/>
        <w:ind w:left="0" w:firstLine="0"/>
        <w:rPr>
          <w:color w:val="auto"/>
          <w:lang w:val="es-ES"/>
        </w:rPr>
      </w:pPr>
    </w:p>
    <w:p w14:paraId="30AC0135" w14:textId="0FB4BA36" w:rsidR="00FB24C0" w:rsidRPr="00935C0D" w:rsidRDefault="00FB24C0" w:rsidP="00FB24C0">
      <w:pPr>
        <w:spacing w:after="0" w:line="240" w:lineRule="auto"/>
        <w:ind w:left="0" w:firstLine="0"/>
        <w:rPr>
          <w:color w:val="auto"/>
          <w:lang w:val="es-ES"/>
        </w:rPr>
      </w:pPr>
      <w:r w:rsidRPr="00935C0D">
        <w:rPr>
          <w:color w:val="auto"/>
          <w:lang w:val="es-ES"/>
        </w:rPr>
        <w:t xml:space="preserve">En pacientes con CPNM excluyendo los que tenían una histología con predominio de células escamosas, se observaron reacciones de todos los Grados con una frecuencia de hasta el 9,3% en los </w:t>
      </w:r>
      <w:r w:rsidRPr="00935C0D">
        <w:rPr>
          <w:color w:val="auto"/>
          <w:lang w:val="es-ES"/>
        </w:rPr>
        <w:lastRenderedPageBreak/>
        <w:t xml:space="preserve">pacientes tratados con </w:t>
      </w:r>
      <w:r w:rsidR="00D41255" w:rsidRPr="00D1096C">
        <w:rPr>
          <w:lang w:val="es-ES"/>
        </w:rPr>
        <w:t>bevacizumab</w:t>
      </w:r>
      <w:r w:rsidRPr="00935C0D">
        <w:rPr>
          <w:color w:val="auto"/>
          <w:lang w:val="es-ES"/>
        </w:rPr>
        <w:t xml:space="preserve"> + </w:t>
      </w:r>
      <w:proofErr w:type="gramStart"/>
      <w:r w:rsidRPr="00935C0D">
        <w:rPr>
          <w:color w:val="auto"/>
          <w:lang w:val="es-ES"/>
        </w:rPr>
        <w:t>quimioterapia comparado</w:t>
      </w:r>
      <w:proofErr w:type="gramEnd"/>
      <w:r w:rsidRPr="00935C0D">
        <w:rPr>
          <w:color w:val="auto"/>
          <w:lang w:val="es-ES"/>
        </w:rPr>
        <w:t xml:space="preserve"> con hasta el 5% en los pacientes tratados con quimioterapia sola. Las reacciones de Grado 3-5 se han observado en hasta el 2,3% de los pacientes tratados con </w:t>
      </w:r>
      <w:r w:rsidR="00D41255" w:rsidRPr="00D1096C">
        <w:rPr>
          <w:lang w:val="es-ES"/>
        </w:rPr>
        <w:t>bevacizumab</w:t>
      </w:r>
      <w:r w:rsidRPr="00935C0D">
        <w:rPr>
          <w:color w:val="auto"/>
          <w:lang w:val="es-ES"/>
        </w:rPr>
        <w:t xml:space="preserve"> + </w:t>
      </w:r>
      <w:proofErr w:type="gramStart"/>
      <w:r w:rsidRPr="00935C0D">
        <w:rPr>
          <w:color w:val="auto"/>
          <w:lang w:val="es-ES"/>
        </w:rPr>
        <w:t>quimioterapia comparado</w:t>
      </w:r>
      <w:proofErr w:type="gramEnd"/>
      <w:r w:rsidRPr="00935C0D">
        <w:rPr>
          <w:color w:val="auto"/>
          <w:lang w:val="es-ES"/>
        </w:rPr>
        <w:t xml:space="preserve"> con &lt; 1% con quimioterapia sola (NCI</w:t>
      </w:r>
      <w:r w:rsidR="00214E52" w:rsidRPr="00214E52">
        <w:rPr>
          <w:rStyle w:val="CommentReference"/>
          <w:lang w:val="es-ES"/>
        </w:rPr>
        <w:t>-</w:t>
      </w:r>
      <w:r w:rsidRPr="00935C0D">
        <w:rPr>
          <w:color w:val="auto"/>
          <w:lang w:val="es-ES"/>
        </w:rPr>
        <w:t>CTCAE v.3). La hemorragia pulmonar/hemoptisis grave o masiva puede presentarse de forma repentina y hasta dos tercios de las hemorragias pulmonares graves tuvieron un desenlace mortal.</w:t>
      </w:r>
    </w:p>
    <w:p w14:paraId="51B70D58" w14:textId="77777777" w:rsidR="00FB24C0" w:rsidRPr="00935C0D" w:rsidRDefault="00FB24C0" w:rsidP="00FB24C0">
      <w:pPr>
        <w:spacing w:after="0" w:line="240" w:lineRule="auto"/>
        <w:ind w:left="0" w:firstLine="0"/>
        <w:rPr>
          <w:color w:val="auto"/>
          <w:lang w:val="es-ES"/>
        </w:rPr>
      </w:pPr>
    </w:p>
    <w:p w14:paraId="7687C08F" w14:textId="77777777" w:rsidR="00FB24C0" w:rsidRPr="00935C0D" w:rsidRDefault="00FB24C0" w:rsidP="00FB24C0">
      <w:pPr>
        <w:spacing w:after="0" w:line="240" w:lineRule="auto"/>
        <w:ind w:left="0" w:firstLine="0"/>
        <w:rPr>
          <w:color w:val="auto"/>
          <w:lang w:val="es-ES"/>
        </w:rPr>
      </w:pPr>
      <w:r w:rsidRPr="00935C0D">
        <w:rPr>
          <w:color w:val="auto"/>
          <w:lang w:val="es-ES"/>
        </w:rPr>
        <w:t>En pacientes con cáncer colorrectal se han notificado hemorragias gastrointestinales, incluyendo hemorragia rectal y melena, y se evaluaron como hemorragias asociadas al tumor.</w:t>
      </w:r>
    </w:p>
    <w:p w14:paraId="50F314C0" w14:textId="77777777" w:rsidR="00FB24C0" w:rsidRPr="00935C0D" w:rsidRDefault="00FB24C0" w:rsidP="00FB24C0">
      <w:pPr>
        <w:spacing w:after="0" w:line="240" w:lineRule="auto"/>
        <w:ind w:left="0" w:firstLine="0"/>
        <w:rPr>
          <w:color w:val="auto"/>
          <w:lang w:val="es-ES"/>
        </w:rPr>
      </w:pPr>
    </w:p>
    <w:p w14:paraId="186FEBAF" w14:textId="77777777" w:rsidR="00FB24C0" w:rsidRPr="00935C0D" w:rsidRDefault="00FB24C0" w:rsidP="00FB24C0">
      <w:pPr>
        <w:spacing w:after="0" w:line="240" w:lineRule="auto"/>
        <w:ind w:left="0" w:firstLine="0"/>
        <w:rPr>
          <w:color w:val="auto"/>
          <w:lang w:val="es-ES"/>
        </w:rPr>
      </w:pPr>
      <w:r w:rsidRPr="00935C0D">
        <w:rPr>
          <w:color w:val="auto"/>
          <w:lang w:val="es-ES"/>
        </w:rPr>
        <w:t>También se observaron casos raros de hemorragias asociadas al tumor en otros tipos y localizaciones tumorales, incluyendo casos de hemorragia en el sistema nervioso central (SNC) en pacientes con metástasis en el SNC (ver sección 4.4).</w:t>
      </w:r>
    </w:p>
    <w:p w14:paraId="18B15B90" w14:textId="77777777" w:rsidR="00FB24C0" w:rsidRPr="00935C0D" w:rsidRDefault="00FB24C0" w:rsidP="00FB24C0">
      <w:pPr>
        <w:spacing w:after="0" w:line="240" w:lineRule="auto"/>
        <w:ind w:left="0" w:firstLine="0"/>
        <w:rPr>
          <w:color w:val="auto"/>
          <w:lang w:val="es-ES"/>
        </w:rPr>
      </w:pPr>
    </w:p>
    <w:p w14:paraId="6712659F" w14:textId="77777777" w:rsidR="003E0716" w:rsidRDefault="00FB24C0" w:rsidP="00FB24C0">
      <w:pPr>
        <w:spacing w:after="0" w:line="240" w:lineRule="auto"/>
        <w:ind w:left="0" w:firstLine="0"/>
        <w:rPr>
          <w:color w:val="auto"/>
          <w:lang w:val="es-ES"/>
        </w:rPr>
      </w:pPr>
      <w:r w:rsidRPr="00935C0D">
        <w:rPr>
          <w:color w:val="auto"/>
          <w:lang w:val="es-ES"/>
        </w:rPr>
        <w:t>No se evaluó de manera prospectiva en los ensayos clínicos aleatorizados la incidencia de hemorragia en el SNC en pacientes con metástasis no tratadas localizadas en el SNC que recibieron bevacizumab. En un análisis exploratorio retrospectivo de los datos de 13 ensayos aleatorizados finalizados en pacientes con distintos tipos de tumores; 3 pacientes de 91 (3,3%) con metástasis cerebral experimentaron hemorragia del SNC (todas de Grado 4) cuando fueron tratados con bevacizumab, en comparación con 1 caso (Grado 5) de 96 pacientes (1%) cuando no fueron tratados con bevacizumab.</w:t>
      </w:r>
      <w:r w:rsidR="00935C0D">
        <w:rPr>
          <w:color w:val="auto"/>
          <w:lang w:val="es-ES"/>
        </w:rPr>
        <w:t xml:space="preserve"> </w:t>
      </w:r>
      <w:r w:rsidRPr="00935C0D">
        <w:rPr>
          <w:color w:val="auto"/>
          <w:lang w:val="es-ES"/>
        </w:rPr>
        <w:t>En dos ensayos posteriores en pacientes con metástasis cerebrales tratadas (que incluyeron alrededor de 800 pacientes), cuando se realizó el análisis de seguridad provision</w:t>
      </w:r>
      <w:r w:rsidR="00935C0D">
        <w:rPr>
          <w:color w:val="auto"/>
          <w:lang w:val="es-ES"/>
        </w:rPr>
        <w:t>al se notificó un caso de Grado </w:t>
      </w:r>
      <w:r w:rsidRPr="00935C0D">
        <w:rPr>
          <w:color w:val="auto"/>
          <w:lang w:val="es-ES"/>
        </w:rPr>
        <w:t xml:space="preserve">2 de hemorragia en el SNC (1,2%) en los 83 pacientes tratados con bevacizumab (NCI-CTCAE v.3). </w:t>
      </w:r>
    </w:p>
    <w:p w14:paraId="47D17B73" w14:textId="77777777" w:rsidR="003E0716" w:rsidRDefault="003E0716" w:rsidP="00FB24C0">
      <w:pPr>
        <w:spacing w:after="0" w:line="240" w:lineRule="auto"/>
        <w:ind w:left="0" w:firstLine="0"/>
        <w:rPr>
          <w:color w:val="auto"/>
          <w:lang w:val="es-ES"/>
        </w:rPr>
      </w:pPr>
    </w:p>
    <w:p w14:paraId="4A79B9D4" w14:textId="77777777" w:rsidR="00FB24C0" w:rsidRPr="00935C0D" w:rsidRDefault="00FB24C0" w:rsidP="00FB24C0">
      <w:pPr>
        <w:spacing w:after="0" w:line="240" w:lineRule="auto"/>
        <w:ind w:left="0" w:firstLine="0"/>
        <w:rPr>
          <w:color w:val="auto"/>
          <w:lang w:val="es-ES"/>
        </w:rPr>
      </w:pPr>
      <w:r w:rsidRPr="00935C0D">
        <w:rPr>
          <w:color w:val="auto"/>
          <w:lang w:val="es-ES"/>
        </w:rPr>
        <w:t xml:space="preserve">Durante todos los ensayos clínicos, se observó hemorragia mucocutánea hasta en un 50% de los pacientes tratados con </w:t>
      </w:r>
      <w:r w:rsidR="00C61B8D" w:rsidRPr="00D1096C">
        <w:rPr>
          <w:lang w:val="es-ES"/>
        </w:rPr>
        <w:t>bevacizumab</w:t>
      </w:r>
      <w:r w:rsidRPr="00935C0D">
        <w:rPr>
          <w:color w:val="auto"/>
          <w:lang w:val="es-ES"/>
        </w:rPr>
        <w:t>. Lo más frecuente fueron casos de epistaxis de Grado 1 según la escala</w:t>
      </w:r>
      <w:r w:rsidRPr="00443040">
        <w:rPr>
          <w:color w:val="auto"/>
          <w:lang w:val="es-ES"/>
        </w:rPr>
        <w:t xml:space="preserve"> </w:t>
      </w:r>
      <w:r w:rsidRPr="00935C0D">
        <w:rPr>
          <w:color w:val="auto"/>
          <w:lang w:val="es-ES"/>
        </w:rPr>
        <w:t xml:space="preserve">NCI-CTCAE v.3 que duraron menos de 5 minutos, se resolvieron sin necesidad de tratamiento médico y no requirieron ningún cambio en el régimen de tratamiento con </w:t>
      </w:r>
      <w:r w:rsidR="00C61B8D" w:rsidRPr="00D1096C">
        <w:rPr>
          <w:lang w:val="es-ES"/>
        </w:rPr>
        <w:t>bevacizumab</w:t>
      </w:r>
      <w:r w:rsidRPr="00935C0D">
        <w:rPr>
          <w:color w:val="auto"/>
          <w:lang w:val="es-ES"/>
        </w:rPr>
        <w:t>. Los datos clínicos de seguridad sugieren que la incidencia de hemorragias mucocutáneas menores (p.ej. epistaxis) puede ser dependiente de la dosis.</w:t>
      </w:r>
    </w:p>
    <w:p w14:paraId="3ADAC5B2" w14:textId="77777777" w:rsidR="00FB24C0" w:rsidRPr="00935C0D" w:rsidRDefault="00FB24C0" w:rsidP="00FB24C0">
      <w:pPr>
        <w:spacing w:after="0" w:line="240" w:lineRule="auto"/>
        <w:ind w:left="0" w:firstLine="0"/>
        <w:rPr>
          <w:color w:val="auto"/>
          <w:lang w:val="es-ES"/>
        </w:rPr>
      </w:pPr>
    </w:p>
    <w:p w14:paraId="75DF02AC" w14:textId="77777777" w:rsidR="00FB24C0" w:rsidRPr="00935C0D" w:rsidRDefault="00FB24C0" w:rsidP="00FB24C0">
      <w:pPr>
        <w:spacing w:after="0" w:line="240" w:lineRule="auto"/>
        <w:ind w:left="0" w:firstLine="0"/>
        <w:rPr>
          <w:color w:val="auto"/>
          <w:lang w:val="es-ES"/>
        </w:rPr>
      </w:pPr>
      <w:r w:rsidRPr="00935C0D">
        <w:rPr>
          <w:color w:val="auto"/>
          <w:lang w:val="es-ES"/>
        </w:rPr>
        <w:t>Asimismo, con menor frecuencia se produjeron reacciones hemorrágicas mucocutáneas menores en otras localizaciones, tales como hemorragia gingival o hemorragia vaginal.</w:t>
      </w:r>
    </w:p>
    <w:p w14:paraId="0776657E" w14:textId="77777777" w:rsidR="00FB24C0" w:rsidRPr="00935C0D" w:rsidRDefault="00FB24C0" w:rsidP="00FB24C0">
      <w:pPr>
        <w:spacing w:after="0" w:line="240" w:lineRule="auto"/>
        <w:ind w:left="0" w:firstLine="0"/>
        <w:rPr>
          <w:color w:val="auto"/>
          <w:lang w:val="es-ES"/>
        </w:rPr>
      </w:pPr>
    </w:p>
    <w:p w14:paraId="6420408E" w14:textId="77777777" w:rsidR="00FB24C0" w:rsidRPr="00935C0D" w:rsidRDefault="00FB24C0" w:rsidP="0078275C">
      <w:pPr>
        <w:keepNext/>
        <w:spacing w:after="0" w:line="240" w:lineRule="auto"/>
        <w:ind w:left="0" w:firstLine="0"/>
        <w:rPr>
          <w:i/>
          <w:color w:val="auto"/>
          <w:u w:val="single"/>
          <w:lang w:val="es-ES"/>
        </w:rPr>
      </w:pPr>
      <w:r w:rsidRPr="00935C0D">
        <w:rPr>
          <w:i/>
          <w:color w:val="auto"/>
          <w:u w:val="single"/>
          <w:lang w:val="es-ES"/>
        </w:rPr>
        <w:t xml:space="preserve">Tromboembolismo </w:t>
      </w:r>
      <w:r w:rsidRPr="00935C0D">
        <w:rPr>
          <w:color w:val="auto"/>
          <w:u w:val="single"/>
          <w:lang w:val="es-ES"/>
        </w:rPr>
        <w:t>(ver sección 4.4)</w:t>
      </w:r>
    </w:p>
    <w:p w14:paraId="445960C0" w14:textId="77777777" w:rsidR="00FB24C0" w:rsidRPr="00935C0D" w:rsidRDefault="00FB24C0" w:rsidP="0078275C">
      <w:pPr>
        <w:keepNext/>
        <w:spacing w:after="0" w:line="240" w:lineRule="auto"/>
        <w:ind w:left="0" w:firstLine="0"/>
        <w:rPr>
          <w:color w:val="auto"/>
          <w:lang w:val="es-ES"/>
        </w:rPr>
      </w:pPr>
    </w:p>
    <w:p w14:paraId="33E1856F" w14:textId="77777777" w:rsidR="00FB24C0" w:rsidRPr="00935C0D" w:rsidRDefault="00FB24C0" w:rsidP="0078275C">
      <w:pPr>
        <w:keepNext/>
        <w:spacing w:after="0" w:line="240" w:lineRule="auto"/>
        <w:ind w:left="0" w:firstLine="0"/>
        <w:rPr>
          <w:color w:val="auto"/>
          <w:lang w:val="es-ES"/>
        </w:rPr>
      </w:pPr>
      <w:r w:rsidRPr="00935C0D">
        <w:rPr>
          <w:i/>
          <w:color w:val="auto"/>
          <w:lang w:val="es-ES"/>
        </w:rPr>
        <w:t xml:space="preserve">Tromboembolismo arterial: </w:t>
      </w:r>
      <w:r w:rsidRPr="00935C0D">
        <w:rPr>
          <w:color w:val="auto"/>
          <w:lang w:val="es-ES"/>
        </w:rPr>
        <w:t xml:space="preserve">En los pacientes tratados con </w:t>
      </w:r>
      <w:r w:rsidR="00C61B8D" w:rsidRPr="00D1096C">
        <w:rPr>
          <w:lang w:val="es-ES"/>
        </w:rPr>
        <w:t>bevacizumab</w:t>
      </w:r>
      <w:r w:rsidRPr="00935C0D">
        <w:rPr>
          <w:color w:val="auto"/>
          <w:lang w:val="es-ES"/>
        </w:rPr>
        <w:t xml:space="preserve"> en todas las indicaciones, se observó un aumento en la incidencia de reacciones tromboembólicas arteriales, incluyendo accidentes cerebrovasculares, infartos de miocardio, ataques isquémicos transitorios y otras reacciones tromboembólicas arteriales.</w:t>
      </w:r>
    </w:p>
    <w:p w14:paraId="6DC8CB70" w14:textId="77777777" w:rsidR="00FB24C0" w:rsidRPr="00935C0D" w:rsidRDefault="00FB24C0" w:rsidP="00FB24C0">
      <w:pPr>
        <w:spacing w:after="0" w:line="240" w:lineRule="auto"/>
        <w:ind w:left="0" w:firstLine="0"/>
        <w:rPr>
          <w:color w:val="auto"/>
          <w:lang w:val="es-ES"/>
        </w:rPr>
      </w:pPr>
    </w:p>
    <w:p w14:paraId="4B3178E7" w14:textId="77777777" w:rsidR="00FB24C0" w:rsidRPr="00935C0D" w:rsidRDefault="00FB24C0" w:rsidP="00FB24C0">
      <w:pPr>
        <w:spacing w:after="0" w:line="240" w:lineRule="auto"/>
        <w:ind w:left="0" w:firstLine="0"/>
        <w:rPr>
          <w:color w:val="auto"/>
          <w:lang w:val="es-ES"/>
        </w:rPr>
      </w:pPr>
      <w:r w:rsidRPr="00935C0D">
        <w:rPr>
          <w:color w:val="auto"/>
          <w:lang w:val="es-ES"/>
        </w:rPr>
        <w:t xml:space="preserve">En los ensayos clínicos, la incidencia global de las reacciones tromboembólicas arteriales fue de hasta un 3,8% en los brazos que incluyeron </w:t>
      </w:r>
      <w:r w:rsidR="00C61B8D" w:rsidRPr="00D1096C">
        <w:rPr>
          <w:lang w:val="es-ES"/>
        </w:rPr>
        <w:t>bevacizumab</w:t>
      </w:r>
      <w:r w:rsidRPr="00935C0D">
        <w:rPr>
          <w:color w:val="auto"/>
          <w:lang w:val="es-ES"/>
        </w:rPr>
        <w:t xml:space="preserve"> comparado con hasta el 2,1% en los brazos de quimioterapia control. Se notificó desenlace mortal en el 0,8% de los pacientes tratados con </w:t>
      </w:r>
      <w:r w:rsidR="00C61B8D" w:rsidRPr="00D1096C">
        <w:rPr>
          <w:lang w:val="es-ES"/>
        </w:rPr>
        <w:t>bevacizumab</w:t>
      </w:r>
      <w:r w:rsidRPr="00935C0D">
        <w:rPr>
          <w:color w:val="auto"/>
          <w:lang w:val="es-ES"/>
        </w:rPr>
        <w:t xml:space="preserve"> comparado con el 0,5% de los pacientes tratados con quimioterapia sola. Se notificaron accidentes cerebrovasculares (incluyendo ataques isquémicos transitorios) en hasta el 2,7% de los pacientes tratados con </w:t>
      </w:r>
      <w:r w:rsidR="00C61B8D" w:rsidRPr="00D1096C">
        <w:rPr>
          <w:lang w:val="es-ES"/>
        </w:rPr>
        <w:t>bevacizumab</w:t>
      </w:r>
      <w:r w:rsidRPr="00935C0D">
        <w:rPr>
          <w:color w:val="auto"/>
          <w:lang w:val="es-ES"/>
        </w:rPr>
        <w:t xml:space="preserve"> en combinación con quimioterapia comparado con hasta el 0,5% de los pacientes tratados con quimioterapia sola. Se notificó infarto de miocardio en hasta el 1,4% de los pacientes tratados con </w:t>
      </w:r>
      <w:r w:rsidR="00C61B8D" w:rsidRPr="00D1096C">
        <w:rPr>
          <w:lang w:val="es-ES"/>
        </w:rPr>
        <w:t>bevacizumab</w:t>
      </w:r>
      <w:r w:rsidRPr="00935C0D">
        <w:rPr>
          <w:color w:val="auto"/>
          <w:lang w:val="es-ES"/>
        </w:rPr>
        <w:t xml:space="preserve"> en combinación con quimioterapia comparado con hasta el 0,7% de los pacientes tratados con quimioterapia sola.</w:t>
      </w:r>
    </w:p>
    <w:p w14:paraId="43F82171" w14:textId="77777777" w:rsidR="00FB24C0" w:rsidRPr="00935C0D" w:rsidRDefault="00FB24C0" w:rsidP="00FB24C0">
      <w:pPr>
        <w:spacing w:after="0" w:line="240" w:lineRule="auto"/>
        <w:ind w:left="0" w:firstLine="0"/>
        <w:rPr>
          <w:color w:val="auto"/>
          <w:lang w:val="es-ES"/>
        </w:rPr>
      </w:pPr>
    </w:p>
    <w:p w14:paraId="2127B8A1" w14:textId="77777777" w:rsidR="00FB24C0" w:rsidRPr="00935C0D" w:rsidRDefault="00FB24C0" w:rsidP="00FB24C0">
      <w:pPr>
        <w:spacing w:after="0" w:line="240" w:lineRule="auto"/>
        <w:ind w:left="0" w:firstLine="0"/>
        <w:rPr>
          <w:color w:val="auto"/>
          <w:lang w:val="es-ES"/>
        </w:rPr>
      </w:pPr>
      <w:r w:rsidRPr="00935C0D">
        <w:rPr>
          <w:color w:val="auto"/>
          <w:lang w:val="es-ES"/>
        </w:rPr>
        <w:t xml:space="preserve">En un ensayo clínico para evaluar </w:t>
      </w:r>
      <w:r w:rsidR="00C61B8D" w:rsidRPr="00D1096C">
        <w:rPr>
          <w:lang w:val="es-ES"/>
        </w:rPr>
        <w:t>bevacizumab</w:t>
      </w:r>
      <w:r w:rsidRPr="00935C0D">
        <w:rPr>
          <w:color w:val="auto"/>
          <w:lang w:val="es-ES"/>
        </w:rPr>
        <w:t xml:space="preserve"> en combinación con 5-fluorouracilo/ácido </w:t>
      </w:r>
      <w:proofErr w:type="spellStart"/>
      <w:r w:rsidRPr="00935C0D">
        <w:rPr>
          <w:color w:val="auto"/>
          <w:lang w:val="es-ES"/>
        </w:rPr>
        <w:t>folínico</w:t>
      </w:r>
      <w:proofErr w:type="spellEnd"/>
      <w:r w:rsidRPr="00935C0D">
        <w:rPr>
          <w:color w:val="auto"/>
          <w:lang w:val="es-ES"/>
        </w:rPr>
        <w:t>, AVF2192g, se incluyeron pacientes con cáncer colorrectal metastásico que no eran candidatos para el tratamiento con irinotecán. En este ensayo se observaron reacciones tromboembólicas arteriales en el 11% (11/100) de los pacientes comparado con el 5,8% (6/104) en el grupo de quimioterapia control.</w:t>
      </w:r>
    </w:p>
    <w:p w14:paraId="0BE2C465" w14:textId="77777777" w:rsidR="00FB24C0" w:rsidRPr="00935C0D" w:rsidRDefault="00FB24C0" w:rsidP="00FB24C0">
      <w:pPr>
        <w:spacing w:after="0" w:line="240" w:lineRule="auto"/>
        <w:ind w:left="0" w:firstLine="0"/>
        <w:rPr>
          <w:color w:val="auto"/>
          <w:lang w:val="es-ES"/>
        </w:rPr>
      </w:pPr>
    </w:p>
    <w:p w14:paraId="15950A3F" w14:textId="77777777" w:rsidR="00FB24C0" w:rsidRPr="00935C0D" w:rsidRDefault="00FB24C0" w:rsidP="0078275C">
      <w:pPr>
        <w:keepNext/>
        <w:spacing w:after="0" w:line="240" w:lineRule="auto"/>
        <w:ind w:left="0" w:firstLine="0"/>
        <w:rPr>
          <w:color w:val="auto"/>
          <w:lang w:val="es-ES"/>
        </w:rPr>
      </w:pPr>
      <w:r w:rsidRPr="00935C0D">
        <w:rPr>
          <w:i/>
          <w:color w:val="auto"/>
          <w:lang w:val="es-ES"/>
        </w:rPr>
        <w:t xml:space="preserve">Tromboembolismo venoso: </w:t>
      </w:r>
      <w:r w:rsidRPr="00935C0D">
        <w:rPr>
          <w:color w:val="auto"/>
          <w:lang w:val="es-ES"/>
        </w:rPr>
        <w:t xml:space="preserve">La incidencia de reacciones tromboembólicas venosas en los ensayos clínicos fue similar en los pacientes tratados con </w:t>
      </w:r>
      <w:r w:rsidR="00C61B8D" w:rsidRPr="00D1096C">
        <w:rPr>
          <w:lang w:val="es-ES"/>
        </w:rPr>
        <w:t>bevacizumab</w:t>
      </w:r>
      <w:r w:rsidRPr="00935C0D">
        <w:rPr>
          <w:color w:val="auto"/>
          <w:lang w:val="es-ES"/>
        </w:rPr>
        <w:t xml:space="preserve"> en combinación con quimioterapia </w:t>
      </w:r>
      <w:r w:rsidRPr="00935C0D">
        <w:rPr>
          <w:color w:val="auto"/>
          <w:lang w:val="es-ES"/>
        </w:rPr>
        <w:lastRenderedPageBreak/>
        <w:t>comparado con aquellos que recibieron sólo la quimioterapia control. Las reacciones tromboembólicas venosas incluyen trombosis venosa profunda, embolismo pulmonar y tromboflebitis.</w:t>
      </w:r>
    </w:p>
    <w:p w14:paraId="11B6C52B" w14:textId="77777777" w:rsidR="00FB24C0" w:rsidRPr="00935C0D" w:rsidRDefault="00FB24C0" w:rsidP="00FB24C0">
      <w:pPr>
        <w:spacing w:after="0" w:line="240" w:lineRule="auto"/>
        <w:ind w:left="0" w:firstLine="0"/>
        <w:rPr>
          <w:color w:val="auto"/>
          <w:lang w:val="es-ES"/>
        </w:rPr>
      </w:pPr>
    </w:p>
    <w:p w14:paraId="2BB6B187" w14:textId="77777777" w:rsidR="00FB24C0" w:rsidRPr="00935C0D" w:rsidRDefault="00FB24C0" w:rsidP="00FB24C0">
      <w:pPr>
        <w:spacing w:after="0" w:line="240" w:lineRule="auto"/>
        <w:ind w:left="0" w:firstLine="0"/>
        <w:rPr>
          <w:color w:val="auto"/>
          <w:lang w:val="es-ES"/>
        </w:rPr>
      </w:pPr>
      <w:r w:rsidRPr="00935C0D">
        <w:rPr>
          <w:color w:val="auto"/>
          <w:lang w:val="es-ES"/>
        </w:rPr>
        <w:t xml:space="preserve">En los ensayos clínicos en todas las indicaciones, la incidencia global de acontecimientos tromboembólicos venosos osciló desde 2,8% hasta 17,3% de los pacientes tratados con </w:t>
      </w:r>
      <w:r w:rsidR="00C61B8D" w:rsidRPr="00D1096C">
        <w:rPr>
          <w:lang w:val="es-ES"/>
        </w:rPr>
        <w:t>bevacizumab</w:t>
      </w:r>
      <w:r w:rsidRPr="00935C0D">
        <w:rPr>
          <w:color w:val="auto"/>
          <w:lang w:val="es-ES"/>
        </w:rPr>
        <w:t xml:space="preserve"> en comparación con el 3,2% hasta 15,6% en los brazos control.</w:t>
      </w:r>
    </w:p>
    <w:p w14:paraId="1AC556A5" w14:textId="77777777" w:rsidR="00FB24C0" w:rsidRPr="00935C0D" w:rsidRDefault="00FB24C0" w:rsidP="00FB24C0">
      <w:pPr>
        <w:spacing w:after="0" w:line="240" w:lineRule="auto"/>
        <w:ind w:left="0" w:firstLine="0"/>
        <w:rPr>
          <w:color w:val="auto"/>
          <w:lang w:val="es-ES"/>
        </w:rPr>
      </w:pPr>
    </w:p>
    <w:p w14:paraId="1F99C02D" w14:textId="77777777" w:rsidR="00FB24C0" w:rsidRPr="00935C0D" w:rsidRDefault="00FB24C0" w:rsidP="00FB24C0">
      <w:pPr>
        <w:spacing w:after="0" w:line="240" w:lineRule="auto"/>
        <w:ind w:left="0" w:firstLine="0"/>
        <w:rPr>
          <w:color w:val="auto"/>
          <w:lang w:val="es-ES"/>
        </w:rPr>
      </w:pPr>
      <w:r w:rsidRPr="00935C0D">
        <w:rPr>
          <w:color w:val="auto"/>
          <w:lang w:val="es-ES"/>
        </w:rPr>
        <w:t>Se han notificado reacciones tromboembólicas venosas de Grado 3-5 (NCI-CTCAE v.3) en hasta un 7,8% de los pacientes tratados con quimioterapia + bevacizumab en comparación con hasta un 4,9% en pacientes tratados con quimioterapia sola (en todas las indicaciones, excluyendo cáncer de cérvix persistente, recurrente o metastásico).</w:t>
      </w:r>
    </w:p>
    <w:p w14:paraId="686E35B8" w14:textId="77777777" w:rsidR="00FB24C0" w:rsidRPr="00935C0D" w:rsidRDefault="00FB24C0" w:rsidP="00FB24C0">
      <w:pPr>
        <w:spacing w:after="0" w:line="240" w:lineRule="auto"/>
        <w:ind w:left="0" w:firstLine="0"/>
        <w:rPr>
          <w:color w:val="auto"/>
          <w:lang w:val="es-ES"/>
        </w:rPr>
      </w:pPr>
    </w:p>
    <w:p w14:paraId="670FB699" w14:textId="4A6FE571" w:rsidR="00FB24C0" w:rsidRPr="00935C0D" w:rsidRDefault="00FB24C0" w:rsidP="00FB24C0">
      <w:pPr>
        <w:spacing w:after="0" w:line="240" w:lineRule="auto"/>
        <w:ind w:left="0" w:firstLine="0"/>
        <w:rPr>
          <w:color w:val="auto"/>
          <w:lang w:val="es-ES"/>
        </w:rPr>
      </w:pPr>
      <w:r w:rsidRPr="00935C0D">
        <w:rPr>
          <w:color w:val="auto"/>
          <w:lang w:val="es-ES"/>
        </w:rPr>
        <w:t>Del ensayo clínico (GOG-0240) en pacientes con cáncer de cé</w:t>
      </w:r>
      <w:r w:rsidR="00B675B7">
        <w:rPr>
          <w:color w:val="auto"/>
          <w:lang w:val="es-ES"/>
        </w:rPr>
        <w:t>r</w:t>
      </w:r>
      <w:r w:rsidRPr="00935C0D">
        <w:rPr>
          <w:color w:val="auto"/>
          <w:lang w:val="es-ES"/>
        </w:rPr>
        <w:t xml:space="preserve">vix persistente, recurrente o metastásico, se han notificado acontecimientos tromboembólicos venosos de Grado 3-5 en hasta el 15,6% de los pacientes tratados con </w:t>
      </w:r>
      <w:r w:rsidR="00C61B8D" w:rsidRPr="00D1096C">
        <w:rPr>
          <w:lang w:val="es-ES"/>
        </w:rPr>
        <w:t>bevacizumab</w:t>
      </w:r>
      <w:r w:rsidRPr="00935C0D">
        <w:rPr>
          <w:color w:val="auto"/>
          <w:lang w:val="es-ES"/>
        </w:rPr>
        <w:t xml:space="preserve"> en combinación con </w:t>
      </w:r>
      <w:proofErr w:type="spellStart"/>
      <w:r w:rsidRPr="00935C0D">
        <w:rPr>
          <w:color w:val="auto"/>
          <w:lang w:val="es-ES"/>
        </w:rPr>
        <w:t>paclitaxel</w:t>
      </w:r>
      <w:proofErr w:type="spellEnd"/>
      <w:r w:rsidRPr="00935C0D">
        <w:rPr>
          <w:color w:val="auto"/>
          <w:lang w:val="es-ES"/>
        </w:rPr>
        <w:t xml:space="preserve"> y cisplatino comparado con hasta el 7,0% de los pacientes tratados con </w:t>
      </w:r>
      <w:proofErr w:type="spellStart"/>
      <w:r w:rsidRPr="00935C0D">
        <w:rPr>
          <w:color w:val="auto"/>
          <w:lang w:val="es-ES"/>
        </w:rPr>
        <w:t>paclitaxel</w:t>
      </w:r>
      <w:proofErr w:type="spellEnd"/>
      <w:r w:rsidRPr="00935C0D">
        <w:rPr>
          <w:color w:val="auto"/>
          <w:lang w:val="es-ES"/>
        </w:rPr>
        <w:t xml:space="preserve"> y cisplatino.</w:t>
      </w:r>
    </w:p>
    <w:p w14:paraId="60DCF4DB" w14:textId="77777777" w:rsidR="00FB24C0" w:rsidRPr="00935C0D" w:rsidRDefault="00FB24C0" w:rsidP="00FB24C0">
      <w:pPr>
        <w:spacing w:after="0" w:line="240" w:lineRule="auto"/>
        <w:ind w:left="0" w:firstLine="0"/>
        <w:rPr>
          <w:color w:val="auto"/>
          <w:lang w:val="es-ES"/>
        </w:rPr>
      </w:pPr>
    </w:p>
    <w:p w14:paraId="17AA5745" w14:textId="77777777" w:rsidR="00FB24C0" w:rsidRPr="00935C0D" w:rsidRDefault="00FB24C0" w:rsidP="00FB24C0">
      <w:pPr>
        <w:spacing w:after="0" w:line="240" w:lineRule="auto"/>
        <w:ind w:left="0" w:firstLine="0"/>
        <w:rPr>
          <w:color w:val="auto"/>
          <w:lang w:val="es-ES"/>
        </w:rPr>
      </w:pPr>
      <w:r w:rsidRPr="00935C0D">
        <w:rPr>
          <w:color w:val="auto"/>
          <w:lang w:val="es-ES"/>
        </w:rPr>
        <w:t xml:space="preserve">Los pacientes que han sufrido una reacción tromboembólica venosa pueden tener un riesgo mayor de recurrencia con </w:t>
      </w:r>
      <w:r w:rsidR="00C61B8D" w:rsidRPr="00D1096C">
        <w:rPr>
          <w:lang w:val="es-ES"/>
        </w:rPr>
        <w:t>bevacizumab</w:t>
      </w:r>
      <w:r w:rsidRPr="00935C0D">
        <w:rPr>
          <w:color w:val="auto"/>
          <w:lang w:val="es-ES"/>
        </w:rPr>
        <w:t xml:space="preserve"> en combinación con quimioterapia que con quimioterapia sola.</w:t>
      </w:r>
    </w:p>
    <w:p w14:paraId="7CE2A025" w14:textId="77777777" w:rsidR="00FB24C0" w:rsidRPr="00935C0D" w:rsidRDefault="00FB24C0" w:rsidP="00FB24C0">
      <w:pPr>
        <w:spacing w:after="0" w:line="240" w:lineRule="auto"/>
        <w:ind w:left="0" w:firstLine="0"/>
        <w:rPr>
          <w:color w:val="auto"/>
          <w:lang w:val="es-ES"/>
        </w:rPr>
      </w:pPr>
    </w:p>
    <w:p w14:paraId="1D26A07B" w14:textId="77777777" w:rsidR="00FB24C0" w:rsidRPr="00935C0D" w:rsidRDefault="00FB24C0" w:rsidP="0078275C">
      <w:pPr>
        <w:keepNext/>
        <w:spacing w:after="0" w:line="240" w:lineRule="auto"/>
        <w:ind w:left="0" w:firstLine="0"/>
        <w:rPr>
          <w:i/>
          <w:color w:val="auto"/>
          <w:u w:val="single"/>
          <w:lang w:val="es-ES"/>
        </w:rPr>
      </w:pPr>
      <w:r w:rsidRPr="00935C0D">
        <w:rPr>
          <w:i/>
          <w:color w:val="auto"/>
          <w:u w:val="single"/>
          <w:lang w:val="es-ES"/>
        </w:rPr>
        <w:t>Insuficiencia cardíaca congestiva (ICC)</w:t>
      </w:r>
    </w:p>
    <w:p w14:paraId="6DE75E08" w14:textId="77777777" w:rsidR="0078275C" w:rsidRPr="00935C0D" w:rsidRDefault="0078275C" w:rsidP="0078275C">
      <w:pPr>
        <w:keepNext/>
        <w:spacing w:after="0" w:line="240" w:lineRule="auto"/>
        <w:ind w:left="0" w:firstLine="0"/>
        <w:rPr>
          <w:color w:val="auto"/>
          <w:lang w:val="es-ES"/>
        </w:rPr>
      </w:pPr>
    </w:p>
    <w:p w14:paraId="600F4075" w14:textId="77777777" w:rsidR="00FB24C0" w:rsidRPr="00443040" w:rsidRDefault="00FB24C0" w:rsidP="00FB24C0">
      <w:pPr>
        <w:spacing w:after="0" w:line="240" w:lineRule="auto"/>
        <w:ind w:left="0" w:firstLine="0"/>
        <w:rPr>
          <w:color w:val="auto"/>
          <w:lang w:val="es-ES"/>
        </w:rPr>
      </w:pPr>
      <w:r w:rsidRPr="00935C0D">
        <w:rPr>
          <w:color w:val="auto"/>
          <w:lang w:val="es-ES"/>
        </w:rPr>
        <w:t xml:space="preserve">En los ensayos clínicos con </w:t>
      </w:r>
      <w:r w:rsidR="00C61B8D" w:rsidRPr="00D1096C">
        <w:rPr>
          <w:lang w:val="es-ES"/>
        </w:rPr>
        <w:t>bevacizumab</w:t>
      </w:r>
      <w:r w:rsidRPr="00935C0D">
        <w:rPr>
          <w:color w:val="auto"/>
          <w:lang w:val="es-ES"/>
        </w:rPr>
        <w:t>, se observó insuficiencia cardíaca congestiva (ICC) en todas las indicaciones de cáncer estudiadas hasta la fecha, aunque tuvo lugar predominantemente en pacientes con cáncer de mama metastásico. En cuatro ensayos fase III en pacientes con cáncer de mama</w:t>
      </w:r>
      <w:r w:rsidRPr="00443040">
        <w:rPr>
          <w:color w:val="auto"/>
          <w:lang w:val="es-ES"/>
        </w:rPr>
        <w:t xml:space="preserve"> metastásico (AVF2119g, E2100, BO17708 y AVF3694g) se notificó hasta en un 3,5% de los pacientes tratados con </w:t>
      </w:r>
      <w:r w:rsidR="00C61B8D" w:rsidRPr="00D1096C">
        <w:rPr>
          <w:lang w:val="es-ES"/>
        </w:rPr>
        <w:t>bevacizumab</w:t>
      </w:r>
      <w:r w:rsidRPr="00443040">
        <w:rPr>
          <w:color w:val="auto"/>
          <w:lang w:val="es-ES"/>
        </w:rPr>
        <w:t xml:space="preserve"> en combinación con quimioterapia ICC de Grado 3 o superior (NCI-CTCAE v.3) en comparación con hasta un 0,9% en los brazos control. En los pacientes del ensayo AVF3694g que recibieron antraciclinas de forma concomitante con bevacizumab, las incidencias de ICC de Grado 3 o superior en los brazos control y con bevacizumab fueron similares a las de otros ensayos en cáncer de mama metastásico: 2,9% en el brazo de antraciclina + bevacizumab y 0</w:t>
      </w:r>
      <w:r w:rsidR="00594287">
        <w:rPr>
          <w:color w:val="auto"/>
          <w:lang w:val="es-ES"/>
        </w:rPr>
        <w:t>% en el brazo de antraciclina + </w:t>
      </w:r>
      <w:r w:rsidRPr="00443040">
        <w:rPr>
          <w:color w:val="auto"/>
          <w:lang w:val="es-ES"/>
        </w:rPr>
        <w:t xml:space="preserve">placebo. Además, en el ensayo AVF3694g las incidencias de ICC de cualquier Grado fueron similares entre el brazo de antraciclina + </w:t>
      </w:r>
      <w:r w:rsidR="00C61B8D" w:rsidRPr="00D1096C">
        <w:rPr>
          <w:lang w:val="es-ES"/>
        </w:rPr>
        <w:t>bevacizumab</w:t>
      </w:r>
      <w:r w:rsidR="00C61B8D" w:rsidRPr="00443040" w:rsidDel="00C61B8D">
        <w:rPr>
          <w:color w:val="auto"/>
          <w:lang w:val="es-ES"/>
        </w:rPr>
        <w:t xml:space="preserve"> </w:t>
      </w:r>
      <w:r w:rsidRPr="00443040">
        <w:rPr>
          <w:color w:val="auto"/>
          <w:lang w:val="es-ES"/>
        </w:rPr>
        <w:t>(6,2%) y el de antraciclina + placebo (6,0%).</w:t>
      </w:r>
    </w:p>
    <w:p w14:paraId="4428A38B" w14:textId="77777777" w:rsidR="00FB24C0" w:rsidRPr="00443040" w:rsidRDefault="00FB24C0" w:rsidP="00FB24C0">
      <w:pPr>
        <w:spacing w:after="0" w:line="240" w:lineRule="auto"/>
        <w:ind w:left="0" w:firstLine="0"/>
        <w:rPr>
          <w:color w:val="auto"/>
          <w:lang w:val="es-ES"/>
        </w:rPr>
      </w:pPr>
    </w:p>
    <w:p w14:paraId="6616D992" w14:textId="77777777" w:rsidR="00FB24C0" w:rsidRPr="00443040" w:rsidRDefault="00FB24C0" w:rsidP="00FB24C0">
      <w:pPr>
        <w:spacing w:after="0" w:line="240" w:lineRule="auto"/>
        <w:ind w:left="0" w:firstLine="0"/>
        <w:rPr>
          <w:color w:val="auto"/>
          <w:lang w:val="es-ES"/>
        </w:rPr>
      </w:pPr>
      <w:r w:rsidRPr="00443040">
        <w:rPr>
          <w:color w:val="auto"/>
          <w:lang w:val="es-ES"/>
        </w:rPr>
        <w:t xml:space="preserve">Tras la terapia clínica apropiada, se observó una mejoría de los síntomas y/o de la función ventricular izquierda en la mayoría de los pacientes que desarrollaron ICC durante los ensayos en </w:t>
      </w:r>
      <w:proofErr w:type="spellStart"/>
      <w:r w:rsidRPr="00443040">
        <w:rPr>
          <w:color w:val="auto"/>
          <w:lang w:val="es-ES"/>
        </w:rPr>
        <w:t>CMm</w:t>
      </w:r>
      <w:proofErr w:type="spellEnd"/>
      <w:r w:rsidRPr="00443040">
        <w:rPr>
          <w:color w:val="auto"/>
          <w:lang w:val="es-ES"/>
        </w:rPr>
        <w:t>.</w:t>
      </w:r>
    </w:p>
    <w:p w14:paraId="15A59A39" w14:textId="77777777" w:rsidR="00FB24C0" w:rsidRPr="00443040" w:rsidRDefault="00FB24C0" w:rsidP="00FB24C0">
      <w:pPr>
        <w:spacing w:after="0" w:line="240" w:lineRule="auto"/>
        <w:ind w:left="0" w:firstLine="0"/>
        <w:rPr>
          <w:color w:val="auto"/>
          <w:lang w:val="es-ES"/>
        </w:rPr>
      </w:pPr>
    </w:p>
    <w:p w14:paraId="0D1A2A91" w14:textId="77777777" w:rsidR="00FB24C0" w:rsidRPr="00443040" w:rsidRDefault="00FB24C0" w:rsidP="00FB24C0">
      <w:pPr>
        <w:spacing w:after="0" w:line="240" w:lineRule="auto"/>
        <w:ind w:left="0" w:firstLine="0"/>
        <w:rPr>
          <w:color w:val="auto"/>
          <w:lang w:val="es-ES"/>
        </w:rPr>
      </w:pPr>
      <w:r w:rsidRPr="00443040">
        <w:rPr>
          <w:color w:val="auto"/>
          <w:lang w:val="es-ES"/>
        </w:rPr>
        <w:t xml:space="preserve">En la mayoría de los ensayos clínicos con </w:t>
      </w:r>
      <w:r w:rsidR="00C61B8D" w:rsidRPr="00D1096C">
        <w:rPr>
          <w:lang w:val="es-ES"/>
        </w:rPr>
        <w:t>bevacizumab</w:t>
      </w:r>
      <w:r w:rsidRPr="00443040">
        <w:rPr>
          <w:color w:val="auto"/>
          <w:lang w:val="es-ES"/>
        </w:rPr>
        <w:t xml:space="preserve">, se excluyeron los pacientes con ICC preexistente de grado II-IV de la NYHA (New York Heart </w:t>
      </w:r>
      <w:proofErr w:type="spellStart"/>
      <w:r w:rsidRPr="00443040">
        <w:rPr>
          <w:color w:val="auto"/>
          <w:lang w:val="es-ES"/>
        </w:rPr>
        <w:t>Association</w:t>
      </w:r>
      <w:proofErr w:type="spellEnd"/>
      <w:r w:rsidRPr="00443040">
        <w:rPr>
          <w:color w:val="auto"/>
          <w:lang w:val="es-ES"/>
        </w:rPr>
        <w:t>), por lo tanto, no se dispone de información relacionada con el riesgo de agravamiento de la ICC en esta población.</w:t>
      </w:r>
    </w:p>
    <w:p w14:paraId="3FDFB672" w14:textId="77777777" w:rsidR="00FB24C0" w:rsidRPr="00443040" w:rsidRDefault="00FB24C0" w:rsidP="00FB24C0">
      <w:pPr>
        <w:spacing w:after="0" w:line="240" w:lineRule="auto"/>
        <w:ind w:left="0" w:firstLine="0"/>
        <w:rPr>
          <w:color w:val="auto"/>
          <w:lang w:val="es-ES"/>
        </w:rPr>
      </w:pPr>
    </w:p>
    <w:p w14:paraId="04670EFB" w14:textId="77777777" w:rsidR="00FB24C0" w:rsidRPr="00443040" w:rsidRDefault="00FB24C0" w:rsidP="00FB24C0">
      <w:pPr>
        <w:spacing w:after="0" w:line="240" w:lineRule="auto"/>
        <w:ind w:left="0" w:firstLine="0"/>
        <w:rPr>
          <w:color w:val="auto"/>
          <w:lang w:val="es-ES"/>
        </w:rPr>
      </w:pPr>
      <w:r w:rsidRPr="00443040">
        <w:rPr>
          <w:color w:val="auto"/>
          <w:lang w:val="es-ES"/>
        </w:rPr>
        <w:t>La exposición previa a antraciclinas y/o la radiación previa sobre la pared torácica puede ser un posible factor de riesgo para el desarrollo de ICC.</w:t>
      </w:r>
    </w:p>
    <w:p w14:paraId="00B66551" w14:textId="77777777" w:rsidR="00FB24C0" w:rsidRPr="00443040" w:rsidRDefault="00FB24C0" w:rsidP="00FB24C0">
      <w:pPr>
        <w:spacing w:after="0" w:line="240" w:lineRule="auto"/>
        <w:ind w:left="0" w:firstLine="0"/>
        <w:rPr>
          <w:color w:val="auto"/>
          <w:lang w:val="es-ES"/>
        </w:rPr>
      </w:pPr>
    </w:p>
    <w:p w14:paraId="70597564" w14:textId="77777777" w:rsidR="00FB24C0" w:rsidRPr="00443040" w:rsidRDefault="00FB24C0" w:rsidP="00FB24C0">
      <w:pPr>
        <w:spacing w:after="0" w:line="240" w:lineRule="auto"/>
        <w:ind w:left="0" w:firstLine="0"/>
        <w:rPr>
          <w:color w:val="auto"/>
          <w:lang w:val="es-ES"/>
        </w:rPr>
      </w:pPr>
      <w:r w:rsidRPr="00443040">
        <w:rPr>
          <w:color w:val="auto"/>
          <w:lang w:val="es-ES"/>
        </w:rPr>
        <w:t>En un ensayo clínico de pacientes con linfoma difuso de células B grandes, se observó un incremento de la incidencia de ICC cuando recibieron bevacizumab con una dosis acumulada de doxorrubicina superior a 300 mg/m</w:t>
      </w:r>
      <w:r w:rsidR="0094370F" w:rsidRPr="0094370F">
        <w:rPr>
          <w:color w:val="auto"/>
          <w:vertAlign w:val="superscript"/>
          <w:lang w:val="es-ES"/>
        </w:rPr>
        <w:t>2</w:t>
      </w:r>
      <w:r w:rsidRPr="00443040">
        <w:rPr>
          <w:color w:val="auto"/>
          <w:lang w:val="es-ES"/>
        </w:rPr>
        <w:t xml:space="preserve">. Este ensayo clínico fase III comparó </w:t>
      </w:r>
      <w:proofErr w:type="spellStart"/>
      <w:r w:rsidRPr="00443040">
        <w:rPr>
          <w:color w:val="auto"/>
          <w:lang w:val="es-ES"/>
        </w:rPr>
        <w:t>rituximab</w:t>
      </w:r>
      <w:proofErr w:type="spellEnd"/>
      <w:r w:rsidRPr="00443040">
        <w:rPr>
          <w:color w:val="auto"/>
          <w:lang w:val="es-ES"/>
        </w:rPr>
        <w:t>/ ciclofosfamida/ doxorrubicina/ vincristina/ prednisona (R-CHOP) más bevacizumab con R-CHOP sin bevacizumab. Mientras que la incidencia de ICC fue, en ambos brazos, superior a la observada previamente para la terapia de doxorrubicina, la tasa fue mayor en el grupo de R-CHOP con bevacizumab. Estos resultados sugieren que se debería considerar una observación clínica estrecha con evaluaciones cardiológicas apropiadas en aquellos pacientes expuestos a dosis de doxorrubicina acumuladas mayores de 300 mg/m</w:t>
      </w:r>
      <w:r w:rsidR="0094370F" w:rsidRPr="0094370F">
        <w:rPr>
          <w:color w:val="auto"/>
          <w:vertAlign w:val="superscript"/>
          <w:lang w:val="es-ES"/>
        </w:rPr>
        <w:t>2</w:t>
      </w:r>
      <w:r w:rsidRPr="00443040">
        <w:rPr>
          <w:color w:val="auto"/>
          <w:lang w:val="es-ES"/>
        </w:rPr>
        <w:t xml:space="preserve"> cuando se combine con bevacizumab.</w:t>
      </w:r>
    </w:p>
    <w:p w14:paraId="32F97A89" w14:textId="77777777" w:rsidR="00FB24C0" w:rsidRPr="00443040" w:rsidRDefault="00FB24C0" w:rsidP="00FB24C0">
      <w:pPr>
        <w:spacing w:after="0" w:line="240" w:lineRule="auto"/>
        <w:ind w:left="0" w:firstLine="0"/>
        <w:rPr>
          <w:color w:val="auto"/>
          <w:lang w:val="es-ES"/>
        </w:rPr>
      </w:pPr>
    </w:p>
    <w:p w14:paraId="27DEACDE" w14:textId="0B74D331" w:rsidR="00FB24C0" w:rsidRDefault="00FB24C0" w:rsidP="0078275C">
      <w:pPr>
        <w:keepNext/>
        <w:spacing w:after="0" w:line="240" w:lineRule="auto"/>
        <w:ind w:left="0" w:firstLine="0"/>
        <w:rPr>
          <w:color w:val="auto"/>
          <w:u w:val="single"/>
          <w:lang w:val="es-ES"/>
        </w:rPr>
      </w:pPr>
      <w:r w:rsidRPr="0078275C">
        <w:rPr>
          <w:i/>
          <w:color w:val="auto"/>
          <w:u w:val="single"/>
          <w:lang w:val="es-ES"/>
        </w:rPr>
        <w:lastRenderedPageBreak/>
        <w:t>Reacciones de hipersensibilidad</w:t>
      </w:r>
      <w:r w:rsidR="00BE0ACF">
        <w:rPr>
          <w:i/>
          <w:color w:val="auto"/>
          <w:u w:val="single"/>
          <w:lang w:val="es-ES"/>
        </w:rPr>
        <w:t xml:space="preserve"> </w:t>
      </w:r>
      <w:r w:rsidR="00BE0ACF" w:rsidRPr="007C09D3">
        <w:rPr>
          <w:i/>
          <w:u w:val="single"/>
          <w:lang w:val="es-ES"/>
        </w:rPr>
        <w:t>(incluyendo shock anafiláctico)</w:t>
      </w:r>
      <w:r w:rsidRPr="0078275C">
        <w:rPr>
          <w:i/>
          <w:color w:val="auto"/>
          <w:u w:val="single"/>
          <w:lang w:val="es-ES"/>
        </w:rPr>
        <w:t xml:space="preserve"> / reacciones a la perfusión </w:t>
      </w:r>
      <w:r w:rsidRPr="0078275C">
        <w:rPr>
          <w:color w:val="auto"/>
          <w:u w:val="single"/>
          <w:lang w:val="es-ES"/>
        </w:rPr>
        <w:t xml:space="preserve">(ver sección 4.4 y </w:t>
      </w:r>
      <w:r w:rsidRPr="0078275C">
        <w:rPr>
          <w:i/>
          <w:color w:val="auto"/>
          <w:u w:val="single"/>
          <w:lang w:val="es-ES"/>
        </w:rPr>
        <w:t xml:space="preserve">Experiencia </w:t>
      </w:r>
      <w:proofErr w:type="spellStart"/>
      <w:r w:rsidRPr="0078275C">
        <w:rPr>
          <w:i/>
          <w:color w:val="auto"/>
          <w:u w:val="single"/>
          <w:lang w:val="es-ES"/>
        </w:rPr>
        <w:t>poscomercialización</w:t>
      </w:r>
      <w:proofErr w:type="spellEnd"/>
      <w:r w:rsidRPr="0078275C">
        <w:rPr>
          <w:color w:val="auto"/>
          <w:u w:val="single"/>
          <w:lang w:val="es-ES"/>
        </w:rPr>
        <w:t>)</w:t>
      </w:r>
    </w:p>
    <w:p w14:paraId="249A84FC" w14:textId="77777777" w:rsidR="0078275C" w:rsidRPr="0078275C" w:rsidRDefault="0078275C" w:rsidP="0078275C">
      <w:pPr>
        <w:keepNext/>
        <w:spacing w:after="0" w:line="240" w:lineRule="auto"/>
        <w:ind w:left="0" w:firstLine="0"/>
        <w:rPr>
          <w:i/>
          <w:color w:val="auto"/>
          <w:lang w:val="es-ES"/>
        </w:rPr>
      </w:pPr>
    </w:p>
    <w:p w14:paraId="56EC8433" w14:textId="77777777" w:rsidR="00FB24C0" w:rsidRPr="00443040" w:rsidRDefault="00FB24C0" w:rsidP="00FB24C0">
      <w:pPr>
        <w:spacing w:after="0" w:line="240" w:lineRule="auto"/>
        <w:ind w:left="0" w:firstLine="0"/>
        <w:rPr>
          <w:color w:val="auto"/>
          <w:lang w:val="es-ES"/>
        </w:rPr>
      </w:pPr>
      <w:r w:rsidRPr="00443040">
        <w:rPr>
          <w:color w:val="auto"/>
          <w:lang w:val="es-ES"/>
        </w:rPr>
        <w:t xml:space="preserve">En algunos ensayos clínicos, se notificaron reacciones anafilácticas y de tipo anafilactoide con mayor frecuencia en los pacientes que habían recibido </w:t>
      </w:r>
      <w:r w:rsidR="00C61B8D" w:rsidRPr="00D1096C">
        <w:rPr>
          <w:lang w:val="es-ES"/>
        </w:rPr>
        <w:t>bevacizumab</w:t>
      </w:r>
      <w:r w:rsidRPr="00443040">
        <w:rPr>
          <w:color w:val="auto"/>
          <w:lang w:val="es-ES"/>
        </w:rPr>
        <w:t xml:space="preserve"> en combinación con quimioterapia que en los que habían recibido quimioterapia sola. La incidencia de estas reacciones en algunos ensayos clínicos con </w:t>
      </w:r>
      <w:r w:rsidR="00C61B8D" w:rsidRPr="00D1096C">
        <w:rPr>
          <w:lang w:val="es-ES"/>
        </w:rPr>
        <w:t>bevacizumab</w:t>
      </w:r>
      <w:r w:rsidRPr="00443040">
        <w:rPr>
          <w:color w:val="auto"/>
          <w:lang w:val="es-ES"/>
        </w:rPr>
        <w:t xml:space="preserve"> es frecuente (hasta un 5% en los pacientes tratados con bevacizumab).</w:t>
      </w:r>
    </w:p>
    <w:p w14:paraId="4A986B66" w14:textId="77777777" w:rsidR="00FB24C0" w:rsidRPr="00443040" w:rsidRDefault="00FB24C0" w:rsidP="00FB24C0">
      <w:pPr>
        <w:spacing w:after="0" w:line="240" w:lineRule="auto"/>
        <w:ind w:left="0" w:firstLine="0"/>
        <w:rPr>
          <w:color w:val="auto"/>
          <w:lang w:val="es-ES"/>
        </w:rPr>
      </w:pPr>
    </w:p>
    <w:p w14:paraId="545CFDD9" w14:textId="77777777" w:rsidR="00FB24C0" w:rsidRDefault="00FB24C0" w:rsidP="006A7F87">
      <w:pPr>
        <w:spacing w:after="0" w:line="240" w:lineRule="auto"/>
        <w:ind w:left="0" w:firstLine="0"/>
        <w:rPr>
          <w:i/>
          <w:color w:val="auto"/>
          <w:u w:val="single"/>
          <w:lang w:val="es-ES"/>
        </w:rPr>
      </w:pPr>
      <w:r w:rsidRPr="006A7F87">
        <w:rPr>
          <w:i/>
          <w:color w:val="auto"/>
          <w:u w:val="single"/>
          <w:lang w:val="es-ES"/>
        </w:rPr>
        <w:t>Infecciones</w:t>
      </w:r>
    </w:p>
    <w:p w14:paraId="0E8346DA" w14:textId="77777777" w:rsidR="006A7F87" w:rsidRPr="006A7F87" w:rsidRDefault="006A7F87" w:rsidP="006A7F87">
      <w:pPr>
        <w:spacing w:after="0" w:line="240" w:lineRule="auto"/>
        <w:ind w:left="0" w:firstLine="0"/>
        <w:rPr>
          <w:color w:val="auto"/>
          <w:lang w:val="es-ES"/>
        </w:rPr>
      </w:pPr>
    </w:p>
    <w:p w14:paraId="5D41C494" w14:textId="77777777" w:rsidR="00FB24C0" w:rsidRPr="00443040" w:rsidRDefault="00FB24C0" w:rsidP="00FB24C0">
      <w:pPr>
        <w:spacing w:after="0" w:line="240" w:lineRule="auto"/>
        <w:ind w:left="0" w:firstLine="0"/>
        <w:rPr>
          <w:color w:val="auto"/>
          <w:lang w:val="es-ES"/>
        </w:rPr>
      </w:pPr>
      <w:r w:rsidRPr="00443040">
        <w:rPr>
          <w:color w:val="auto"/>
          <w:lang w:val="es-ES"/>
        </w:rPr>
        <w:t xml:space="preserve">Del ensayo clínico (GOG-0240) en pacientes con cáncer de cérvix persistente, recurrente o metastásico, se han notificado infecciones de grado 3-5 en hasta el 24% de los pacientes tratados con </w:t>
      </w:r>
      <w:r w:rsidR="00C61B8D" w:rsidRPr="00D1096C">
        <w:rPr>
          <w:lang w:val="es-ES"/>
        </w:rPr>
        <w:t>bevacizumab</w:t>
      </w:r>
      <w:r w:rsidRPr="00443040">
        <w:rPr>
          <w:color w:val="auto"/>
          <w:lang w:val="es-ES"/>
        </w:rPr>
        <w:t xml:space="preserve"> en combinación con </w:t>
      </w:r>
      <w:proofErr w:type="spellStart"/>
      <w:r w:rsidRPr="00443040">
        <w:rPr>
          <w:color w:val="auto"/>
          <w:lang w:val="es-ES"/>
        </w:rPr>
        <w:t>paclitaxel</w:t>
      </w:r>
      <w:proofErr w:type="spellEnd"/>
      <w:r w:rsidRPr="00443040">
        <w:rPr>
          <w:color w:val="auto"/>
          <w:lang w:val="es-ES"/>
        </w:rPr>
        <w:t xml:space="preserve"> y </w:t>
      </w:r>
      <w:proofErr w:type="spellStart"/>
      <w:r w:rsidRPr="00443040">
        <w:rPr>
          <w:color w:val="auto"/>
          <w:lang w:val="es-ES"/>
        </w:rPr>
        <w:t>topotecán</w:t>
      </w:r>
      <w:proofErr w:type="spellEnd"/>
      <w:r w:rsidRPr="00443040">
        <w:rPr>
          <w:color w:val="auto"/>
          <w:lang w:val="es-ES"/>
        </w:rPr>
        <w:t xml:space="preserve"> comparados con hasta el 13% de los pacientes tratados con </w:t>
      </w:r>
      <w:proofErr w:type="spellStart"/>
      <w:r w:rsidRPr="00443040">
        <w:rPr>
          <w:color w:val="auto"/>
          <w:lang w:val="es-ES"/>
        </w:rPr>
        <w:t>paclitaxel</w:t>
      </w:r>
      <w:proofErr w:type="spellEnd"/>
      <w:r w:rsidRPr="00443040">
        <w:rPr>
          <w:color w:val="auto"/>
          <w:lang w:val="es-ES"/>
        </w:rPr>
        <w:t xml:space="preserve"> y </w:t>
      </w:r>
      <w:proofErr w:type="spellStart"/>
      <w:r w:rsidRPr="00443040">
        <w:rPr>
          <w:color w:val="auto"/>
          <w:lang w:val="es-ES"/>
        </w:rPr>
        <w:t>topotecán</w:t>
      </w:r>
      <w:proofErr w:type="spellEnd"/>
      <w:r w:rsidRPr="00443040">
        <w:rPr>
          <w:color w:val="auto"/>
          <w:lang w:val="es-ES"/>
        </w:rPr>
        <w:t>.</w:t>
      </w:r>
    </w:p>
    <w:p w14:paraId="3F1F4220" w14:textId="77777777" w:rsidR="00FB24C0" w:rsidRPr="00443040" w:rsidRDefault="00FB24C0" w:rsidP="00FB24C0">
      <w:pPr>
        <w:spacing w:after="0" w:line="240" w:lineRule="auto"/>
        <w:ind w:left="0" w:firstLine="0"/>
        <w:rPr>
          <w:color w:val="auto"/>
          <w:lang w:val="es-ES"/>
        </w:rPr>
      </w:pPr>
    </w:p>
    <w:p w14:paraId="2D388FBB" w14:textId="77777777" w:rsidR="00FB24C0" w:rsidRPr="006A7F87" w:rsidRDefault="00FB24C0" w:rsidP="006A7F87">
      <w:pPr>
        <w:keepNext/>
        <w:spacing w:after="0" w:line="240" w:lineRule="auto"/>
        <w:ind w:left="0" w:firstLine="0"/>
        <w:rPr>
          <w:color w:val="auto"/>
          <w:u w:val="single"/>
          <w:lang w:val="es-ES"/>
        </w:rPr>
      </w:pPr>
      <w:r w:rsidRPr="006A7F87">
        <w:rPr>
          <w:i/>
          <w:color w:val="auto"/>
          <w:u w:val="single"/>
          <w:lang w:val="es-ES"/>
        </w:rPr>
        <w:t>Insuficiencia ovárica/fertilidad</w:t>
      </w:r>
      <w:r w:rsidRPr="006A7F87">
        <w:rPr>
          <w:color w:val="auto"/>
          <w:u w:val="single"/>
          <w:lang w:val="es-ES"/>
        </w:rPr>
        <w:t xml:space="preserve"> (ver secciones 4.4 y 4.6)</w:t>
      </w:r>
    </w:p>
    <w:p w14:paraId="6DEEC50F" w14:textId="77777777" w:rsidR="006A7F87" w:rsidRDefault="006A7F87" w:rsidP="006A7F87">
      <w:pPr>
        <w:keepNext/>
        <w:spacing w:after="0" w:line="240" w:lineRule="auto"/>
        <w:ind w:left="0" w:firstLine="0"/>
        <w:rPr>
          <w:color w:val="auto"/>
          <w:lang w:val="es-ES"/>
        </w:rPr>
      </w:pPr>
    </w:p>
    <w:p w14:paraId="7C0ABF44" w14:textId="6A45E4DF" w:rsidR="00FB24C0" w:rsidRPr="00443040" w:rsidRDefault="00FB24C0" w:rsidP="00FB24C0">
      <w:pPr>
        <w:spacing w:after="0" w:line="240" w:lineRule="auto"/>
        <w:ind w:left="0" w:firstLine="0"/>
        <w:rPr>
          <w:color w:val="auto"/>
          <w:lang w:val="es-ES"/>
        </w:rPr>
      </w:pPr>
      <w:r w:rsidRPr="00443040">
        <w:rPr>
          <w:color w:val="auto"/>
          <w:lang w:val="es-ES"/>
        </w:rPr>
        <w:t xml:space="preserve">En el ensayo NSABP C-08, fase III de </w:t>
      </w:r>
      <w:r w:rsidR="00C61B8D" w:rsidRPr="00D1096C">
        <w:rPr>
          <w:lang w:val="es-ES"/>
        </w:rPr>
        <w:t>bevacizumab</w:t>
      </w:r>
      <w:r w:rsidRPr="00443040">
        <w:rPr>
          <w:color w:val="auto"/>
          <w:lang w:val="es-ES"/>
        </w:rPr>
        <w:t xml:space="preserve"> en el tratamiento adyuvante de pacientes con cáncer de colon, se evaluó en 295 mujeres premenopáusicas la incidencia de nuevos casos de insuficiencia ovárica, definida como amenorrea de 3 o más meses, nivel de FSH ≥ 30</w:t>
      </w:r>
      <w:r w:rsidR="006A7F87">
        <w:rPr>
          <w:color w:val="auto"/>
          <w:lang w:val="es-ES"/>
        </w:rPr>
        <w:t> </w:t>
      </w:r>
      <w:proofErr w:type="spellStart"/>
      <w:r w:rsidRPr="00443040">
        <w:rPr>
          <w:color w:val="auto"/>
          <w:lang w:val="es-ES"/>
        </w:rPr>
        <w:t>mUI</w:t>
      </w:r>
      <w:proofErr w:type="spellEnd"/>
      <w:r w:rsidRPr="00443040">
        <w:rPr>
          <w:color w:val="auto"/>
          <w:lang w:val="es-ES"/>
        </w:rPr>
        <w:t>/m</w:t>
      </w:r>
      <w:r w:rsidR="00604559">
        <w:rPr>
          <w:color w:val="auto"/>
          <w:lang w:val="es-ES"/>
        </w:rPr>
        <w:t>l</w:t>
      </w:r>
      <w:r w:rsidRPr="00443040">
        <w:rPr>
          <w:color w:val="auto"/>
          <w:lang w:val="es-ES"/>
        </w:rPr>
        <w:t xml:space="preserve"> y un valor negativo de β-HCG para test de embarazo. Se notificaron nuevos casos de insuficiencia ovárica en un 2,6% de los pacientes del grupo mFOLFOX-6 en comparación con un 39% del grupo mF</w:t>
      </w:r>
      <w:r w:rsidR="00D07FAF">
        <w:rPr>
          <w:color w:val="auto"/>
          <w:lang w:val="es-ES"/>
        </w:rPr>
        <w:t>OLFOX</w:t>
      </w:r>
      <w:r w:rsidR="00D07FAF">
        <w:rPr>
          <w:color w:val="auto"/>
          <w:lang w:val="es-ES"/>
        </w:rPr>
        <w:noBreakHyphen/>
        <w:t>6 + </w:t>
      </w:r>
      <w:r w:rsidRPr="00443040">
        <w:rPr>
          <w:color w:val="auto"/>
          <w:lang w:val="es-ES"/>
        </w:rPr>
        <w:t>bevacizumab. En un 86,2% de estas mujeres evaluadas se recuperó la función ovárica tras la interrupción del tratamiento con bevacizumab. Se desconoce el efecto a largo plazo del tratamiento con bevacizumab en la fertilidad.</w:t>
      </w:r>
    </w:p>
    <w:p w14:paraId="4358866B" w14:textId="77777777" w:rsidR="00FB24C0" w:rsidRPr="00443040" w:rsidRDefault="00FB24C0" w:rsidP="00FB24C0">
      <w:pPr>
        <w:spacing w:after="0" w:line="240" w:lineRule="auto"/>
        <w:ind w:left="0" w:firstLine="0"/>
        <w:rPr>
          <w:color w:val="auto"/>
          <w:lang w:val="es-ES"/>
        </w:rPr>
      </w:pPr>
    </w:p>
    <w:p w14:paraId="3629944F" w14:textId="77777777" w:rsidR="00FB24C0" w:rsidRPr="00DF5E1B" w:rsidRDefault="00FB24C0" w:rsidP="006A7F87">
      <w:pPr>
        <w:keepNext/>
        <w:spacing w:after="0" w:line="240" w:lineRule="auto"/>
        <w:ind w:left="0" w:firstLine="0"/>
        <w:rPr>
          <w:i/>
          <w:color w:val="auto"/>
          <w:u w:val="single"/>
          <w:lang w:val="es-ES"/>
        </w:rPr>
      </w:pPr>
      <w:r w:rsidRPr="00DF5E1B">
        <w:rPr>
          <w:i/>
          <w:color w:val="auto"/>
          <w:u w:val="single"/>
          <w:lang w:val="es-ES"/>
        </w:rPr>
        <w:t>Anomalías de laboratorio</w:t>
      </w:r>
    </w:p>
    <w:p w14:paraId="742B6194" w14:textId="77777777" w:rsidR="006A7F87" w:rsidRPr="00DF5E1B" w:rsidRDefault="006A7F87" w:rsidP="006A7F87">
      <w:pPr>
        <w:keepNext/>
        <w:spacing w:after="0" w:line="240" w:lineRule="auto"/>
        <w:ind w:left="0" w:firstLine="0"/>
        <w:rPr>
          <w:color w:val="auto"/>
          <w:lang w:val="es-ES"/>
        </w:rPr>
      </w:pPr>
    </w:p>
    <w:p w14:paraId="3F4B6486" w14:textId="77777777" w:rsidR="00FB24C0" w:rsidRPr="00DF5E1B" w:rsidRDefault="00FB24C0" w:rsidP="00FB24C0">
      <w:pPr>
        <w:spacing w:after="0" w:line="240" w:lineRule="auto"/>
        <w:ind w:left="0" w:firstLine="0"/>
        <w:rPr>
          <w:color w:val="auto"/>
          <w:lang w:val="es-ES"/>
        </w:rPr>
      </w:pPr>
      <w:r w:rsidRPr="00DF5E1B">
        <w:rPr>
          <w:color w:val="auto"/>
          <w:lang w:val="es-ES"/>
        </w:rPr>
        <w:t xml:space="preserve">La disminución del recuento de neutrófilos, la disminución del recuento de glóbulos blancos y la presencia de proteínas en la orina pueden estar asociadas con el tratamiento con </w:t>
      </w:r>
      <w:r w:rsidR="00AA71D6">
        <w:rPr>
          <w:color w:val="auto"/>
          <w:lang w:val="es-ES"/>
        </w:rPr>
        <w:t>MVASI</w:t>
      </w:r>
      <w:r w:rsidRPr="00DF5E1B">
        <w:rPr>
          <w:color w:val="auto"/>
          <w:lang w:val="es-ES"/>
        </w:rPr>
        <w:t>.</w:t>
      </w:r>
    </w:p>
    <w:p w14:paraId="4A5C48F6" w14:textId="77777777" w:rsidR="00FB24C0" w:rsidRPr="00DF5E1B" w:rsidRDefault="00FB24C0" w:rsidP="00FB24C0">
      <w:pPr>
        <w:spacing w:after="0" w:line="240" w:lineRule="auto"/>
        <w:ind w:left="0" w:firstLine="0"/>
        <w:rPr>
          <w:color w:val="auto"/>
          <w:lang w:val="es-ES"/>
        </w:rPr>
      </w:pPr>
    </w:p>
    <w:p w14:paraId="5167EEDE" w14:textId="77777777" w:rsidR="00FB24C0" w:rsidRDefault="00FB24C0" w:rsidP="00FB24C0">
      <w:pPr>
        <w:spacing w:after="0" w:line="240" w:lineRule="auto"/>
        <w:ind w:left="0" w:firstLine="0"/>
        <w:rPr>
          <w:color w:val="auto"/>
          <w:lang w:val="es-ES"/>
        </w:rPr>
      </w:pPr>
      <w:r w:rsidRPr="00DF5E1B">
        <w:rPr>
          <w:color w:val="auto"/>
          <w:lang w:val="es-ES"/>
        </w:rPr>
        <w:t xml:space="preserve">A través de los ensayos clínicos, en pacientes tratados con </w:t>
      </w:r>
      <w:r w:rsidR="00C61B8D" w:rsidRPr="00D1096C">
        <w:rPr>
          <w:lang w:val="es-ES"/>
        </w:rPr>
        <w:t>bevacizumab</w:t>
      </w:r>
      <w:r w:rsidRPr="00DF5E1B">
        <w:rPr>
          <w:color w:val="auto"/>
          <w:lang w:val="es-ES"/>
        </w:rPr>
        <w:t>, aparecieron anomalías de laboratorio de Grado 3 y 4 (NCI-CTCAE v.3) con al menos un 2% de diferencia en comparación con los grupos control correspondientes: hiperglucemia, disminución de la hemoglobina, hipopotasemia, hiponatremia, disminución del recuento de glóbulos blancos, aumento de la razón normalizada internacional (INR).</w:t>
      </w:r>
    </w:p>
    <w:p w14:paraId="1B438AE6" w14:textId="77777777" w:rsidR="0007490E" w:rsidRDefault="0007490E" w:rsidP="00FB24C0">
      <w:pPr>
        <w:spacing w:after="0" w:line="240" w:lineRule="auto"/>
        <w:ind w:left="0" w:firstLine="0"/>
        <w:rPr>
          <w:color w:val="auto"/>
          <w:lang w:val="es-ES"/>
        </w:rPr>
      </w:pPr>
    </w:p>
    <w:p w14:paraId="093461A4" w14:textId="454B715C" w:rsidR="0007490E" w:rsidRPr="00DF5E1B" w:rsidRDefault="0007490E" w:rsidP="00FB24C0">
      <w:pPr>
        <w:spacing w:after="0" w:line="240" w:lineRule="auto"/>
        <w:ind w:left="0" w:firstLine="0"/>
        <w:rPr>
          <w:color w:val="auto"/>
          <w:lang w:val="es-ES"/>
        </w:rPr>
      </w:pPr>
      <w:r w:rsidRPr="0007490E">
        <w:rPr>
          <w:color w:val="auto"/>
          <w:lang w:val="es-ES"/>
        </w:rPr>
        <w:t>Ensayos clínicos han mostrado un aumento transitorio de creatinina sérica (comprendidas entre 1,5</w:t>
      </w:r>
      <w:r w:rsidR="00154B83">
        <w:rPr>
          <w:color w:val="auto"/>
          <w:lang w:val="es-ES"/>
        </w:rPr>
        <w:t> </w:t>
      </w:r>
      <w:r w:rsidRPr="0007490E">
        <w:rPr>
          <w:color w:val="auto"/>
          <w:lang w:val="es-ES"/>
        </w:rPr>
        <w:t>–</w:t>
      </w:r>
      <w:r w:rsidR="00B564B5">
        <w:rPr>
          <w:color w:val="auto"/>
          <w:lang w:val="es-ES"/>
        </w:rPr>
        <w:t> </w:t>
      </w:r>
      <w:r w:rsidRPr="0007490E">
        <w:rPr>
          <w:color w:val="auto"/>
          <w:lang w:val="es-ES"/>
        </w:rPr>
        <w:t>1,9 veces respecto al nivel bas</w:t>
      </w:r>
      <w:r w:rsidR="00B0609E">
        <w:rPr>
          <w:color w:val="auto"/>
          <w:lang w:val="es-ES"/>
        </w:rPr>
        <w:t>al</w:t>
      </w:r>
      <w:r w:rsidRPr="0007490E">
        <w:rPr>
          <w:color w:val="auto"/>
          <w:lang w:val="es-ES"/>
        </w:rPr>
        <w:t xml:space="preserve">), ambos con y sin proteinuria, asociados </w:t>
      </w:r>
      <w:r w:rsidR="00B0609E">
        <w:rPr>
          <w:color w:val="auto"/>
          <w:lang w:val="es-ES"/>
        </w:rPr>
        <w:t>a</w:t>
      </w:r>
      <w:r w:rsidRPr="0007490E">
        <w:rPr>
          <w:color w:val="auto"/>
          <w:lang w:val="es-ES"/>
        </w:rPr>
        <w:t xml:space="preserve">l uso de bevacizumab. </w:t>
      </w:r>
      <w:r w:rsidR="00B0609E">
        <w:rPr>
          <w:color w:val="auto"/>
          <w:lang w:val="es-ES"/>
        </w:rPr>
        <w:t>E</w:t>
      </w:r>
      <w:r w:rsidR="00B0609E" w:rsidRPr="0007490E">
        <w:rPr>
          <w:color w:val="auto"/>
          <w:lang w:val="es-ES"/>
        </w:rPr>
        <w:t>n pacientes tratados con bevacizumab</w:t>
      </w:r>
      <w:r w:rsidR="00B0609E">
        <w:rPr>
          <w:color w:val="auto"/>
          <w:lang w:val="es-ES"/>
        </w:rPr>
        <w:t>,</w:t>
      </w:r>
      <w:r w:rsidR="00B0609E" w:rsidRPr="0007490E">
        <w:rPr>
          <w:color w:val="auto"/>
          <w:lang w:val="es-ES"/>
        </w:rPr>
        <w:t xml:space="preserve"> </w:t>
      </w:r>
      <w:r w:rsidR="00B0609E">
        <w:rPr>
          <w:color w:val="auto"/>
          <w:lang w:val="es-ES"/>
        </w:rPr>
        <w:t>e</w:t>
      </w:r>
      <w:r w:rsidRPr="0007490E">
        <w:rPr>
          <w:color w:val="auto"/>
          <w:lang w:val="es-ES"/>
        </w:rPr>
        <w:t xml:space="preserve">l aumento observado en la creatinina sérica no estuvo asociada </w:t>
      </w:r>
      <w:r w:rsidR="00B0609E">
        <w:rPr>
          <w:color w:val="auto"/>
          <w:lang w:val="es-ES"/>
        </w:rPr>
        <w:t xml:space="preserve">a </w:t>
      </w:r>
      <w:r w:rsidRPr="0007490E">
        <w:rPr>
          <w:color w:val="auto"/>
          <w:lang w:val="es-ES"/>
        </w:rPr>
        <w:t xml:space="preserve">una </w:t>
      </w:r>
      <w:r w:rsidR="00B0609E">
        <w:rPr>
          <w:color w:val="auto"/>
          <w:lang w:val="es-ES"/>
        </w:rPr>
        <w:t xml:space="preserve">mayor </w:t>
      </w:r>
      <w:r w:rsidRPr="0007490E">
        <w:rPr>
          <w:color w:val="auto"/>
          <w:lang w:val="es-ES"/>
        </w:rPr>
        <w:t xml:space="preserve">incidencia </w:t>
      </w:r>
      <w:r w:rsidR="00B0609E">
        <w:rPr>
          <w:color w:val="auto"/>
          <w:lang w:val="es-ES"/>
        </w:rPr>
        <w:t>d</w:t>
      </w:r>
      <w:r w:rsidRPr="0007490E">
        <w:rPr>
          <w:color w:val="auto"/>
          <w:lang w:val="es-ES"/>
        </w:rPr>
        <w:t xml:space="preserve">e manifestaciones clínicas de </w:t>
      </w:r>
      <w:r w:rsidR="00B0609E">
        <w:rPr>
          <w:color w:val="auto"/>
          <w:lang w:val="es-ES"/>
        </w:rPr>
        <w:t xml:space="preserve">la </w:t>
      </w:r>
      <w:r w:rsidR="00B0609E" w:rsidRPr="00B0609E">
        <w:rPr>
          <w:color w:val="auto"/>
          <w:lang w:val="es-ES"/>
        </w:rPr>
        <w:t>insuficiencia renal</w:t>
      </w:r>
      <w:r w:rsidRPr="0007490E">
        <w:rPr>
          <w:color w:val="auto"/>
          <w:lang w:val="es-ES"/>
        </w:rPr>
        <w:t>.</w:t>
      </w:r>
    </w:p>
    <w:p w14:paraId="39927A04" w14:textId="77777777" w:rsidR="00FB24C0" w:rsidRPr="00DF5E1B" w:rsidRDefault="00FB24C0" w:rsidP="00FB24C0">
      <w:pPr>
        <w:spacing w:after="0" w:line="240" w:lineRule="auto"/>
        <w:ind w:left="0" w:firstLine="0"/>
        <w:rPr>
          <w:color w:val="auto"/>
          <w:lang w:val="es-ES"/>
        </w:rPr>
      </w:pPr>
    </w:p>
    <w:p w14:paraId="435FB016" w14:textId="77777777" w:rsidR="00FB24C0" w:rsidRPr="00DF5E1B" w:rsidRDefault="00FB24C0" w:rsidP="00FB24C0">
      <w:pPr>
        <w:keepNext/>
        <w:spacing w:after="0" w:line="240" w:lineRule="auto"/>
        <w:ind w:left="0" w:firstLine="0"/>
        <w:rPr>
          <w:color w:val="auto"/>
          <w:u w:val="single"/>
          <w:lang w:val="es-ES"/>
        </w:rPr>
      </w:pPr>
      <w:r w:rsidRPr="00DF5E1B">
        <w:rPr>
          <w:color w:val="auto"/>
          <w:u w:val="single"/>
          <w:lang w:val="es-ES"/>
        </w:rPr>
        <w:t>Otras poblaciones especiales</w:t>
      </w:r>
    </w:p>
    <w:p w14:paraId="48F32484" w14:textId="77777777" w:rsidR="00FB24C0" w:rsidRPr="00DF5E1B" w:rsidRDefault="00FB24C0" w:rsidP="00FB24C0">
      <w:pPr>
        <w:keepNext/>
        <w:spacing w:after="0" w:line="240" w:lineRule="auto"/>
        <w:ind w:left="0" w:firstLine="0"/>
        <w:rPr>
          <w:color w:val="auto"/>
          <w:lang w:val="es-ES"/>
        </w:rPr>
      </w:pPr>
    </w:p>
    <w:p w14:paraId="32CCC4B4" w14:textId="77777777" w:rsidR="00FB24C0" w:rsidRPr="00D1096C" w:rsidRDefault="00FB24C0" w:rsidP="006A7F87">
      <w:pPr>
        <w:keepNext/>
        <w:spacing w:after="0" w:line="240" w:lineRule="auto"/>
        <w:ind w:left="0" w:firstLine="0"/>
        <w:rPr>
          <w:i/>
          <w:color w:val="auto"/>
          <w:u w:val="single"/>
          <w:lang w:val="es-ES"/>
        </w:rPr>
      </w:pPr>
      <w:r w:rsidRPr="00D1096C">
        <w:rPr>
          <w:i/>
          <w:color w:val="auto"/>
          <w:u w:val="single"/>
          <w:lang w:val="es-ES"/>
        </w:rPr>
        <w:t>Pacientes de edad avanzada</w:t>
      </w:r>
    </w:p>
    <w:p w14:paraId="74A304AE" w14:textId="77777777" w:rsidR="006A7F87" w:rsidRPr="00DF5E1B" w:rsidRDefault="006A7F87" w:rsidP="006A7F87">
      <w:pPr>
        <w:keepNext/>
        <w:spacing w:after="0" w:line="240" w:lineRule="auto"/>
        <w:ind w:left="0" w:firstLine="0"/>
        <w:rPr>
          <w:color w:val="auto"/>
          <w:lang w:val="es-ES"/>
        </w:rPr>
      </w:pPr>
    </w:p>
    <w:p w14:paraId="2CF77881" w14:textId="77777777" w:rsidR="00FB24C0" w:rsidRPr="00DF5E1B" w:rsidRDefault="00FB24C0" w:rsidP="00FB24C0">
      <w:pPr>
        <w:spacing w:after="0" w:line="240" w:lineRule="auto"/>
        <w:ind w:left="0" w:firstLine="0"/>
        <w:rPr>
          <w:color w:val="auto"/>
          <w:lang w:val="es-ES"/>
        </w:rPr>
      </w:pPr>
      <w:r w:rsidRPr="00DF5E1B">
        <w:rPr>
          <w:color w:val="auto"/>
          <w:lang w:val="es-ES"/>
        </w:rPr>
        <w:t xml:space="preserve">En los ensayos clínicos aleatorizados, la edad &gt; 65 años estaba asociada con un aumento del riesgo de reacciones tromboembólicas arteriales incluyendo accidentes cerebrovasculares, ataques isquémicos transitorios e infartos de miocardio. Otras reacciones durante el tratamiento con </w:t>
      </w:r>
      <w:r w:rsidR="00442B42" w:rsidRPr="00D1096C">
        <w:rPr>
          <w:lang w:val="es-ES"/>
        </w:rPr>
        <w:t>bevacizumab</w:t>
      </w:r>
      <w:r w:rsidRPr="00DF5E1B">
        <w:rPr>
          <w:color w:val="auto"/>
          <w:lang w:val="es-ES"/>
        </w:rPr>
        <w:t xml:space="preserve"> que se observaron con una mayor frecuencia en pacientes mayores de 65 años fueron leucopenia y trombocitopenia de Grado 3-4 (NCI-CTCAE v.3); y neutropenia, diarrea, náuseas, cefalea y fatiga de todos los grados en comparación con los de edad ≤ 65 años (</w:t>
      </w:r>
      <w:r w:rsidRPr="00DF5E1B">
        <w:rPr>
          <w:i/>
          <w:color w:val="auto"/>
          <w:lang w:val="es-ES"/>
        </w:rPr>
        <w:t xml:space="preserve">Tromboembolismo, </w:t>
      </w:r>
      <w:r w:rsidRPr="00DF5E1B">
        <w:rPr>
          <w:color w:val="auto"/>
          <w:lang w:val="es-ES"/>
        </w:rPr>
        <w:t>ver secciones 4.4 y 4.8). En un ensayo clínico, la incidencia de hipertensión de grado ≥ 3 fue do</w:t>
      </w:r>
      <w:r w:rsidR="00DB6D52">
        <w:rPr>
          <w:color w:val="auto"/>
          <w:lang w:val="es-ES"/>
        </w:rPr>
        <w:t>s veces más alta en pacientes &gt; </w:t>
      </w:r>
      <w:r w:rsidRPr="00DF5E1B">
        <w:rPr>
          <w:color w:val="auto"/>
          <w:lang w:val="es-ES"/>
        </w:rPr>
        <w:t xml:space="preserve">65 años que en el grupo más joven (&lt; 65 años). En un ensayo de pacientes con cáncer de ovario recurrente resistente a platino, fueron también notificadas alopecia, inflamación de las mucosas, neuropatía sensorial periférica, proteinuria e hipertensión y aparecieron con una tasa de al menos un </w:t>
      </w:r>
      <w:r w:rsidRPr="00DF5E1B">
        <w:rPr>
          <w:color w:val="auto"/>
          <w:lang w:val="es-ES"/>
        </w:rPr>
        <w:lastRenderedPageBreak/>
        <w:t>5% superior en el brazo QT</w:t>
      </w:r>
      <w:r w:rsidR="00230903">
        <w:rPr>
          <w:color w:val="auto"/>
          <w:lang w:val="es-ES"/>
        </w:rPr>
        <w:t xml:space="preserve"> </w:t>
      </w:r>
      <w:r w:rsidRPr="00DF5E1B">
        <w:rPr>
          <w:color w:val="auto"/>
          <w:lang w:val="es-ES"/>
        </w:rPr>
        <w:t>+</w:t>
      </w:r>
      <w:r w:rsidR="00230903">
        <w:rPr>
          <w:color w:val="auto"/>
          <w:lang w:val="es-ES"/>
        </w:rPr>
        <w:t xml:space="preserve"> </w:t>
      </w:r>
      <w:r w:rsidRPr="00DF5E1B">
        <w:rPr>
          <w:color w:val="auto"/>
          <w:lang w:val="es-ES"/>
        </w:rPr>
        <w:t>BV para pacientes tratados con bevacizumab ≥ 65 años en comparación con pacientes tratados con bevacizumab &lt; 65 años.</w:t>
      </w:r>
    </w:p>
    <w:p w14:paraId="2CD6B8EB" w14:textId="77777777" w:rsidR="00FB24C0" w:rsidRPr="00DF5E1B" w:rsidRDefault="00FB24C0" w:rsidP="00FB24C0">
      <w:pPr>
        <w:spacing w:after="0" w:line="240" w:lineRule="auto"/>
        <w:ind w:left="0" w:firstLine="0"/>
        <w:rPr>
          <w:color w:val="auto"/>
          <w:lang w:val="es-ES"/>
        </w:rPr>
      </w:pPr>
    </w:p>
    <w:p w14:paraId="4480D0DC" w14:textId="77777777" w:rsidR="00FB24C0" w:rsidRPr="00DF5E1B" w:rsidRDefault="00FB24C0" w:rsidP="00FB24C0">
      <w:pPr>
        <w:spacing w:after="0" w:line="240" w:lineRule="auto"/>
        <w:ind w:left="0" w:firstLine="0"/>
        <w:rPr>
          <w:color w:val="auto"/>
          <w:lang w:val="es-ES"/>
        </w:rPr>
      </w:pPr>
      <w:r w:rsidRPr="00DF5E1B">
        <w:rPr>
          <w:color w:val="auto"/>
          <w:lang w:val="es-ES"/>
        </w:rPr>
        <w:t>No se observó un aumento en la incidencia de otras reacciones, incluyendo perforación</w:t>
      </w:r>
      <w:r w:rsidR="006A7F87" w:rsidRPr="00DF5E1B">
        <w:rPr>
          <w:color w:val="auto"/>
          <w:lang w:val="es-ES"/>
        </w:rPr>
        <w:t xml:space="preserve"> </w:t>
      </w:r>
      <w:r w:rsidRPr="00DF5E1B">
        <w:rPr>
          <w:color w:val="auto"/>
          <w:lang w:val="es-ES"/>
        </w:rPr>
        <w:t xml:space="preserve">gastrointestinal, complicaciones en la cicatrización, insuficiencia cardíaca congestiva y hemorragia, en los pacientes de edad avanzada (&gt; 65 años) tratados con </w:t>
      </w:r>
      <w:r w:rsidR="00442B42" w:rsidRPr="00D1096C">
        <w:rPr>
          <w:lang w:val="es-ES"/>
        </w:rPr>
        <w:t>bevacizumab</w:t>
      </w:r>
      <w:r w:rsidRPr="00DF5E1B">
        <w:rPr>
          <w:color w:val="auto"/>
          <w:lang w:val="es-ES"/>
        </w:rPr>
        <w:t xml:space="preserve"> en comparación con los pacientes ≤ 65 años tratados con </w:t>
      </w:r>
      <w:r w:rsidR="00442B42" w:rsidRPr="00D1096C">
        <w:rPr>
          <w:lang w:val="es-ES"/>
        </w:rPr>
        <w:t>bevacizumab</w:t>
      </w:r>
      <w:r w:rsidRPr="00DF5E1B">
        <w:rPr>
          <w:color w:val="auto"/>
          <w:lang w:val="es-ES"/>
        </w:rPr>
        <w:t>.</w:t>
      </w:r>
    </w:p>
    <w:p w14:paraId="1CD95853" w14:textId="77777777" w:rsidR="00FB24C0" w:rsidRPr="00DF5E1B" w:rsidRDefault="00FB24C0" w:rsidP="00FB24C0">
      <w:pPr>
        <w:spacing w:after="0" w:line="240" w:lineRule="auto"/>
        <w:ind w:left="0" w:firstLine="0"/>
        <w:rPr>
          <w:color w:val="auto"/>
          <w:lang w:val="es-ES"/>
        </w:rPr>
      </w:pPr>
    </w:p>
    <w:p w14:paraId="591E17CE" w14:textId="77777777" w:rsidR="00FB24C0" w:rsidRPr="00DF5E1B" w:rsidRDefault="00FB24C0" w:rsidP="006A7F87">
      <w:pPr>
        <w:keepNext/>
        <w:spacing w:after="0" w:line="240" w:lineRule="auto"/>
        <w:ind w:left="0" w:firstLine="0"/>
        <w:rPr>
          <w:i/>
          <w:color w:val="auto"/>
          <w:u w:val="single"/>
          <w:lang w:val="es-ES"/>
        </w:rPr>
      </w:pPr>
      <w:r w:rsidRPr="00DF5E1B">
        <w:rPr>
          <w:i/>
          <w:color w:val="auto"/>
          <w:u w:val="single"/>
          <w:lang w:val="es-ES"/>
        </w:rPr>
        <w:t>Población pediátrica</w:t>
      </w:r>
    </w:p>
    <w:p w14:paraId="728427C1" w14:textId="77777777" w:rsidR="006A7F87" w:rsidRPr="00DF5E1B" w:rsidRDefault="006A7F87" w:rsidP="006A7F87">
      <w:pPr>
        <w:keepNext/>
        <w:spacing w:after="0" w:line="240" w:lineRule="auto"/>
        <w:ind w:left="0" w:firstLine="0"/>
        <w:rPr>
          <w:color w:val="auto"/>
          <w:lang w:val="es-ES"/>
        </w:rPr>
      </w:pPr>
    </w:p>
    <w:p w14:paraId="52F602DC" w14:textId="77777777" w:rsidR="00FB24C0" w:rsidRPr="00DF5E1B" w:rsidRDefault="00FB24C0" w:rsidP="00FB24C0">
      <w:pPr>
        <w:spacing w:after="0" w:line="240" w:lineRule="auto"/>
        <w:ind w:left="0" w:firstLine="0"/>
        <w:rPr>
          <w:color w:val="auto"/>
          <w:lang w:val="es-ES"/>
        </w:rPr>
      </w:pPr>
      <w:r w:rsidRPr="00DF5E1B">
        <w:rPr>
          <w:color w:val="auto"/>
          <w:lang w:val="es-ES"/>
        </w:rPr>
        <w:t xml:space="preserve">No se ha establecido la seguridad y eficacia de </w:t>
      </w:r>
      <w:r w:rsidR="00442B42" w:rsidRPr="00D1096C">
        <w:rPr>
          <w:lang w:val="es-ES"/>
        </w:rPr>
        <w:t>bevacizumab</w:t>
      </w:r>
      <w:r w:rsidRPr="00DF5E1B">
        <w:rPr>
          <w:color w:val="auto"/>
          <w:lang w:val="es-ES"/>
        </w:rPr>
        <w:t xml:space="preserve"> en niños menores de 18 años.</w:t>
      </w:r>
    </w:p>
    <w:p w14:paraId="42D8938E" w14:textId="77777777" w:rsidR="00FB24C0" w:rsidRPr="00DF5E1B" w:rsidRDefault="00FB24C0" w:rsidP="00FB24C0">
      <w:pPr>
        <w:spacing w:after="0" w:line="240" w:lineRule="auto"/>
        <w:ind w:left="0" w:firstLine="0"/>
        <w:rPr>
          <w:color w:val="auto"/>
          <w:lang w:val="es-ES"/>
        </w:rPr>
      </w:pPr>
    </w:p>
    <w:p w14:paraId="09A17C11" w14:textId="77777777" w:rsidR="00FB24C0" w:rsidRPr="00DF5E1B" w:rsidRDefault="00FB24C0" w:rsidP="00FB24C0">
      <w:pPr>
        <w:spacing w:after="0" w:line="240" w:lineRule="auto"/>
        <w:ind w:left="0" w:firstLine="0"/>
        <w:rPr>
          <w:color w:val="auto"/>
          <w:lang w:val="es-ES"/>
        </w:rPr>
      </w:pPr>
      <w:r w:rsidRPr="00DF5E1B">
        <w:rPr>
          <w:color w:val="auto"/>
          <w:lang w:val="es-ES"/>
        </w:rPr>
        <w:t xml:space="preserve">En el estudio BO25041 de </w:t>
      </w:r>
      <w:r w:rsidR="00442B42" w:rsidRPr="00D1096C">
        <w:rPr>
          <w:lang w:val="es-ES"/>
        </w:rPr>
        <w:t>bevacizumab</w:t>
      </w:r>
      <w:r w:rsidRPr="00DF5E1B">
        <w:rPr>
          <w:color w:val="auto"/>
          <w:lang w:val="es-ES"/>
        </w:rPr>
        <w:t xml:space="preserve"> añadido a radioterapia (RT) posoperatoria con </w:t>
      </w:r>
      <w:proofErr w:type="spellStart"/>
      <w:r w:rsidRPr="00DF5E1B">
        <w:rPr>
          <w:color w:val="auto"/>
          <w:lang w:val="es-ES"/>
        </w:rPr>
        <w:t>temozolomida</w:t>
      </w:r>
      <w:proofErr w:type="spellEnd"/>
      <w:r w:rsidRPr="00DF5E1B">
        <w:rPr>
          <w:color w:val="auto"/>
          <w:lang w:val="es-ES"/>
        </w:rPr>
        <w:t xml:space="preserve"> concomitante y adyuvante en pacientes pediátricos con glioma supratentorial, infratentorial, cerebeloso o peduncular de alto grado recién diagnosticado, el perfil de seguridad fue comparable con el observado en otros tipos de tumores en adultos tratados con </w:t>
      </w:r>
      <w:r w:rsidR="00442B42" w:rsidRPr="00D1096C">
        <w:rPr>
          <w:lang w:val="es-ES"/>
        </w:rPr>
        <w:t>bevacizumab</w:t>
      </w:r>
      <w:r w:rsidRPr="00DF5E1B">
        <w:rPr>
          <w:color w:val="auto"/>
          <w:lang w:val="es-ES"/>
        </w:rPr>
        <w:t>.</w:t>
      </w:r>
    </w:p>
    <w:p w14:paraId="1321449C" w14:textId="77777777" w:rsidR="00FB24C0" w:rsidRPr="00DF5E1B" w:rsidRDefault="00FB24C0" w:rsidP="00FB24C0">
      <w:pPr>
        <w:spacing w:after="0" w:line="240" w:lineRule="auto"/>
        <w:ind w:left="0" w:firstLine="0"/>
        <w:rPr>
          <w:color w:val="auto"/>
          <w:lang w:val="es-ES"/>
        </w:rPr>
      </w:pPr>
    </w:p>
    <w:p w14:paraId="7E51E37E" w14:textId="77777777" w:rsidR="00FB24C0" w:rsidRPr="00DF5E1B" w:rsidRDefault="00FB24C0" w:rsidP="00FB24C0">
      <w:pPr>
        <w:spacing w:after="0" w:line="240" w:lineRule="auto"/>
        <w:ind w:left="0" w:firstLine="0"/>
        <w:rPr>
          <w:color w:val="auto"/>
          <w:lang w:val="es-ES"/>
        </w:rPr>
      </w:pPr>
      <w:r w:rsidRPr="00DF5E1B">
        <w:rPr>
          <w:color w:val="auto"/>
          <w:lang w:val="es-ES"/>
        </w:rPr>
        <w:t xml:space="preserve">En el estudio BO20924 de </w:t>
      </w:r>
      <w:r w:rsidR="00442B42" w:rsidRPr="00D1096C">
        <w:rPr>
          <w:lang w:val="es-ES"/>
        </w:rPr>
        <w:t>bevacizumab</w:t>
      </w:r>
      <w:r w:rsidRPr="00DF5E1B">
        <w:rPr>
          <w:color w:val="auto"/>
          <w:lang w:val="es-ES"/>
        </w:rPr>
        <w:t xml:space="preserve"> con el tratamiento estándar para sarcoma metastásico de tejidos blandos, rabdomiosarcoma y no-rabdomiosarcoma, el perfil de seguridad de los niños tratados con </w:t>
      </w:r>
      <w:r w:rsidR="00442B42" w:rsidRPr="00D1096C">
        <w:rPr>
          <w:lang w:val="es-ES"/>
        </w:rPr>
        <w:t>bevacizumab</w:t>
      </w:r>
      <w:r w:rsidRPr="00DF5E1B">
        <w:rPr>
          <w:color w:val="auto"/>
          <w:lang w:val="es-ES"/>
        </w:rPr>
        <w:t xml:space="preserve"> fue comparable con el observado en los adultos tratados con </w:t>
      </w:r>
      <w:r w:rsidR="008A31EF" w:rsidRPr="00D1096C">
        <w:rPr>
          <w:lang w:val="es-ES"/>
        </w:rPr>
        <w:t>bevacizumab</w:t>
      </w:r>
      <w:r w:rsidRPr="00DF5E1B">
        <w:rPr>
          <w:color w:val="auto"/>
          <w:lang w:val="es-ES"/>
        </w:rPr>
        <w:t>.</w:t>
      </w:r>
    </w:p>
    <w:p w14:paraId="26915C46" w14:textId="77777777" w:rsidR="00FB24C0" w:rsidRPr="00DF5E1B" w:rsidRDefault="00FB24C0" w:rsidP="00FB24C0">
      <w:pPr>
        <w:spacing w:after="0" w:line="240" w:lineRule="auto"/>
        <w:ind w:left="0" w:firstLine="0"/>
        <w:rPr>
          <w:color w:val="auto"/>
          <w:lang w:val="es-ES"/>
        </w:rPr>
      </w:pPr>
    </w:p>
    <w:p w14:paraId="318DBAE1" w14:textId="77777777" w:rsidR="00FB24C0" w:rsidRPr="00DF5E1B" w:rsidRDefault="00AA71D6" w:rsidP="00FB24C0">
      <w:pPr>
        <w:spacing w:after="0" w:line="240" w:lineRule="auto"/>
        <w:ind w:left="0" w:firstLine="0"/>
        <w:rPr>
          <w:color w:val="auto"/>
          <w:lang w:val="es-ES"/>
        </w:rPr>
      </w:pPr>
      <w:r>
        <w:rPr>
          <w:color w:val="auto"/>
          <w:lang w:val="es-ES"/>
        </w:rPr>
        <w:t>MVASI</w:t>
      </w:r>
      <w:r w:rsidR="008A31EF" w:rsidRPr="00DF5E1B">
        <w:rPr>
          <w:color w:val="auto"/>
          <w:lang w:val="es-ES"/>
        </w:rPr>
        <w:t xml:space="preserve"> </w:t>
      </w:r>
      <w:r w:rsidR="00FB24C0" w:rsidRPr="00DF5E1B">
        <w:rPr>
          <w:color w:val="auto"/>
          <w:lang w:val="es-ES"/>
        </w:rPr>
        <w:t xml:space="preserve">no está aprobado para su uso en pacientes menores de 18 años. Existen publicaciones, en las que se han observado casos de osteonecrosis no mandibular en pacientes menores de 18 años tratados con </w:t>
      </w:r>
      <w:r w:rsidR="008A31EF" w:rsidRPr="00D1096C">
        <w:rPr>
          <w:lang w:val="es-ES"/>
        </w:rPr>
        <w:t>bevacizumab</w:t>
      </w:r>
      <w:r w:rsidR="00FB24C0" w:rsidRPr="00DF5E1B">
        <w:rPr>
          <w:color w:val="auto"/>
          <w:lang w:val="es-ES"/>
        </w:rPr>
        <w:t>.</w:t>
      </w:r>
    </w:p>
    <w:p w14:paraId="25470E3A" w14:textId="77777777" w:rsidR="00FB24C0" w:rsidRPr="00DF5E1B" w:rsidRDefault="00FB24C0" w:rsidP="00FB24C0">
      <w:pPr>
        <w:spacing w:after="0" w:line="240" w:lineRule="auto"/>
        <w:ind w:left="0" w:firstLine="0"/>
        <w:rPr>
          <w:color w:val="auto"/>
          <w:lang w:val="es-ES"/>
        </w:rPr>
      </w:pPr>
    </w:p>
    <w:p w14:paraId="31F97B4C" w14:textId="77777777" w:rsidR="00FB24C0" w:rsidRPr="00443040" w:rsidRDefault="00FB24C0" w:rsidP="006A7F87">
      <w:pPr>
        <w:keepNext/>
        <w:spacing w:after="0" w:line="240" w:lineRule="auto"/>
        <w:ind w:left="0" w:firstLine="0"/>
        <w:rPr>
          <w:color w:val="auto"/>
          <w:lang w:val="es-ES"/>
        </w:rPr>
      </w:pPr>
      <w:r w:rsidRPr="00443040">
        <w:rPr>
          <w:color w:val="auto"/>
          <w:u w:val="single" w:color="000000"/>
          <w:lang w:val="es-ES"/>
        </w:rPr>
        <w:t xml:space="preserve">Experiencia </w:t>
      </w:r>
      <w:proofErr w:type="spellStart"/>
      <w:r w:rsidRPr="00443040">
        <w:rPr>
          <w:color w:val="auto"/>
          <w:u w:val="single" w:color="000000"/>
          <w:lang w:val="es-ES"/>
        </w:rPr>
        <w:t>poscomercialización</w:t>
      </w:r>
      <w:proofErr w:type="spellEnd"/>
    </w:p>
    <w:p w14:paraId="4AFBDD3D" w14:textId="77777777" w:rsidR="00FB24C0" w:rsidRPr="00DF5E1B" w:rsidRDefault="00FB24C0" w:rsidP="006A7F87">
      <w:pPr>
        <w:keepNext/>
        <w:spacing w:after="0" w:line="240" w:lineRule="auto"/>
        <w:ind w:left="0" w:firstLine="0"/>
        <w:rPr>
          <w:b/>
          <w:color w:val="auto"/>
          <w:lang w:val="es-ES"/>
        </w:rPr>
      </w:pPr>
    </w:p>
    <w:p w14:paraId="3B6343B4" w14:textId="77777777" w:rsidR="00FB24C0" w:rsidRPr="00443040" w:rsidRDefault="006655DB" w:rsidP="00EF0812">
      <w:pPr>
        <w:keepNext/>
        <w:keepLines/>
        <w:spacing w:after="0" w:line="240" w:lineRule="auto"/>
        <w:ind w:left="0" w:firstLine="0"/>
        <w:rPr>
          <w:b/>
          <w:color w:val="auto"/>
          <w:lang w:val="es-ES"/>
        </w:rPr>
      </w:pPr>
      <w:r>
        <w:rPr>
          <w:b/>
          <w:color w:val="auto"/>
          <w:lang w:val="es-ES"/>
        </w:rPr>
        <w:t xml:space="preserve">Tabla 3. </w:t>
      </w:r>
      <w:r w:rsidR="00FB24C0" w:rsidRPr="00443040">
        <w:rPr>
          <w:b/>
          <w:color w:val="auto"/>
          <w:lang w:val="es-ES"/>
        </w:rPr>
        <w:t xml:space="preserve">Reacciones adversas notificadas durante la experiencia </w:t>
      </w:r>
      <w:proofErr w:type="spellStart"/>
      <w:r w:rsidR="00FB24C0" w:rsidRPr="00443040">
        <w:rPr>
          <w:b/>
          <w:color w:val="auto"/>
          <w:lang w:val="es-ES"/>
        </w:rPr>
        <w:t>poscomercialización</w:t>
      </w:r>
      <w:proofErr w:type="spellEnd"/>
    </w:p>
    <w:p w14:paraId="6A29225C" w14:textId="77777777" w:rsidR="00FB24C0" w:rsidRDefault="00FB24C0" w:rsidP="00EF0812">
      <w:pPr>
        <w:keepNext/>
        <w:keepLines/>
        <w:spacing w:after="0" w:line="240" w:lineRule="auto"/>
        <w:ind w:left="0" w:firstLine="0"/>
        <w:rPr>
          <w:color w:val="auto"/>
          <w:lang w:val="es-ES"/>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6425"/>
      </w:tblGrid>
      <w:tr w:rsidR="007B7907" w14:paraId="4A4D4176" w14:textId="77777777" w:rsidTr="00C33F4C">
        <w:trPr>
          <w:trHeight w:val="263"/>
          <w:tblHeader/>
        </w:trPr>
        <w:tc>
          <w:tcPr>
            <w:tcW w:w="3229" w:type="dxa"/>
            <w:vAlign w:val="center"/>
          </w:tcPr>
          <w:p w14:paraId="471818AF" w14:textId="77777777" w:rsidR="007B7907" w:rsidRPr="00C33F4C" w:rsidRDefault="007B7907" w:rsidP="00C33F4C">
            <w:pPr>
              <w:keepNext/>
              <w:keepLines/>
              <w:spacing w:after="0" w:line="240" w:lineRule="auto"/>
              <w:ind w:left="0" w:firstLine="0"/>
              <w:jc w:val="center"/>
              <w:rPr>
                <w:b/>
                <w:lang w:val="da-DK"/>
              </w:rPr>
            </w:pPr>
            <w:r w:rsidRPr="00C33F4C">
              <w:rPr>
                <w:b/>
                <w:lang w:val="da-DK"/>
              </w:rPr>
              <w:t>Sistema de clasificación de órganos</w:t>
            </w:r>
          </w:p>
        </w:tc>
        <w:tc>
          <w:tcPr>
            <w:tcW w:w="6425" w:type="dxa"/>
            <w:vAlign w:val="center"/>
          </w:tcPr>
          <w:p w14:paraId="0277D5AF" w14:textId="77777777" w:rsidR="007B7907" w:rsidRPr="00C33F4C" w:rsidRDefault="007B7907" w:rsidP="00C33F4C">
            <w:pPr>
              <w:keepNext/>
              <w:keepLines/>
              <w:spacing w:after="0" w:line="240" w:lineRule="auto"/>
              <w:ind w:left="0" w:firstLine="0"/>
              <w:jc w:val="center"/>
              <w:rPr>
                <w:b/>
              </w:rPr>
            </w:pPr>
            <w:proofErr w:type="spellStart"/>
            <w:r w:rsidRPr="00C33F4C">
              <w:rPr>
                <w:b/>
              </w:rPr>
              <w:t>Reacciones</w:t>
            </w:r>
            <w:proofErr w:type="spellEnd"/>
            <w:r w:rsidRPr="00C33F4C">
              <w:rPr>
                <w:b/>
              </w:rPr>
              <w:t xml:space="preserve"> (</w:t>
            </w:r>
            <w:proofErr w:type="spellStart"/>
            <w:r w:rsidRPr="00C33F4C">
              <w:rPr>
                <w:b/>
              </w:rPr>
              <w:t>frecuencia</w:t>
            </w:r>
            <w:proofErr w:type="spellEnd"/>
            <w:r w:rsidRPr="00C33F4C">
              <w:rPr>
                <w:b/>
              </w:rPr>
              <w:t>*)</w:t>
            </w:r>
          </w:p>
        </w:tc>
      </w:tr>
      <w:tr w:rsidR="007B7907" w:rsidRPr="00714463" w14:paraId="78BEC015" w14:textId="77777777" w:rsidTr="00C33F4C">
        <w:trPr>
          <w:trHeight w:val="535"/>
        </w:trPr>
        <w:tc>
          <w:tcPr>
            <w:tcW w:w="3229" w:type="dxa"/>
          </w:tcPr>
          <w:p w14:paraId="10D53020" w14:textId="77777777" w:rsidR="007B7907" w:rsidRPr="00222F47" w:rsidRDefault="007B7907" w:rsidP="00C33F4C">
            <w:pPr>
              <w:keepNext/>
              <w:keepLines/>
              <w:spacing w:after="0" w:line="240" w:lineRule="auto"/>
              <w:ind w:left="0" w:firstLine="0"/>
            </w:pPr>
            <w:proofErr w:type="spellStart"/>
            <w:r w:rsidRPr="00222F47">
              <w:t>Infecciones</w:t>
            </w:r>
            <w:proofErr w:type="spellEnd"/>
            <w:r w:rsidRPr="00222F47">
              <w:t xml:space="preserve"> e </w:t>
            </w:r>
            <w:proofErr w:type="spellStart"/>
            <w:r w:rsidRPr="00222F47">
              <w:t>Infestaciones</w:t>
            </w:r>
            <w:proofErr w:type="spellEnd"/>
            <w:r w:rsidRPr="00222F47">
              <w:t xml:space="preserve"> </w:t>
            </w:r>
          </w:p>
        </w:tc>
        <w:tc>
          <w:tcPr>
            <w:tcW w:w="6425" w:type="dxa"/>
            <w:vAlign w:val="center"/>
          </w:tcPr>
          <w:p w14:paraId="5DA40773" w14:textId="56AC5324" w:rsidR="007B7907" w:rsidRPr="00C33F4C" w:rsidRDefault="007B7907" w:rsidP="00C33F4C">
            <w:pPr>
              <w:keepNext/>
              <w:keepLines/>
              <w:spacing w:after="0" w:line="240" w:lineRule="auto"/>
              <w:ind w:left="0" w:firstLine="0"/>
              <w:rPr>
                <w:lang w:val="es-ES"/>
              </w:rPr>
            </w:pPr>
            <w:r w:rsidRPr="00C33F4C">
              <w:rPr>
                <w:lang w:val="es-ES"/>
              </w:rPr>
              <w:t>Fascitis necrosante, generalmente secundaria a complicaciones de la cicatrización, perforación gastrointestinal o formación de fístula (raro) (ver sección 4.4)</w:t>
            </w:r>
          </w:p>
        </w:tc>
      </w:tr>
      <w:tr w:rsidR="007B7907" w:rsidRPr="00714463" w14:paraId="52D52397" w14:textId="77777777" w:rsidTr="00C33F4C">
        <w:trPr>
          <w:trHeight w:val="1929"/>
        </w:trPr>
        <w:tc>
          <w:tcPr>
            <w:tcW w:w="3229" w:type="dxa"/>
          </w:tcPr>
          <w:p w14:paraId="48DBE8C1" w14:textId="77777777" w:rsidR="007B7907" w:rsidRPr="00222F47" w:rsidRDefault="007B7907" w:rsidP="00C33F4C">
            <w:pPr>
              <w:spacing w:after="0" w:line="240" w:lineRule="auto"/>
              <w:ind w:left="0" w:firstLine="0"/>
            </w:pPr>
            <w:proofErr w:type="spellStart"/>
            <w:r w:rsidRPr="00222F47">
              <w:t>Trastornos</w:t>
            </w:r>
            <w:proofErr w:type="spellEnd"/>
            <w:r w:rsidRPr="00222F47">
              <w:t xml:space="preserve"> del </w:t>
            </w:r>
            <w:proofErr w:type="spellStart"/>
            <w:r w:rsidRPr="00222F47">
              <w:t>sistema</w:t>
            </w:r>
            <w:proofErr w:type="spellEnd"/>
            <w:r w:rsidRPr="00222F47">
              <w:t xml:space="preserve"> </w:t>
            </w:r>
            <w:proofErr w:type="spellStart"/>
            <w:r w:rsidRPr="00222F47">
              <w:t>inmunológico</w:t>
            </w:r>
            <w:proofErr w:type="spellEnd"/>
            <w:r w:rsidRPr="00222F47">
              <w:t xml:space="preserve"> </w:t>
            </w:r>
          </w:p>
        </w:tc>
        <w:tc>
          <w:tcPr>
            <w:tcW w:w="6425" w:type="dxa"/>
            <w:vAlign w:val="center"/>
          </w:tcPr>
          <w:p w14:paraId="36FEBB4A" w14:textId="0454BF16" w:rsidR="007B7907" w:rsidRDefault="007B7907" w:rsidP="00C33F4C">
            <w:pPr>
              <w:spacing w:after="0" w:line="240" w:lineRule="auto"/>
              <w:ind w:left="0" w:firstLine="0"/>
              <w:rPr>
                <w:lang w:val="es-ES"/>
              </w:rPr>
            </w:pPr>
            <w:r w:rsidRPr="00C33F4C">
              <w:rPr>
                <w:lang w:val="es-ES"/>
              </w:rPr>
              <w:t>Reacciones de hipersensibilidad y reacciones a la perfusión (</w:t>
            </w:r>
            <w:r w:rsidR="00BE0ACF">
              <w:rPr>
                <w:lang w:val="es-ES"/>
              </w:rPr>
              <w:t>frecuente</w:t>
            </w:r>
            <w:r w:rsidRPr="00C33F4C">
              <w:rPr>
                <w:lang w:val="es-ES"/>
              </w:rPr>
              <w:t xml:space="preserve">) con las siguientes </w:t>
            </w:r>
            <w:proofErr w:type="spellStart"/>
            <w:r w:rsidRPr="00C33F4C">
              <w:rPr>
                <w:lang w:val="es-ES"/>
              </w:rPr>
              <w:t>co-manifestaciones</w:t>
            </w:r>
            <w:proofErr w:type="spellEnd"/>
            <w:r w:rsidRPr="00C33F4C">
              <w:rPr>
                <w:lang w:val="es-ES"/>
              </w:rPr>
              <w:t xml:space="preserve"> posibles: disnea/dificultad respiratoria, rubefacción/enrojecimiento/erupción, hipotensión o hipertensión, desaturación de oxígeno, dolor torácico, escalofríos y náuseas/vómitos (ver sección 4.4 y </w:t>
            </w:r>
            <w:r w:rsidRPr="00C33F4C">
              <w:rPr>
                <w:i/>
                <w:lang w:val="es-ES"/>
              </w:rPr>
              <w:t>Reacciones de hipersensibilidad / reacciones a la perfusión</w:t>
            </w:r>
            <w:r w:rsidRPr="00C33F4C">
              <w:rPr>
                <w:lang w:val="es-ES"/>
              </w:rPr>
              <w:t>)</w:t>
            </w:r>
            <w:r w:rsidR="00BE0ACF">
              <w:rPr>
                <w:lang w:val="es-ES"/>
              </w:rPr>
              <w:t>.</w:t>
            </w:r>
          </w:p>
          <w:p w14:paraId="44AA00F2" w14:textId="77777777" w:rsidR="00BE0ACF" w:rsidRDefault="00BE0ACF" w:rsidP="00C33F4C">
            <w:pPr>
              <w:spacing w:after="0" w:line="240" w:lineRule="auto"/>
              <w:ind w:left="0" w:firstLine="0"/>
              <w:rPr>
                <w:lang w:val="es-ES"/>
              </w:rPr>
            </w:pPr>
          </w:p>
          <w:p w14:paraId="377D0928" w14:textId="5DB817D0" w:rsidR="00BE0ACF" w:rsidRPr="00C33F4C" w:rsidRDefault="00BE0ACF" w:rsidP="00C33F4C">
            <w:pPr>
              <w:spacing w:after="0" w:line="240" w:lineRule="auto"/>
              <w:ind w:left="0" w:firstLine="0"/>
              <w:rPr>
                <w:lang w:val="es-ES"/>
              </w:rPr>
            </w:pPr>
            <w:r>
              <w:rPr>
                <w:lang w:val="es-ES"/>
              </w:rPr>
              <w:t>Shock anafiláctico (raro) (ver sección 4.4)</w:t>
            </w:r>
          </w:p>
        </w:tc>
      </w:tr>
      <w:tr w:rsidR="007B7907" w:rsidRPr="00714463" w14:paraId="68A855E2" w14:textId="77777777" w:rsidTr="00C33F4C">
        <w:trPr>
          <w:trHeight w:val="1063"/>
        </w:trPr>
        <w:tc>
          <w:tcPr>
            <w:tcW w:w="3229" w:type="dxa"/>
          </w:tcPr>
          <w:p w14:paraId="55C32C73" w14:textId="77777777" w:rsidR="007B7907" w:rsidRPr="00222F47" w:rsidRDefault="007B7907" w:rsidP="00C33F4C">
            <w:pPr>
              <w:spacing w:after="0" w:line="240" w:lineRule="auto"/>
              <w:ind w:left="0" w:firstLine="0"/>
            </w:pPr>
            <w:proofErr w:type="spellStart"/>
            <w:r w:rsidRPr="00222F47">
              <w:t>Trastornos</w:t>
            </w:r>
            <w:proofErr w:type="spellEnd"/>
            <w:r w:rsidRPr="00222F47">
              <w:t xml:space="preserve"> del </w:t>
            </w:r>
            <w:proofErr w:type="spellStart"/>
            <w:r w:rsidRPr="00222F47">
              <w:t>sistema</w:t>
            </w:r>
            <w:proofErr w:type="spellEnd"/>
            <w:r w:rsidRPr="00222F47">
              <w:t xml:space="preserve"> </w:t>
            </w:r>
            <w:proofErr w:type="spellStart"/>
            <w:r w:rsidRPr="00222F47">
              <w:t>nervioso</w:t>
            </w:r>
            <w:proofErr w:type="spellEnd"/>
            <w:r w:rsidRPr="00222F47">
              <w:t xml:space="preserve"> </w:t>
            </w:r>
          </w:p>
        </w:tc>
        <w:tc>
          <w:tcPr>
            <w:tcW w:w="6425" w:type="dxa"/>
            <w:vAlign w:val="center"/>
          </w:tcPr>
          <w:p w14:paraId="3B8D1464" w14:textId="77777777" w:rsidR="007B7907" w:rsidRPr="00C33F4C" w:rsidRDefault="007B7907" w:rsidP="00C33F4C">
            <w:pPr>
              <w:spacing w:after="0" w:line="240" w:lineRule="auto"/>
              <w:ind w:left="0" w:firstLine="0"/>
              <w:rPr>
                <w:lang w:val="es-ES"/>
              </w:rPr>
            </w:pPr>
            <w:r w:rsidRPr="00C33F4C">
              <w:rPr>
                <w:lang w:val="es-ES"/>
              </w:rPr>
              <w:t xml:space="preserve">Encefalopatía hipertensiva (muy rara) (ver sección 4.4 e </w:t>
            </w:r>
            <w:r w:rsidRPr="00C33F4C">
              <w:rPr>
                <w:i/>
                <w:lang w:val="es-ES"/>
              </w:rPr>
              <w:t>Hipertensión</w:t>
            </w:r>
            <w:r w:rsidRPr="00C33F4C">
              <w:rPr>
                <w:lang w:val="es-ES"/>
              </w:rPr>
              <w:t xml:space="preserve"> en la sección 4.8)</w:t>
            </w:r>
          </w:p>
          <w:p w14:paraId="2E540749" w14:textId="77777777" w:rsidR="006655DB" w:rsidRPr="00C33F4C" w:rsidRDefault="006655DB" w:rsidP="00C33F4C">
            <w:pPr>
              <w:spacing w:after="0" w:line="240" w:lineRule="auto"/>
              <w:ind w:left="0" w:firstLine="0"/>
              <w:rPr>
                <w:lang w:val="es-ES"/>
              </w:rPr>
            </w:pPr>
            <w:r w:rsidRPr="00C33F4C">
              <w:rPr>
                <w:lang w:val="es-ES"/>
              </w:rPr>
              <w:t>Síndrome de Encefalopatía Reversible Posterior (SERP), (rara) (ver sección 4.4)</w:t>
            </w:r>
          </w:p>
        </w:tc>
      </w:tr>
      <w:tr w:rsidR="007B7907" w:rsidRPr="00714463" w14:paraId="2610F7D1" w14:textId="77777777" w:rsidTr="00C33F4C">
        <w:trPr>
          <w:trHeight w:val="1134"/>
        </w:trPr>
        <w:tc>
          <w:tcPr>
            <w:tcW w:w="3229" w:type="dxa"/>
          </w:tcPr>
          <w:p w14:paraId="1CF39B31" w14:textId="77777777" w:rsidR="007B7907" w:rsidRPr="00222F47" w:rsidRDefault="007B7907" w:rsidP="00C33F4C">
            <w:pPr>
              <w:spacing w:after="0" w:line="240" w:lineRule="auto"/>
              <w:ind w:left="0" w:firstLine="0"/>
            </w:pPr>
            <w:proofErr w:type="spellStart"/>
            <w:r w:rsidRPr="00222F47">
              <w:t>Trastornos</w:t>
            </w:r>
            <w:proofErr w:type="spellEnd"/>
            <w:r w:rsidRPr="00222F47">
              <w:t xml:space="preserve"> </w:t>
            </w:r>
            <w:proofErr w:type="spellStart"/>
            <w:r w:rsidRPr="00222F47">
              <w:t>vasculares</w:t>
            </w:r>
            <w:proofErr w:type="spellEnd"/>
            <w:r w:rsidRPr="00222F47">
              <w:t xml:space="preserve"> </w:t>
            </w:r>
          </w:p>
        </w:tc>
        <w:tc>
          <w:tcPr>
            <w:tcW w:w="6425" w:type="dxa"/>
            <w:vAlign w:val="center"/>
          </w:tcPr>
          <w:p w14:paraId="48956358" w14:textId="045D9A7A" w:rsidR="007B7907" w:rsidRPr="00C33F4C" w:rsidRDefault="006655DB" w:rsidP="00C33F4C">
            <w:pPr>
              <w:spacing w:after="0" w:line="240" w:lineRule="auto"/>
              <w:ind w:left="0" w:firstLine="0"/>
              <w:rPr>
                <w:lang w:val="es-ES"/>
              </w:rPr>
            </w:pPr>
            <w:r w:rsidRPr="00C33F4C">
              <w:rPr>
                <w:lang w:val="es-ES"/>
              </w:rPr>
              <w:t xml:space="preserve">Microangiopatía trombótica renal, que podría manifestarse clínicamente como proteinuria (frecuencia no conocida) con y sin uso concomitante de </w:t>
            </w:r>
            <w:proofErr w:type="spellStart"/>
            <w:r w:rsidRPr="00C33F4C">
              <w:rPr>
                <w:lang w:val="es-ES"/>
              </w:rPr>
              <w:t>sunitinib</w:t>
            </w:r>
            <w:proofErr w:type="spellEnd"/>
            <w:r w:rsidRPr="00C33F4C">
              <w:rPr>
                <w:lang w:val="es-ES"/>
              </w:rPr>
              <w:t xml:space="preserve">. Para más información de proteinuria ver la sección 4.4 y </w:t>
            </w:r>
            <w:r w:rsidRPr="00C33F4C">
              <w:rPr>
                <w:i/>
                <w:lang w:val="es-ES"/>
              </w:rPr>
              <w:t>Proteinuria</w:t>
            </w:r>
            <w:r w:rsidRPr="00C33F4C">
              <w:rPr>
                <w:lang w:val="es-ES"/>
              </w:rPr>
              <w:t xml:space="preserve"> en la sección 4.8</w:t>
            </w:r>
          </w:p>
        </w:tc>
      </w:tr>
      <w:tr w:rsidR="007B7907" w:rsidRPr="00714463" w14:paraId="31BAC5C3" w14:textId="77777777" w:rsidTr="00C33F4C">
        <w:trPr>
          <w:trHeight w:val="809"/>
        </w:trPr>
        <w:tc>
          <w:tcPr>
            <w:tcW w:w="3229" w:type="dxa"/>
          </w:tcPr>
          <w:p w14:paraId="73FFE663" w14:textId="77777777" w:rsidR="007B7907" w:rsidRPr="00C33F4C" w:rsidRDefault="007B7907" w:rsidP="00C33F4C">
            <w:pPr>
              <w:spacing w:after="0" w:line="240" w:lineRule="auto"/>
              <w:ind w:left="0" w:firstLine="0"/>
              <w:rPr>
                <w:lang w:val="es-ES"/>
              </w:rPr>
            </w:pPr>
            <w:r w:rsidRPr="00C33F4C">
              <w:rPr>
                <w:lang w:val="es-ES"/>
              </w:rPr>
              <w:t xml:space="preserve">Trastornos respiratorios, torácicos y mediastínicos </w:t>
            </w:r>
          </w:p>
        </w:tc>
        <w:tc>
          <w:tcPr>
            <w:tcW w:w="6425" w:type="dxa"/>
            <w:vAlign w:val="center"/>
          </w:tcPr>
          <w:p w14:paraId="3B365F86" w14:textId="77777777" w:rsidR="006655DB" w:rsidRPr="00C33F4C" w:rsidRDefault="006655DB" w:rsidP="00C33F4C">
            <w:pPr>
              <w:spacing w:after="0" w:line="240" w:lineRule="auto"/>
              <w:ind w:left="0" w:firstLine="0"/>
              <w:rPr>
                <w:lang w:val="es-ES"/>
              </w:rPr>
            </w:pPr>
            <w:r w:rsidRPr="00C33F4C">
              <w:rPr>
                <w:lang w:val="es-ES"/>
              </w:rPr>
              <w:t>Perforación del septum nasal (no conocida)</w:t>
            </w:r>
          </w:p>
          <w:p w14:paraId="2FFB5F63" w14:textId="77777777" w:rsidR="006655DB" w:rsidRPr="00C33F4C" w:rsidRDefault="006655DB" w:rsidP="00C33F4C">
            <w:pPr>
              <w:spacing w:after="0" w:line="240" w:lineRule="auto"/>
              <w:ind w:left="0" w:firstLine="0"/>
              <w:rPr>
                <w:lang w:val="es-ES"/>
              </w:rPr>
            </w:pPr>
            <w:r w:rsidRPr="00C33F4C">
              <w:rPr>
                <w:lang w:val="es-ES"/>
              </w:rPr>
              <w:t>Hipertensión pulmonar (no conocida)</w:t>
            </w:r>
          </w:p>
          <w:p w14:paraId="59872C49" w14:textId="77777777" w:rsidR="007B7907" w:rsidRPr="00C33F4C" w:rsidRDefault="006655DB" w:rsidP="00C33F4C">
            <w:pPr>
              <w:spacing w:after="0" w:line="240" w:lineRule="auto"/>
              <w:ind w:left="0" w:firstLine="0"/>
              <w:rPr>
                <w:lang w:val="es-ES"/>
              </w:rPr>
            </w:pPr>
            <w:r w:rsidRPr="00C33F4C">
              <w:rPr>
                <w:lang w:val="es-ES"/>
              </w:rPr>
              <w:t>Disfonía (frecuente)</w:t>
            </w:r>
          </w:p>
        </w:tc>
      </w:tr>
      <w:tr w:rsidR="007B7907" w14:paraId="6D3C79C6" w14:textId="77777777" w:rsidTr="00C33F4C">
        <w:trPr>
          <w:trHeight w:val="263"/>
        </w:trPr>
        <w:tc>
          <w:tcPr>
            <w:tcW w:w="3229" w:type="dxa"/>
          </w:tcPr>
          <w:p w14:paraId="65418A20" w14:textId="77777777" w:rsidR="007B7907" w:rsidRPr="00222F47" w:rsidRDefault="007B7907" w:rsidP="00C33F4C">
            <w:pPr>
              <w:spacing w:after="0" w:line="240" w:lineRule="auto"/>
              <w:ind w:left="0" w:firstLine="0"/>
            </w:pPr>
            <w:proofErr w:type="spellStart"/>
            <w:r w:rsidRPr="00222F47">
              <w:t>Trastornos</w:t>
            </w:r>
            <w:proofErr w:type="spellEnd"/>
            <w:r w:rsidRPr="00222F47">
              <w:t xml:space="preserve"> </w:t>
            </w:r>
            <w:proofErr w:type="spellStart"/>
            <w:r w:rsidRPr="00222F47">
              <w:t>gastrointestinales</w:t>
            </w:r>
            <w:proofErr w:type="spellEnd"/>
            <w:r w:rsidRPr="00222F47">
              <w:t xml:space="preserve"> </w:t>
            </w:r>
          </w:p>
        </w:tc>
        <w:tc>
          <w:tcPr>
            <w:tcW w:w="6425" w:type="dxa"/>
            <w:vAlign w:val="center"/>
          </w:tcPr>
          <w:p w14:paraId="1E5CE7FC" w14:textId="77777777" w:rsidR="007B7907" w:rsidRPr="00A86712" w:rsidRDefault="006655DB" w:rsidP="00C33F4C">
            <w:pPr>
              <w:spacing w:after="0" w:line="240" w:lineRule="auto"/>
              <w:ind w:left="0" w:firstLine="0"/>
            </w:pPr>
            <w:proofErr w:type="spellStart"/>
            <w:r w:rsidRPr="006655DB">
              <w:t>Úlcera</w:t>
            </w:r>
            <w:proofErr w:type="spellEnd"/>
            <w:r w:rsidRPr="006655DB">
              <w:t xml:space="preserve"> gastrointestinal (no </w:t>
            </w:r>
            <w:proofErr w:type="spellStart"/>
            <w:r w:rsidRPr="006655DB">
              <w:t>conocida</w:t>
            </w:r>
            <w:proofErr w:type="spellEnd"/>
            <w:r w:rsidRPr="006655DB">
              <w:t>)</w:t>
            </w:r>
          </w:p>
        </w:tc>
      </w:tr>
      <w:tr w:rsidR="007B7907" w:rsidRPr="00714463" w14:paraId="4D6405DD" w14:textId="77777777" w:rsidTr="00C33F4C">
        <w:trPr>
          <w:trHeight w:val="272"/>
        </w:trPr>
        <w:tc>
          <w:tcPr>
            <w:tcW w:w="3229" w:type="dxa"/>
          </w:tcPr>
          <w:p w14:paraId="441888DB" w14:textId="77777777" w:rsidR="007B7907" w:rsidRPr="00222F47" w:rsidRDefault="007B7907" w:rsidP="00C33F4C">
            <w:pPr>
              <w:spacing w:after="0" w:line="240" w:lineRule="auto"/>
              <w:ind w:left="0" w:firstLine="0"/>
            </w:pPr>
            <w:proofErr w:type="spellStart"/>
            <w:r w:rsidRPr="00222F47">
              <w:t>Trastornos</w:t>
            </w:r>
            <w:proofErr w:type="spellEnd"/>
            <w:r w:rsidRPr="00222F47">
              <w:t xml:space="preserve"> </w:t>
            </w:r>
            <w:proofErr w:type="spellStart"/>
            <w:r w:rsidRPr="00222F47">
              <w:t>hepatobiliares</w:t>
            </w:r>
            <w:proofErr w:type="spellEnd"/>
            <w:r w:rsidRPr="00222F47">
              <w:t xml:space="preserve"> </w:t>
            </w:r>
          </w:p>
        </w:tc>
        <w:tc>
          <w:tcPr>
            <w:tcW w:w="6425" w:type="dxa"/>
            <w:vAlign w:val="center"/>
          </w:tcPr>
          <w:p w14:paraId="7C4710FF" w14:textId="77777777" w:rsidR="007B7907" w:rsidRPr="00C33F4C" w:rsidRDefault="006655DB" w:rsidP="00C33F4C">
            <w:pPr>
              <w:spacing w:after="0" w:line="240" w:lineRule="auto"/>
              <w:ind w:left="0" w:firstLine="0"/>
              <w:rPr>
                <w:lang w:val="es-ES"/>
              </w:rPr>
            </w:pPr>
            <w:r w:rsidRPr="00C33F4C">
              <w:rPr>
                <w:lang w:val="es-ES"/>
              </w:rPr>
              <w:t>Perforación de la vesicular biliar (no conocida)</w:t>
            </w:r>
          </w:p>
        </w:tc>
      </w:tr>
      <w:tr w:rsidR="006655DB" w:rsidRPr="002C10E1" w14:paraId="675B16F1" w14:textId="77777777" w:rsidTr="00C33F4C">
        <w:trPr>
          <w:trHeight w:val="1872"/>
        </w:trPr>
        <w:tc>
          <w:tcPr>
            <w:tcW w:w="3229" w:type="dxa"/>
            <w:vMerge w:val="restart"/>
          </w:tcPr>
          <w:p w14:paraId="1141D99D" w14:textId="77777777" w:rsidR="006655DB" w:rsidRPr="00C33F4C" w:rsidRDefault="006655DB" w:rsidP="00C33F4C">
            <w:pPr>
              <w:spacing w:after="0" w:line="240" w:lineRule="auto"/>
              <w:ind w:left="0" w:firstLine="0"/>
              <w:rPr>
                <w:lang w:val="es-ES"/>
              </w:rPr>
            </w:pPr>
            <w:r w:rsidRPr="00C33F4C">
              <w:rPr>
                <w:lang w:val="es-ES"/>
              </w:rPr>
              <w:lastRenderedPageBreak/>
              <w:t>Trastornos musculoesqueléticos y de tejido conjuntivo</w:t>
            </w:r>
          </w:p>
        </w:tc>
        <w:tc>
          <w:tcPr>
            <w:tcW w:w="6425" w:type="dxa"/>
            <w:vAlign w:val="center"/>
          </w:tcPr>
          <w:p w14:paraId="264605D9" w14:textId="5D13D1F3" w:rsidR="006655DB" w:rsidRPr="00C33F4C" w:rsidRDefault="006655DB" w:rsidP="00C33F4C">
            <w:pPr>
              <w:spacing w:after="0" w:line="240" w:lineRule="auto"/>
              <w:ind w:left="0" w:firstLine="0"/>
              <w:rPr>
                <w:lang w:val="es-ES"/>
              </w:rPr>
            </w:pPr>
            <w:r w:rsidRPr="00C33F4C">
              <w:rPr>
                <w:lang w:val="es-ES"/>
              </w:rPr>
              <w:t xml:space="preserve">Se han notificado casos de Osteonecrosis del maxilar (ONM) en pacientes tratados con </w:t>
            </w:r>
            <w:r w:rsidR="008A31EF" w:rsidRPr="00C33F4C">
              <w:rPr>
                <w:lang w:val="es-ES"/>
              </w:rPr>
              <w:t>bevacizumab</w:t>
            </w:r>
            <w:r w:rsidRPr="00C33F4C">
              <w:rPr>
                <w:lang w:val="es-ES"/>
              </w:rPr>
              <w:t>, la mayoría de los cuales aparecieron en pacientes que tenían factores de riesgo identificados de ONM, en concreto la exposición a bisfosfonatos por vía intravenosa y/o antecedentes de enfermedad dental que requirió de procesos dentales invasivos (ver sección 4.4)</w:t>
            </w:r>
          </w:p>
        </w:tc>
      </w:tr>
      <w:tr w:rsidR="006655DB" w:rsidRPr="002C10E1" w14:paraId="3298270C" w14:textId="77777777" w:rsidTr="00C33F4C">
        <w:trPr>
          <w:trHeight w:val="799"/>
        </w:trPr>
        <w:tc>
          <w:tcPr>
            <w:tcW w:w="3229" w:type="dxa"/>
            <w:vMerge/>
          </w:tcPr>
          <w:p w14:paraId="2C8C15D6" w14:textId="77777777" w:rsidR="006655DB" w:rsidRPr="00C33F4C" w:rsidRDefault="006655DB" w:rsidP="00C33F4C">
            <w:pPr>
              <w:spacing w:after="0" w:line="240" w:lineRule="auto"/>
              <w:ind w:left="0" w:firstLine="0"/>
              <w:rPr>
                <w:lang w:val="es-ES"/>
              </w:rPr>
            </w:pPr>
          </w:p>
        </w:tc>
        <w:tc>
          <w:tcPr>
            <w:tcW w:w="6425" w:type="dxa"/>
            <w:vAlign w:val="center"/>
          </w:tcPr>
          <w:p w14:paraId="152E7701" w14:textId="77777777" w:rsidR="006655DB" w:rsidRPr="00C33F4C" w:rsidRDefault="006655DB" w:rsidP="00C33F4C">
            <w:pPr>
              <w:spacing w:after="0" w:line="240" w:lineRule="auto"/>
              <w:ind w:left="0" w:firstLine="0"/>
              <w:rPr>
                <w:lang w:val="es-ES"/>
              </w:rPr>
            </w:pPr>
            <w:r w:rsidRPr="00C33F4C">
              <w:rPr>
                <w:lang w:val="es-ES"/>
              </w:rPr>
              <w:t xml:space="preserve">Se han observado casos de osteonecrosis no mandibular en pacientes pediátricos tratados con </w:t>
            </w:r>
            <w:r w:rsidR="008A31EF" w:rsidRPr="00C33F4C">
              <w:rPr>
                <w:lang w:val="es-ES"/>
              </w:rPr>
              <w:t>bevacizumab</w:t>
            </w:r>
            <w:r w:rsidRPr="00C33F4C">
              <w:rPr>
                <w:lang w:val="es-ES"/>
              </w:rPr>
              <w:t xml:space="preserve"> (ver sección 4.8, Población pediátrica)</w:t>
            </w:r>
          </w:p>
        </w:tc>
      </w:tr>
      <w:tr w:rsidR="007B7907" w:rsidRPr="002C10E1" w14:paraId="0612BD13" w14:textId="77777777" w:rsidTr="00C33F4C">
        <w:trPr>
          <w:trHeight w:val="850"/>
        </w:trPr>
        <w:tc>
          <w:tcPr>
            <w:tcW w:w="3229" w:type="dxa"/>
          </w:tcPr>
          <w:p w14:paraId="121ECE5B" w14:textId="77777777" w:rsidR="007B7907" w:rsidRPr="00C33F4C" w:rsidRDefault="007B7907" w:rsidP="00C33F4C">
            <w:pPr>
              <w:spacing w:after="0" w:line="240" w:lineRule="auto"/>
              <w:ind w:left="0" w:firstLine="0"/>
              <w:rPr>
                <w:lang w:val="es-ES"/>
              </w:rPr>
            </w:pPr>
            <w:r w:rsidRPr="00C33F4C">
              <w:rPr>
                <w:lang w:val="es-ES"/>
              </w:rPr>
              <w:t>Trastornos congénitos, familiares y genéticos</w:t>
            </w:r>
          </w:p>
        </w:tc>
        <w:tc>
          <w:tcPr>
            <w:tcW w:w="6425" w:type="dxa"/>
            <w:vAlign w:val="center"/>
          </w:tcPr>
          <w:p w14:paraId="42DF281D" w14:textId="77777777" w:rsidR="007B7907" w:rsidRPr="00C33F4C" w:rsidRDefault="006655DB" w:rsidP="00C33F4C">
            <w:pPr>
              <w:spacing w:after="0" w:line="240" w:lineRule="auto"/>
              <w:ind w:left="0" w:firstLine="0"/>
              <w:rPr>
                <w:lang w:val="es-ES"/>
              </w:rPr>
            </w:pPr>
            <w:r w:rsidRPr="00C33F4C">
              <w:rPr>
                <w:lang w:val="es-ES"/>
              </w:rPr>
              <w:t xml:space="preserve">Se han observado casos de anomalías fetales en mujeres tratadas con bevacizumab solo o en combinación con quimioterápicos </w:t>
            </w:r>
            <w:proofErr w:type="spellStart"/>
            <w:r w:rsidRPr="00C33F4C">
              <w:rPr>
                <w:lang w:val="es-ES"/>
              </w:rPr>
              <w:t>embriotóxicos</w:t>
            </w:r>
            <w:proofErr w:type="spellEnd"/>
            <w:r w:rsidRPr="00C33F4C">
              <w:rPr>
                <w:lang w:val="es-ES"/>
              </w:rPr>
              <w:t xml:space="preserve"> conocidos (ver sección 4.6)</w:t>
            </w:r>
          </w:p>
        </w:tc>
      </w:tr>
    </w:tbl>
    <w:p w14:paraId="17EC41E5" w14:textId="77777777" w:rsidR="00FB24C0" w:rsidRPr="006A7F87" w:rsidRDefault="00FB24C0" w:rsidP="00FB24C0">
      <w:pPr>
        <w:spacing w:after="0" w:line="240" w:lineRule="auto"/>
        <w:ind w:left="567" w:hanging="567"/>
        <w:rPr>
          <w:color w:val="auto"/>
          <w:sz w:val="20"/>
          <w:szCs w:val="20"/>
          <w:lang w:val="es-ES"/>
        </w:rPr>
      </w:pPr>
      <w:r w:rsidRPr="006A7F87">
        <w:rPr>
          <w:color w:val="auto"/>
          <w:sz w:val="20"/>
          <w:szCs w:val="20"/>
          <w:lang w:val="es-ES"/>
        </w:rPr>
        <w:t>*</w:t>
      </w:r>
      <w:r w:rsidRPr="006A7F87">
        <w:rPr>
          <w:color w:val="auto"/>
          <w:sz w:val="20"/>
          <w:szCs w:val="20"/>
          <w:lang w:val="es-ES"/>
        </w:rPr>
        <w:tab/>
        <w:t>si se especifica, la frecuencia se ha obtenido de los datos de los ensayos clínicos</w:t>
      </w:r>
      <w:r w:rsidR="006A7F87">
        <w:rPr>
          <w:color w:val="auto"/>
          <w:sz w:val="20"/>
          <w:szCs w:val="20"/>
          <w:lang w:val="es-ES"/>
        </w:rPr>
        <w:t>.</w:t>
      </w:r>
    </w:p>
    <w:p w14:paraId="5DA8A650" w14:textId="77777777" w:rsidR="00FB24C0" w:rsidRPr="00443040" w:rsidRDefault="00FB24C0" w:rsidP="00FB24C0">
      <w:pPr>
        <w:spacing w:after="0" w:line="240" w:lineRule="auto"/>
        <w:ind w:left="0" w:firstLine="0"/>
        <w:rPr>
          <w:color w:val="auto"/>
          <w:lang w:val="es-ES"/>
        </w:rPr>
      </w:pPr>
    </w:p>
    <w:p w14:paraId="2A0126C7" w14:textId="77777777" w:rsidR="00FB24C0" w:rsidRPr="00443040" w:rsidRDefault="00FB24C0" w:rsidP="00FB24C0">
      <w:pPr>
        <w:keepNext/>
        <w:spacing w:after="0" w:line="240" w:lineRule="auto"/>
        <w:ind w:left="0" w:firstLine="0"/>
        <w:rPr>
          <w:color w:val="auto"/>
          <w:u w:val="single"/>
          <w:lang w:val="es-ES"/>
        </w:rPr>
      </w:pPr>
      <w:r w:rsidRPr="00443040">
        <w:rPr>
          <w:color w:val="auto"/>
          <w:u w:val="single"/>
          <w:lang w:val="es-ES"/>
        </w:rPr>
        <w:t>Notificación de sospechas de reacciones adversas</w:t>
      </w:r>
    </w:p>
    <w:p w14:paraId="0939605C" w14:textId="77777777" w:rsidR="00FB24C0" w:rsidRPr="00443040" w:rsidRDefault="00FB24C0" w:rsidP="00FB24C0">
      <w:pPr>
        <w:keepNext/>
        <w:spacing w:after="0" w:line="240" w:lineRule="auto"/>
        <w:ind w:left="0" w:firstLine="0"/>
        <w:rPr>
          <w:color w:val="auto"/>
          <w:lang w:val="es-ES"/>
        </w:rPr>
      </w:pPr>
    </w:p>
    <w:p w14:paraId="79326882" w14:textId="7AEED59A" w:rsidR="00FB24C0" w:rsidRPr="00443040" w:rsidRDefault="00FB24C0" w:rsidP="00FB24C0">
      <w:pPr>
        <w:spacing w:after="0" w:line="240" w:lineRule="auto"/>
        <w:ind w:left="0" w:firstLine="0"/>
        <w:rPr>
          <w:color w:val="auto"/>
          <w:lang w:val="es-ES"/>
        </w:rPr>
      </w:pPr>
      <w:r w:rsidRPr="00443040">
        <w:rPr>
          <w:color w:val="auto"/>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004C07AC">
        <w:rPr>
          <w:color w:val="auto"/>
          <w:szCs w:val="20"/>
          <w:highlight w:val="lightGray"/>
          <w:lang w:val="es-ES" w:eastAsia="es-ES" w:bidi="es-ES"/>
        </w:rPr>
        <w:t xml:space="preserve">sistema nacional de notificación incluido en el </w:t>
      </w:r>
      <w:r w:rsidR="00646BAC">
        <w:fldChar w:fldCharType="begin"/>
      </w:r>
      <w:r w:rsidR="00646BAC" w:rsidRPr="00CC02A8">
        <w:rPr>
          <w:lang w:val="es-ES"/>
          <w:rPrChange w:id="1" w:author="Author">
            <w:rPr/>
          </w:rPrChange>
        </w:rPr>
        <w:instrText>HYPERLINK "http://www.ema.europa.eu/docs/en_GB/document_library/Template_or_form/2013/03/WC500139752.doc" \h</w:instrText>
      </w:r>
      <w:r w:rsidR="00646BAC">
        <w:fldChar w:fldCharType="separate"/>
      </w:r>
      <w:r w:rsidR="00646BAC">
        <w:rPr>
          <w:color w:val="0000FF"/>
          <w:szCs w:val="20"/>
          <w:highlight w:val="lightGray"/>
          <w:u w:val="single"/>
          <w:lang w:val="es-ES" w:eastAsia="es-ES" w:bidi="es-ES"/>
        </w:rPr>
        <w:t>Apéndice V</w:t>
      </w:r>
      <w:r w:rsidR="00646BAC">
        <w:fldChar w:fldCharType="end"/>
      </w:r>
      <w:r w:rsidR="00646BAC" w:rsidRPr="007A6676">
        <w:rPr>
          <w:szCs w:val="20"/>
          <w:lang w:val="es-ES" w:eastAsia="es-ES" w:bidi="es-ES"/>
        </w:rPr>
        <w:t>.</w:t>
      </w:r>
    </w:p>
    <w:p w14:paraId="1DE0412F" w14:textId="77777777" w:rsidR="00FB24C0" w:rsidRPr="00443040" w:rsidRDefault="00FB24C0" w:rsidP="00FB24C0">
      <w:pPr>
        <w:spacing w:after="0" w:line="240" w:lineRule="auto"/>
        <w:ind w:left="0" w:firstLine="0"/>
        <w:rPr>
          <w:color w:val="auto"/>
          <w:lang w:val="es-ES"/>
        </w:rPr>
      </w:pPr>
    </w:p>
    <w:p w14:paraId="3F316896" w14:textId="77777777" w:rsidR="00FB24C0" w:rsidRPr="000049D6" w:rsidRDefault="00FB24C0" w:rsidP="000049D6">
      <w:pPr>
        <w:keepNext/>
        <w:spacing w:after="0" w:line="240" w:lineRule="auto"/>
        <w:ind w:left="567" w:hanging="567"/>
        <w:rPr>
          <w:b/>
          <w:color w:val="auto"/>
          <w:lang w:val="es-ES"/>
        </w:rPr>
      </w:pPr>
      <w:r w:rsidRPr="000049D6">
        <w:rPr>
          <w:b/>
          <w:color w:val="auto"/>
          <w:lang w:val="es-ES"/>
        </w:rPr>
        <w:t>4.9</w:t>
      </w:r>
      <w:r w:rsidRPr="000049D6">
        <w:rPr>
          <w:b/>
          <w:color w:val="auto"/>
          <w:lang w:val="es-ES"/>
        </w:rPr>
        <w:tab/>
        <w:t>Sobredosis</w:t>
      </w:r>
    </w:p>
    <w:p w14:paraId="65862B64" w14:textId="77777777" w:rsidR="00FB24C0" w:rsidRPr="00443040" w:rsidRDefault="00FB24C0" w:rsidP="00FB24C0">
      <w:pPr>
        <w:keepNext/>
        <w:spacing w:after="0" w:line="240" w:lineRule="auto"/>
        <w:ind w:left="0" w:firstLine="0"/>
        <w:rPr>
          <w:color w:val="auto"/>
          <w:lang w:val="es-ES"/>
        </w:rPr>
      </w:pPr>
    </w:p>
    <w:p w14:paraId="673B808E" w14:textId="77777777" w:rsidR="00FB24C0" w:rsidRPr="00443040" w:rsidRDefault="00FB24C0" w:rsidP="00FB24C0">
      <w:pPr>
        <w:spacing w:after="0" w:line="240" w:lineRule="auto"/>
        <w:ind w:left="0" w:firstLine="0"/>
        <w:rPr>
          <w:color w:val="auto"/>
          <w:lang w:val="es-ES"/>
        </w:rPr>
      </w:pPr>
      <w:r w:rsidRPr="00443040">
        <w:rPr>
          <w:color w:val="auto"/>
          <w:lang w:val="es-ES"/>
        </w:rPr>
        <w:t>La dosis más alta ensayada en humanos (20 mg/kg de peso corpor</w:t>
      </w:r>
      <w:r w:rsidR="009F1042">
        <w:rPr>
          <w:color w:val="auto"/>
          <w:lang w:val="es-ES"/>
        </w:rPr>
        <w:t>al, por vía intravenosa, cada 2 </w:t>
      </w:r>
      <w:r w:rsidRPr="00443040">
        <w:rPr>
          <w:color w:val="auto"/>
          <w:lang w:val="es-ES"/>
        </w:rPr>
        <w:t>semanas) se asoció con migraña grave en varios pacientes.</w:t>
      </w:r>
    </w:p>
    <w:p w14:paraId="70BFB0A2" w14:textId="77777777" w:rsidR="00FB24C0" w:rsidRPr="00443040" w:rsidRDefault="00FB24C0" w:rsidP="00FB24C0">
      <w:pPr>
        <w:spacing w:after="0" w:line="240" w:lineRule="auto"/>
        <w:ind w:left="0" w:firstLine="0"/>
        <w:rPr>
          <w:color w:val="auto"/>
          <w:lang w:val="es-ES"/>
        </w:rPr>
      </w:pPr>
    </w:p>
    <w:p w14:paraId="04E82A05" w14:textId="77777777" w:rsidR="00FB24C0" w:rsidRPr="00443040" w:rsidRDefault="00FB24C0" w:rsidP="00FB24C0">
      <w:pPr>
        <w:spacing w:after="0" w:line="240" w:lineRule="auto"/>
        <w:ind w:left="0" w:firstLine="0"/>
        <w:rPr>
          <w:color w:val="auto"/>
          <w:lang w:val="es-ES"/>
        </w:rPr>
      </w:pPr>
    </w:p>
    <w:p w14:paraId="59A0BC56" w14:textId="77777777" w:rsidR="00FB24C0" w:rsidRPr="000049D6" w:rsidRDefault="00FB24C0" w:rsidP="000049D6">
      <w:pPr>
        <w:keepNext/>
        <w:spacing w:after="0" w:line="240" w:lineRule="auto"/>
        <w:ind w:left="567" w:hanging="567"/>
        <w:rPr>
          <w:b/>
          <w:color w:val="auto"/>
          <w:lang w:val="es-ES"/>
        </w:rPr>
      </w:pPr>
      <w:r w:rsidRPr="000049D6">
        <w:rPr>
          <w:b/>
          <w:color w:val="auto"/>
          <w:lang w:val="es-ES"/>
        </w:rPr>
        <w:t>5.</w:t>
      </w:r>
      <w:r w:rsidRPr="000049D6">
        <w:rPr>
          <w:b/>
          <w:color w:val="auto"/>
          <w:lang w:val="es-ES"/>
        </w:rPr>
        <w:tab/>
        <w:t>PROPIEDADES FARMACOLÓGICAS</w:t>
      </w:r>
    </w:p>
    <w:p w14:paraId="066603C4" w14:textId="77777777" w:rsidR="00FB24C0" w:rsidRPr="009867B4" w:rsidRDefault="00FB24C0" w:rsidP="009867B4">
      <w:pPr>
        <w:keepNext/>
        <w:spacing w:after="0" w:line="240" w:lineRule="auto"/>
        <w:ind w:left="0" w:firstLine="0"/>
        <w:rPr>
          <w:color w:val="auto"/>
          <w:lang w:val="es-ES"/>
        </w:rPr>
      </w:pPr>
    </w:p>
    <w:p w14:paraId="12AB257C" w14:textId="77777777" w:rsidR="00FB24C0" w:rsidRPr="00443040" w:rsidRDefault="00FB24C0" w:rsidP="00FB24C0">
      <w:pPr>
        <w:keepNext/>
        <w:spacing w:after="0" w:line="240" w:lineRule="auto"/>
        <w:ind w:left="567" w:hanging="567"/>
        <w:rPr>
          <w:color w:val="auto"/>
          <w:lang w:val="es-ES"/>
        </w:rPr>
      </w:pPr>
      <w:r w:rsidRPr="00443040">
        <w:rPr>
          <w:b/>
          <w:color w:val="auto"/>
          <w:lang w:val="es-ES"/>
        </w:rPr>
        <w:t>5.1</w:t>
      </w:r>
      <w:r w:rsidRPr="00443040">
        <w:rPr>
          <w:b/>
          <w:color w:val="auto"/>
          <w:lang w:val="es-ES"/>
        </w:rPr>
        <w:tab/>
        <w:t>Propiedades farmacodinámicas</w:t>
      </w:r>
    </w:p>
    <w:p w14:paraId="4AC9D120" w14:textId="77777777" w:rsidR="00FB24C0" w:rsidRPr="00F10FCD" w:rsidRDefault="00FB24C0" w:rsidP="00FB24C0">
      <w:pPr>
        <w:keepNext/>
        <w:spacing w:after="0" w:line="240" w:lineRule="auto"/>
        <w:ind w:left="0" w:firstLine="0"/>
        <w:rPr>
          <w:color w:val="auto"/>
          <w:lang w:val="es-ES"/>
        </w:rPr>
      </w:pPr>
    </w:p>
    <w:p w14:paraId="3B68929D" w14:textId="54321F25" w:rsidR="00FB24C0" w:rsidRDefault="00FB24C0" w:rsidP="00BA3106">
      <w:pPr>
        <w:keepNext/>
        <w:spacing w:after="0" w:line="240" w:lineRule="auto"/>
        <w:ind w:left="0" w:firstLine="0"/>
        <w:rPr>
          <w:color w:val="auto"/>
          <w:lang w:val="es-ES"/>
        </w:rPr>
      </w:pPr>
      <w:r w:rsidRPr="00F10FCD">
        <w:rPr>
          <w:color w:val="auto"/>
          <w:lang w:val="es-ES"/>
        </w:rPr>
        <w:t>Grupo farmacoterapéutico: agentes antineoplásicos e inmunomoduladores, agentes antineoplásicos, anticuerpos monoclonales</w:t>
      </w:r>
      <w:r w:rsidR="00BA3106">
        <w:rPr>
          <w:color w:val="auto"/>
          <w:lang w:val="es-ES"/>
        </w:rPr>
        <w:t xml:space="preserve"> y conjugados de anticuerpo y fármaco</w:t>
      </w:r>
      <w:r w:rsidRPr="00F10FCD">
        <w:rPr>
          <w:color w:val="auto"/>
          <w:lang w:val="es-ES"/>
        </w:rPr>
        <w:t>, código ATC: L01</w:t>
      </w:r>
      <w:r w:rsidR="00BA3106">
        <w:rPr>
          <w:color w:val="auto"/>
          <w:lang w:val="es-ES"/>
        </w:rPr>
        <w:t>FG01</w:t>
      </w:r>
    </w:p>
    <w:p w14:paraId="35CD70A5" w14:textId="77777777" w:rsidR="008A31EF" w:rsidRDefault="008A31EF" w:rsidP="00565EF3">
      <w:pPr>
        <w:keepNext/>
        <w:spacing w:after="0" w:line="240" w:lineRule="auto"/>
        <w:ind w:left="0" w:firstLine="0"/>
        <w:rPr>
          <w:color w:val="auto"/>
          <w:lang w:val="es-ES"/>
        </w:rPr>
      </w:pPr>
    </w:p>
    <w:p w14:paraId="25673B17" w14:textId="0B331517" w:rsidR="008A31EF" w:rsidRPr="00F10FCD" w:rsidRDefault="00AA71D6" w:rsidP="00565EF3">
      <w:pPr>
        <w:keepNext/>
        <w:spacing w:after="0" w:line="240" w:lineRule="auto"/>
        <w:ind w:left="0" w:firstLine="0"/>
        <w:rPr>
          <w:color w:val="auto"/>
          <w:lang w:val="es-ES"/>
        </w:rPr>
      </w:pPr>
      <w:r>
        <w:rPr>
          <w:color w:val="auto"/>
          <w:lang w:val="es-ES"/>
        </w:rPr>
        <w:t>MVASI</w:t>
      </w:r>
      <w:r w:rsidR="008A31EF">
        <w:rPr>
          <w:color w:val="auto"/>
          <w:lang w:val="es-ES"/>
        </w:rPr>
        <w:t xml:space="preserve"> </w:t>
      </w:r>
      <w:r w:rsidR="008A31EF" w:rsidRPr="008A31EF">
        <w:rPr>
          <w:color w:val="auto"/>
          <w:lang w:val="es-ES"/>
        </w:rPr>
        <w:t xml:space="preserve">es un medicamento biosimilar. </w:t>
      </w:r>
      <w:r w:rsidR="00322361">
        <w:rPr>
          <w:color w:val="auto"/>
          <w:lang w:val="es-ES"/>
        </w:rPr>
        <w:t>La</w:t>
      </w:r>
      <w:r w:rsidR="008A31EF" w:rsidRPr="008A31EF">
        <w:rPr>
          <w:color w:val="auto"/>
          <w:lang w:val="es-ES"/>
        </w:rPr>
        <w:t xml:space="preserve"> información detallada </w:t>
      </w:r>
      <w:r w:rsidR="00322361">
        <w:rPr>
          <w:color w:val="auto"/>
          <w:lang w:val="es-ES"/>
        </w:rPr>
        <w:t xml:space="preserve">sobre este medicamento está disponible </w:t>
      </w:r>
      <w:r w:rsidR="008A31EF" w:rsidRPr="008A31EF">
        <w:rPr>
          <w:color w:val="auto"/>
          <w:lang w:val="es-ES"/>
        </w:rPr>
        <w:t xml:space="preserve">en la página web de la Agencia Europea de Medicamentos </w:t>
      </w:r>
      <w:r w:rsidR="00A65A8E">
        <w:fldChar w:fldCharType="begin"/>
      </w:r>
      <w:r w:rsidR="00A65A8E" w:rsidRPr="00CC02A8">
        <w:rPr>
          <w:lang w:val="it-IT"/>
          <w:rPrChange w:id="2" w:author="Author">
            <w:rPr/>
          </w:rPrChange>
        </w:rPr>
        <w:instrText>HYPERLINK "http://www.ema.europa.eu"</w:instrText>
      </w:r>
      <w:r w:rsidR="00A65A8E">
        <w:fldChar w:fldCharType="separate"/>
      </w:r>
      <w:r w:rsidR="00A65A8E" w:rsidRPr="00DC14C3">
        <w:rPr>
          <w:rStyle w:val="Hyperlink"/>
          <w:lang w:val="es-ES"/>
        </w:rPr>
        <w:t>http://www.ema.europa.eu</w:t>
      </w:r>
      <w:r w:rsidR="00A65A8E">
        <w:fldChar w:fldCharType="end"/>
      </w:r>
      <w:r w:rsidR="008A31EF" w:rsidRPr="008A31EF">
        <w:rPr>
          <w:color w:val="auto"/>
          <w:lang w:val="es-ES"/>
        </w:rPr>
        <w:t>.</w:t>
      </w:r>
      <w:r w:rsidR="008A31EF">
        <w:rPr>
          <w:color w:val="auto"/>
          <w:lang w:val="es-ES"/>
        </w:rPr>
        <w:t xml:space="preserve"> </w:t>
      </w:r>
    </w:p>
    <w:p w14:paraId="0452B055" w14:textId="77777777" w:rsidR="00FB24C0" w:rsidRPr="00F10FCD" w:rsidRDefault="00FB24C0" w:rsidP="00FB24C0">
      <w:pPr>
        <w:spacing w:after="0" w:line="240" w:lineRule="auto"/>
        <w:ind w:left="0" w:firstLine="0"/>
        <w:rPr>
          <w:color w:val="auto"/>
          <w:lang w:val="es-ES"/>
        </w:rPr>
      </w:pPr>
    </w:p>
    <w:p w14:paraId="73437196" w14:textId="77777777" w:rsidR="00FB24C0" w:rsidRPr="00F10FCD" w:rsidRDefault="00FB24C0" w:rsidP="00565EF3">
      <w:pPr>
        <w:keepNext/>
        <w:spacing w:after="0" w:line="240" w:lineRule="auto"/>
        <w:ind w:left="0" w:firstLine="0"/>
        <w:rPr>
          <w:color w:val="auto"/>
          <w:u w:val="single"/>
          <w:lang w:val="es-ES"/>
        </w:rPr>
      </w:pPr>
      <w:r w:rsidRPr="00F10FCD">
        <w:rPr>
          <w:color w:val="auto"/>
          <w:u w:val="single"/>
          <w:lang w:val="es-ES"/>
        </w:rPr>
        <w:t>Mecanismo de acción</w:t>
      </w:r>
    </w:p>
    <w:p w14:paraId="7D6976FB" w14:textId="77777777" w:rsidR="00565EF3" w:rsidRPr="00F10FCD" w:rsidRDefault="00565EF3" w:rsidP="00565EF3">
      <w:pPr>
        <w:keepNext/>
        <w:spacing w:after="0" w:line="240" w:lineRule="auto"/>
        <w:ind w:left="0" w:firstLine="0"/>
        <w:rPr>
          <w:color w:val="auto"/>
          <w:lang w:val="es-ES"/>
        </w:rPr>
      </w:pPr>
    </w:p>
    <w:p w14:paraId="5206862D" w14:textId="77777777" w:rsidR="00FB24C0" w:rsidRPr="00F10FCD" w:rsidRDefault="00FB24C0" w:rsidP="00FB24C0">
      <w:pPr>
        <w:spacing w:after="0" w:line="240" w:lineRule="auto"/>
        <w:ind w:left="0" w:firstLine="0"/>
        <w:rPr>
          <w:color w:val="auto"/>
          <w:lang w:val="es-ES"/>
        </w:rPr>
      </w:pPr>
      <w:r w:rsidRPr="00F10FCD">
        <w:rPr>
          <w:color w:val="auto"/>
          <w:lang w:val="es-ES"/>
        </w:rPr>
        <w:t xml:space="preserve">Bevacizumab se une al factor de crecimiento del endotelio vascular (VEGF), factor clave de la </w:t>
      </w:r>
      <w:proofErr w:type="spellStart"/>
      <w:r w:rsidRPr="00F10FCD">
        <w:rPr>
          <w:color w:val="auto"/>
          <w:lang w:val="es-ES"/>
        </w:rPr>
        <w:t>vasculogénesis</w:t>
      </w:r>
      <w:proofErr w:type="spellEnd"/>
      <w:r w:rsidRPr="00F10FCD">
        <w:rPr>
          <w:color w:val="auto"/>
          <w:lang w:val="es-ES"/>
        </w:rPr>
        <w:t xml:space="preserve"> y la angiogénesis, inhibiendo así la unión de éste a sus receptores Flt-1 (VEGFR-1) y KDR (VEGFR-2), situados en la superficie de las células endoteliales. La neutralización de la actividad biológica del VEGF produce una regresión de la vascularización de los tumores, normaliza la </w:t>
      </w:r>
      <w:proofErr w:type="spellStart"/>
      <w:r w:rsidRPr="00F10FCD">
        <w:rPr>
          <w:color w:val="auto"/>
          <w:lang w:val="es-ES"/>
        </w:rPr>
        <w:t>vasculatura</w:t>
      </w:r>
      <w:proofErr w:type="spellEnd"/>
      <w:r w:rsidRPr="00F10FCD">
        <w:rPr>
          <w:color w:val="auto"/>
          <w:lang w:val="es-ES"/>
        </w:rPr>
        <w:t xml:space="preserve"> residual del tumor e inhibe la neovascularización tumoral, inhibiendo así el crecimiento del tumor.</w:t>
      </w:r>
    </w:p>
    <w:p w14:paraId="5F564416" w14:textId="77777777" w:rsidR="00FB24C0" w:rsidRPr="00F10FCD" w:rsidRDefault="00FB24C0" w:rsidP="00FB24C0">
      <w:pPr>
        <w:spacing w:after="0" w:line="240" w:lineRule="auto"/>
        <w:ind w:left="0" w:firstLine="0"/>
        <w:rPr>
          <w:color w:val="auto"/>
          <w:lang w:val="es-ES"/>
        </w:rPr>
      </w:pPr>
    </w:p>
    <w:p w14:paraId="0B7EF4BC" w14:textId="77777777" w:rsidR="00FB24C0" w:rsidRPr="00F10FCD" w:rsidRDefault="00FB24C0" w:rsidP="00565EF3">
      <w:pPr>
        <w:keepNext/>
        <w:spacing w:after="0" w:line="240" w:lineRule="auto"/>
        <w:ind w:left="0" w:firstLine="0"/>
        <w:rPr>
          <w:color w:val="auto"/>
          <w:u w:val="single"/>
          <w:lang w:val="es-ES"/>
        </w:rPr>
      </w:pPr>
      <w:r w:rsidRPr="00F10FCD">
        <w:rPr>
          <w:color w:val="auto"/>
          <w:u w:val="single"/>
          <w:lang w:val="es-ES"/>
        </w:rPr>
        <w:t>Efectos farmacodinámicos</w:t>
      </w:r>
    </w:p>
    <w:p w14:paraId="207F83A0" w14:textId="77777777" w:rsidR="00565EF3" w:rsidRPr="00F10FCD" w:rsidRDefault="00565EF3" w:rsidP="00565EF3">
      <w:pPr>
        <w:keepNext/>
        <w:spacing w:after="0" w:line="240" w:lineRule="auto"/>
        <w:ind w:left="0" w:firstLine="0"/>
        <w:rPr>
          <w:color w:val="auto"/>
          <w:lang w:val="es-ES"/>
        </w:rPr>
      </w:pPr>
    </w:p>
    <w:p w14:paraId="56E954DC" w14:textId="77777777" w:rsidR="00FB24C0" w:rsidRPr="00F10FCD" w:rsidRDefault="00FB24C0" w:rsidP="00FB24C0">
      <w:pPr>
        <w:spacing w:after="0" w:line="240" w:lineRule="auto"/>
        <w:ind w:left="0" w:firstLine="0"/>
        <w:rPr>
          <w:color w:val="auto"/>
          <w:lang w:val="es-ES"/>
        </w:rPr>
      </w:pPr>
      <w:r w:rsidRPr="00F10FCD">
        <w:rPr>
          <w:color w:val="auto"/>
          <w:lang w:val="es-ES"/>
        </w:rPr>
        <w:t>La administración de bevacizumab o del anticuerpo murino correspondiente en ratones inmunodeficientes (</w:t>
      </w:r>
      <w:proofErr w:type="gramStart"/>
      <w:r w:rsidRPr="00F10FCD">
        <w:rPr>
          <w:i/>
          <w:color w:val="auto"/>
          <w:lang w:val="es-ES"/>
        </w:rPr>
        <w:t>nude</w:t>
      </w:r>
      <w:proofErr w:type="gramEnd"/>
      <w:r w:rsidRPr="00F10FCD">
        <w:rPr>
          <w:color w:val="auto"/>
          <w:lang w:val="es-ES"/>
        </w:rPr>
        <w:t xml:space="preserve">) </w:t>
      </w:r>
      <w:proofErr w:type="spellStart"/>
      <w:r w:rsidRPr="00F10FCD">
        <w:rPr>
          <w:color w:val="auto"/>
          <w:lang w:val="es-ES"/>
        </w:rPr>
        <w:t>xeno</w:t>
      </w:r>
      <w:proofErr w:type="spellEnd"/>
      <w:r w:rsidRPr="00F10FCD">
        <w:rPr>
          <w:color w:val="auto"/>
          <w:lang w:val="es-ES"/>
        </w:rPr>
        <w:t>-trasplantados (modelos de cáncer) resultó en una amplia actividad antitumoral sobre varios tipos de cáncer humano, incluyendo colon, mama, páncreas y próstata. Se inhibió la progresión de la enfermedad metastásica y se redujo la permeabilidad microvascular.</w:t>
      </w:r>
    </w:p>
    <w:p w14:paraId="50695D8E" w14:textId="77777777" w:rsidR="00FB24C0" w:rsidRPr="00F10FCD" w:rsidRDefault="00FB24C0" w:rsidP="00FB24C0">
      <w:pPr>
        <w:spacing w:after="0" w:line="240" w:lineRule="auto"/>
        <w:ind w:left="0" w:firstLine="0"/>
        <w:rPr>
          <w:color w:val="auto"/>
          <w:lang w:val="es-ES"/>
        </w:rPr>
      </w:pPr>
    </w:p>
    <w:p w14:paraId="7536DE0F" w14:textId="77777777" w:rsidR="00FB24C0" w:rsidRPr="00F10FCD" w:rsidRDefault="00FB24C0" w:rsidP="00FB24C0">
      <w:pPr>
        <w:keepNext/>
        <w:spacing w:after="0" w:line="240" w:lineRule="auto"/>
        <w:ind w:left="0" w:firstLine="0"/>
        <w:rPr>
          <w:color w:val="auto"/>
          <w:u w:val="single"/>
          <w:lang w:val="es-ES"/>
        </w:rPr>
      </w:pPr>
      <w:r w:rsidRPr="00F10FCD">
        <w:rPr>
          <w:color w:val="auto"/>
          <w:u w:val="single"/>
          <w:lang w:val="es-ES"/>
        </w:rPr>
        <w:lastRenderedPageBreak/>
        <w:t>Eficacia clínica</w:t>
      </w:r>
      <w:r w:rsidR="00F6464E">
        <w:rPr>
          <w:color w:val="auto"/>
          <w:u w:val="single"/>
          <w:lang w:val="es-ES"/>
        </w:rPr>
        <w:t xml:space="preserve"> y seguridad </w:t>
      </w:r>
    </w:p>
    <w:p w14:paraId="54F1DE9B" w14:textId="77777777" w:rsidR="00FB24C0" w:rsidRPr="00F10FCD" w:rsidRDefault="00FB24C0" w:rsidP="00FB24C0">
      <w:pPr>
        <w:keepNext/>
        <w:spacing w:after="0" w:line="240" w:lineRule="auto"/>
        <w:ind w:left="0" w:firstLine="0"/>
        <w:rPr>
          <w:color w:val="auto"/>
          <w:lang w:val="es-ES"/>
        </w:rPr>
      </w:pPr>
    </w:p>
    <w:p w14:paraId="5DF5D592" w14:textId="77777777" w:rsidR="00FB24C0" w:rsidRPr="00F10FCD" w:rsidRDefault="00FB24C0" w:rsidP="00FB24C0">
      <w:pPr>
        <w:keepNext/>
        <w:spacing w:after="0" w:line="240" w:lineRule="auto"/>
        <w:ind w:left="0" w:firstLine="0"/>
        <w:rPr>
          <w:i/>
          <w:color w:val="auto"/>
          <w:lang w:val="es-ES"/>
        </w:rPr>
      </w:pPr>
      <w:r w:rsidRPr="00F10FCD">
        <w:rPr>
          <w:i/>
          <w:color w:val="auto"/>
          <w:u w:val="single" w:color="000000"/>
          <w:lang w:val="es-ES"/>
        </w:rPr>
        <w:t>Carcinoma metastásico de colon o recto (</w:t>
      </w:r>
      <w:proofErr w:type="spellStart"/>
      <w:r w:rsidRPr="00F10FCD">
        <w:rPr>
          <w:i/>
          <w:color w:val="auto"/>
          <w:u w:val="single" w:color="000000"/>
          <w:lang w:val="es-ES"/>
        </w:rPr>
        <w:t>CCRm</w:t>
      </w:r>
      <w:proofErr w:type="spellEnd"/>
      <w:r w:rsidRPr="00F10FCD">
        <w:rPr>
          <w:i/>
          <w:color w:val="auto"/>
          <w:u w:val="single" w:color="000000"/>
          <w:lang w:val="es-ES"/>
        </w:rPr>
        <w:t>)</w:t>
      </w:r>
    </w:p>
    <w:p w14:paraId="3B0F2625" w14:textId="77777777" w:rsidR="00FB24C0" w:rsidRPr="00F10FCD" w:rsidRDefault="00FB24C0" w:rsidP="00FB24C0">
      <w:pPr>
        <w:keepNext/>
        <w:spacing w:after="0" w:line="240" w:lineRule="auto"/>
        <w:ind w:left="0" w:firstLine="0"/>
        <w:rPr>
          <w:color w:val="auto"/>
          <w:lang w:val="es-ES"/>
        </w:rPr>
      </w:pPr>
    </w:p>
    <w:p w14:paraId="4F3726B1" w14:textId="5C6A4B7D" w:rsidR="00FB24C0" w:rsidRPr="00F10FCD" w:rsidRDefault="00FB24C0" w:rsidP="00565EF3">
      <w:pPr>
        <w:spacing w:after="0" w:line="240" w:lineRule="auto"/>
        <w:ind w:left="0" w:firstLine="0"/>
        <w:rPr>
          <w:color w:val="auto"/>
          <w:lang w:val="es-ES"/>
        </w:rPr>
      </w:pPr>
      <w:r w:rsidRPr="00F10FCD">
        <w:rPr>
          <w:color w:val="auto"/>
          <w:lang w:val="es-ES"/>
        </w:rPr>
        <w:t xml:space="preserve">La seguridad y la eficacia de la dosis recomendada (5 mg/kg de peso corporal cada dos semanas) en carcinoma metastásico de colon o recto fueron estudiadas en tres ensayos clínicos aleatorizados controlados con comparador activo, en combinación con una quimioterapia de primera línea basada en </w:t>
      </w:r>
      <w:proofErr w:type="spellStart"/>
      <w:r w:rsidRPr="00F10FCD">
        <w:rPr>
          <w:color w:val="auto"/>
          <w:lang w:val="es-ES"/>
        </w:rPr>
        <w:t>fluoropirimidinas</w:t>
      </w:r>
      <w:proofErr w:type="spellEnd"/>
      <w:r w:rsidR="00A10581">
        <w:rPr>
          <w:color w:val="auto"/>
          <w:lang w:val="es-ES"/>
        </w:rPr>
        <w:t>.</w:t>
      </w:r>
      <w:r w:rsidRPr="00F10FCD">
        <w:rPr>
          <w:color w:val="auto"/>
          <w:lang w:val="es-ES"/>
        </w:rPr>
        <w:t xml:space="preserve"> </w:t>
      </w:r>
      <w:r w:rsidR="00A10581">
        <w:rPr>
          <w:lang w:val="es-ES"/>
        </w:rPr>
        <w:t>B</w:t>
      </w:r>
      <w:r w:rsidR="00F6464E" w:rsidRPr="001919A9">
        <w:rPr>
          <w:lang w:val="es-ES"/>
        </w:rPr>
        <w:t>evacizumab</w:t>
      </w:r>
      <w:r w:rsidRPr="00F10FCD">
        <w:rPr>
          <w:color w:val="auto"/>
          <w:lang w:val="es-ES"/>
        </w:rPr>
        <w:t xml:space="preserve"> se combinó con dos </w:t>
      </w:r>
      <w:r w:rsidR="00322361">
        <w:rPr>
          <w:color w:val="auto"/>
          <w:lang w:val="es-ES"/>
        </w:rPr>
        <w:t xml:space="preserve">tratamientos </w:t>
      </w:r>
      <w:r w:rsidRPr="00F10FCD">
        <w:rPr>
          <w:color w:val="auto"/>
          <w:lang w:val="es-ES"/>
        </w:rPr>
        <w:t>quimioterápicos:</w:t>
      </w:r>
    </w:p>
    <w:p w14:paraId="11D4388F" w14:textId="77777777" w:rsidR="00FB24C0" w:rsidRPr="00F10FCD" w:rsidRDefault="00FB24C0" w:rsidP="00565EF3">
      <w:pPr>
        <w:spacing w:after="0" w:line="240" w:lineRule="auto"/>
        <w:ind w:left="0" w:firstLine="0"/>
        <w:rPr>
          <w:color w:val="auto"/>
          <w:lang w:val="es-ES"/>
        </w:rPr>
      </w:pPr>
    </w:p>
    <w:p w14:paraId="158A7AC7" w14:textId="45CA8174" w:rsidR="00FB24C0" w:rsidRPr="00F10FCD" w:rsidRDefault="00FB24C0" w:rsidP="00565EF3">
      <w:pPr>
        <w:numPr>
          <w:ilvl w:val="0"/>
          <w:numId w:val="4"/>
        </w:numPr>
        <w:spacing w:after="0" w:line="240" w:lineRule="auto"/>
        <w:ind w:left="567" w:hanging="567"/>
        <w:rPr>
          <w:color w:val="auto"/>
          <w:lang w:val="es-ES"/>
        </w:rPr>
      </w:pPr>
      <w:r w:rsidRPr="00F10FCD">
        <w:rPr>
          <w:color w:val="auto"/>
          <w:lang w:val="es-ES"/>
        </w:rPr>
        <w:t xml:space="preserve">AVF2107g: Un esquema semanal de irinotecán/5-fluorouracilo en bolo/ácido </w:t>
      </w:r>
      <w:proofErr w:type="spellStart"/>
      <w:r w:rsidRPr="00F10FCD">
        <w:rPr>
          <w:color w:val="auto"/>
          <w:lang w:val="es-ES"/>
        </w:rPr>
        <w:t>folínico</w:t>
      </w:r>
      <w:proofErr w:type="spellEnd"/>
      <w:r w:rsidRPr="00F10FCD">
        <w:rPr>
          <w:color w:val="auto"/>
          <w:lang w:val="es-ES"/>
        </w:rPr>
        <w:t xml:space="preserve"> (IFL)</w:t>
      </w:r>
      <w:r w:rsidR="002414C8">
        <w:rPr>
          <w:color w:val="auto"/>
          <w:lang w:val="es-ES"/>
        </w:rPr>
        <w:t xml:space="preserve"> </w:t>
      </w:r>
      <w:r w:rsidRPr="00F10FCD">
        <w:rPr>
          <w:color w:val="auto"/>
          <w:lang w:val="es-ES"/>
        </w:rPr>
        <w:t xml:space="preserve">durante un total de 4 semanas de cada ciclo de 6 semanas (régimen de </w:t>
      </w:r>
      <w:proofErr w:type="spellStart"/>
      <w:r w:rsidRPr="00F10FCD">
        <w:rPr>
          <w:color w:val="auto"/>
          <w:lang w:val="es-ES"/>
        </w:rPr>
        <w:t>Saltz</w:t>
      </w:r>
      <w:proofErr w:type="spellEnd"/>
      <w:r w:rsidRPr="00F10FCD">
        <w:rPr>
          <w:color w:val="auto"/>
          <w:lang w:val="es-ES"/>
        </w:rPr>
        <w:t>).</w:t>
      </w:r>
    </w:p>
    <w:p w14:paraId="7C94D9F0" w14:textId="77777777" w:rsidR="00FB24C0" w:rsidRPr="00F10FCD" w:rsidRDefault="00FB24C0" w:rsidP="00565EF3">
      <w:pPr>
        <w:numPr>
          <w:ilvl w:val="0"/>
          <w:numId w:val="4"/>
        </w:numPr>
        <w:spacing w:after="0" w:line="240" w:lineRule="auto"/>
        <w:ind w:left="567" w:hanging="567"/>
        <w:rPr>
          <w:color w:val="auto"/>
          <w:lang w:val="es-ES"/>
        </w:rPr>
      </w:pPr>
      <w:r w:rsidRPr="00F10FCD">
        <w:rPr>
          <w:color w:val="auto"/>
          <w:lang w:val="es-ES"/>
        </w:rPr>
        <w:t xml:space="preserve">AVF0780g: En combinación con 5-fluorouracilo en bolo/ácido </w:t>
      </w:r>
      <w:proofErr w:type="spellStart"/>
      <w:r w:rsidRPr="00F10FCD">
        <w:rPr>
          <w:color w:val="auto"/>
          <w:lang w:val="es-ES"/>
        </w:rPr>
        <w:t>folínico</w:t>
      </w:r>
      <w:proofErr w:type="spellEnd"/>
      <w:r w:rsidRPr="00F10FCD">
        <w:rPr>
          <w:color w:val="auto"/>
          <w:lang w:val="es-ES"/>
        </w:rPr>
        <w:t xml:space="preserve"> (5-FU/FA) durante un total de 6 semanas de cada ciclo de 8 semanas (régimen de Roswell Park).</w:t>
      </w:r>
    </w:p>
    <w:p w14:paraId="7579CE7C" w14:textId="77777777" w:rsidR="00FB24C0" w:rsidRPr="00F10FCD" w:rsidRDefault="00FB24C0" w:rsidP="00565EF3">
      <w:pPr>
        <w:numPr>
          <w:ilvl w:val="0"/>
          <w:numId w:val="4"/>
        </w:numPr>
        <w:spacing w:after="0" w:line="240" w:lineRule="auto"/>
        <w:ind w:left="567" w:hanging="567"/>
        <w:rPr>
          <w:color w:val="auto"/>
          <w:lang w:val="es-ES"/>
        </w:rPr>
      </w:pPr>
      <w:r w:rsidRPr="00F10FCD">
        <w:rPr>
          <w:color w:val="auto"/>
          <w:lang w:val="es-ES"/>
        </w:rPr>
        <w:t>AVF2192g: En combinación con 5-FU en bolo/FA durante un total de 6 semanas de cada ciclo de 8 semanas (régimen de Roswell Park) en pacientes que no eran candidatos óptimos para un tratamiento de primera línea con irinotecán.</w:t>
      </w:r>
    </w:p>
    <w:p w14:paraId="5CF36674" w14:textId="77777777" w:rsidR="00FB24C0" w:rsidRPr="00F10FCD" w:rsidRDefault="00FB24C0" w:rsidP="00FB24C0">
      <w:pPr>
        <w:spacing w:after="0" w:line="240" w:lineRule="auto"/>
        <w:ind w:left="0" w:firstLine="0"/>
        <w:rPr>
          <w:color w:val="auto"/>
          <w:lang w:val="es-ES"/>
        </w:rPr>
      </w:pPr>
    </w:p>
    <w:p w14:paraId="00AE5047" w14:textId="5B7F5C6A" w:rsidR="00FB24C0" w:rsidRPr="00F10FCD" w:rsidRDefault="00FB24C0" w:rsidP="00565EF3">
      <w:pPr>
        <w:keepNext/>
        <w:spacing w:after="0" w:line="240" w:lineRule="auto"/>
        <w:ind w:left="0" w:firstLine="0"/>
        <w:rPr>
          <w:color w:val="auto"/>
          <w:lang w:val="es-ES"/>
        </w:rPr>
      </w:pPr>
      <w:r w:rsidRPr="00F10FCD">
        <w:rPr>
          <w:color w:val="auto"/>
          <w:lang w:val="es-ES"/>
        </w:rPr>
        <w:t xml:space="preserve">Se llevaron a cabo tres ensayos adicionales con bevacizumab en pacientes con </w:t>
      </w:r>
      <w:proofErr w:type="spellStart"/>
      <w:r w:rsidRPr="00F10FCD">
        <w:rPr>
          <w:color w:val="auto"/>
          <w:lang w:val="es-ES"/>
        </w:rPr>
        <w:t>CRCm</w:t>
      </w:r>
      <w:proofErr w:type="spellEnd"/>
      <w:r w:rsidRPr="00F10FCD">
        <w:rPr>
          <w:color w:val="auto"/>
          <w:lang w:val="es-ES"/>
        </w:rPr>
        <w:t>: en primera línea (NO16966), en segunda línea sin tratamiento previo con bevacizumab (E3200) y en segunda línea con tratamiento previo con bevacizumab tras progresión de la enfermedad en la primera línea</w:t>
      </w:r>
      <w:r w:rsidR="00565EF3" w:rsidRPr="00F10FCD">
        <w:rPr>
          <w:color w:val="auto"/>
          <w:lang w:val="es-ES"/>
        </w:rPr>
        <w:t xml:space="preserve"> </w:t>
      </w:r>
      <w:r w:rsidRPr="00F10FCD">
        <w:rPr>
          <w:color w:val="auto"/>
          <w:lang w:val="es-ES"/>
        </w:rPr>
        <w:t>(ML18147). En estos estudios, bevacizumab se administró en combinación con FOLFOX-4 (5FU/LV/</w:t>
      </w:r>
      <w:proofErr w:type="spellStart"/>
      <w:r w:rsidRPr="00F10FCD">
        <w:rPr>
          <w:color w:val="auto"/>
          <w:lang w:val="es-ES"/>
        </w:rPr>
        <w:t>oxaliplatino</w:t>
      </w:r>
      <w:proofErr w:type="spellEnd"/>
      <w:r w:rsidRPr="00F10FCD">
        <w:rPr>
          <w:color w:val="auto"/>
          <w:lang w:val="es-ES"/>
        </w:rPr>
        <w:t>) y XELOX (</w:t>
      </w:r>
      <w:proofErr w:type="spellStart"/>
      <w:r w:rsidRPr="00F10FCD">
        <w:rPr>
          <w:color w:val="auto"/>
          <w:lang w:val="es-ES"/>
        </w:rPr>
        <w:t>capecitabina</w:t>
      </w:r>
      <w:proofErr w:type="spellEnd"/>
      <w:r w:rsidRPr="00F10FCD">
        <w:rPr>
          <w:color w:val="auto"/>
          <w:lang w:val="es-ES"/>
        </w:rPr>
        <w:t>/</w:t>
      </w:r>
      <w:proofErr w:type="spellStart"/>
      <w:r w:rsidRPr="00F10FCD">
        <w:rPr>
          <w:color w:val="auto"/>
          <w:lang w:val="es-ES"/>
        </w:rPr>
        <w:t>oxaliplatino</w:t>
      </w:r>
      <w:proofErr w:type="spellEnd"/>
      <w:r w:rsidRPr="00F10FCD">
        <w:rPr>
          <w:color w:val="auto"/>
          <w:lang w:val="es-ES"/>
        </w:rPr>
        <w:t xml:space="preserve">) y </w:t>
      </w:r>
      <w:proofErr w:type="spellStart"/>
      <w:r w:rsidRPr="00F10FCD">
        <w:rPr>
          <w:color w:val="auto"/>
          <w:lang w:val="es-ES"/>
        </w:rPr>
        <w:t>fluoropirimidina</w:t>
      </w:r>
      <w:proofErr w:type="spellEnd"/>
      <w:r w:rsidRPr="00F10FCD">
        <w:rPr>
          <w:color w:val="auto"/>
          <w:lang w:val="es-ES"/>
        </w:rPr>
        <w:t xml:space="preserve">/irinotecán y </w:t>
      </w:r>
      <w:proofErr w:type="spellStart"/>
      <w:r w:rsidRPr="00F10FCD">
        <w:rPr>
          <w:color w:val="auto"/>
          <w:lang w:val="es-ES"/>
        </w:rPr>
        <w:t>fluoropirimidina</w:t>
      </w:r>
      <w:proofErr w:type="spellEnd"/>
      <w:r w:rsidRPr="00F10FCD">
        <w:rPr>
          <w:color w:val="auto"/>
          <w:lang w:val="es-ES"/>
        </w:rPr>
        <w:t>/</w:t>
      </w:r>
      <w:proofErr w:type="spellStart"/>
      <w:r w:rsidRPr="00F10FCD">
        <w:rPr>
          <w:color w:val="auto"/>
          <w:lang w:val="es-ES"/>
        </w:rPr>
        <w:t>oxaliplatino</w:t>
      </w:r>
      <w:proofErr w:type="spellEnd"/>
      <w:r w:rsidRPr="00F10FCD">
        <w:rPr>
          <w:color w:val="auto"/>
          <w:lang w:val="es-ES"/>
        </w:rPr>
        <w:t>, en l</w:t>
      </w:r>
      <w:r w:rsidR="00322361">
        <w:rPr>
          <w:color w:val="auto"/>
          <w:lang w:val="es-ES"/>
        </w:rPr>
        <w:t>a</w:t>
      </w:r>
      <w:r w:rsidRPr="00F10FCD">
        <w:rPr>
          <w:color w:val="auto"/>
          <w:lang w:val="es-ES"/>
        </w:rPr>
        <w:t xml:space="preserve">s siguientes </w:t>
      </w:r>
      <w:r w:rsidR="00322361">
        <w:rPr>
          <w:color w:val="auto"/>
          <w:lang w:val="es-ES"/>
        </w:rPr>
        <w:t>pautas</w:t>
      </w:r>
      <w:r w:rsidRPr="00F10FCD">
        <w:rPr>
          <w:color w:val="auto"/>
          <w:lang w:val="es-ES"/>
        </w:rPr>
        <w:t xml:space="preserve"> posológic</w:t>
      </w:r>
      <w:r w:rsidR="00322361">
        <w:rPr>
          <w:color w:val="auto"/>
          <w:lang w:val="es-ES"/>
        </w:rPr>
        <w:t>a</w:t>
      </w:r>
      <w:r w:rsidRPr="00F10FCD">
        <w:rPr>
          <w:color w:val="auto"/>
          <w:lang w:val="es-ES"/>
        </w:rPr>
        <w:t>s:</w:t>
      </w:r>
    </w:p>
    <w:p w14:paraId="3A4A68FE" w14:textId="77777777" w:rsidR="00FB24C0" w:rsidRPr="00F10FCD" w:rsidRDefault="00FB24C0" w:rsidP="00EF0812">
      <w:pPr>
        <w:widowControl w:val="0"/>
        <w:spacing w:after="0" w:line="240" w:lineRule="auto"/>
        <w:ind w:left="0" w:firstLine="0"/>
        <w:rPr>
          <w:color w:val="auto"/>
          <w:lang w:val="es-ES"/>
        </w:rPr>
      </w:pPr>
    </w:p>
    <w:p w14:paraId="53AAB0C4" w14:textId="77777777" w:rsidR="00FB24C0" w:rsidRPr="00F10FCD" w:rsidRDefault="00FB24C0" w:rsidP="00EF0812">
      <w:pPr>
        <w:keepNext/>
        <w:keepLines/>
        <w:numPr>
          <w:ilvl w:val="0"/>
          <w:numId w:val="4"/>
        </w:numPr>
        <w:spacing w:after="0" w:line="240" w:lineRule="auto"/>
        <w:ind w:left="567" w:hanging="567"/>
        <w:rPr>
          <w:color w:val="auto"/>
          <w:lang w:val="es-ES"/>
        </w:rPr>
      </w:pPr>
      <w:r w:rsidRPr="00F10FCD">
        <w:rPr>
          <w:color w:val="auto"/>
          <w:lang w:val="es-ES"/>
        </w:rPr>
        <w:t xml:space="preserve">NO16966: </w:t>
      </w:r>
      <w:r w:rsidR="00F6464E" w:rsidRPr="001919A9">
        <w:rPr>
          <w:lang w:val="es-ES"/>
        </w:rPr>
        <w:t>bevacizumab</w:t>
      </w:r>
      <w:r w:rsidRPr="00F10FCD">
        <w:rPr>
          <w:color w:val="auto"/>
          <w:lang w:val="es-ES"/>
        </w:rPr>
        <w:t xml:space="preserve"> a una dosis de 7,5 mg/kg de peso corporal cada 3 semanas en combinación con </w:t>
      </w:r>
      <w:proofErr w:type="spellStart"/>
      <w:r w:rsidRPr="00F10FCD">
        <w:rPr>
          <w:color w:val="auto"/>
          <w:lang w:val="es-ES"/>
        </w:rPr>
        <w:t>capecitabina</w:t>
      </w:r>
      <w:proofErr w:type="spellEnd"/>
      <w:r w:rsidRPr="00F10FCD">
        <w:rPr>
          <w:color w:val="auto"/>
          <w:lang w:val="es-ES"/>
        </w:rPr>
        <w:t xml:space="preserve"> oral y </w:t>
      </w:r>
      <w:proofErr w:type="spellStart"/>
      <w:r w:rsidRPr="00F10FCD">
        <w:rPr>
          <w:color w:val="auto"/>
          <w:lang w:val="es-ES"/>
        </w:rPr>
        <w:t>oxaliplatino</w:t>
      </w:r>
      <w:proofErr w:type="spellEnd"/>
      <w:r w:rsidRPr="00F10FCD">
        <w:rPr>
          <w:color w:val="auto"/>
          <w:lang w:val="es-ES"/>
        </w:rPr>
        <w:t xml:space="preserve"> intravenoso (XELOX) o 5 mg/kg de </w:t>
      </w:r>
      <w:r w:rsidR="00F6464E" w:rsidRPr="001919A9">
        <w:rPr>
          <w:lang w:val="es-ES"/>
        </w:rPr>
        <w:t>bevacizumab</w:t>
      </w:r>
      <w:r w:rsidRPr="00F10FCD">
        <w:rPr>
          <w:color w:val="auto"/>
          <w:lang w:val="es-ES"/>
        </w:rPr>
        <w:t xml:space="preserve"> cada 2</w:t>
      </w:r>
      <w:r w:rsidR="00F10FCD" w:rsidRPr="00F10FCD">
        <w:rPr>
          <w:color w:val="auto"/>
          <w:lang w:val="es-ES"/>
        </w:rPr>
        <w:t> </w:t>
      </w:r>
      <w:r w:rsidRPr="00F10FCD">
        <w:rPr>
          <w:color w:val="auto"/>
          <w:lang w:val="es-ES"/>
        </w:rPr>
        <w:t xml:space="preserve">semanas en combinación con </w:t>
      </w:r>
      <w:proofErr w:type="spellStart"/>
      <w:r w:rsidRPr="00F10FCD">
        <w:rPr>
          <w:color w:val="auto"/>
          <w:lang w:val="es-ES"/>
        </w:rPr>
        <w:t>leucovorin</w:t>
      </w:r>
      <w:proofErr w:type="spellEnd"/>
      <w:r w:rsidRPr="00F10FCD">
        <w:rPr>
          <w:color w:val="auto"/>
          <w:lang w:val="es-ES"/>
        </w:rPr>
        <w:t xml:space="preserve"> + 5-fluorouracilo en bolo, seguido de una perfusión de 5-fluorouracilo con </w:t>
      </w:r>
      <w:proofErr w:type="spellStart"/>
      <w:r w:rsidRPr="00F10FCD">
        <w:rPr>
          <w:color w:val="auto"/>
          <w:lang w:val="es-ES"/>
        </w:rPr>
        <w:t>oxaliplatino</w:t>
      </w:r>
      <w:proofErr w:type="spellEnd"/>
      <w:r w:rsidRPr="00F10FCD">
        <w:rPr>
          <w:color w:val="auto"/>
          <w:lang w:val="es-ES"/>
        </w:rPr>
        <w:t xml:space="preserve"> intravenoso (FOLFOX-4).</w:t>
      </w:r>
    </w:p>
    <w:p w14:paraId="564C21FF" w14:textId="77777777" w:rsidR="00FB24C0" w:rsidRPr="00F10FCD" w:rsidRDefault="00FB24C0" w:rsidP="00565EF3">
      <w:pPr>
        <w:keepNext/>
        <w:numPr>
          <w:ilvl w:val="0"/>
          <w:numId w:val="4"/>
        </w:numPr>
        <w:spacing w:after="0" w:line="240" w:lineRule="auto"/>
        <w:ind w:left="567" w:hanging="567"/>
        <w:rPr>
          <w:color w:val="auto"/>
          <w:lang w:val="es-ES"/>
        </w:rPr>
      </w:pPr>
      <w:r w:rsidRPr="00F10FCD">
        <w:rPr>
          <w:color w:val="auto"/>
          <w:lang w:val="es-ES"/>
        </w:rPr>
        <w:t xml:space="preserve">E3200: </w:t>
      </w:r>
      <w:r w:rsidR="00F6464E" w:rsidRPr="001919A9">
        <w:rPr>
          <w:lang w:val="es-ES"/>
        </w:rPr>
        <w:t>bevacizumab</w:t>
      </w:r>
      <w:r w:rsidRPr="00F10FCD">
        <w:rPr>
          <w:color w:val="auto"/>
          <w:lang w:val="es-ES"/>
        </w:rPr>
        <w:t xml:space="preserve"> a una dosis de 10 mg/kg de peso corporal cada 2 semanas en combinación con leucovorina y 5-fluorouracilo en bolo, seguido de una perfusión de 5-fluorouracilo con </w:t>
      </w:r>
      <w:proofErr w:type="spellStart"/>
      <w:r w:rsidRPr="00F10FCD">
        <w:rPr>
          <w:color w:val="auto"/>
          <w:lang w:val="es-ES"/>
        </w:rPr>
        <w:t>oxaliplatino</w:t>
      </w:r>
      <w:proofErr w:type="spellEnd"/>
      <w:r w:rsidRPr="00F10FCD">
        <w:rPr>
          <w:color w:val="auto"/>
          <w:lang w:val="es-ES"/>
        </w:rPr>
        <w:t xml:space="preserve"> intravenoso (FOLFOX-4) en pacientes no tratados previamente con bevacizumab.</w:t>
      </w:r>
    </w:p>
    <w:p w14:paraId="41C128D3" w14:textId="77777777" w:rsidR="00FB24C0" w:rsidRPr="00F10FCD" w:rsidRDefault="00FB24C0" w:rsidP="00565EF3">
      <w:pPr>
        <w:keepNext/>
        <w:numPr>
          <w:ilvl w:val="0"/>
          <w:numId w:val="4"/>
        </w:numPr>
        <w:spacing w:after="0" w:line="240" w:lineRule="auto"/>
        <w:ind w:left="567" w:hanging="567"/>
        <w:rPr>
          <w:color w:val="auto"/>
          <w:lang w:val="es-ES"/>
        </w:rPr>
      </w:pPr>
      <w:r w:rsidRPr="00F10FCD">
        <w:rPr>
          <w:color w:val="auto"/>
          <w:lang w:val="es-ES"/>
        </w:rPr>
        <w:t xml:space="preserve">ML18147: </w:t>
      </w:r>
      <w:r w:rsidR="00F6464E" w:rsidRPr="001919A9">
        <w:rPr>
          <w:lang w:val="es-ES"/>
        </w:rPr>
        <w:t>bevacizumab</w:t>
      </w:r>
      <w:r w:rsidRPr="00F10FCD">
        <w:rPr>
          <w:color w:val="auto"/>
          <w:lang w:val="es-ES"/>
        </w:rPr>
        <w:t xml:space="preserve"> a una dosis de 5,0 mg/kg de peso corporal cada 2 semanas o </w:t>
      </w:r>
      <w:r w:rsidR="00F6464E" w:rsidRPr="001919A9">
        <w:rPr>
          <w:lang w:val="es-ES"/>
        </w:rPr>
        <w:t>bevacizumab</w:t>
      </w:r>
      <w:r w:rsidRPr="00F10FCD">
        <w:rPr>
          <w:color w:val="auto"/>
          <w:lang w:val="es-ES"/>
        </w:rPr>
        <w:t xml:space="preserve"> 7,5 mg/kg de peso corporal cada 3 semanas en combinación con </w:t>
      </w:r>
      <w:proofErr w:type="spellStart"/>
      <w:r w:rsidRPr="00F10FCD">
        <w:rPr>
          <w:color w:val="auto"/>
          <w:lang w:val="es-ES"/>
        </w:rPr>
        <w:t>fluoropirimidina</w:t>
      </w:r>
      <w:proofErr w:type="spellEnd"/>
      <w:r w:rsidRPr="00F10FCD">
        <w:rPr>
          <w:color w:val="auto"/>
          <w:lang w:val="es-ES"/>
        </w:rPr>
        <w:t xml:space="preserve">/irinotecán o </w:t>
      </w:r>
      <w:proofErr w:type="spellStart"/>
      <w:r w:rsidRPr="00F10FCD">
        <w:rPr>
          <w:color w:val="auto"/>
          <w:lang w:val="es-ES"/>
        </w:rPr>
        <w:t>fluoropirimidina</w:t>
      </w:r>
      <w:proofErr w:type="spellEnd"/>
      <w:r w:rsidRPr="00F10FCD">
        <w:rPr>
          <w:color w:val="auto"/>
          <w:lang w:val="es-ES"/>
        </w:rPr>
        <w:t>/</w:t>
      </w:r>
      <w:proofErr w:type="spellStart"/>
      <w:r w:rsidRPr="00F10FCD">
        <w:rPr>
          <w:color w:val="auto"/>
          <w:lang w:val="es-ES"/>
        </w:rPr>
        <w:t>oxaliplatino</w:t>
      </w:r>
      <w:proofErr w:type="spellEnd"/>
      <w:r w:rsidRPr="00F10FCD">
        <w:rPr>
          <w:color w:val="auto"/>
          <w:lang w:val="es-ES"/>
        </w:rPr>
        <w:t xml:space="preserve"> en pacientes con progresión de la enfermedad tras el tratamiento con bevacizumab en primera línea. El uso del régimen de tratamiento conteniendo irinotecán u </w:t>
      </w:r>
      <w:proofErr w:type="spellStart"/>
      <w:r w:rsidRPr="00F10FCD">
        <w:rPr>
          <w:color w:val="auto"/>
          <w:lang w:val="es-ES"/>
        </w:rPr>
        <w:t>oxaliplatino</w:t>
      </w:r>
      <w:proofErr w:type="spellEnd"/>
      <w:r w:rsidRPr="00F10FCD">
        <w:rPr>
          <w:color w:val="auto"/>
          <w:lang w:val="es-ES"/>
        </w:rPr>
        <w:t xml:space="preserve"> se cambió dependiendo de que la primera línea utilizada fuera con </w:t>
      </w:r>
      <w:proofErr w:type="spellStart"/>
      <w:r w:rsidRPr="00F10FCD">
        <w:rPr>
          <w:color w:val="auto"/>
          <w:lang w:val="es-ES"/>
        </w:rPr>
        <w:t>oxaliplatino</w:t>
      </w:r>
      <w:proofErr w:type="spellEnd"/>
      <w:r w:rsidRPr="00F10FCD">
        <w:rPr>
          <w:color w:val="auto"/>
          <w:lang w:val="es-ES"/>
        </w:rPr>
        <w:t xml:space="preserve"> o irinotecán.</w:t>
      </w:r>
    </w:p>
    <w:p w14:paraId="2A4803CA" w14:textId="77777777" w:rsidR="00FB24C0" w:rsidRPr="00F10FCD" w:rsidRDefault="00FB24C0" w:rsidP="00FB24C0">
      <w:pPr>
        <w:spacing w:after="0" w:line="240" w:lineRule="auto"/>
        <w:ind w:left="0" w:firstLine="0"/>
        <w:rPr>
          <w:color w:val="auto"/>
          <w:lang w:val="es-ES"/>
        </w:rPr>
      </w:pPr>
    </w:p>
    <w:p w14:paraId="27C62DC2" w14:textId="77777777" w:rsidR="00FB24C0" w:rsidRPr="00F10FCD" w:rsidRDefault="00FB24C0" w:rsidP="00565EF3">
      <w:pPr>
        <w:keepNext/>
        <w:spacing w:after="0" w:line="240" w:lineRule="auto"/>
        <w:ind w:left="0" w:firstLine="0"/>
        <w:rPr>
          <w:color w:val="auto"/>
          <w:lang w:val="es-ES"/>
        </w:rPr>
      </w:pPr>
      <w:r w:rsidRPr="00F10FCD">
        <w:rPr>
          <w:i/>
          <w:color w:val="auto"/>
          <w:lang w:val="es-ES"/>
        </w:rPr>
        <w:t>AVF2107g</w:t>
      </w:r>
    </w:p>
    <w:p w14:paraId="78D628FD" w14:textId="053E0FAB" w:rsidR="00FB24C0" w:rsidRPr="00F10FCD" w:rsidRDefault="00FB24C0" w:rsidP="00FB24C0">
      <w:pPr>
        <w:spacing w:after="0" w:line="240" w:lineRule="auto"/>
        <w:ind w:left="0" w:firstLine="0"/>
        <w:rPr>
          <w:color w:val="auto"/>
          <w:lang w:val="es-ES"/>
        </w:rPr>
      </w:pPr>
      <w:r w:rsidRPr="00F10FCD">
        <w:rPr>
          <w:color w:val="auto"/>
          <w:lang w:val="es-ES"/>
        </w:rPr>
        <w:t xml:space="preserve">En este ensayo clínico fase III, aleatorizado, doble ciego y controlado con comparador activo se estudió </w:t>
      </w:r>
      <w:r w:rsidR="00F6464E" w:rsidRPr="001919A9">
        <w:rPr>
          <w:lang w:val="es-ES"/>
        </w:rPr>
        <w:t>bevacizumab</w:t>
      </w:r>
      <w:r w:rsidRPr="00F10FCD">
        <w:rPr>
          <w:color w:val="auto"/>
          <w:lang w:val="es-ES"/>
        </w:rPr>
        <w:t xml:space="preserve"> en combinación con IFL como tratamiento en primera línea del carcinoma metastásico de colon o recto. Se aleatorizaron 813 pacientes para ser tratados co</w:t>
      </w:r>
      <w:r w:rsidR="00D54EAD">
        <w:rPr>
          <w:color w:val="auto"/>
          <w:lang w:val="es-ES"/>
        </w:rPr>
        <w:t>n IFL + placebo (Brazo 1) o IFL </w:t>
      </w:r>
      <w:r w:rsidRPr="00F10FCD">
        <w:rPr>
          <w:color w:val="auto"/>
          <w:lang w:val="es-ES"/>
        </w:rPr>
        <w:t>+</w:t>
      </w:r>
      <w:r w:rsidR="00D54EAD">
        <w:rPr>
          <w:color w:val="auto"/>
          <w:lang w:val="es-ES"/>
        </w:rPr>
        <w:t> </w:t>
      </w:r>
      <w:r w:rsidR="00F6464E" w:rsidRPr="001919A9">
        <w:rPr>
          <w:lang w:val="es-ES"/>
        </w:rPr>
        <w:t>bevacizumab</w:t>
      </w:r>
      <w:r w:rsidRPr="00F10FCD">
        <w:rPr>
          <w:color w:val="auto"/>
          <w:lang w:val="es-ES"/>
        </w:rPr>
        <w:t xml:space="preserve"> (5</w:t>
      </w:r>
      <w:r w:rsidR="00E9147E">
        <w:rPr>
          <w:color w:val="auto"/>
          <w:lang w:val="es-ES"/>
        </w:rPr>
        <w:t xml:space="preserve"> mg/kg cada 2 semanas, Brazo 2). </w:t>
      </w:r>
      <w:r w:rsidRPr="00F10FCD">
        <w:rPr>
          <w:color w:val="auto"/>
          <w:lang w:val="es-ES"/>
        </w:rPr>
        <w:t xml:space="preserve">Un tercer grupo de 110 pacientes recibieron 5-FU en bolo/FA + </w:t>
      </w:r>
      <w:r w:rsidR="00F6464E" w:rsidRPr="001919A9">
        <w:rPr>
          <w:lang w:val="es-ES"/>
        </w:rPr>
        <w:t>bevacizumab</w:t>
      </w:r>
      <w:r w:rsidRPr="00F10FCD">
        <w:rPr>
          <w:color w:val="auto"/>
          <w:lang w:val="es-ES"/>
        </w:rPr>
        <w:t xml:space="preserve"> (Brazo 3). Tal y como estaba planificado, se interrumpió la inclusión de pacientes en el Brazo 3 una vez que se determinó y se consideró aceptable la seguridad de </w:t>
      </w:r>
      <w:r w:rsidR="00F6464E" w:rsidRPr="001919A9">
        <w:rPr>
          <w:lang w:val="es-ES"/>
        </w:rPr>
        <w:t>bevacizumab</w:t>
      </w:r>
      <w:r w:rsidRPr="00F10FCD">
        <w:rPr>
          <w:color w:val="auto"/>
          <w:lang w:val="es-ES"/>
        </w:rPr>
        <w:t xml:space="preserve"> con el régimen de IFL. Todos los tratamientos se administraron hasta progresión de la enfermedad. La media de edad fue de 59,4 años. En la escala ECOG (</w:t>
      </w:r>
      <w:r w:rsidRPr="00F10FCD">
        <w:rPr>
          <w:i/>
          <w:color w:val="auto"/>
          <w:lang w:val="es-ES"/>
        </w:rPr>
        <w:t xml:space="preserve">Eastern Cooperative </w:t>
      </w:r>
      <w:proofErr w:type="spellStart"/>
      <w:r w:rsidRPr="00F10FCD">
        <w:rPr>
          <w:i/>
          <w:color w:val="auto"/>
          <w:lang w:val="es-ES"/>
        </w:rPr>
        <w:t>Oncology</w:t>
      </w:r>
      <w:proofErr w:type="spellEnd"/>
      <w:r w:rsidR="00565EF3" w:rsidRPr="00F10FCD">
        <w:rPr>
          <w:i/>
          <w:color w:val="auto"/>
          <w:lang w:val="es-ES"/>
        </w:rPr>
        <w:t xml:space="preserve"> </w:t>
      </w:r>
      <w:proofErr w:type="spellStart"/>
      <w:r w:rsidRPr="00F10FCD">
        <w:rPr>
          <w:i/>
          <w:color w:val="auto"/>
          <w:lang w:val="es-ES"/>
        </w:rPr>
        <w:t>Group</w:t>
      </w:r>
      <w:proofErr w:type="spellEnd"/>
      <w:r w:rsidRPr="00F10FCD">
        <w:rPr>
          <w:color w:val="auto"/>
          <w:lang w:val="es-ES"/>
        </w:rPr>
        <w:t>) de calidad de vida, el 56,6% de los pacientes tenía una puntuación de 0, el 43% tenía un ECOG 1 y el 0,4% un ECOG 2. Previamente, el 15,5% habían recibido radioterapia y el 28,4% quimioterapia.</w:t>
      </w:r>
    </w:p>
    <w:p w14:paraId="4AEF76FC" w14:textId="77777777" w:rsidR="00FB24C0" w:rsidRPr="00F10FCD" w:rsidRDefault="00FB24C0" w:rsidP="00FB24C0">
      <w:pPr>
        <w:spacing w:after="0" w:line="240" w:lineRule="auto"/>
        <w:ind w:left="0" w:firstLine="0"/>
        <w:rPr>
          <w:color w:val="auto"/>
          <w:lang w:val="es-ES"/>
        </w:rPr>
      </w:pPr>
    </w:p>
    <w:p w14:paraId="5FB46BCD" w14:textId="74DEF00B" w:rsidR="00FB24C0" w:rsidRPr="00F10FCD" w:rsidRDefault="00FB24C0" w:rsidP="00FB24C0">
      <w:pPr>
        <w:spacing w:after="0" w:line="240" w:lineRule="auto"/>
        <w:ind w:left="0" w:firstLine="0"/>
        <w:rPr>
          <w:color w:val="auto"/>
          <w:lang w:val="es-ES"/>
        </w:rPr>
      </w:pPr>
      <w:r w:rsidRPr="00F10FCD">
        <w:rPr>
          <w:color w:val="auto"/>
          <w:lang w:val="es-ES"/>
        </w:rPr>
        <w:t xml:space="preserve">La variable principal de eficacia del ensayo fue la supervivencia global. La adición de </w:t>
      </w:r>
      <w:r w:rsidR="00F6464E" w:rsidRPr="001919A9">
        <w:rPr>
          <w:lang w:val="es-ES"/>
        </w:rPr>
        <w:t>bevacizumab</w:t>
      </w:r>
      <w:r w:rsidRPr="00F10FCD">
        <w:rPr>
          <w:color w:val="auto"/>
          <w:lang w:val="es-ES"/>
        </w:rPr>
        <w:t xml:space="preserve"> a IFL dio lugar a un aumento estadísticamente significativo de la supervivencia global, la supervivencia libre de progresión y la tasa de respuesta global (ver </w:t>
      </w:r>
      <w:r w:rsidR="00471B84">
        <w:rPr>
          <w:color w:val="auto"/>
          <w:lang w:val="es-ES"/>
        </w:rPr>
        <w:t>t</w:t>
      </w:r>
      <w:r w:rsidRPr="00F10FCD">
        <w:rPr>
          <w:color w:val="auto"/>
          <w:lang w:val="es-ES"/>
        </w:rPr>
        <w:t xml:space="preserve">abla 4). El beneficio clínico, medido como supervivencia global, se observó en todos los subgrupos </w:t>
      </w:r>
      <w:proofErr w:type="spellStart"/>
      <w:r w:rsidRPr="00F10FCD">
        <w:rPr>
          <w:color w:val="auto"/>
          <w:lang w:val="es-ES"/>
        </w:rPr>
        <w:t>pre-especificados</w:t>
      </w:r>
      <w:proofErr w:type="spellEnd"/>
      <w:r w:rsidRPr="00F10FCD">
        <w:rPr>
          <w:color w:val="auto"/>
          <w:lang w:val="es-ES"/>
        </w:rPr>
        <w:t xml:space="preserve"> de pacientes, incluyendo aquellos definidos según la edad, género, rendimiento general, localización del tumor primario, número de órganos afectados y duración de la enfermedad metastásica.</w:t>
      </w:r>
    </w:p>
    <w:p w14:paraId="2798718A" w14:textId="77777777" w:rsidR="00FB24C0" w:rsidRPr="00F10FCD" w:rsidRDefault="00FB24C0" w:rsidP="00FB24C0">
      <w:pPr>
        <w:spacing w:after="0" w:line="240" w:lineRule="auto"/>
        <w:ind w:left="0" w:firstLine="0"/>
        <w:rPr>
          <w:color w:val="auto"/>
          <w:lang w:val="es-ES"/>
        </w:rPr>
      </w:pPr>
    </w:p>
    <w:p w14:paraId="1E487B59" w14:textId="27ABDCF2" w:rsidR="00FB24C0" w:rsidRPr="00F10FCD" w:rsidRDefault="00FB24C0" w:rsidP="00FB24C0">
      <w:pPr>
        <w:spacing w:after="0" w:line="240" w:lineRule="auto"/>
        <w:ind w:left="0" w:firstLine="0"/>
        <w:rPr>
          <w:color w:val="auto"/>
          <w:lang w:val="es-ES"/>
        </w:rPr>
      </w:pPr>
      <w:r w:rsidRPr="00F10FCD">
        <w:rPr>
          <w:color w:val="auto"/>
          <w:lang w:val="es-ES"/>
        </w:rPr>
        <w:t xml:space="preserve">Los resultados de eficacia de </w:t>
      </w:r>
      <w:r w:rsidR="00B90F75" w:rsidRPr="001919A9">
        <w:rPr>
          <w:lang w:val="es-ES"/>
        </w:rPr>
        <w:t>bevacizumab</w:t>
      </w:r>
      <w:r w:rsidRPr="00F10FCD">
        <w:rPr>
          <w:color w:val="auto"/>
          <w:lang w:val="es-ES"/>
        </w:rPr>
        <w:t xml:space="preserve"> en combinación con quimioterapi</w:t>
      </w:r>
      <w:r w:rsidR="00565EF3" w:rsidRPr="00F10FCD">
        <w:rPr>
          <w:color w:val="auto"/>
          <w:lang w:val="es-ES"/>
        </w:rPr>
        <w:t xml:space="preserve">a IFL se muestran en la </w:t>
      </w:r>
      <w:r w:rsidR="00471B84">
        <w:rPr>
          <w:color w:val="auto"/>
          <w:lang w:val="es-ES"/>
        </w:rPr>
        <w:t>t</w:t>
      </w:r>
      <w:r w:rsidR="00565EF3" w:rsidRPr="00F10FCD">
        <w:rPr>
          <w:color w:val="auto"/>
          <w:lang w:val="es-ES"/>
        </w:rPr>
        <w:t>abla </w:t>
      </w:r>
      <w:r w:rsidRPr="00F10FCD">
        <w:rPr>
          <w:color w:val="auto"/>
          <w:lang w:val="es-ES"/>
        </w:rPr>
        <w:t>4.</w:t>
      </w:r>
    </w:p>
    <w:p w14:paraId="5DB0D25B" w14:textId="77777777" w:rsidR="00FB24C0" w:rsidRPr="00F10FCD" w:rsidRDefault="00FB24C0" w:rsidP="00FB24C0">
      <w:pPr>
        <w:spacing w:after="0" w:line="240" w:lineRule="auto"/>
        <w:ind w:left="0" w:firstLine="0"/>
        <w:rPr>
          <w:color w:val="auto"/>
          <w:lang w:val="es-ES"/>
        </w:rPr>
      </w:pPr>
    </w:p>
    <w:p w14:paraId="6382E2C5" w14:textId="77777777" w:rsidR="00FB24C0" w:rsidRPr="00565EF3" w:rsidRDefault="00FB24C0" w:rsidP="00246678">
      <w:pPr>
        <w:keepNext/>
        <w:keepLines/>
        <w:spacing w:after="0" w:line="240" w:lineRule="auto"/>
        <w:ind w:left="0" w:firstLine="0"/>
        <w:rPr>
          <w:b/>
          <w:color w:val="auto"/>
          <w:lang w:val="es-ES"/>
        </w:rPr>
      </w:pPr>
      <w:r w:rsidRPr="00565EF3">
        <w:rPr>
          <w:b/>
          <w:color w:val="auto"/>
          <w:lang w:val="es-ES"/>
        </w:rPr>
        <w:t>Tabla 4</w:t>
      </w:r>
      <w:r w:rsidR="006C1400">
        <w:rPr>
          <w:b/>
          <w:color w:val="auto"/>
          <w:lang w:val="es-ES"/>
        </w:rPr>
        <w:t>.</w:t>
      </w:r>
      <w:r w:rsidRPr="00565EF3">
        <w:rPr>
          <w:b/>
          <w:color w:val="auto"/>
          <w:lang w:val="es-ES"/>
        </w:rPr>
        <w:t xml:space="preserve"> Resultados de eficacia del ensayo AVF2107g</w:t>
      </w:r>
    </w:p>
    <w:p w14:paraId="2F42871E" w14:textId="77777777" w:rsidR="00FB24C0" w:rsidRPr="00443040" w:rsidRDefault="00FB24C0" w:rsidP="00246678">
      <w:pPr>
        <w:keepNext/>
        <w:keepLines/>
        <w:spacing w:after="0" w:line="240" w:lineRule="auto"/>
        <w:ind w:left="0" w:firstLine="0"/>
        <w:rPr>
          <w:color w:val="auto"/>
          <w:lang w:val="es-ES"/>
        </w:rPr>
      </w:pPr>
    </w:p>
    <w:tbl>
      <w:tblPr>
        <w:tblW w:w="8918" w:type="dxa"/>
        <w:tblInd w:w="-5" w:type="dxa"/>
        <w:tblCellMar>
          <w:top w:w="55" w:type="dxa"/>
          <w:left w:w="70" w:type="dxa"/>
          <w:right w:w="115" w:type="dxa"/>
        </w:tblCellMar>
        <w:tblLook w:val="04A0" w:firstRow="1" w:lastRow="0" w:firstColumn="1" w:lastColumn="0" w:noHBand="0" w:noVBand="1"/>
      </w:tblPr>
      <w:tblGrid>
        <w:gridCol w:w="4270"/>
        <w:gridCol w:w="2313"/>
        <w:gridCol w:w="2335"/>
      </w:tblGrid>
      <w:tr w:rsidR="00FB24C0" w:rsidRPr="006C1400" w14:paraId="7D982FBC" w14:textId="77777777" w:rsidTr="00C33F4C">
        <w:trPr>
          <w:trHeight w:val="228"/>
          <w:tblHeader/>
        </w:trPr>
        <w:tc>
          <w:tcPr>
            <w:tcW w:w="4270" w:type="dxa"/>
            <w:vMerge w:val="restart"/>
            <w:tcBorders>
              <w:top w:val="single" w:sz="4" w:space="0" w:color="000000"/>
              <w:left w:val="single" w:sz="4" w:space="0" w:color="000000"/>
              <w:bottom w:val="single" w:sz="4" w:space="0" w:color="000000"/>
              <w:right w:val="single" w:sz="4" w:space="0" w:color="000000"/>
            </w:tcBorders>
            <w:vAlign w:val="bottom"/>
          </w:tcPr>
          <w:p w14:paraId="264664CA" w14:textId="77777777" w:rsidR="00FB24C0" w:rsidRPr="00C33F4C" w:rsidRDefault="00FB24C0" w:rsidP="00246678">
            <w:pPr>
              <w:keepNext/>
              <w:keepLines/>
              <w:spacing w:after="0" w:line="240" w:lineRule="auto"/>
              <w:ind w:left="0" w:firstLine="0"/>
              <w:rPr>
                <w:color w:val="auto"/>
                <w:lang w:val="es-ES"/>
              </w:rPr>
            </w:pPr>
          </w:p>
        </w:tc>
        <w:tc>
          <w:tcPr>
            <w:tcW w:w="4648" w:type="dxa"/>
            <w:gridSpan w:val="2"/>
            <w:tcBorders>
              <w:top w:val="single" w:sz="4" w:space="0" w:color="000000"/>
              <w:left w:val="single" w:sz="4" w:space="0" w:color="000000"/>
              <w:bottom w:val="single" w:sz="4" w:space="0" w:color="000000"/>
              <w:right w:val="single" w:sz="4" w:space="0" w:color="000000"/>
            </w:tcBorders>
          </w:tcPr>
          <w:p w14:paraId="75955985" w14:textId="77777777" w:rsidR="00FB24C0" w:rsidRPr="00C33F4C" w:rsidRDefault="00FB24C0" w:rsidP="00246678">
            <w:pPr>
              <w:keepNext/>
              <w:keepLines/>
              <w:spacing w:after="0" w:line="240" w:lineRule="auto"/>
              <w:ind w:left="0" w:firstLine="0"/>
              <w:jc w:val="center"/>
              <w:rPr>
                <w:b/>
                <w:color w:val="auto"/>
                <w:lang w:val="es-ES"/>
              </w:rPr>
            </w:pPr>
            <w:r w:rsidRPr="00C33F4C">
              <w:rPr>
                <w:b/>
                <w:color w:val="auto"/>
                <w:lang w:val="es-ES"/>
              </w:rPr>
              <w:t>AVF2107g</w:t>
            </w:r>
          </w:p>
        </w:tc>
      </w:tr>
      <w:tr w:rsidR="00D445BE" w:rsidRPr="006C1400" w14:paraId="33A291F6" w14:textId="77777777" w:rsidTr="00C33F4C">
        <w:trPr>
          <w:trHeight w:val="519"/>
          <w:tblHeader/>
        </w:trPr>
        <w:tc>
          <w:tcPr>
            <w:tcW w:w="4270" w:type="dxa"/>
            <w:vMerge/>
            <w:tcBorders>
              <w:top w:val="nil"/>
              <w:left w:val="single" w:sz="4" w:space="0" w:color="000000"/>
              <w:bottom w:val="single" w:sz="4" w:space="0" w:color="000000"/>
              <w:right w:val="single" w:sz="4" w:space="0" w:color="000000"/>
            </w:tcBorders>
          </w:tcPr>
          <w:p w14:paraId="526C3934" w14:textId="77777777" w:rsidR="00FB24C0" w:rsidRPr="00C33F4C" w:rsidRDefault="00FB24C0" w:rsidP="00246678">
            <w:pPr>
              <w:keepNext/>
              <w:keepLines/>
              <w:spacing w:after="0" w:line="240" w:lineRule="auto"/>
              <w:ind w:left="0" w:firstLine="0"/>
              <w:rPr>
                <w:b/>
                <w:color w:val="auto"/>
                <w:lang w:val="es-ES"/>
              </w:rPr>
            </w:pPr>
          </w:p>
        </w:tc>
        <w:tc>
          <w:tcPr>
            <w:tcW w:w="2313" w:type="dxa"/>
            <w:tcBorders>
              <w:top w:val="single" w:sz="4" w:space="0" w:color="000000"/>
              <w:left w:val="single" w:sz="4" w:space="0" w:color="000000"/>
              <w:bottom w:val="single" w:sz="4" w:space="0" w:color="000000"/>
              <w:right w:val="single" w:sz="4" w:space="0" w:color="000000"/>
            </w:tcBorders>
          </w:tcPr>
          <w:p w14:paraId="1CDB6E1D" w14:textId="77777777" w:rsidR="00FB24C0" w:rsidRPr="00C33F4C" w:rsidRDefault="00FB24C0" w:rsidP="00246678">
            <w:pPr>
              <w:keepNext/>
              <w:keepLines/>
              <w:spacing w:after="0" w:line="240" w:lineRule="auto"/>
              <w:ind w:left="0" w:firstLine="0"/>
              <w:jc w:val="center"/>
              <w:rPr>
                <w:b/>
                <w:color w:val="auto"/>
                <w:lang w:val="es-ES"/>
              </w:rPr>
            </w:pPr>
            <w:r w:rsidRPr="00C33F4C">
              <w:rPr>
                <w:b/>
                <w:color w:val="auto"/>
                <w:lang w:val="es-ES"/>
              </w:rPr>
              <w:t xml:space="preserve">Brazo 1 IFL </w:t>
            </w:r>
            <w:r w:rsidRPr="00C33F4C">
              <w:rPr>
                <w:rFonts w:eastAsia="Segoe UI Symbol"/>
                <w:b/>
                <w:color w:val="auto"/>
                <w:lang w:val="es-ES"/>
              </w:rPr>
              <w:t>+</w:t>
            </w:r>
            <w:r w:rsidRPr="00C33F4C">
              <w:rPr>
                <w:b/>
                <w:color w:val="auto"/>
                <w:lang w:val="es-ES"/>
              </w:rPr>
              <w:t xml:space="preserve"> placebo</w:t>
            </w:r>
          </w:p>
        </w:tc>
        <w:tc>
          <w:tcPr>
            <w:tcW w:w="2335" w:type="dxa"/>
            <w:tcBorders>
              <w:top w:val="single" w:sz="4" w:space="0" w:color="000000"/>
              <w:left w:val="single" w:sz="4" w:space="0" w:color="000000"/>
              <w:bottom w:val="single" w:sz="4" w:space="0" w:color="000000"/>
              <w:right w:val="single" w:sz="4" w:space="0" w:color="000000"/>
            </w:tcBorders>
          </w:tcPr>
          <w:p w14:paraId="291C096E" w14:textId="77777777" w:rsidR="00FB24C0" w:rsidRPr="00C33F4C" w:rsidRDefault="00FB24C0" w:rsidP="00246678">
            <w:pPr>
              <w:keepNext/>
              <w:keepLines/>
              <w:spacing w:after="0" w:line="240" w:lineRule="auto"/>
              <w:ind w:left="0" w:firstLine="0"/>
              <w:jc w:val="center"/>
              <w:rPr>
                <w:b/>
                <w:color w:val="auto"/>
                <w:lang w:val="es-ES"/>
              </w:rPr>
            </w:pPr>
            <w:r w:rsidRPr="00C33F4C">
              <w:rPr>
                <w:b/>
                <w:color w:val="auto"/>
                <w:lang w:val="es-ES"/>
              </w:rPr>
              <w:t xml:space="preserve">Brazo 2 IFL </w:t>
            </w:r>
            <w:r w:rsidRPr="00C33F4C">
              <w:rPr>
                <w:rFonts w:eastAsia="Segoe UI Symbol"/>
                <w:b/>
                <w:color w:val="auto"/>
                <w:lang w:val="es-ES"/>
              </w:rPr>
              <w:t>+</w:t>
            </w:r>
            <w:r w:rsidRPr="00C33F4C">
              <w:rPr>
                <w:b/>
                <w:color w:val="auto"/>
                <w:lang w:val="es-ES"/>
              </w:rPr>
              <w:t xml:space="preserve"> </w:t>
            </w:r>
            <w:proofErr w:type="spellStart"/>
            <w:r w:rsidR="00B90F75" w:rsidRPr="00C33F4C">
              <w:rPr>
                <w:b/>
                <w:lang w:val="es-ES"/>
              </w:rPr>
              <w:t>b</w:t>
            </w:r>
            <w:r w:rsidR="00B90F75" w:rsidRPr="00C33F4C">
              <w:rPr>
                <w:b/>
                <w:color w:val="auto"/>
                <w:lang w:val="es-ES"/>
              </w:rPr>
              <w:t>evacizumab</w:t>
            </w:r>
            <w:r w:rsidRPr="00C33F4C">
              <w:rPr>
                <w:b/>
                <w:color w:val="auto"/>
                <w:vertAlign w:val="superscript"/>
                <w:lang w:val="es-ES"/>
              </w:rPr>
              <w:t>a</w:t>
            </w:r>
            <w:proofErr w:type="spellEnd"/>
          </w:p>
        </w:tc>
      </w:tr>
      <w:tr w:rsidR="00FB24C0" w:rsidRPr="006C1400" w14:paraId="1E5CC565" w14:textId="77777777" w:rsidTr="00C33F4C">
        <w:trPr>
          <w:trHeight w:val="284"/>
        </w:trPr>
        <w:tc>
          <w:tcPr>
            <w:tcW w:w="4270" w:type="dxa"/>
            <w:tcBorders>
              <w:top w:val="single" w:sz="4" w:space="0" w:color="000000"/>
              <w:left w:val="single" w:sz="4" w:space="0" w:color="000000"/>
              <w:bottom w:val="single" w:sz="4" w:space="0" w:color="000000"/>
              <w:right w:val="single" w:sz="4" w:space="0" w:color="000000"/>
            </w:tcBorders>
            <w:vAlign w:val="center"/>
          </w:tcPr>
          <w:p w14:paraId="7EC64B67" w14:textId="77777777" w:rsidR="00FB24C0" w:rsidRPr="00C33F4C" w:rsidRDefault="005972F6" w:rsidP="00246678">
            <w:pPr>
              <w:keepNext/>
              <w:keepLines/>
              <w:spacing w:after="0" w:line="240" w:lineRule="auto"/>
              <w:ind w:left="0" w:firstLine="0"/>
              <w:rPr>
                <w:color w:val="auto"/>
                <w:lang w:val="es-ES"/>
              </w:rPr>
            </w:pPr>
            <w:r w:rsidRPr="00C33F4C">
              <w:rPr>
                <w:color w:val="auto"/>
                <w:lang w:val="es-ES"/>
              </w:rPr>
              <w:t>Número de pacientes</w:t>
            </w:r>
          </w:p>
        </w:tc>
        <w:tc>
          <w:tcPr>
            <w:tcW w:w="2313" w:type="dxa"/>
            <w:tcBorders>
              <w:top w:val="single" w:sz="4" w:space="0" w:color="000000"/>
              <w:left w:val="single" w:sz="4" w:space="0" w:color="000000"/>
              <w:bottom w:val="single" w:sz="4" w:space="0" w:color="000000"/>
              <w:right w:val="single" w:sz="4" w:space="0" w:color="000000"/>
            </w:tcBorders>
            <w:vAlign w:val="bottom"/>
          </w:tcPr>
          <w:p w14:paraId="1847A1BC" w14:textId="77777777" w:rsidR="00FB24C0" w:rsidRPr="00C33F4C" w:rsidRDefault="00FB24C0" w:rsidP="00246678">
            <w:pPr>
              <w:keepNext/>
              <w:keepLines/>
              <w:spacing w:after="0" w:line="240" w:lineRule="auto"/>
              <w:ind w:left="0" w:firstLine="0"/>
              <w:jc w:val="center"/>
              <w:rPr>
                <w:color w:val="auto"/>
                <w:lang w:val="es-ES"/>
              </w:rPr>
            </w:pPr>
            <w:r w:rsidRPr="00C33F4C">
              <w:rPr>
                <w:color w:val="auto"/>
                <w:lang w:val="es-ES"/>
              </w:rPr>
              <w:t>411</w:t>
            </w:r>
          </w:p>
        </w:tc>
        <w:tc>
          <w:tcPr>
            <w:tcW w:w="2335" w:type="dxa"/>
            <w:tcBorders>
              <w:top w:val="single" w:sz="4" w:space="0" w:color="000000"/>
              <w:left w:val="single" w:sz="4" w:space="0" w:color="000000"/>
              <w:bottom w:val="single" w:sz="4" w:space="0" w:color="000000"/>
              <w:right w:val="single" w:sz="4" w:space="0" w:color="000000"/>
            </w:tcBorders>
            <w:vAlign w:val="bottom"/>
          </w:tcPr>
          <w:p w14:paraId="0F1471C1" w14:textId="77777777" w:rsidR="00FB24C0" w:rsidRPr="00C33F4C" w:rsidRDefault="00FB24C0" w:rsidP="00246678">
            <w:pPr>
              <w:keepNext/>
              <w:keepLines/>
              <w:spacing w:after="0" w:line="240" w:lineRule="auto"/>
              <w:ind w:left="0" w:firstLine="0"/>
              <w:jc w:val="center"/>
              <w:rPr>
                <w:color w:val="auto"/>
                <w:lang w:val="es-ES"/>
              </w:rPr>
            </w:pPr>
            <w:r w:rsidRPr="00C33F4C">
              <w:rPr>
                <w:color w:val="auto"/>
                <w:lang w:val="es-ES"/>
              </w:rPr>
              <w:t>402</w:t>
            </w:r>
          </w:p>
        </w:tc>
      </w:tr>
      <w:tr w:rsidR="00CA54C2" w:rsidRPr="006C1400" w14:paraId="64B7743D" w14:textId="77777777" w:rsidTr="00C33F4C">
        <w:trPr>
          <w:trHeight w:val="284"/>
        </w:trPr>
        <w:tc>
          <w:tcPr>
            <w:tcW w:w="8918" w:type="dxa"/>
            <w:gridSpan w:val="3"/>
            <w:tcBorders>
              <w:top w:val="single" w:sz="4" w:space="0" w:color="000000"/>
              <w:left w:val="single" w:sz="4" w:space="0" w:color="000000"/>
              <w:bottom w:val="single" w:sz="4" w:space="0" w:color="000000"/>
              <w:right w:val="single" w:sz="4" w:space="0" w:color="000000"/>
            </w:tcBorders>
            <w:vAlign w:val="center"/>
          </w:tcPr>
          <w:p w14:paraId="680D63B8" w14:textId="77777777" w:rsidR="00CA54C2" w:rsidRPr="00C33F4C" w:rsidRDefault="005972F6" w:rsidP="00246678">
            <w:pPr>
              <w:keepNext/>
              <w:keepLines/>
              <w:spacing w:after="0" w:line="240" w:lineRule="auto"/>
              <w:ind w:left="0" w:firstLine="0"/>
              <w:rPr>
                <w:color w:val="auto"/>
                <w:lang w:val="es-ES"/>
              </w:rPr>
            </w:pPr>
            <w:r w:rsidRPr="00C33F4C">
              <w:rPr>
                <w:color w:val="auto"/>
                <w:lang w:val="es-ES"/>
              </w:rPr>
              <w:t>Supervivencia global</w:t>
            </w:r>
          </w:p>
        </w:tc>
      </w:tr>
      <w:tr w:rsidR="00FB24C0" w:rsidRPr="00024F4B" w14:paraId="1167C5DD" w14:textId="77777777" w:rsidTr="00C33F4C">
        <w:trPr>
          <w:trHeight w:val="284"/>
        </w:trPr>
        <w:tc>
          <w:tcPr>
            <w:tcW w:w="4270" w:type="dxa"/>
            <w:tcBorders>
              <w:top w:val="single" w:sz="4" w:space="0" w:color="000000"/>
              <w:left w:val="single" w:sz="4" w:space="0" w:color="000000"/>
              <w:bottom w:val="single" w:sz="4" w:space="0" w:color="000000"/>
              <w:right w:val="single" w:sz="4" w:space="0" w:color="000000"/>
            </w:tcBorders>
            <w:vAlign w:val="center"/>
          </w:tcPr>
          <w:p w14:paraId="6CF345AA" w14:textId="77777777" w:rsidR="00FB24C0" w:rsidRPr="00C33F4C" w:rsidRDefault="005972F6" w:rsidP="00246678">
            <w:pPr>
              <w:keepNext/>
              <w:keepLines/>
              <w:spacing w:after="0" w:line="240" w:lineRule="auto"/>
              <w:ind w:left="567" w:firstLine="0"/>
              <w:rPr>
                <w:color w:val="auto"/>
                <w:lang w:val="es-ES"/>
              </w:rPr>
            </w:pPr>
            <w:r w:rsidRPr="00C33F4C">
              <w:rPr>
                <w:color w:val="auto"/>
                <w:lang w:val="es-ES"/>
              </w:rPr>
              <w:t>Mediana del tiempo (meses)</w:t>
            </w:r>
          </w:p>
        </w:tc>
        <w:tc>
          <w:tcPr>
            <w:tcW w:w="2313" w:type="dxa"/>
            <w:tcBorders>
              <w:top w:val="single" w:sz="4" w:space="0" w:color="000000"/>
              <w:left w:val="single" w:sz="4" w:space="0" w:color="000000"/>
              <w:bottom w:val="single" w:sz="4" w:space="0" w:color="000000"/>
              <w:right w:val="single" w:sz="4" w:space="0" w:color="000000"/>
            </w:tcBorders>
            <w:vAlign w:val="center"/>
          </w:tcPr>
          <w:p w14:paraId="4BC46E1D" w14:textId="77777777" w:rsidR="00FB24C0" w:rsidRPr="00C33F4C" w:rsidRDefault="00FB24C0" w:rsidP="00246678">
            <w:pPr>
              <w:keepNext/>
              <w:keepLines/>
              <w:spacing w:after="0" w:line="240" w:lineRule="auto"/>
              <w:ind w:left="0" w:firstLine="0"/>
              <w:jc w:val="center"/>
              <w:rPr>
                <w:color w:val="auto"/>
                <w:lang w:val="es-ES"/>
              </w:rPr>
            </w:pPr>
            <w:r w:rsidRPr="00C33F4C">
              <w:rPr>
                <w:color w:val="auto"/>
                <w:lang w:val="es-ES"/>
              </w:rPr>
              <w:t>15,6</w:t>
            </w:r>
          </w:p>
        </w:tc>
        <w:tc>
          <w:tcPr>
            <w:tcW w:w="2335" w:type="dxa"/>
            <w:tcBorders>
              <w:top w:val="single" w:sz="4" w:space="0" w:color="000000"/>
              <w:left w:val="single" w:sz="4" w:space="0" w:color="000000"/>
              <w:bottom w:val="single" w:sz="4" w:space="0" w:color="000000"/>
              <w:right w:val="single" w:sz="4" w:space="0" w:color="000000"/>
            </w:tcBorders>
            <w:vAlign w:val="center"/>
          </w:tcPr>
          <w:p w14:paraId="49C122FB" w14:textId="77777777" w:rsidR="00FB24C0" w:rsidRPr="00C33F4C" w:rsidRDefault="00FB24C0" w:rsidP="00246678">
            <w:pPr>
              <w:keepNext/>
              <w:keepLines/>
              <w:spacing w:after="0" w:line="240" w:lineRule="auto"/>
              <w:ind w:left="0" w:firstLine="0"/>
              <w:jc w:val="center"/>
              <w:rPr>
                <w:color w:val="auto"/>
                <w:lang w:val="es-ES"/>
              </w:rPr>
            </w:pPr>
            <w:r w:rsidRPr="00C33F4C">
              <w:rPr>
                <w:color w:val="auto"/>
                <w:lang w:val="es-ES"/>
              </w:rPr>
              <w:t>20,3</w:t>
            </w:r>
          </w:p>
        </w:tc>
      </w:tr>
      <w:tr w:rsidR="00FB24C0" w:rsidRPr="00024F4B" w14:paraId="7352049D" w14:textId="77777777" w:rsidTr="00C33F4C">
        <w:trPr>
          <w:trHeight w:val="284"/>
        </w:trPr>
        <w:tc>
          <w:tcPr>
            <w:tcW w:w="4270" w:type="dxa"/>
            <w:tcBorders>
              <w:top w:val="single" w:sz="4" w:space="0" w:color="000000"/>
              <w:left w:val="single" w:sz="4" w:space="0" w:color="000000"/>
              <w:bottom w:val="single" w:sz="4" w:space="0" w:color="000000"/>
              <w:right w:val="single" w:sz="4" w:space="0" w:color="000000"/>
            </w:tcBorders>
            <w:vAlign w:val="center"/>
          </w:tcPr>
          <w:p w14:paraId="551E581F" w14:textId="7281F7DA" w:rsidR="00FB24C0" w:rsidRPr="00C33F4C" w:rsidRDefault="00BA3106" w:rsidP="00246678">
            <w:pPr>
              <w:keepNext/>
              <w:keepLines/>
              <w:spacing w:after="0" w:line="240" w:lineRule="auto"/>
              <w:ind w:left="567" w:firstLine="0"/>
              <w:rPr>
                <w:color w:val="auto"/>
                <w:lang w:val="es-ES"/>
              </w:rPr>
            </w:pPr>
            <w:r>
              <w:rPr>
                <w:color w:val="auto"/>
                <w:lang w:val="es-ES"/>
              </w:rPr>
              <w:t>Intervalo de confianza (</w:t>
            </w:r>
            <w:r w:rsidR="005972F6" w:rsidRPr="00C33F4C">
              <w:rPr>
                <w:color w:val="auto"/>
                <w:lang w:val="es-ES"/>
              </w:rPr>
              <w:t>IC</w:t>
            </w:r>
            <w:r>
              <w:rPr>
                <w:color w:val="auto"/>
                <w:lang w:val="es-ES"/>
              </w:rPr>
              <w:t>)</w:t>
            </w:r>
            <w:r w:rsidR="005972F6" w:rsidRPr="00C33F4C">
              <w:rPr>
                <w:color w:val="auto"/>
                <w:lang w:val="es-ES"/>
              </w:rPr>
              <w:t xml:space="preserve"> 95%</w:t>
            </w:r>
          </w:p>
        </w:tc>
        <w:tc>
          <w:tcPr>
            <w:tcW w:w="2313" w:type="dxa"/>
            <w:tcBorders>
              <w:top w:val="single" w:sz="4" w:space="0" w:color="000000"/>
              <w:left w:val="single" w:sz="4" w:space="0" w:color="000000"/>
              <w:bottom w:val="single" w:sz="4" w:space="0" w:color="000000"/>
              <w:right w:val="single" w:sz="4" w:space="0" w:color="000000"/>
            </w:tcBorders>
            <w:vAlign w:val="center"/>
          </w:tcPr>
          <w:p w14:paraId="082776E1" w14:textId="77777777" w:rsidR="00FB24C0" w:rsidRPr="00C33F4C" w:rsidRDefault="00FB24C0" w:rsidP="00246678">
            <w:pPr>
              <w:keepNext/>
              <w:keepLines/>
              <w:spacing w:after="0" w:line="240" w:lineRule="auto"/>
              <w:ind w:left="0" w:firstLine="0"/>
              <w:jc w:val="center"/>
              <w:rPr>
                <w:color w:val="auto"/>
                <w:lang w:val="es-ES"/>
              </w:rPr>
            </w:pPr>
            <w:r w:rsidRPr="00C33F4C">
              <w:rPr>
                <w:color w:val="auto"/>
                <w:lang w:val="es-ES"/>
              </w:rPr>
              <w:t>14,29 – 16,99</w:t>
            </w:r>
          </w:p>
        </w:tc>
        <w:tc>
          <w:tcPr>
            <w:tcW w:w="2335" w:type="dxa"/>
            <w:tcBorders>
              <w:top w:val="single" w:sz="4" w:space="0" w:color="000000"/>
              <w:left w:val="single" w:sz="4" w:space="0" w:color="000000"/>
              <w:bottom w:val="single" w:sz="4" w:space="0" w:color="000000"/>
              <w:right w:val="single" w:sz="4" w:space="0" w:color="000000"/>
            </w:tcBorders>
            <w:vAlign w:val="center"/>
          </w:tcPr>
          <w:p w14:paraId="6D085281" w14:textId="77777777" w:rsidR="00FB24C0" w:rsidRPr="00C33F4C" w:rsidRDefault="00FB24C0" w:rsidP="00246678">
            <w:pPr>
              <w:keepNext/>
              <w:keepLines/>
              <w:spacing w:after="0" w:line="240" w:lineRule="auto"/>
              <w:ind w:left="0" w:firstLine="0"/>
              <w:jc w:val="center"/>
              <w:rPr>
                <w:color w:val="auto"/>
                <w:lang w:val="es-ES"/>
              </w:rPr>
            </w:pPr>
            <w:r w:rsidRPr="00C33F4C">
              <w:rPr>
                <w:color w:val="auto"/>
                <w:lang w:val="es-ES"/>
              </w:rPr>
              <w:t>18,46 – 24,18</w:t>
            </w:r>
          </w:p>
        </w:tc>
      </w:tr>
      <w:tr w:rsidR="00FB24C0" w:rsidRPr="00024F4B" w14:paraId="249593C5" w14:textId="77777777" w:rsidTr="00C33F4C">
        <w:trPr>
          <w:trHeight w:val="580"/>
        </w:trPr>
        <w:tc>
          <w:tcPr>
            <w:tcW w:w="4270" w:type="dxa"/>
            <w:tcBorders>
              <w:top w:val="single" w:sz="4" w:space="0" w:color="000000"/>
              <w:left w:val="single" w:sz="4" w:space="0" w:color="000000"/>
              <w:bottom w:val="single" w:sz="4" w:space="0" w:color="000000"/>
              <w:right w:val="single" w:sz="4" w:space="0" w:color="000000"/>
            </w:tcBorders>
          </w:tcPr>
          <w:p w14:paraId="2C87EEA7" w14:textId="7A51298A" w:rsidR="00FB24C0" w:rsidRPr="00C33F4C" w:rsidRDefault="00FB24C0" w:rsidP="00C33F4C">
            <w:pPr>
              <w:spacing w:after="0" w:line="240" w:lineRule="auto"/>
              <w:ind w:left="567" w:firstLine="0"/>
              <w:rPr>
                <w:color w:val="auto"/>
                <w:lang w:val="es-ES"/>
              </w:rPr>
            </w:pPr>
            <w:r w:rsidRPr="00C33F4C">
              <w:rPr>
                <w:color w:val="auto"/>
                <w:lang w:val="es-ES"/>
              </w:rPr>
              <w:t>Razón de riesgo</w:t>
            </w:r>
            <w:r w:rsidR="00BA3106">
              <w:rPr>
                <w:color w:val="auto"/>
                <w:lang w:val="es-ES"/>
              </w:rPr>
              <w:t xml:space="preserve"> (HR)</w:t>
            </w:r>
            <w:r w:rsidRPr="00C33F4C">
              <w:rPr>
                <w:color w:val="auto"/>
                <w:vertAlign w:val="superscript"/>
                <w:lang w:val="es-ES"/>
              </w:rPr>
              <w:t>b</w:t>
            </w:r>
          </w:p>
        </w:tc>
        <w:tc>
          <w:tcPr>
            <w:tcW w:w="4648" w:type="dxa"/>
            <w:gridSpan w:val="2"/>
            <w:tcBorders>
              <w:top w:val="single" w:sz="4" w:space="0" w:color="000000"/>
              <w:left w:val="single" w:sz="4" w:space="0" w:color="000000"/>
              <w:bottom w:val="single" w:sz="4" w:space="0" w:color="000000"/>
              <w:right w:val="single" w:sz="4" w:space="0" w:color="000000"/>
            </w:tcBorders>
          </w:tcPr>
          <w:p w14:paraId="75DB3AA1"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0,660</w:t>
            </w:r>
          </w:p>
          <w:p w14:paraId="76653B01" w14:textId="77777777" w:rsidR="00FB24C0" w:rsidRPr="00C33F4C" w:rsidRDefault="0075613B" w:rsidP="00C33F4C">
            <w:pPr>
              <w:spacing w:after="0" w:line="240" w:lineRule="auto"/>
              <w:ind w:left="0" w:firstLine="0"/>
              <w:jc w:val="center"/>
              <w:rPr>
                <w:color w:val="auto"/>
                <w:lang w:val="es-ES"/>
              </w:rPr>
            </w:pPr>
            <w:r w:rsidRPr="00C33F4C">
              <w:rPr>
                <w:color w:val="auto"/>
                <w:lang w:val="es-ES"/>
              </w:rPr>
              <w:t>(v</w:t>
            </w:r>
            <w:r w:rsidR="00FB24C0" w:rsidRPr="00C33F4C">
              <w:rPr>
                <w:color w:val="auto"/>
                <w:lang w:val="es-ES"/>
              </w:rPr>
              <w:t>alor de p = 0,00004</w:t>
            </w:r>
            <w:r w:rsidR="00CC6C19" w:rsidRPr="00C33F4C">
              <w:rPr>
                <w:color w:val="auto"/>
                <w:lang w:val="es-ES"/>
              </w:rPr>
              <w:t>)</w:t>
            </w:r>
          </w:p>
        </w:tc>
      </w:tr>
      <w:tr w:rsidR="00CA54C2" w:rsidRPr="00024F4B" w14:paraId="144AFB38" w14:textId="77777777" w:rsidTr="00C33F4C">
        <w:trPr>
          <w:trHeight w:val="345"/>
        </w:trPr>
        <w:tc>
          <w:tcPr>
            <w:tcW w:w="8918" w:type="dxa"/>
            <w:gridSpan w:val="3"/>
            <w:tcBorders>
              <w:top w:val="single" w:sz="4" w:space="0" w:color="000000"/>
              <w:left w:val="single" w:sz="4" w:space="0" w:color="000000"/>
              <w:bottom w:val="single" w:sz="4" w:space="0" w:color="000000"/>
              <w:right w:val="single" w:sz="4" w:space="0" w:color="000000"/>
            </w:tcBorders>
          </w:tcPr>
          <w:p w14:paraId="1952B087" w14:textId="77777777" w:rsidR="00CA54C2" w:rsidRPr="00C33F4C" w:rsidRDefault="00CA54C2" w:rsidP="00C33F4C">
            <w:pPr>
              <w:spacing w:after="0" w:line="240" w:lineRule="auto"/>
              <w:ind w:left="0" w:firstLine="0"/>
              <w:rPr>
                <w:color w:val="auto"/>
                <w:lang w:val="es-ES"/>
              </w:rPr>
            </w:pPr>
            <w:r w:rsidRPr="00C33F4C">
              <w:rPr>
                <w:color w:val="auto"/>
                <w:lang w:val="es-ES"/>
              </w:rPr>
              <w:t>Su</w:t>
            </w:r>
            <w:r w:rsidR="005972F6" w:rsidRPr="00C33F4C">
              <w:rPr>
                <w:color w:val="auto"/>
                <w:lang w:val="es-ES"/>
              </w:rPr>
              <w:t>pervivencia libre de progresión</w:t>
            </w:r>
          </w:p>
        </w:tc>
      </w:tr>
      <w:tr w:rsidR="00FB24C0" w:rsidRPr="00024F4B" w14:paraId="46BDB29B" w14:textId="77777777" w:rsidTr="00C33F4C">
        <w:trPr>
          <w:trHeight w:val="284"/>
        </w:trPr>
        <w:tc>
          <w:tcPr>
            <w:tcW w:w="4270" w:type="dxa"/>
            <w:tcBorders>
              <w:top w:val="single" w:sz="4" w:space="0" w:color="000000"/>
              <w:left w:val="single" w:sz="4" w:space="0" w:color="000000"/>
              <w:bottom w:val="single" w:sz="4" w:space="0" w:color="000000"/>
              <w:right w:val="single" w:sz="4" w:space="0" w:color="000000"/>
            </w:tcBorders>
          </w:tcPr>
          <w:p w14:paraId="1B945476" w14:textId="77777777" w:rsidR="00FB24C0" w:rsidRPr="00C33F4C" w:rsidRDefault="005972F6" w:rsidP="00C33F4C">
            <w:pPr>
              <w:spacing w:after="0" w:line="240" w:lineRule="auto"/>
              <w:ind w:left="567" w:firstLine="0"/>
              <w:rPr>
                <w:color w:val="auto"/>
                <w:lang w:val="es-ES"/>
              </w:rPr>
            </w:pPr>
            <w:r w:rsidRPr="00C33F4C">
              <w:rPr>
                <w:color w:val="auto"/>
                <w:lang w:val="es-ES"/>
              </w:rPr>
              <w:t>Mediana de tiempo (meses)</w:t>
            </w:r>
          </w:p>
        </w:tc>
        <w:tc>
          <w:tcPr>
            <w:tcW w:w="2313" w:type="dxa"/>
            <w:tcBorders>
              <w:top w:val="single" w:sz="4" w:space="0" w:color="000000"/>
              <w:left w:val="single" w:sz="4" w:space="0" w:color="000000"/>
              <w:bottom w:val="single" w:sz="4" w:space="0" w:color="000000"/>
              <w:right w:val="single" w:sz="4" w:space="0" w:color="000000"/>
            </w:tcBorders>
            <w:vAlign w:val="center"/>
          </w:tcPr>
          <w:p w14:paraId="2478E06D"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6,2</w:t>
            </w:r>
          </w:p>
        </w:tc>
        <w:tc>
          <w:tcPr>
            <w:tcW w:w="2335" w:type="dxa"/>
            <w:tcBorders>
              <w:top w:val="single" w:sz="4" w:space="0" w:color="000000"/>
              <w:left w:val="single" w:sz="4" w:space="0" w:color="000000"/>
              <w:bottom w:val="single" w:sz="4" w:space="0" w:color="000000"/>
              <w:right w:val="single" w:sz="4" w:space="0" w:color="000000"/>
            </w:tcBorders>
            <w:vAlign w:val="center"/>
          </w:tcPr>
          <w:p w14:paraId="4C4679DB"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10,6</w:t>
            </w:r>
          </w:p>
        </w:tc>
      </w:tr>
      <w:tr w:rsidR="00FB24C0" w:rsidRPr="00024F4B" w14:paraId="4719BAA3" w14:textId="77777777" w:rsidTr="00C33F4C">
        <w:trPr>
          <w:trHeight w:val="523"/>
        </w:trPr>
        <w:tc>
          <w:tcPr>
            <w:tcW w:w="4270" w:type="dxa"/>
            <w:tcBorders>
              <w:top w:val="single" w:sz="4" w:space="0" w:color="000000"/>
              <w:left w:val="single" w:sz="4" w:space="0" w:color="000000"/>
              <w:bottom w:val="single" w:sz="4" w:space="0" w:color="000000"/>
              <w:right w:val="single" w:sz="4" w:space="0" w:color="000000"/>
            </w:tcBorders>
          </w:tcPr>
          <w:p w14:paraId="7679BB4C" w14:textId="77777777" w:rsidR="00FB24C0" w:rsidRPr="00C33F4C" w:rsidRDefault="005972F6" w:rsidP="00C33F4C">
            <w:pPr>
              <w:spacing w:after="0" w:line="240" w:lineRule="auto"/>
              <w:ind w:left="567" w:firstLine="0"/>
              <w:rPr>
                <w:color w:val="auto"/>
                <w:lang w:val="es-ES"/>
              </w:rPr>
            </w:pPr>
            <w:r w:rsidRPr="00C33F4C">
              <w:rPr>
                <w:color w:val="auto"/>
                <w:lang w:val="es-ES"/>
              </w:rPr>
              <w:t>Razón de riesgo</w:t>
            </w:r>
          </w:p>
        </w:tc>
        <w:tc>
          <w:tcPr>
            <w:tcW w:w="4648" w:type="dxa"/>
            <w:gridSpan w:val="2"/>
            <w:tcBorders>
              <w:top w:val="single" w:sz="4" w:space="0" w:color="000000"/>
              <w:left w:val="single" w:sz="4" w:space="0" w:color="000000"/>
              <w:bottom w:val="single" w:sz="4" w:space="0" w:color="000000"/>
              <w:right w:val="single" w:sz="4" w:space="0" w:color="000000"/>
            </w:tcBorders>
            <w:vAlign w:val="bottom"/>
          </w:tcPr>
          <w:p w14:paraId="37134E64"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0,54</w:t>
            </w:r>
          </w:p>
          <w:p w14:paraId="7AB32EDC" w14:textId="77777777" w:rsidR="00FB24C0" w:rsidRPr="00C33F4C" w:rsidRDefault="0075613B" w:rsidP="00C33F4C">
            <w:pPr>
              <w:spacing w:after="0" w:line="240" w:lineRule="auto"/>
              <w:ind w:left="0" w:firstLine="0"/>
              <w:jc w:val="center"/>
              <w:rPr>
                <w:color w:val="auto"/>
                <w:lang w:val="es-ES"/>
              </w:rPr>
            </w:pPr>
            <w:r w:rsidRPr="00C33F4C">
              <w:rPr>
                <w:color w:val="auto"/>
                <w:lang w:val="es-ES"/>
              </w:rPr>
              <w:t>(v</w:t>
            </w:r>
            <w:r w:rsidR="00FB24C0" w:rsidRPr="00C33F4C">
              <w:rPr>
                <w:color w:val="auto"/>
                <w:lang w:val="es-ES"/>
              </w:rPr>
              <w:t xml:space="preserve">alor de p </w:t>
            </w:r>
            <w:r w:rsidR="00FB24C0" w:rsidRPr="00C33F4C">
              <w:rPr>
                <w:rFonts w:eastAsia="Segoe UI Symbol"/>
                <w:color w:val="auto"/>
                <w:lang w:val="es-ES"/>
              </w:rPr>
              <w:t>&lt;</w:t>
            </w:r>
            <w:r w:rsidR="00FB24C0" w:rsidRPr="00C33F4C">
              <w:rPr>
                <w:color w:val="auto"/>
                <w:lang w:val="es-ES"/>
              </w:rPr>
              <w:t xml:space="preserve"> 0,0001</w:t>
            </w:r>
            <w:r w:rsidRPr="00C33F4C">
              <w:rPr>
                <w:color w:val="auto"/>
                <w:lang w:val="es-ES"/>
              </w:rPr>
              <w:t>)</w:t>
            </w:r>
          </w:p>
        </w:tc>
      </w:tr>
      <w:tr w:rsidR="00297340" w:rsidRPr="00024F4B" w14:paraId="1860B77C" w14:textId="77777777" w:rsidTr="00C33F4C">
        <w:trPr>
          <w:trHeight w:val="231"/>
        </w:trPr>
        <w:tc>
          <w:tcPr>
            <w:tcW w:w="8918" w:type="dxa"/>
            <w:gridSpan w:val="3"/>
            <w:tcBorders>
              <w:top w:val="single" w:sz="4" w:space="0" w:color="000000"/>
              <w:left w:val="single" w:sz="4" w:space="0" w:color="000000"/>
              <w:bottom w:val="single" w:sz="4" w:space="0" w:color="000000"/>
              <w:right w:val="single" w:sz="4" w:space="0" w:color="000000"/>
            </w:tcBorders>
          </w:tcPr>
          <w:p w14:paraId="4119DDD9" w14:textId="77777777" w:rsidR="00297340" w:rsidRPr="00C33F4C" w:rsidRDefault="005972F6" w:rsidP="00C33F4C">
            <w:pPr>
              <w:keepNext/>
              <w:spacing w:after="0" w:line="240" w:lineRule="auto"/>
              <w:ind w:left="0" w:firstLine="0"/>
              <w:rPr>
                <w:color w:val="auto"/>
                <w:lang w:val="es-ES"/>
              </w:rPr>
            </w:pPr>
            <w:r w:rsidRPr="00C33F4C">
              <w:rPr>
                <w:color w:val="auto"/>
                <w:lang w:val="es-ES"/>
              </w:rPr>
              <w:t>Tasa de respuesta global</w:t>
            </w:r>
          </w:p>
        </w:tc>
      </w:tr>
      <w:tr w:rsidR="00FB24C0" w:rsidRPr="00024F4B" w14:paraId="4CC4E8FA" w14:textId="77777777" w:rsidTr="00C33F4C">
        <w:trPr>
          <w:trHeight w:val="238"/>
        </w:trPr>
        <w:tc>
          <w:tcPr>
            <w:tcW w:w="4270" w:type="dxa"/>
            <w:tcBorders>
              <w:top w:val="single" w:sz="4" w:space="0" w:color="000000"/>
              <w:left w:val="single" w:sz="4" w:space="0" w:color="000000"/>
              <w:bottom w:val="single" w:sz="4" w:space="0" w:color="000000"/>
              <w:right w:val="single" w:sz="4" w:space="0" w:color="000000"/>
            </w:tcBorders>
          </w:tcPr>
          <w:p w14:paraId="516BC7DE" w14:textId="77777777" w:rsidR="00FB24C0" w:rsidRPr="00C33F4C" w:rsidRDefault="005972F6" w:rsidP="00C33F4C">
            <w:pPr>
              <w:spacing w:after="0" w:line="240" w:lineRule="auto"/>
              <w:ind w:left="567" w:firstLine="0"/>
              <w:rPr>
                <w:color w:val="auto"/>
                <w:lang w:val="es-ES"/>
              </w:rPr>
            </w:pPr>
            <w:r w:rsidRPr="00C33F4C">
              <w:rPr>
                <w:color w:val="auto"/>
                <w:lang w:val="es-ES"/>
              </w:rPr>
              <w:t>Tasa (%)</w:t>
            </w:r>
          </w:p>
        </w:tc>
        <w:tc>
          <w:tcPr>
            <w:tcW w:w="2313" w:type="dxa"/>
            <w:tcBorders>
              <w:top w:val="single" w:sz="4" w:space="0" w:color="000000"/>
              <w:left w:val="single" w:sz="4" w:space="0" w:color="000000"/>
              <w:bottom w:val="single" w:sz="4" w:space="0" w:color="000000"/>
              <w:right w:val="single" w:sz="4" w:space="0" w:color="000000"/>
            </w:tcBorders>
            <w:vAlign w:val="center"/>
          </w:tcPr>
          <w:p w14:paraId="2EDF75DA" w14:textId="77777777" w:rsidR="00FB24C0" w:rsidRPr="00C33F4C" w:rsidRDefault="00FB24C0" w:rsidP="00C33F4C">
            <w:pPr>
              <w:keepNext/>
              <w:spacing w:after="0" w:line="240" w:lineRule="auto"/>
              <w:ind w:left="0" w:firstLine="0"/>
              <w:jc w:val="center"/>
              <w:rPr>
                <w:color w:val="auto"/>
                <w:lang w:val="es-ES"/>
              </w:rPr>
            </w:pPr>
            <w:r w:rsidRPr="00C33F4C">
              <w:rPr>
                <w:color w:val="auto"/>
                <w:lang w:val="es-ES"/>
              </w:rPr>
              <w:t>34,8</w:t>
            </w:r>
          </w:p>
        </w:tc>
        <w:tc>
          <w:tcPr>
            <w:tcW w:w="2335" w:type="dxa"/>
            <w:tcBorders>
              <w:top w:val="single" w:sz="4" w:space="0" w:color="000000"/>
              <w:left w:val="single" w:sz="4" w:space="0" w:color="000000"/>
              <w:bottom w:val="single" w:sz="4" w:space="0" w:color="000000"/>
              <w:right w:val="single" w:sz="4" w:space="0" w:color="000000"/>
            </w:tcBorders>
            <w:vAlign w:val="center"/>
          </w:tcPr>
          <w:p w14:paraId="4DB8FCBE"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44,8</w:t>
            </w:r>
          </w:p>
        </w:tc>
      </w:tr>
      <w:tr w:rsidR="00FB24C0" w:rsidRPr="00024F4B" w14:paraId="6D87894A" w14:textId="77777777" w:rsidTr="00C33F4C">
        <w:trPr>
          <w:trHeight w:val="298"/>
        </w:trPr>
        <w:tc>
          <w:tcPr>
            <w:tcW w:w="4270" w:type="dxa"/>
            <w:tcBorders>
              <w:top w:val="single" w:sz="4" w:space="0" w:color="000000"/>
              <w:left w:val="single" w:sz="4" w:space="0" w:color="000000"/>
              <w:bottom w:val="single" w:sz="4" w:space="0" w:color="000000"/>
              <w:right w:val="single" w:sz="4" w:space="0" w:color="000000"/>
            </w:tcBorders>
          </w:tcPr>
          <w:p w14:paraId="392AA480" w14:textId="77777777" w:rsidR="00FB24C0" w:rsidRPr="00C33F4C" w:rsidRDefault="00FB24C0" w:rsidP="00C33F4C">
            <w:pPr>
              <w:spacing w:after="0" w:line="240" w:lineRule="auto"/>
              <w:ind w:left="0" w:firstLine="0"/>
              <w:rPr>
                <w:color w:val="auto"/>
                <w:lang w:val="es-ES"/>
              </w:rPr>
            </w:pPr>
          </w:p>
        </w:tc>
        <w:tc>
          <w:tcPr>
            <w:tcW w:w="4648" w:type="dxa"/>
            <w:gridSpan w:val="2"/>
            <w:tcBorders>
              <w:top w:val="single" w:sz="4" w:space="0" w:color="000000"/>
              <w:left w:val="single" w:sz="4" w:space="0" w:color="000000"/>
              <w:bottom w:val="single" w:sz="4" w:space="0" w:color="000000"/>
              <w:right w:val="single" w:sz="4" w:space="0" w:color="000000"/>
            </w:tcBorders>
            <w:vAlign w:val="center"/>
          </w:tcPr>
          <w:p w14:paraId="33F588A2" w14:textId="77777777" w:rsidR="00FB24C0" w:rsidRPr="00C33F4C" w:rsidRDefault="0075613B" w:rsidP="00C33F4C">
            <w:pPr>
              <w:spacing w:after="0" w:line="240" w:lineRule="auto"/>
              <w:ind w:left="0" w:firstLine="0"/>
              <w:jc w:val="center"/>
              <w:rPr>
                <w:color w:val="auto"/>
                <w:lang w:val="es-ES"/>
              </w:rPr>
            </w:pPr>
            <w:r w:rsidRPr="00C33F4C">
              <w:rPr>
                <w:color w:val="auto"/>
                <w:lang w:val="es-ES"/>
              </w:rPr>
              <w:t>(v</w:t>
            </w:r>
            <w:r w:rsidR="00FB24C0" w:rsidRPr="00C33F4C">
              <w:rPr>
                <w:color w:val="auto"/>
                <w:lang w:val="es-ES"/>
              </w:rPr>
              <w:t>alor de p = 0,0036</w:t>
            </w:r>
            <w:r w:rsidRPr="00C33F4C">
              <w:rPr>
                <w:color w:val="auto"/>
                <w:lang w:val="es-ES"/>
              </w:rPr>
              <w:t>)</w:t>
            </w:r>
          </w:p>
        </w:tc>
      </w:tr>
    </w:tbl>
    <w:p w14:paraId="03AABEF1" w14:textId="77777777" w:rsidR="00FB24C0" w:rsidRPr="00443040" w:rsidRDefault="00FB24C0" w:rsidP="00FB24C0">
      <w:pPr>
        <w:spacing w:after="0" w:line="240" w:lineRule="auto"/>
        <w:ind w:left="567" w:hanging="567"/>
        <w:rPr>
          <w:color w:val="auto"/>
          <w:sz w:val="20"/>
          <w:lang w:val="es-ES"/>
        </w:rPr>
      </w:pPr>
      <w:r w:rsidRPr="00443040">
        <w:rPr>
          <w:color w:val="auto"/>
          <w:sz w:val="20"/>
          <w:vertAlign w:val="superscript"/>
          <w:lang w:val="es-ES"/>
        </w:rPr>
        <w:t>a</w:t>
      </w:r>
      <w:r w:rsidRPr="00443040">
        <w:rPr>
          <w:color w:val="auto"/>
          <w:sz w:val="20"/>
          <w:lang w:val="es-ES"/>
        </w:rPr>
        <w:tab/>
        <w:t>5 mg/kg cada 2 semanas.</w:t>
      </w:r>
    </w:p>
    <w:p w14:paraId="486BDC1F" w14:textId="77777777" w:rsidR="00FB24C0" w:rsidRPr="00443040" w:rsidRDefault="00FB24C0" w:rsidP="00FB24C0">
      <w:pPr>
        <w:spacing w:after="0" w:line="240" w:lineRule="auto"/>
        <w:ind w:left="567" w:hanging="567"/>
        <w:rPr>
          <w:color w:val="auto"/>
          <w:sz w:val="20"/>
          <w:lang w:val="es-ES"/>
        </w:rPr>
      </w:pPr>
      <w:r w:rsidRPr="00443040">
        <w:rPr>
          <w:color w:val="auto"/>
          <w:sz w:val="20"/>
          <w:vertAlign w:val="superscript"/>
          <w:lang w:val="es-ES"/>
        </w:rPr>
        <w:t>b</w:t>
      </w:r>
      <w:r w:rsidRPr="00443040">
        <w:rPr>
          <w:color w:val="auto"/>
          <w:sz w:val="20"/>
          <w:lang w:val="es-ES"/>
        </w:rPr>
        <w:tab/>
        <w:t>Relativo al brazo control.</w:t>
      </w:r>
    </w:p>
    <w:p w14:paraId="6CE8706B" w14:textId="77777777" w:rsidR="00FB24C0" w:rsidRPr="00443040" w:rsidRDefault="00FB24C0" w:rsidP="00FB24C0">
      <w:pPr>
        <w:spacing w:after="0" w:line="240" w:lineRule="auto"/>
        <w:ind w:left="0" w:firstLine="0"/>
        <w:rPr>
          <w:color w:val="auto"/>
          <w:lang w:val="es-ES"/>
        </w:rPr>
      </w:pPr>
    </w:p>
    <w:p w14:paraId="2C2DACF0" w14:textId="77777777" w:rsidR="00FB24C0" w:rsidRPr="00443040" w:rsidRDefault="00FB24C0" w:rsidP="00FB24C0">
      <w:pPr>
        <w:spacing w:after="0" w:line="240" w:lineRule="auto"/>
        <w:ind w:left="0" w:firstLine="0"/>
        <w:rPr>
          <w:color w:val="auto"/>
          <w:lang w:val="es-ES"/>
        </w:rPr>
      </w:pPr>
      <w:r w:rsidRPr="00443040">
        <w:rPr>
          <w:color w:val="auto"/>
          <w:lang w:val="es-ES"/>
        </w:rPr>
        <w:t xml:space="preserve">Entre los 110 pacientes aleatorizados al Brazo 3 (5-FU/FA + </w:t>
      </w:r>
      <w:r w:rsidR="00B90F75" w:rsidRPr="001919A9">
        <w:rPr>
          <w:lang w:val="es-ES"/>
        </w:rPr>
        <w:t>bevacizumab</w:t>
      </w:r>
      <w:r w:rsidRPr="00443040">
        <w:rPr>
          <w:color w:val="auto"/>
          <w:lang w:val="es-ES"/>
        </w:rPr>
        <w:t>), antes de la interrupción de inclusión de pacientes en este brazo, la mediana de la supervivencia global fue de 18,3 meses y la mediana de la supervivencia libre de progresión fue de 8,8 meses.</w:t>
      </w:r>
    </w:p>
    <w:p w14:paraId="6F503499" w14:textId="77777777" w:rsidR="00FB24C0" w:rsidRPr="00443040" w:rsidRDefault="00FB24C0" w:rsidP="00FB24C0">
      <w:pPr>
        <w:spacing w:after="0" w:line="240" w:lineRule="auto"/>
        <w:ind w:left="0" w:firstLine="0"/>
        <w:rPr>
          <w:color w:val="auto"/>
          <w:lang w:val="es-ES"/>
        </w:rPr>
      </w:pPr>
    </w:p>
    <w:p w14:paraId="72FEC15F" w14:textId="77777777" w:rsidR="00FB24C0" w:rsidRPr="00443040" w:rsidRDefault="00FB24C0" w:rsidP="006C1400">
      <w:pPr>
        <w:keepNext/>
        <w:spacing w:after="0" w:line="240" w:lineRule="auto"/>
        <w:ind w:left="0" w:firstLine="0"/>
        <w:rPr>
          <w:i/>
          <w:color w:val="auto"/>
          <w:lang w:val="es-ES"/>
        </w:rPr>
      </w:pPr>
      <w:r w:rsidRPr="00443040">
        <w:rPr>
          <w:i/>
          <w:color w:val="auto"/>
          <w:lang w:val="es-ES"/>
        </w:rPr>
        <w:t>AVF2192g</w:t>
      </w:r>
    </w:p>
    <w:p w14:paraId="324D5A04" w14:textId="77777777" w:rsidR="00FB24C0" w:rsidRPr="00443040" w:rsidRDefault="00FB24C0" w:rsidP="00FB24C0">
      <w:pPr>
        <w:spacing w:after="0" w:line="240" w:lineRule="auto"/>
        <w:ind w:left="0" w:firstLine="0"/>
        <w:rPr>
          <w:color w:val="auto"/>
          <w:lang w:val="es-ES"/>
        </w:rPr>
      </w:pPr>
      <w:r w:rsidRPr="00443040">
        <w:rPr>
          <w:color w:val="auto"/>
          <w:lang w:val="es-ES"/>
        </w:rPr>
        <w:t xml:space="preserve">Ensayo clínico fase II, aleatorizado, doble ciego controlado con comparador activo, en el que se evaluaron la eficacia y la seguridad de </w:t>
      </w:r>
      <w:r w:rsidR="00B90F75" w:rsidRPr="001919A9">
        <w:rPr>
          <w:lang w:val="es-ES"/>
        </w:rPr>
        <w:t>bevacizumab</w:t>
      </w:r>
      <w:r w:rsidRPr="00443040">
        <w:rPr>
          <w:color w:val="auto"/>
          <w:lang w:val="es-ES"/>
        </w:rPr>
        <w:t xml:space="preserve"> en combinación con 5-FU/FA como tratamiento en primera línea de cáncer colorrectal metastásico en pacientes que no eran candidatos óptimos para el tratamiento en primera línea con irinotecán. Se aleatorizaron ciento c</w:t>
      </w:r>
      <w:r w:rsidR="006C1400">
        <w:rPr>
          <w:color w:val="auto"/>
          <w:lang w:val="es-ES"/>
        </w:rPr>
        <w:t>inco pacientes en el brazo de 5</w:t>
      </w:r>
      <w:r w:rsidR="006C1400">
        <w:rPr>
          <w:color w:val="auto"/>
          <w:lang w:val="es-ES"/>
        </w:rPr>
        <w:noBreakHyphen/>
      </w:r>
      <w:r w:rsidRPr="00443040">
        <w:rPr>
          <w:color w:val="auto"/>
          <w:lang w:val="es-ES"/>
        </w:rPr>
        <w:t xml:space="preserve">FU/FA + placebo y 104 pacientes en el brazo de 5-FU/FA + </w:t>
      </w:r>
      <w:r w:rsidR="00B90F75" w:rsidRPr="001919A9">
        <w:rPr>
          <w:lang w:val="es-ES"/>
        </w:rPr>
        <w:t>bevacizumab</w:t>
      </w:r>
      <w:r w:rsidRPr="00443040">
        <w:rPr>
          <w:color w:val="auto"/>
          <w:lang w:val="es-ES"/>
        </w:rPr>
        <w:t xml:space="preserve"> (5 mg/kg cada 2 semanas).</w:t>
      </w:r>
      <w:r w:rsidR="006C1400">
        <w:rPr>
          <w:color w:val="auto"/>
          <w:lang w:val="es-ES"/>
        </w:rPr>
        <w:t xml:space="preserve"> </w:t>
      </w:r>
      <w:r w:rsidRPr="00443040">
        <w:rPr>
          <w:color w:val="auto"/>
          <w:lang w:val="es-ES"/>
        </w:rPr>
        <w:t xml:space="preserve">Todos los tratamientos se administraron hasta progresión de la enfermedad. La adición de </w:t>
      </w:r>
      <w:r w:rsidR="00B90F75" w:rsidRPr="001919A9">
        <w:rPr>
          <w:lang w:val="es-ES"/>
        </w:rPr>
        <w:t>bevacizumab</w:t>
      </w:r>
      <w:r w:rsidR="006C1400">
        <w:rPr>
          <w:color w:val="auto"/>
          <w:lang w:val="es-ES"/>
        </w:rPr>
        <w:t xml:space="preserve"> </w:t>
      </w:r>
      <w:r w:rsidRPr="00443040">
        <w:rPr>
          <w:color w:val="auto"/>
          <w:lang w:val="es-ES"/>
        </w:rPr>
        <w:t>5 mg/kg cada dos semanas a 5-FU/FA aumentó la tasa de respuesta objetiva, prolongó significativamente la supervivencia libre de progresión y mostró una tendencia a una supervivencia más larga si se compara con el tratamiento con 5-FU/FA solo.</w:t>
      </w:r>
    </w:p>
    <w:p w14:paraId="5C8312B5" w14:textId="77777777" w:rsidR="00FB24C0" w:rsidRPr="00443040" w:rsidRDefault="00FB24C0" w:rsidP="00FB24C0">
      <w:pPr>
        <w:spacing w:after="0" w:line="240" w:lineRule="auto"/>
        <w:ind w:left="0" w:firstLine="0"/>
        <w:rPr>
          <w:color w:val="auto"/>
          <w:lang w:val="es-ES"/>
        </w:rPr>
      </w:pPr>
    </w:p>
    <w:p w14:paraId="2B719FFE" w14:textId="77777777" w:rsidR="00FB24C0" w:rsidRPr="00443040" w:rsidRDefault="00FB24C0" w:rsidP="006C1400">
      <w:pPr>
        <w:keepNext/>
        <w:spacing w:after="0" w:line="240" w:lineRule="auto"/>
        <w:ind w:left="0" w:firstLine="0"/>
        <w:rPr>
          <w:i/>
          <w:color w:val="auto"/>
          <w:lang w:val="es-ES"/>
        </w:rPr>
      </w:pPr>
      <w:r w:rsidRPr="00443040">
        <w:rPr>
          <w:i/>
          <w:color w:val="auto"/>
          <w:lang w:val="es-ES"/>
        </w:rPr>
        <w:t>AVF0780g</w:t>
      </w:r>
    </w:p>
    <w:p w14:paraId="41139EE0" w14:textId="0747E8A3" w:rsidR="00FB24C0" w:rsidRPr="00443040" w:rsidRDefault="00FB24C0" w:rsidP="00FB24C0">
      <w:pPr>
        <w:spacing w:after="0" w:line="240" w:lineRule="auto"/>
        <w:ind w:left="0" w:firstLine="0"/>
        <w:rPr>
          <w:color w:val="auto"/>
          <w:lang w:val="es-ES"/>
        </w:rPr>
      </w:pPr>
      <w:r w:rsidRPr="00443040">
        <w:rPr>
          <w:color w:val="auto"/>
          <w:lang w:val="es-ES"/>
        </w:rPr>
        <w:t xml:space="preserve">Ensayo clínico fase II, aleatorizado, abierto y controlado con comparador activo, en el que se investigó </w:t>
      </w:r>
      <w:r w:rsidR="007C38C3" w:rsidRPr="001919A9">
        <w:rPr>
          <w:lang w:val="es-ES"/>
        </w:rPr>
        <w:t>bevacizumab</w:t>
      </w:r>
      <w:r w:rsidRPr="00443040">
        <w:rPr>
          <w:color w:val="auto"/>
          <w:lang w:val="es-ES"/>
        </w:rPr>
        <w:t xml:space="preserve"> en combinación con 5-FU/FA para el tratamiento en primera línea de cáncer colorrectal metastásico. La mediana de edad fue de 64 años. El 19% de los pacientes habían recibido quimioterapia y el 14% radioterapia</w:t>
      </w:r>
      <w:r w:rsidR="00D1096C">
        <w:rPr>
          <w:color w:val="auto"/>
          <w:lang w:val="es-ES"/>
        </w:rPr>
        <w:t>s</w:t>
      </w:r>
      <w:r w:rsidRPr="00443040">
        <w:rPr>
          <w:color w:val="auto"/>
          <w:lang w:val="es-ES"/>
        </w:rPr>
        <w:t xml:space="preserve"> previas. Se aleatorizaron 71 pacientes para ser tratados</w:t>
      </w:r>
      <w:r w:rsidR="006C1400">
        <w:rPr>
          <w:color w:val="auto"/>
          <w:lang w:val="es-ES"/>
        </w:rPr>
        <w:t xml:space="preserve"> con 5</w:t>
      </w:r>
      <w:r w:rsidR="006C1400">
        <w:rPr>
          <w:color w:val="auto"/>
          <w:lang w:val="es-ES"/>
        </w:rPr>
        <w:noBreakHyphen/>
      </w:r>
      <w:r w:rsidRPr="00443040">
        <w:rPr>
          <w:color w:val="auto"/>
          <w:lang w:val="es-ES"/>
        </w:rPr>
        <w:t xml:space="preserve">FU/FA en bolo o 5-FU/FA </w:t>
      </w:r>
      <w:r w:rsidRPr="00443040">
        <w:rPr>
          <w:rFonts w:eastAsia="Segoe UI Symbol"/>
          <w:color w:val="auto"/>
          <w:lang w:val="es-ES"/>
        </w:rPr>
        <w:t>+</w:t>
      </w:r>
      <w:r w:rsidRPr="00443040">
        <w:rPr>
          <w:color w:val="auto"/>
          <w:lang w:val="es-ES"/>
        </w:rPr>
        <w:t xml:space="preserve"> </w:t>
      </w:r>
      <w:r w:rsidR="007C38C3" w:rsidRPr="001919A9">
        <w:rPr>
          <w:lang w:val="es-ES"/>
        </w:rPr>
        <w:t>bevacizumab</w:t>
      </w:r>
      <w:r w:rsidRPr="00443040">
        <w:rPr>
          <w:color w:val="auto"/>
          <w:lang w:val="es-ES"/>
        </w:rPr>
        <w:t xml:space="preserve"> (5 mg/kg cada 2 semanas). Un tercer grupo de 33 pacientes fue tratado con 5-FU/FA en bolo + </w:t>
      </w:r>
      <w:r w:rsidR="007C38C3" w:rsidRPr="001919A9">
        <w:rPr>
          <w:lang w:val="es-ES"/>
        </w:rPr>
        <w:t>bevacizumab</w:t>
      </w:r>
      <w:r w:rsidRPr="00443040">
        <w:rPr>
          <w:color w:val="auto"/>
          <w:lang w:val="es-ES"/>
        </w:rPr>
        <w:t xml:space="preserve"> (10 mg/kg cada 2 semanas). Los pacientes fueron tratados hasta la progresión de la enfermedad. Las variables principales del ensayo fueron la tasa de respuesta objetiva y la supervivencia libre de progresión. La adición de 5 mg/kg de </w:t>
      </w:r>
      <w:r w:rsidR="007C38C3" w:rsidRPr="001919A9">
        <w:rPr>
          <w:lang w:val="es-ES"/>
        </w:rPr>
        <w:t>bevacizumab</w:t>
      </w:r>
      <w:r w:rsidRPr="00443040">
        <w:rPr>
          <w:color w:val="auto"/>
          <w:lang w:val="es-ES"/>
        </w:rPr>
        <w:t xml:space="preserve"> cada dos semanas a 5-FU/FA dio lugar a un aumento en la tasa de respuesta objetiva, a la prolongación de la supervivencia libre de progresión y a una tendencia a supervivencia más larga en </w:t>
      </w:r>
      <w:r w:rsidRPr="00443040">
        <w:rPr>
          <w:color w:val="auto"/>
          <w:lang w:val="es-ES"/>
        </w:rPr>
        <w:lastRenderedPageBreak/>
        <w:t xml:space="preserve">comparación con 5-FU/FA solo (ver </w:t>
      </w:r>
      <w:r w:rsidR="00471B84">
        <w:rPr>
          <w:color w:val="auto"/>
          <w:lang w:val="es-ES"/>
        </w:rPr>
        <w:t>t</w:t>
      </w:r>
      <w:r w:rsidRPr="00443040">
        <w:rPr>
          <w:color w:val="auto"/>
          <w:lang w:val="es-ES"/>
        </w:rPr>
        <w:t>abla 5). Estos datos de eficacia son concordantes con los resultados obtenidos en el ensayo AVF2107g.</w:t>
      </w:r>
    </w:p>
    <w:p w14:paraId="28C2DBC8" w14:textId="77777777" w:rsidR="00FB24C0" w:rsidRPr="00443040" w:rsidRDefault="00FB24C0" w:rsidP="00FB24C0">
      <w:pPr>
        <w:spacing w:after="0" w:line="240" w:lineRule="auto"/>
        <w:ind w:left="0" w:firstLine="0"/>
        <w:rPr>
          <w:color w:val="auto"/>
          <w:lang w:val="es-ES"/>
        </w:rPr>
      </w:pPr>
    </w:p>
    <w:p w14:paraId="56764A6B" w14:textId="6CB47BF2" w:rsidR="00FB24C0" w:rsidRPr="00443040" w:rsidRDefault="00FB24C0" w:rsidP="00246678">
      <w:pPr>
        <w:keepNext/>
        <w:keepLines/>
        <w:spacing w:after="0" w:line="240" w:lineRule="auto"/>
        <w:ind w:left="0" w:firstLine="0"/>
        <w:rPr>
          <w:color w:val="auto"/>
          <w:lang w:val="es-ES"/>
        </w:rPr>
      </w:pPr>
      <w:r w:rsidRPr="00443040">
        <w:rPr>
          <w:color w:val="auto"/>
          <w:lang w:val="es-ES"/>
        </w:rPr>
        <w:t xml:space="preserve">Los datos de eficacia de los ensayos AVF0780g y AVF2192g en los que se investigó </w:t>
      </w:r>
      <w:r w:rsidR="007C38C3" w:rsidRPr="001919A9">
        <w:rPr>
          <w:lang w:val="es-ES"/>
        </w:rPr>
        <w:t>bevacizumab</w:t>
      </w:r>
      <w:r w:rsidRPr="00443040">
        <w:rPr>
          <w:color w:val="auto"/>
          <w:lang w:val="es-ES"/>
        </w:rPr>
        <w:t xml:space="preserve"> en combinación con 5-FU/FA se resumen en la </w:t>
      </w:r>
      <w:r w:rsidR="00471B84">
        <w:rPr>
          <w:color w:val="auto"/>
          <w:lang w:val="es-ES"/>
        </w:rPr>
        <w:t>t</w:t>
      </w:r>
      <w:r w:rsidRPr="00443040">
        <w:rPr>
          <w:color w:val="auto"/>
          <w:lang w:val="es-ES"/>
        </w:rPr>
        <w:t>abla 5.</w:t>
      </w:r>
    </w:p>
    <w:p w14:paraId="1311BEA5" w14:textId="77777777" w:rsidR="00FB24C0" w:rsidRPr="00443040" w:rsidRDefault="00FB24C0" w:rsidP="00FB24C0">
      <w:pPr>
        <w:spacing w:after="0" w:line="240" w:lineRule="auto"/>
        <w:ind w:left="0" w:firstLine="0"/>
        <w:rPr>
          <w:color w:val="auto"/>
          <w:lang w:val="es-ES"/>
        </w:rPr>
      </w:pPr>
    </w:p>
    <w:p w14:paraId="2ACB7644" w14:textId="77777777" w:rsidR="00FB24C0" w:rsidRDefault="00FB24C0" w:rsidP="002D7966">
      <w:pPr>
        <w:keepNext/>
        <w:spacing w:after="0" w:line="240" w:lineRule="auto"/>
        <w:ind w:left="0" w:firstLine="0"/>
        <w:rPr>
          <w:b/>
          <w:color w:val="auto"/>
          <w:lang w:val="es-ES"/>
        </w:rPr>
      </w:pPr>
      <w:r w:rsidRPr="00443040">
        <w:rPr>
          <w:b/>
          <w:color w:val="auto"/>
          <w:lang w:val="es-ES"/>
        </w:rPr>
        <w:t>Tabla 5</w:t>
      </w:r>
      <w:r w:rsidR="006C1400">
        <w:rPr>
          <w:b/>
          <w:color w:val="auto"/>
          <w:lang w:val="es-ES"/>
        </w:rPr>
        <w:t>.</w:t>
      </w:r>
      <w:r w:rsidRPr="00443040">
        <w:rPr>
          <w:b/>
          <w:color w:val="auto"/>
          <w:lang w:val="es-ES"/>
        </w:rPr>
        <w:t xml:space="preserve"> Resultados de eficacia de los ensayos AVF0780g y AVF2192g</w:t>
      </w:r>
    </w:p>
    <w:p w14:paraId="5A84DCA1" w14:textId="77777777" w:rsidR="009C214E" w:rsidRDefault="009C214E" w:rsidP="002D7966">
      <w:pPr>
        <w:keepNext/>
        <w:spacing w:after="0" w:line="240" w:lineRule="auto"/>
        <w:ind w:left="0" w:firstLine="0"/>
        <w:rPr>
          <w:b/>
          <w:color w:val="auto"/>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948"/>
        <w:gridCol w:w="1547"/>
        <w:gridCol w:w="1742"/>
        <w:gridCol w:w="1363"/>
        <w:gridCol w:w="1692"/>
      </w:tblGrid>
      <w:tr w:rsidR="009C214E" w:rsidRPr="00E30038" w14:paraId="41605182" w14:textId="77777777" w:rsidTr="00246678">
        <w:trPr>
          <w:trHeight w:val="300"/>
          <w:tblHeader/>
        </w:trPr>
        <w:tc>
          <w:tcPr>
            <w:tcW w:w="1074" w:type="pct"/>
            <w:noWrap/>
            <w:hideMark/>
          </w:tcPr>
          <w:p w14:paraId="3610E2BB" w14:textId="77777777" w:rsidR="009C214E" w:rsidRPr="00D1096C" w:rsidRDefault="009C214E" w:rsidP="007C371C">
            <w:pPr>
              <w:keepNext/>
              <w:spacing w:line="240" w:lineRule="auto"/>
              <w:jc w:val="center"/>
              <w:rPr>
                <w:lang w:val="es-ES"/>
              </w:rPr>
            </w:pPr>
          </w:p>
        </w:tc>
        <w:tc>
          <w:tcPr>
            <w:tcW w:w="2281" w:type="pct"/>
            <w:gridSpan w:val="3"/>
            <w:noWrap/>
            <w:hideMark/>
          </w:tcPr>
          <w:p w14:paraId="40D6FC65" w14:textId="77777777" w:rsidR="009C214E" w:rsidRPr="00E875AC" w:rsidRDefault="009C214E" w:rsidP="007C371C">
            <w:pPr>
              <w:keepNext/>
              <w:spacing w:line="240" w:lineRule="auto"/>
              <w:jc w:val="center"/>
              <w:rPr>
                <w:b/>
              </w:rPr>
            </w:pPr>
            <w:r w:rsidRPr="00E875AC">
              <w:rPr>
                <w:b/>
              </w:rPr>
              <w:t>AVF0780g</w:t>
            </w:r>
          </w:p>
        </w:tc>
        <w:tc>
          <w:tcPr>
            <w:tcW w:w="1645" w:type="pct"/>
            <w:gridSpan w:val="2"/>
            <w:noWrap/>
            <w:hideMark/>
          </w:tcPr>
          <w:p w14:paraId="129D8E14" w14:textId="77777777" w:rsidR="009C214E" w:rsidRPr="00E875AC" w:rsidRDefault="009C214E" w:rsidP="007C371C">
            <w:pPr>
              <w:keepNext/>
              <w:spacing w:line="240" w:lineRule="auto"/>
              <w:jc w:val="center"/>
              <w:rPr>
                <w:b/>
              </w:rPr>
            </w:pPr>
            <w:r w:rsidRPr="00E875AC">
              <w:rPr>
                <w:b/>
              </w:rPr>
              <w:t>AVF2192g</w:t>
            </w:r>
          </w:p>
        </w:tc>
      </w:tr>
      <w:tr w:rsidR="009C214E" w:rsidRPr="00E30038" w14:paraId="0872CF00" w14:textId="77777777" w:rsidTr="00246678">
        <w:trPr>
          <w:trHeight w:val="629"/>
          <w:tblHeader/>
        </w:trPr>
        <w:tc>
          <w:tcPr>
            <w:tcW w:w="1074" w:type="pct"/>
            <w:noWrap/>
            <w:hideMark/>
          </w:tcPr>
          <w:p w14:paraId="2723C391" w14:textId="77777777" w:rsidR="009C214E" w:rsidRPr="00E30038" w:rsidRDefault="009C214E" w:rsidP="007C371C">
            <w:pPr>
              <w:spacing w:line="240" w:lineRule="auto"/>
              <w:jc w:val="center"/>
            </w:pPr>
          </w:p>
        </w:tc>
        <w:tc>
          <w:tcPr>
            <w:tcW w:w="510" w:type="pct"/>
            <w:noWrap/>
            <w:vAlign w:val="center"/>
            <w:hideMark/>
          </w:tcPr>
          <w:p w14:paraId="22125543" w14:textId="77777777" w:rsidR="009C214E" w:rsidRPr="00E875AC" w:rsidRDefault="009C214E" w:rsidP="007C371C">
            <w:pPr>
              <w:spacing w:line="240" w:lineRule="auto"/>
              <w:jc w:val="center"/>
              <w:rPr>
                <w:b/>
              </w:rPr>
            </w:pPr>
            <w:r w:rsidRPr="00E875AC">
              <w:rPr>
                <w:b/>
              </w:rPr>
              <w:t>5</w:t>
            </w:r>
            <w:r w:rsidRPr="00E875AC">
              <w:rPr>
                <w:rFonts w:eastAsia="Calibri"/>
                <w:b/>
              </w:rPr>
              <w:t>-</w:t>
            </w:r>
            <w:r w:rsidRPr="00E875AC">
              <w:rPr>
                <w:b/>
              </w:rPr>
              <w:t>FU/FA</w:t>
            </w:r>
          </w:p>
        </w:tc>
        <w:tc>
          <w:tcPr>
            <w:tcW w:w="833" w:type="pct"/>
            <w:noWrap/>
            <w:vAlign w:val="center"/>
            <w:hideMark/>
          </w:tcPr>
          <w:p w14:paraId="345DBF09" w14:textId="77777777" w:rsidR="009C214E" w:rsidRPr="00E875AC" w:rsidRDefault="009C214E" w:rsidP="007C371C">
            <w:pPr>
              <w:spacing w:line="240" w:lineRule="auto"/>
              <w:jc w:val="center"/>
              <w:rPr>
                <w:b/>
              </w:rPr>
            </w:pPr>
            <w:r w:rsidRPr="00E875AC">
              <w:rPr>
                <w:b/>
              </w:rPr>
              <w:t>5</w:t>
            </w:r>
            <w:r w:rsidRPr="00E875AC">
              <w:rPr>
                <w:rFonts w:eastAsia="Calibri"/>
                <w:b/>
              </w:rPr>
              <w:t>-</w:t>
            </w:r>
            <w:r w:rsidRPr="00E875AC">
              <w:rPr>
                <w:b/>
              </w:rPr>
              <w:t xml:space="preserve">FU/FA + </w:t>
            </w:r>
            <w:proofErr w:type="spellStart"/>
            <w:r w:rsidRPr="00E875AC">
              <w:rPr>
                <w:b/>
              </w:rPr>
              <w:t>bevacizumab</w:t>
            </w:r>
            <w:r w:rsidRPr="00E875AC">
              <w:rPr>
                <w:b/>
                <w:vertAlign w:val="superscript"/>
              </w:rPr>
              <w:t>a</w:t>
            </w:r>
            <w:proofErr w:type="spellEnd"/>
          </w:p>
        </w:tc>
        <w:tc>
          <w:tcPr>
            <w:tcW w:w="938" w:type="pct"/>
            <w:noWrap/>
            <w:vAlign w:val="center"/>
            <w:hideMark/>
          </w:tcPr>
          <w:p w14:paraId="0B7691FE" w14:textId="77777777" w:rsidR="009C214E" w:rsidRPr="00E875AC" w:rsidRDefault="009C214E" w:rsidP="007C371C">
            <w:pPr>
              <w:spacing w:line="240" w:lineRule="auto"/>
              <w:jc w:val="center"/>
              <w:rPr>
                <w:b/>
              </w:rPr>
            </w:pPr>
            <w:r w:rsidRPr="00E875AC">
              <w:rPr>
                <w:b/>
              </w:rPr>
              <w:t>5</w:t>
            </w:r>
            <w:r w:rsidRPr="00E875AC">
              <w:rPr>
                <w:rFonts w:eastAsia="Calibri"/>
                <w:b/>
              </w:rPr>
              <w:t>-</w:t>
            </w:r>
            <w:r w:rsidRPr="00E875AC">
              <w:rPr>
                <w:b/>
              </w:rPr>
              <w:t xml:space="preserve">FU/FA + </w:t>
            </w:r>
            <w:proofErr w:type="spellStart"/>
            <w:r w:rsidRPr="00E875AC">
              <w:rPr>
                <w:b/>
              </w:rPr>
              <w:t>bevacizumab</w:t>
            </w:r>
            <w:r w:rsidRPr="00E875AC">
              <w:rPr>
                <w:b/>
                <w:vertAlign w:val="superscript"/>
              </w:rPr>
              <w:t>b</w:t>
            </w:r>
            <w:proofErr w:type="spellEnd"/>
          </w:p>
        </w:tc>
        <w:tc>
          <w:tcPr>
            <w:tcW w:w="734" w:type="pct"/>
            <w:noWrap/>
            <w:vAlign w:val="center"/>
            <w:hideMark/>
          </w:tcPr>
          <w:p w14:paraId="5ECB68F5" w14:textId="77777777" w:rsidR="009C214E" w:rsidRPr="00E875AC" w:rsidRDefault="009C214E" w:rsidP="007C371C">
            <w:pPr>
              <w:spacing w:line="240" w:lineRule="auto"/>
              <w:jc w:val="center"/>
              <w:rPr>
                <w:b/>
              </w:rPr>
            </w:pPr>
            <w:r w:rsidRPr="00E875AC">
              <w:rPr>
                <w:b/>
              </w:rPr>
              <w:t>5</w:t>
            </w:r>
            <w:r w:rsidRPr="00E875AC">
              <w:rPr>
                <w:rFonts w:eastAsia="Calibri"/>
                <w:b/>
              </w:rPr>
              <w:t>-</w:t>
            </w:r>
            <w:r w:rsidRPr="00E875AC">
              <w:rPr>
                <w:b/>
              </w:rPr>
              <w:t>FU/FA + placebo</w:t>
            </w:r>
          </w:p>
        </w:tc>
        <w:tc>
          <w:tcPr>
            <w:tcW w:w="911" w:type="pct"/>
            <w:noWrap/>
            <w:vAlign w:val="center"/>
            <w:hideMark/>
          </w:tcPr>
          <w:p w14:paraId="3C8654DF" w14:textId="77777777" w:rsidR="009C214E" w:rsidRPr="00E875AC" w:rsidRDefault="009C214E" w:rsidP="007C371C">
            <w:pPr>
              <w:spacing w:line="240" w:lineRule="auto"/>
              <w:jc w:val="center"/>
              <w:rPr>
                <w:b/>
              </w:rPr>
            </w:pPr>
            <w:r w:rsidRPr="00E875AC">
              <w:rPr>
                <w:b/>
              </w:rPr>
              <w:t>5</w:t>
            </w:r>
            <w:r w:rsidRPr="00E875AC">
              <w:rPr>
                <w:rFonts w:eastAsia="Calibri"/>
                <w:b/>
              </w:rPr>
              <w:t>-</w:t>
            </w:r>
            <w:r w:rsidRPr="00E875AC">
              <w:rPr>
                <w:b/>
              </w:rPr>
              <w:t>FU/FA + bevacizumab</w:t>
            </w:r>
          </w:p>
        </w:tc>
      </w:tr>
      <w:tr w:rsidR="009C214E" w:rsidRPr="00E30038" w14:paraId="47A1BAE0" w14:textId="77777777" w:rsidTr="00246678">
        <w:trPr>
          <w:trHeight w:val="300"/>
        </w:trPr>
        <w:tc>
          <w:tcPr>
            <w:tcW w:w="1074" w:type="pct"/>
            <w:noWrap/>
            <w:hideMark/>
          </w:tcPr>
          <w:p w14:paraId="377BDA43" w14:textId="77777777" w:rsidR="009C214E" w:rsidRPr="00E30038" w:rsidRDefault="009C214E" w:rsidP="007C371C">
            <w:pPr>
              <w:spacing w:line="240" w:lineRule="auto"/>
            </w:pPr>
            <w:r w:rsidRPr="007C3803">
              <w:rPr>
                <w:color w:val="auto"/>
                <w:lang w:val="es-ES"/>
              </w:rPr>
              <w:t>Número de pacientes</w:t>
            </w:r>
          </w:p>
        </w:tc>
        <w:tc>
          <w:tcPr>
            <w:tcW w:w="510" w:type="pct"/>
            <w:noWrap/>
            <w:hideMark/>
          </w:tcPr>
          <w:p w14:paraId="25711D13" w14:textId="77777777" w:rsidR="009C214E" w:rsidRPr="00E30038" w:rsidRDefault="009C214E" w:rsidP="007C371C">
            <w:pPr>
              <w:spacing w:line="240" w:lineRule="auto"/>
              <w:jc w:val="center"/>
            </w:pPr>
            <w:r w:rsidRPr="00E30038">
              <w:t>36</w:t>
            </w:r>
          </w:p>
        </w:tc>
        <w:tc>
          <w:tcPr>
            <w:tcW w:w="833" w:type="pct"/>
            <w:noWrap/>
            <w:hideMark/>
          </w:tcPr>
          <w:p w14:paraId="7F75287B" w14:textId="77777777" w:rsidR="009C214E" w:rsidRPr="00E30038" w:rsidRDefault="009C214E" w:rsidP="007C371C">
            <w:pPr>
              <w:spacing w:line="240" w:lineRule="auto"/>
              <w:jc w:val="center"/>
            </w:pPr>
            <w:r w:rsidRPr="00E30038">
              <w:t>35</w:t>
            </w:r>
          </w:p>
        </w:tc>
        <w:tc>
          <w:tcPr>
            <w:tcW w:w="938" w:type="pct"/>
            <w:noWrap/>
            <w:hideMark/>
          </w:tcPr>
          <w:p w14:paraId="4C9EFAEE" w14:textId="77777777" w:rsidR="009C214E" w:rsidRPr="00E30038" w:rsidRDefault="009C214E" w:rsidP="007C371C">
            <w:pPr>
              <w:spacing w:line="240" w:lineRule="auto"/>
              <w:jc w:val="center"/>
            </w:pPr>
            <w:r w:rsidRPr="00E30038">
              <w:t>33</w:t>
            </w:r>
          </w:p>
        </w:tc>
        <w:tc>
          <w:tcPr>
            <w:tcW w:w="734" w:type="pct"/>
            <w:noWrap/>
            <w:hideMark/>
          </w:tcPr>
          <w:p w14:paraId="0A0D6D3B" w14:textId="77777777" w:rsidR="009C214E" w:rsidRPr="00E30038" w:rsidRDefault="009C214E" w:rsidP="007C371C">
            <w:pPr>
              <w:spacing w:line="240" w:lineRule="auto"/>
              <w:jc w:val="center"/>
            </w:pPr>
            <w:r w:rsidRPr="00E30038">
              <w:t>105</w:t>
            </w:r>
          </w:p>
        </w:tc>
        <w:tc>
          <w:tcPr>
            <w:tcW w:w="911" w:type="pct"/>
            <w:noWrap/>
            <w:hideMark/>
          </w:tcPr>
          <w:p w14:paraId="40243212" w14:textId="77777777" w:rsidR="009C214E" w:rsidRPr="00E30038" w:rsidRDefault="009C214E" w:rsidP="007C371C">
            <w:pPr>
              <w:spacing w:line="240" w:lineRule="auto"/>
              <w:jc w:val="center"/>
            </w:pPr>
            <w:r w:rsidRPr="00E30038">
              <w:t>104</w:t>
            </w:r>
          </w:p>
        </w:tc>
      </w:tr>
      <w:tr w:rsidR="009C214E" w:rsidRPr="00E30038" w14:paraId="47522D79" w14:textId="77777777" w:rsidTr="00246678">
        <w:trPr>
          <w:trHeight w:val="300"/>
        </w:trPr>
        <w:tc>
          <w:tcPr>
            <w:tcW w:w="5000" w:type="pct"/>
            <w:gridSpan w:val="6"/>
            <w:noWrap/>
            <w:hideMark/>
          </w:tcPr>
          <w:p w14:paraId="228AF127" w14:textId="77777777" w:rsidR="009C214E" w:rsidRPr="00E30038" w:rsidRDefault="009C214E" w:rsidP="007C371C">
            <w:pPr>
              <w:spacing w:line="240" w:lineRule="auto"/>
            </w:pPr>
            <w:r>
              <w:rPr>
                <w:color w:val="auto"/>
                <w:lang w:val="es-ES"/>
              </w:rPr>
              <w:t>Supervivencia global</w:t>
            </w:r>
          </w:p>
        </w:tc>
      </w:tr>
      <w:tr w:rsidR="009C214E" w:rsidRPr="00E30038" w14:paraId="3A163067" w14:textId="77777777" w:rsidTr="00246678">
        <w:trPr>
          <w:trHeight w:val="300"/>
        </w:trPr>
        <w:tc>
          <w:tcPr>
            <w:tcW w:w="1074" w:type="pct"/>
            <w:noWrap/>
            <w:hideMark/>
          </w:tcPr>
          <w:p w14:paraId="36A75FA9" w14:textId="77777777" w:rsidR="009C214E" w:rsidRPr="00E30038" w:rsidRDefault="009C214E" w:rsidP="007C371C">
            <w:pPr>
              <w:spacing w:line="240" w:lineRule="auto"/>
              <w:ind w:left="284"/>
            </w:pPr>
            <w:r>
              <w:rPr>
                <w:color w:val="auto"/>
                <w:lang w:val="es-ES"/>
              </w:rPr>
              <w:t>Mediana del tiempo (meses)</w:t>
            </w:r>
          </w:p>
        </w:tc>
        <w:tc>
          <w:tcPr>
            <w:tcW w:w="510" w:type="pct"/>
            <w:noWrap/>
            <w:hideMark/>
          </w:tcPr>
          <w:p w14:paraId="4E0DB507" w14:textId="77777777" w:rsidR="009C214E" w:rsidRPr="00E30038" w:rsidRDefault="009C214E" w:rsidP="007C371C">
            <w:pPr>
              <w:spacing w:line="240" w:lineRule="auto"/>
              <w:jc w:val="center"/>
            </w:pPr>
            <w:r>
              <w:t>13,</w:t>
            </w:r>
            <w:r w:rsidRPr="00E30038">
              <w:t>6</w:t>
            </w:r>
          </w:p>
        </w:tc>
        <w:tc>
          <w:tcPr>
            <w:tcW w:w="833" w:type="pct"/>
            <w:noWrap/>
            <w:hideMark/>
          </w:tcPr>
          <w:p w14:paraId="7EE6B730" w14:textId="77777777" w:rsidR="009C214E" w:rsidRPr="00E30038" w:rsidRDefault="009C214E" w:rsidP="00440B7C">
            <w:pPr>
              <w:spacing w:line="240" w:lineRule="auto"/>
              <w:jc w:val="center"/>
            </w:pPr>
            <w:r w:rsidRPr="00E30038">
              <w:t>17</w:t>
            </w:r>
            <w:r>
              <w:t>,</w:t>
            </w:r>
            <w:r w:rsidRPr="00E30038">
              <w:t>7</w:t>
            </w:r>
          </w:p>
        </w:tc>
        <w:tc>
          <w:tcPr>
            <w:tcW w:w="938" w:type="pct"/>
            <w:noWrap/>
            <w:hideMark/>
          </w:tcPr>
          <w:p w14:paraId="740EB0FC" w14:textId="77777777" w:rsidR="009C214E" w:rsidRPr="00E30038" w:rsidRDefault="009C214E">
            <w:pPr>
              <w:spacing w:line="240" w:lineRule="auto"/>
              <w:jc w:val="center"/>
            </w:pPr>
            <w:r w:rsidRPr="00E30038">
              <w:t>15</w:t>
            </w:r>
            <w:r>
              <w:t>,</w:t>
            </w:r>
            <w:r w:rsidRPr="00E30038">
              <w:t>2</w:t>
            </w:r>
          </w:p>
        </w:tc>
        <w:tc>
          <w:tcPr>
            <w:tcW w:w="734" w:type="pct"/>
            <w:noWrap/>
            <w:hideMark/>
          </w:tcPr>
          <w:p w14:paraId="72A899D2" w14:textId="77777777" w:rsidR="009C214E" w:rsidRPr="00E30038" w:rsidRDefault="009C214E">
            <w:pPr>
              <w:spacing w:line="240" w:lineRule="auto"/>
              <w:jc w:val="center"/>
            </w:pPr>
            <w:r w:rsidRPr="00E30038">
              <w:t>12</w:t>
            </w:r>
            <w:r>
              <w:t>,</w:t>
            </w:r>
            <w:r w:rsidRPr="00E30038">
              <w:t>9</w:t>
            </w:r>
          </w:p>
        </w:tc>
        <w:tc>
          <w:tcPr>
            <w:tcW w:w="911" w:type="pct"/>
            <w:noWrap/>
            <w:hideMark/>
          </w:tcPr>
          <w:p w14:paraId="49220B3E" w14:textId="77777777" w:rsidR="009C214E" w:rsidRPr="00E30038" w:rsidRDefault="009C214E">
            <w:pPr>
              <w:spacing w:line="240" w:lineRule="auto"/>
              <w:jc w:val="center"/>
            </w:pPr>
            <w:r w:rsidRPr="00E30038">
              <w:t>16</w:t>
            </w:r>
            <w:r>
              <w:t>,</w:t>
            </w:r>
            <w:r w:rsidRPr="00E30038">
              <w:t>6</w:t>
            </w:r>
          </w:p>
        </w:tc>
      </w:tr>
      <w:tr w:rsidR="009C214E" w:rsidRPr="00E30038" w14:paraId="040E7697" w14:textId="77777777" w:rsidTr="00246678">
        <w:trPr>
          <w:trHeight w:val="300"/>
        </w:trPr>
        <w:tc>
          <w:tcPr>
            <w:tcW w:w="1074" w:type="pct"/>
            <w:noWrap/>
            <w:hideMark/>
          </w:tcPr>
          <w:p w14:paraId="004BA1F5" w14:textId="77777777" w:rsidR="009C214E" w:rsidRPr="00E30038" w:rsidRDefault="009C214E" w:rsidP="007C371C">
            <w:pPr>
              <w:spacing w:line="240" w:lineRule="auto"/>
              <w:ind w:left="284"/>
            </w:pPr>
            <w:r>
              <w:rPr>
                <w:color w:val="auto"/>
                <w:lang w:val="es-ES"/>
              </w:rPr>
              <w:t>IC 95%</w:t>
            </w:r>
          </w:p>
        </w:tc>
        <w:tc>
          <w:tcPr>
            <w:tcW w:w="510" w:type="pct"/>
            <w:noWrap/>
            <w:hideMark/>
          </w:tcPr>
          <w:p w14:paraId="7090F2DE" w14:textId="77777777" w:rsidR="009C214E" w:rsidRPr="00E30038" w:rsidRDefault="009C214E" w:rsidP="007C371C">
            <w:pPr>
              <w:spacing w:line="240" w:lineRule="auto"/>
              <w:jc w:val="center"/>
            </w:pPr>
          </w:p>
        </w:tc>
        <w:tc>
          <w:tcPr>
            <w:tcW w:w="833" w:type="pct"/>
            <w:noWrap/>
            <w:hideMark/>
          </w:tcPr>
          <w:p w14:paraId="03C217B4" w14:textId="77777777" w:rsidR="009C214E" w:rsidRPr="00E30038" w:rsidRDefault="009C214E" w:rsidP="007C371C">
            <w:pPr>
              <w:spacing w:line="240" w:lineRule="auto"/>
              <w:jc w:val="center"/>
            </w:pPr>
          </w:p>
        </w:tc>
        <w:tc>
          <w:tcPr>
            <w:tcW w:w="938" w:type="pct"/>
            <w:noWrap/>
            <w:hideMark/>
          </w:tcPr>
          <w:p w14:paraId="48140937" w14:textId="77777777" w:rsidR="009C214E" w:rsidRPr="00E30038" w:rsidRDefault="009C214E" w:rsidP="007C371C">
            <w:pPr>
              <w:spacing w:line="240" w:lineRule="auto"/>
              <w:jc w:val="center"/>
            </w:pPr>
          </w:p>
        </w:tc>
        <w:tc>
          <w:tcPr>
            <w:tcW w:w="734" w:type="pct"/>
            <w:noWrap/>
            <w:hideMark/>
          </w:tcPr>
          <w:p w14:paraId="43B25EFE" w14:textId="77777777" w:rsidR="009C214E" w:rsidRPr="00E30038" w:rsidRDefault="009C214E" w:rsidP="007C371C">
            <w:pPr>
              <w:spacing w:line="240" w:lineRule="auto"/>
              <w:jc w:val="center"/>
            </w:pPr>
            <w:r>
              <w:t>10,</w:t>
            </w:r>
            <w:r w:rsidRPr="00E30038">
              <w:t xml:space="preserve">35 </w:t>
            </w:r>
            <w:r>
              <w:rPr>
                <w:rFonts w:eastAsia="Calibri"/>
              </w:rPr>
              <w:t>–</w:t>
            </w:r>
            <w:r>
              <w:t xml:space="preserve"> 16,</w:t>
            </w:r>
            <w:r w:rsidRPr="00E30038">
              <w:t>95</w:t>
            </w:r>
          </w:p>
        </w:tc>
        <w:tc>
          <w:tcPr>
            <w:tcW w:w="911" w:type="pct"/>
            <w:noWrap/>
            <w:hideMark/>
          </w:tcPr>
          <w:p w14:paraId="2CF31236" w14:textId="77777777" w:rsidR="009C214E" w:rsidRPr="00E30038" w:rsidRDefault="009C214E" w:rsidP="007C371C">
            <w:pPr>
              <w:spacing w:line="240" w:lineRule="auto"/>
              <w:jc w:val="center"/>
            </w:pPr>
            <w:r>
              <w:t>13,</w:t>
            </w:r>
            <w:r w:rsidRPr="00E30038">
              <w:t xml:space="preserve">63 </w:t>
            </w:r>
            <w:r>
              <w:rPr>
                <w:rFonts w:eastAsia="Calibri"/>
              </w:rPr>
              <w:t>–</w:t>
            </w:r>
            <w:r>
              <w:t xml:space="preserve"> 19,</w:t>
            </w:r>
            <w:r w:rsidRPr="00E30038">
              <w:t>32</w:t>
            </w:r>
          </w:p>
        </w:tc>
      </w:tr>
      <w:tr w:rsidR="009C214E" w:rsidRPr="00E30038" w14:paraId="0FBE8101" w14:textId="77777777" w:rsidTr="00246678">
        <w:trPr>
          <w:trHeight w:val="300"/>
        </w:trPr>
        <w:tc>
          <w:tcPr>
            <w:tcW w:w="1074" w:type="pct"/>
            <w:noWrap/>
            <w:hideMark/>
          </w:tcPr>
          <w:p w14:paraId="39E83195" w14:textId="77777777" w:rsidR="009C214E" w:rsidRPr="00E30038" w:rsidRDefault="009C214E" w:rsidP="007C371C">
            <w:pPr>
              <w:spacing w:line="240" w:lineRule="auto"/>
              <w:ind w:left="284"/>
            </w:pPr>
            <w:r w:rsidRPr="007C3803">
              <w:rPr>
                <w:color w:val="auto"/>
                <w:lang w:val="es-ES"/>
              </w:rPr>
              <w:t xml:space="preserve">Razón de </w:t>
            </w:r>
            <w:proofErr w:type="spellStart"/>
            <w:r w:rsidRPr="007C3803">
              <w:rPr>
                <w:color w:val="auto"/>
                <w:lang w:val="es-ES"/>
              </w:rPr>
              <w:t>riesgo</w:t>
            </w:r>
            <w:r w:rsidRPr="008C54DA">
              <w:rPr>
                <w:color w:val="auto"/>
                <w:vertAlign w:val="superscript"/>
                <w:lang w:val="es-ES"/>
              </w:rPr>
              <w:t>c</w:t>
            </w:r>
            <w:proofErr w:type="spellEnd"/>
          </w:p>
        </w:tc>
        <w:tc>
          <w:tcPr>
            <w:tcW w:w="510" w:type="pct"/>
            <w:noWrap/>
            <w:hideMark/>
          </w:tcPr>
          <w:p w14:paraId="1BC2F9D9" w14:textId="77777777" w:rsidR="009C214E" w:rsidRPr="00776E4B" w:rsidRDefault="009C214E" w:rsidP="007C371C">
            <w:pPr>
              <w:spacing w:line="240" w:lineRule="auto"/>
              <w:jc w:val="center"/>
            </w:pPr>
            <w:r w:rsidRPr="00776E4B">
              <w:rPr>
                <w:rFonts w:eastAsia="Calibri"/>
              </w:rPr>
              <w:t>-</w:t>
            </w:r>
          </w:p>
        </w:tc>
        <w:tc>
          <w:tcPr>
            <w:tcW w:w="833" w:type="pct"/>
            <w:noWrap/>
            <w:hideMark/>
          </w:tcPr>
          <w:p w14:paraId="21F7AFB5" w14:textId="77777777" w:rsidR="009C214E" w:rsidRPr="00E30038" w:rsidRDefault="009C214E" w:rsidP="007C371C">
            <w:pPr>
              <w:spacing w:line="240" w:lineRule="auto"/>
              <w:jc w:val="center"/>
            </w:pPr>
            <w:r>
              <w:t>0,</w:t>
            </w:r>
            <w:r w:rsidRPr="00E30038">
              <w:t>52</w:t>
            </w:r>
          </w:p>
        </w:tc>
        <w:tc>
          <w:tcPr>
            <w:tcW w:w="938" w:type="pct"/>
            <w:noWrap/>
            <w:hideMark/>
          </w:tcPr>
          <w:p w14:paraId="361C7D3C" w14:textId="77777777" w:rsidR="009C214E" w:rsidRPr="00E30038" w:rsidRDefault="009C214E" w:rsidP="007C371C">
            <w:pPr>
              <w:spacing w:line="240" w:lineRule="auto"/>
              <w:jc w:val="center"/>
            </w:pPr>
            <w:r>
              <w:t>1,</w:t>
            </w:r>
            <w:r w:rsidRPr="00E30038">
              <w:t>01</w:t>
            </w:r>
          </w:p>
        </w:tc>
        <w:tc>
          <w:tcPr>
            <w:tcW w:w="734" w:type="pct"/>
            <w:noWrap/>
            <w:hideMark/>
          </w:tcPr>
          <w:p w14:paraId="7DFD2F66" w14:textId="77777777" w:rsidR="009C214E" w:rsidRPr="00E30038" w:rsidRDefault="009C214E" w:rsidP="007C371C">
            <w:pPr>
              <w:spacing w:line="240" w:lineRule="auto"/>
              <w:jc w:val="center"/>
            </w:pPr>
          </w:p>
        </w:tc>
        <w:tc>
          <w:tcPr>
            <w:tcW w:w="911" w:type="pct"/>
            <w:noWrap/>
            <w:hideMark/>
          </w:tcPr>
          <w:p w14:paraId="75105CA1" w14:textId="77777777" w:rsidR="009C214E" w:rsidRPr="00E30038" w:rsidRDefault="009C214E" w:rsidP="007C371C">
            <w:pPr>
              <w:spacing w:line="240" w:lineRule="auto"/>
              <w:jc w:val="center"/>
            </w:pPr>
            <w:r>
              <w:t>0,</w:t>
            </w:r>
            <w:r w:rsidRPr="00E30038">
              <w:t>79</w:t>
            </w:r>
          </w:p>
        </w:tc>
      </w:tr>
      <w:tr w:rsidR="009C214E" w:rsidRPr="00E30038" w14:paraId="6103B713" w14:textId="77777777" w:rsidTr="00246678">
        <w:trPr>
          <w:trHeight w:val="300"/>
        </w:trPr>
        <w:tc>
          <w:tcPr>
            <w:tcW w:w="1074" w:type="pct"/>
            <w:noWrap/>
            <w:hideMark/>
          </w:tcPr>
          <w:p w14:paraId="1A67C83A" w14:textId="77777777" w:rsidR="009C214E" w:rsidRPr="00E30038" w:rsidRDefault="009C214E" w:rsidP="007C371C">
            <w:pPr>
              <w:spacing w:line="240" w:lineRule="auto"/>
              <w:ind w:left="284"/>
            </w:pPr>
            <w:r>
              <w:rPr>
                <w:color w:val="auto"/>
                <w:lang w:val="es-ES"/>
              </w:rPr>
              <w:t>Valor de p</w:t>
            </w:r>
          </w:p>
        </w:tc>
        <w:tc>
          <w:tcPr>
            <w:tcW w:w="510" w:type="pct"/>
            <w:noWrap/>
            <w:hideMark/>
          </w:tcPr>
          <w:p w14:paraId="1A7909C7" w14:textId="77777777" w:rsidR="009C214E" w:rsidRPr="00E30038" w:rsidRDefault="009C214E" w:rsidP="007C371C">
            <w:pPr>
              <w:spacing w:line="240" w:lineRule="auto"/>
              <w:jc w:val="center"/>
            </w:pPr>
          </w:p>
        </w:tc>
        <w:tc>
          <w:tcPr>
            <w:tcW w:w="833" w:type="pct"/>
            <w:noWrap/>
            <w:hideMark/>
          </w:tcPr>
          <w:p w14:paraId="3078CD51" w14:textId="77777777" w:rsidR="009C214E" w:rsidRPr="00E30038" w:rsidRDefault="009C214E" w:rsidP="00440B7C">
            <w:pPr>
              <w:spacing w:line="240" w:lineRule="auto"/>
              <w:jc w:val="center"/>
            </w:pPr>
            <w:r w:rsidRPr="00E30038">
              <w:t>0</w:t>
            </w:r>
            <w:r>
              <w:t>,</w:t>
            </w:r>
            <w:r w:rsidRPr="00E30038">
              <w:t>073</w:t>
            </w:r>
          </w:p>
        </w:tc>
        <w:tc>
          <w:tcPr>
            <w:tcW w:w="938" w:type="pct"/>
            <w:noWrap/>
            <w:hideMark/>
          </w:tcPr>
          <w:p w14:paraId="256974D8" w14:textId="77777777" w:rsidR="009C214E" w:rsidRPr="00E30038" w:rsidRDefault="009C214E" w:rsidP="007C371C">
            <w:pPr>
              <w:spacing w:line="240" w:lineRule="auto"/>
              <w:jc w:val="center"/>
            </w:pPr>
            <w:r w:rsidRPr="00E30038">
              <w:t>0</w:t>
            </w:r>
            <w:r>
              <w:t>,</w:t>
            </w:r>
            <w:r w:rsidRPr="00E30038">
              <w:t>978</w:t>
            </w:r>
          </w:p>
        </w:tc>
        <w:tc>
          <w:tcPr>
            <w:tcW w:w="734" w:type="pct"/>
            <w:noWrap/>
            <w:hideMark/>
          </w:tcPr>
          <w:p w14:paraId="59B442D5" w14:textId="77777777" w:rsidR="009C214E" w:rsidRPr="00E30038" w:rsidRDefault="009C214E" w:rsidP="007C371C">
            <w:pPr>
              <w:spacing w:line="240" w:lineRule="auto"/>
              <w:jc w:val="center"/>
            </w:pPr>
          </w:p>
        </w:tc>
        <w:tc>
          <w:tcPr>
            <w:tcW w:w="911" w:type="pct"/>
            <w:noWrap/>
            <w:hideMark/>
          </w:tcPr>
          <w:p w14:paraId="7374C057" w14:textId="77777777" w:rsidR="009C214E" w:rsidRPr="00E30038" w:rsidRDefault="009C214E" w:rsidP="007C371C">
            <w:pPr>
              <w:spacing w:line="240" w:lineRule="auto"/>
              <w:jc w:val="center"/>
            </w:pPr>
            <w:r>
              <w:t>0,</w:t>
            </w:r>
            <w:r w:rsidRPr="00E30038">
              <w:t>16</w:t>
            </w:r>
          </w:p>
        </w:tc>
      </w:tr>
      <w:tr w:rsidR="009C214E" w:rsidRPr="00E30038" w14:paraId="397C4A9B" w14:textId="77777777" w:rsidTr="00246678">
        <w:trPr>
          <w:trHeight w:val="300"/>
        </w:trPr>
        <w:tc>
          <w:tcPr>
            <w:tcW w:w="5000" w:type="pct"/>
            <w:gridSpan w:val="6"/>
            <w:noWrap/>
            <w:hideMark/>
          </w:tcPr>
          <w:p w14:paraId="66933C47" w14:textId="77777777" w:rsidR="009C214E" w:rsidRPr="00E30038" w:rsidRDefault="009C214E" w:rsidP="007C371C">
            <w:pPr>
              <w:spacing w:line="240" w:lineRule="auto"/>
            </w:pPr>
            <w:r w:rsidRPr="007C3803">
              <w:rPr>
                <w:color w:val="auto"/>
                <w:lang w:val="es-ES"/>
              </w:rPr>
              <w:t>Su</w:t>
            </w:r>
            <w:r>
              <w:rPr>
                <w:color w:val="auto"/>
                <w:lang w:val="es-ES"/>
              </w:rPr>
              <w:t>pervivencia libre de progresión</w:t>
            </w:r>
          </w:p>
        </w:tc>
      </w:tr>
      <w:tr w:rsidR="009C214E" w:rsidRPr="00E30038" w14:paraId="12A774F0" w14:textId="77777777" w:rsidTr="00246678">
        <w:trPr>
          <w:trHeight w:val="300"/>
        </w:trPr>
        <w:tc>
          <w:tcPr>
            <w:tcW w:w="1074" w:type="pct"/>
            <w:noWrap/>
            <w:hideMark/>
          </w:tcPr>
          <w:p w14:paraId="7046FBD7" w14:textId="77777777" w:rsidR="009C214E" w:rsidRPr="00E30038" w:rsidRDefault="009C214E" w:rsidP="007C371C">
            <w:pPr>
              <w:spacing w:line="240" w:lineRule="auto"/>
              <w:ind w:left="284"/>
            </w:pPr>
            <w:r w:rsidRPr="007C3803">
              <w:rPr>
                <w:color w:val="auto"/>
                <w:lang w:val="es-ES"/>
              </w:rPr>
              <w:t>Medi</w:t>
            </w:r>
            <w:r>
              <w:rPr>
                <w:color w:val="auto"/>
                <w:lang w:val="es-ES"/>
              </w:rPr>
              <w:t>ana del tiempo (meses)</w:t>
            </w:r>
          </w:p>
        </w:tc>
        <w:tc>
          <w:tcPr>
            <w:tcW w:w="510" w:type="pct"/>
            <w:noWrap/>
            <w:hideMark/>
          </w:tcPr>
          <w:p w14:paraId="6E3857A5" w14:textId="77777777" w:rsidR="009C214E" w:rsidRPr="00E30038" w:rsidRDefault="009C214E" w:rsidP="00440B7C">
            <w:pPr>
              <w:spacing w:line="240" w:lineRule="auto"/>
              <w:jc w:val="center"/>
            </w:pPr>
            <w:r w:rsidRPr="00E30038">
              <w:t>5</w:t>
            </w:r>
            <w:r>
              <w:t>,</w:t>
            </w:r>
            <w:r w:rsidRPr="00E30038">
              <w:t>2</w:t>
            </w:r>
          </w:p>
        </w:tc>
        <w:tc>
          <w:tcPr>
            <w:tcW w:w="833" w:type="pct"/>
            <w:noWrap/>
            <w:hideMark/>
          </w:tcPr>
          <w:p w14:paraId="02874E8E" w14:textId="77777777" w:rsidR="009C214E" w:rsidRPr="00E30038" w:rsidRDefault="009C214E" w:rsidP="007C371C">
            <w:pPr>
              <w:spacing w:line="240" w:lineRule="auto"/>
              <w:jc w:val="center"/>
            </w:pPr>
            <w:r w:rsidRPr="00E30038">
              <w:t>9</w:t>
            </w:r>
            <w:r>
              <w:t>,</w:t>
            </w:r>
            <w:r w:rsidRPr="00E30038">
              <w:t>0</w:t>
            </w:r>
          </w:p>
        </w:tc>
        <w:tc>
          <w:tcPr>
            <w:tcW w:w="938" w:type="pct"/>
            <w:noWrap/>
            <w:hideMark/>
          </w:tcPr>
          <w:p w14:paraId="1BDD4992" w14:textId="77777777" w:rsidR="009C214E" w:rsidRPr="00E30038" w:rsidRDefault="009C214E" w:rsidP="00440B7C">
            <w:pPr>
              <w:spacing w:line="240" w:lineRule="auto"/>
              <w:jc w:val="center"/>
            </w:pPr>
            <w:r w:rsidRPr="00E30038">
              <w:t>7</w:t>
            </w:r>
            <w:r>
              <w:t>,</w:t>
            </w:r>
            <w:r w:rsidRPr="00E30038">
              <w:t>2</w:t>
            </w:r>
          </w:p>
        </w:tc>
        <w:tc>
          <w:tcPr>
            <w:tcW w:w="734" w:type="pct"/>
            <w:noWrap/>
            <w:hideMark/>
          </w:tcPr>
          <w:p w14:paraId="135C316C" w14:textId="77777777" w:rsidR="009C214E" w:rsidRPr="00E30038" w:rsidRDefault="009C214E" w:rsidP="007C371C">
            <w:pPr>
              <w:spacing w:line="240" w:lineRule="auto"/>
              <w:jc w:val="center"/>
            </w:pPr>
            <w:r w:rsidRPr="00E30038">
              <w:t>5</w:t>
            </w:r>
            <w:r>
              <w:t>,</w:t>
            </w:r>
            <w:r w:rsidRPr="00E30038">
              <w:t>5</w:t>
            </w:r>
          </w:p>
        </w:tc>
        <w:tc>
          <w:tcPr>
            <w:tcW w:w="911" w:type="pct"/>
            <w:noWrap/>
            <w:hideMark/>
          </w:tcPr>
          <w:p w14:paraId="52E0BC5F" w14:textId="77777777" w:rsidR="009C214E" w:rsidRPr="00E30038" w:rsidRDefault="009C214E" w:rsidP="007C371C">
            <w:pPr>
              <w:spacing w:line="240" w:lineRule="auto"/>
              <w:jc w:val="center"/>
            </w:pPr>
            <w:r>
              <w:t>9,</w:t>
            </w:r>
            <w:r w:rsidRPr="00E30038">
              <w:t>2</w:t>
            </w:r>
          </w:p>
        </w:tc>
      </w:tr>
      <w:tr w:rsidR="009C214E" w:rsidRPr="00E30038" w14:paraId="457AF39C" w14:textId="77777777" w:rsidTr="00246678">
        <w:trPr>
          <w:trHeight w:val="300"/>
        </w:trPr>
        <w:tc>
          <w:tcPr>
            <w:tcW w:w="1074" w:type="pct"/>
            <w:noWrap/>
            <w:hideMark/>
          </w:tcPr>
          <w:p w14:paraId="3D3DC84B" w14:textId="77777777" w:rsidR="009C214E" w:rsidRPr="00E30038" w:rsidRDefault="009C214E" w:rsidP="007C371C">
            <w:pPr>
              <w:spacing w:line="240" w:lineRule="auto"/>
              <w:ind w:left="284"/>
            </w:pPr>
            <w:r>
              <w:rPr>
                <w:color w:val="auto"/>
                <w:lang w:val="es-ES"/>
              </w:rPr>
              <w:t>Razón de riesgo</w:t>
            </w:r>
          </w:p>
        </w:tc>
        <w:tc>
          <w:tcPr>
            <w:tcW w:w="510" w:type="pct"/>
          </w:tcPr>
          <w:p w14:paraId="0639CC6D" w14:textId="77777777" w:rsidR="009C214E" w:rsidRPr="00E30038" w:rsidRDefault="009C214E" w:rsidP="007C371C">
            <w:pPr>
              <w:spacing w:line="240" w:lineRule="auto"/>
              <w:jc w:val="center"/>
            </w:pPr>
          </w:p>
        </w:tc>
        <w:tc>
          <w:tcPr>
            <w:tcW w:w="833" w:type="pct"/>
            <w:noWrap/>
            <w:hideMark/>
          </w:tcPr>
          <w:p w14:paraId="726429A4" w14:textId="77777777" w:rsidR="009C214E" w:rsidRPr="00E30038" w:rsidRDefault="009C214E" w:rsidP="00440B7C">
            <w:pPr>
              <w:spacing w:line="240" w:lineRule="auto"/>
              <w:jc w:val="center"/>
            </w:pPr>
            <w:r w:rsidRPr="00E30038">
              <w:t>0</w:t>
            </w:r>
            <w:r>
              <w:t>,</w:t>
            </w:r>
            <w:r w:rsidRPr="00E30038">
              <w:t>44</w:t>
            </w:r>
          </w:p>
        </w:tc>
        <w:tc>
          <w:tcPr>
            <w:tcW w:w="938" w:type="pct"/>
            <w:noWrap/>
            <w:hideMark/>
          </w:tcPr>
          <w:p w14:paraId="079E73B0" w14:textId="77777777" w:rsidR="009C214E" w:rsidRPr="00E30038" w:rsidRDefault="009C214E">
            <w:pPr>
              <w:spacing w:line="240" w:lineRule="auto"/>
              <w:jc w:val="center"/>
            </w:pPr>
            <w:r w:rsidRPr="00E30038">
              <w:t>0</w:t>
            </w:r>
            <w:r>
              <w:t>,</w:t>
            </w:r>
            <w:r w:rsidRPr="00E30038">
              <w:t>69</w:t>
            </w:r>
          </w:p>
        </w:tc>
        <w:tc>
          <w:tcPr>
            <w:tcW w:w="734" w:type="pct"/>
            <w:noWrap/>
            <w:hideMark/>
          </w:tcPr>
          <w:p w14:paraId="64C8EB32" w14:textId="77777777" w:rsidR="009C214E" w:rsidRPr="00E30038" w:rsidRDefault="009C214E" w:rsidP="007C371C">
            <w:pPr>
              <w:spacing w:line="240" w:lineRule="auto"/>
              <w:jc w:val="center"/>
            </w:pPr>
          </w:p>
        </w:tc>
        <w:tc>
          <w:tcPr>
            <w:tcW w:w="911" w:type="pct"/>
            <w:noWrap/>
            <w:hideMark/>
          </w:tcPr>
          <w:p w14:paraId="0AF3C937" w14:textId="77777777" w:rsidR="009C214E" w:rsidRPr="00E30038" w:rsidRDefault="009C214E" w:rsidP="007C371C">
            <w:pPr>
              <w:spacing w:line="240" w:lineRule="auto"/>
              <w:jc w:val="center"/>
            </w:pPr>
            <w:r>
              <w:t>0,</w:t>
            </w:r>
            <w:r w:rsidRPr="00E30038">
              <w:t>5</w:t>
            </w:r>
          </w:p>
        </w:tc>
      </w:tr>
      <w:tr w:rsidR="009C214E" w:rsidRPr="00E30038" w14:paraId="58D97568" w14:textId="77777777" w:rsidTr="00246678">
        <w:trPr>
          <w:trHeight w:val="300"/>
        </w:trPr>
        <w:tc>
          <w:tcPr>
            <w:tcW w:w="1074" w:type="pct"/>
            <w:noWrap/>
            <w:hideMark/>
          </w:tcPr>
          <w:p w14:paraId="18E07D18" w14:textId="77777777" w:rsidR="009C214E" w:rsidRPr="00E30038" w:rsidRDefault="009C214E" w:rsidP="007C371C">
            <w:pPr>
              <w:spacing w:line="240" w:lineRule="auto"/>
              <w:ind w:left="284"/>
            </w:pPr>
            <w:r>
              <w:rPr>
                <w:color w:val="auto"/>
                <w:lang w:val="es-ES"/>
              </w:rPr>
              <w:t>Valor de p</w:t>
            </w:r>
          </w:p>
        </w:tc>
        <w:tc>
          <w:tcPr>
            <w:tcW w:w="510" w:type="pct"/>
            <w:noWrap/>
            <w:hideMark/>
          </w:tcPr>
          <w:p w14:paraId="772BB7E4" w14:textId="77777777" w:rsidR="009C214E" w:rsidRPr="00776E4B" w:rsidRDefault="009C214E" w:rsidP="007C371C">
            <w:pPr>
              <w:spacing w:line="240" w:lineRule="auto"/>
              <w:jc w:val="center"/>
            </w:pPr>
            <w:r w:rsidRPr="00776E4B">
              <w:rPr>
                <w:rFonts w:eastAsia="Calibri"/>
              </w:rPr>
              <w:t>-</w:t>
            </w:r>
          </w:p>
        </w:tc>
        <w:tc>
          <w:tcPr>
            <w:tcW w:w="833" w:type="pct"/>
            <w:noWrap/>
            <w:hideMark/>
          </w:tcPr>
          <w:p w14:paraId="633A8C2E" w14:textId="77777777" w:rsidR="009C214E" w:rsidRPr="00E30038" w:rsidRDefault="009C214E" w:rsidP="007C371C">
            <w:pPr>
              <w:spacing w:line="240" w:lineRule="auto"/>
              <w:jc w:val="center"/>
            </w:pPr>
            <w:r>
              <w:t>0,</w:t>
            </w:r>
            <w:r w:rsidRPr="00E30038">
              <w:t>0049</w:t>
            </w:r>
          </w:p>
        </w:tc>
        <w:tc>
          <w:tcPr>
            <w:tcW w:w="938" w:type="pct"/>
            <w:noWrap/>
            <w:hideMark/>
          </w:tcPr>
          <w:p w14:paraId="58209F58" w14:textId="77777777" w:rsidR="009C214E" w:rsidRPr="00E30038" w:rsidRDefault="009C214E" w:rsidP="007C371C">
            <w:pPr>
              <w:spacing w:line="240" w:lineRule="auto"/>
              <w:jc w:val="center"/>
            </w:pPr>
            <w:r>
              <w:t>0,</w:t>
            </w:r>
            <w:r w:rsidRPr="00E30038">
              <w:t>217</w:t>
            </w:r>
          </w:p>
        </w:tc>
        <w:tc>
          <w:tcPr>
            <w:tcW w:w="734" w:type="pct"/>
            <w:noWrap/>
            <w:hideMark/>
          </w:tcPr>
          <w:p w14:paraId="768DDC9D" w14:textId="77777777" w:rsidR="009C214E" w:rsidRPr="00E30038" w:rsidRDefault="009C214E" w:rsidP="007C371C">
            <w:pPr>
              <w:spacing w:line="240" w:lineRule="auto"/>
              <w:jc w:val="center"/>
            </w:pPr>
          </w:p>
        </w:tc>
        <w:tc>
          <w:tcPr>
            <w:tcW w:w="911" w:type="pct"/>
            <w:noWrap/>
            <w:hideMark/>
          </w:tcPr>
          <w:p w14:paraId="3B557795" w14:textId="77777777" w:rsidR="009C214E" w:rsidRPr="00E30038" w:rsidRDefault="009C214E" w:rsidP="007C371C">
            <w:pPr>
              <w:spacing w:line="240" w:lineRule="auto"/>
              <w:jc w:val="center"/>
            </w:pPr>
            <w:r>
              <w:t>0,</w:t>
            </w:r>
            <w:r w:rsidRPr="00E30038">
              <w:t>0002</w:t>
            </w:r>
          </w:p>
        </w:tc>
      </w:tr>
      <w:tr w:rsidR="009C214E" w:rsidRPr="00E30038" w14:paraId="45B7B971" w14:textId="77777777" w:rsidTr="00246678">
        <w:trPr>
          <w:trHeight w:val="300"/>
        </w:trPr>
        <w:tc>
          <w:tcPr>
            <w:tcW w:w="5000" w:type="pct"/>
            <w:gridSpan w:val="6"/>
            <w:noWrap/>
            <w:hideMark/>
          </w:tcPr>
          <w:p w14:paraId="2979EE4D" w14:textId="77777777" w:rsidR="009C214E" w:rsidRPr="00E30038" w:rsidRDefault="009C214E" w:rsidP="007C371C">
            <w:pPr>
              <w:spacing w:line="240" w:lineRule="auto"/>
            </w:pPr>
            <w:r>
              <w:rPr>
                <w:color w:val="auto"/>
                <w:lang w:val="es-ES"/>
              </w:rPr>
              <w:t>Tasa de respuesta global</w:t>
            </w:r>
          </w:p>
        </w:tc>
      </w:tr>
      <w:tr w:rsidR="009C214E" w:rsidRPr="00E30038" w14:paraId="5BCE2C6D" w14:textId="77777777" w:rsidTr="00246678">
        <w:trPr>
          <w:trHeight w:val="300"/>
        </w:trPr>
        <w:tc>
          <w:tcPr>
            <w:tcW w:w="1074" w:type="pct"/>
            <w:noWrap/>
            <w:hideMark/>
          </w:tcPr>
          <w:p w14:paraId="34520A1B" w14:textId="77777777" w:rsidR="009C214E" w:rsidRPr="00E30038" w:rsidRDefault="009C214E" w:rsidP="007C371C">
            <w:pPr>
              <w:spacing w:line="240" w:lineRule="auto"/>
              <w:ind w:left="284"/>
            </w:pPr>
            <w:r>
              <w:rPr>
                <w:color w:val="auto"/>
                <w:lang w:val="es-ES"/>
              </w:rPr>
              <w:t>Tasa (%)</w:t>
            </w:r>
          </w:p>
        </w:tc>
        <w:tc>
          <w:tcPr>
            <w:tcW w:w="510" w:type="pct"/>
            <w:noWrap/>
            <w:hideMark/>
          </w:tcPr>
          <w:p w14:paraId="4A5A706B" w14:textId="77777777" w:rsidR="009C214E" w:rsidRPr="00E30038" w:rsidRDefault="009C214E" w:rsidP="007C371C">
            <w:pPr>
              <w:spacing w:line="240" w:lineRule="auto"/>
              <w:jc w:val="center"/>
            </w:pPr>
            <w:r>
              <w:t>16,</w:t>
            </w:r>
            <w:r w:rsidRPr="00E30038">
              <w:t>7</w:t>
            </w:r>
          </w:p>
        </w:tc>
        <w:tc>
          <w:tcPr>
            <w:tcW w:w="833" w:type="pct"/>
            <w:noWrap/>
            <w:hideMark/>
          </w:tcPr>
          <w:p w14:paraId="0A97A512" w14:textId="77777777" w:rsidR="009C214E" w:rsidRPr="00E30038" w:rsidRDefault="009C214E" w:rsidP="007C371C">
            <w:pPr>
              <w:spacing w:line="240" w:lineRule="auto"/>
              <w:jc w:val="center"/>
            </w:pPr>
            <w:r>
              <w:t>40,</w:t>
            </w:r>
            <w:r w:rsidRPr="00E30038">
              <w:t>0</w:t>
            </w:r>
          </w:p>
        </w:tc>
        <w:tc>
          <w:tcPr>
            <w:tcW w:w="938" w:type="pct"/>
            <w:noWrap/>
            <w:hideMark/>
          </w:tcPr>
          <w:p w14:paraId="76A4621A" w14:textId="77777777" w:rsidR="009C214E" w:rsidRPr="00E30038" w:rsidRDefault="009C214E" w:rsidP="00440B7C">
            <w:pPr>
              <w:spacing w:line="240" w:lineRule="auto"/>
              <w:jc w:val="center"/>
            </w:pPr>
            <w:r w:rsidRPr="00E30038">
              <w:t>24</w:t>
            </w:r>
            <w:r>
              <w:t>,</w:t>
            </w:r>
            <w:r w:rsidRPr="00E30038">
              <w:t>2</w:t>
            </w:r>
          </w:p>
        </w:tc>
        <w:tc>
          <w:tcPr>
            <w:tcW w:w="734" w:type="pct"/>
            <w:noWrap/>
            <w:hideMark/>
          </w:tcPr>
          <w:p w14:paraId="1B5472FD" w14:textId="77777777" w:rsidR="009C214E" w:rsidRPr="00E30038" w:rsidRDefault="009C214E" w:rsidP="007C371C">
            <w:pPr>
              <w:spacing w:line="240" w:lineRule="auto"/>
              <w:jc w:val="center"/>
            </w:pPr>
            <w:r w:rsidRPr="00E30038">
              <w:t>1</w:t>
            </w:r>
            <w:r>
              <w:t>5,</w:t>
            </w:r>
            <w:r w:rsidRPr="00E30038">
              <w:t>2</w:t>
            </w:r>
          </w:p>
        </w:tc>
        <w:tc>
          <w:tcPr>
            <w:tcW w:w="911" w:type="pct"/>
            <w:noWrap/>
            <w:hideMark/>
          </w:tcPr>
          <w:p w14:paraId="11CC0AFC" w14:textId="77777777" w:rsidR="009C214E" w:rsidRPr="00E30038" w:rsidRDefault="009C214E" w:rsidP="007C371C">
            <w:pPr>
              <w:spacing w:line="240" w:lineRule="auto"/>
              <w:jc w:val="center"/>
            </w:pPr>
            <w:r w:rsidRPr="00E30038">
              <w:t>26</w:t>
            </w:r>
          </w:p>
        </w:tc>
      </w:tr>
      <w:tr w:rsidR="009C214E" w:rsidRPr="00E30038" w14:paraId="68B95842" w14:textId="77777777" w:rsidTr="00246678">
        <w:trPr>
          <w:trHeight w:val="300"/>
        </w:trPr>
        <w:tc>
          <w:tcPr>
            <w:tcW w:w="1074" w:type="pct"/>
            <w:noWrap/>
            <w:hideMark/>
          </w:tcPr>
          <w:p w14:paraId="0F8B4B5C" w14:textId="77777777" w:rsidR="009C214E" w:rsidRPr="00E30038" w:rsidRDefault="009C214E" w:rsidP="007C371C">
            <w:pPr>
              <w:spacing w:line="240" w:lineRule="auto"/>
              <w:ind w:left="284"/>
            </w:pPr>
            <w:r>
              <w:rPr>
                <w:color w:val="auto"/>
                <w:lang w:val="es-ES"/>
              </w:rPr>
              <w:t>IC 95%</w:t>
            </w:r>
          </w:p>
        </w:tc>
        <w:tc>
          <w:tcPr>
            <w:tcW w:w="510" w:type="pct"/>
            <w:noWrap/>
            <w:hideMark/>
          </w:tcPr>
          <w:p w14:paraId="6DD6C244" w14:textId="77777777" w:rsidR="009C214E" w:rsidRPr="00E30038" w:rsidRDefault="009C214E" w:rsidP="00440B7C">
            <w:pPr>
              <w:spacing w:line="240" w:lineRule="auto"/>
              <w:jc w:val="center"/>
            </w:pPr>
            <w:r w:rsidRPr="00E30038">
              <w:t>7</w:t>
            </w:r>
            <w:r>
              <w:t>,</w:t>
            </w:r>
            <w:r w:rsidRPr="00E30038">
              <w:t xml:space="preserve">0 </w:t>
            </w:r>
            <w:r w:rsidRPr="00776E4B">
              <w:rPr>
                <w:rFonts w:eastAsia="Calibri"/>
              </w:rPr>
              <w:t>-</w:t>
            </w:r>
            <w:r w:rsidRPr="00E30038">
              <w:t xml:space="preserve"> 33</w:t>
            </w:r>
            <w:r>
              <w:t>,</w:t>
            </w:r>
            <w:r w:rsidRPr="00E30038">
              <w:t>5</w:t>
            </w:r>
          </w:p>
        </w:tc>
        <w:tc>
          <w:tcPr>
            <w:tcW w:w="833" w:type="pct"/>
            <w:noWrap/>
            <w:hideMark/>
          </w:tcPr>
          <w:p w14:paraId="62E78D3B" w14:textId="77777777" w:rsidR="009C214E" w:rsidRPr="00E30038" w:rsidRDefault="009C214E">
            <w:pPr>
              <w:spacing w:line="240" w:lineRule="auto"/>
              <w:jc w:val="center"/>
            </w:pPr>
            <w:r w:rsidRPr="00E30038">
              <w:t>24</w:t>
            </w:r>
            <w:r>
              <w:t>,</w:t>
            </w:r>
            <w:r w:rsidRPr="00E30038">
              <w:t xml:space="preserve">4 </w:t>
            </w:r>
            <w:r>
              <w:rPr>
                <w:rFonts w:eastAsia="Calibri"/>
              </w:rPr>
              <w:t>–</w:t>
            </w:r>
            <w:r w:rsidRPr="00E30038">
              <w:t xml:space="preserve"> 57</w:t>
            </w:r>
            <w:r>
              <w:t>,</w:t>
            </w:r>
            <w:r w:rsidRPr="00E30038">
              <w:t>8</w:t>
            </w:r>
          </w:p>
        </w:tc>
        <w:tc>
          <w:tcPr>
            <w:tcW w:w="938" w:type="pct"/>
            <w:noWrap/>
            <w:hideMark/>
          </w:tcPr>
          <w:p w14:paraId="68220B3D" w14:textId="77777777" w:rsidR="009C214E" w:rsidRPr="00E30038" w:rsidRDefault="009C214E" w:rsidP="007C371C">
            <w:pPr>
              <w:spacing w:line="240" w:lineRule="auto"/>
              <w:jc w:val="center"/>
            </w:pPr>
            <w:r w:rsidRPr="00E30038">
              <w:t>1</w:t>
            </w:r>
            <w:r>
              <w:t>1,</w:t>
            </w:r>
            <w:r w:rsidRPr="00E30038">
              <w:t xml:space="preserve">7 </w:t>
            </w:r>
            <w:r>
              <w:rPr>
                <w:rFonts w:eastAsia="Calibri"/>
              </w:rPr>
              <w:t>–</w:t>
            </w:r>
            <w:r>
              <w:t xml:space="preserve"> 42,</w:t>
            </w:r>
            <w:r w:rsidRPr="00E30038">
              <w:t>6</w:t>
            </w:r>
          </w:p>
        </w:tc>
        <w:tc>
          <w:tcPr>
            <w:tcW w:w="734" w:type="pct"/>
            <w:noWrap/>
            <w:hideMark/>
          </w:tcPr>
          <w:p w14:paraId="7D161832" w14:textId="77777777" w:rsidR="009C214E" w:rsidRPr="00E30038" w:rsidRDefault="009C214E" w:rsidP="007C371C">
            <w:pPr>
              <w:spacing w:line="240" w:lineRule="auto"/>
              <w:jc w:val="center"/>
            </w:pPr>
            <w:r>
              <w:t>9,</w:t>
            </w:r>
            <w:r w:rsidRPr="00E30038">
              <w:t xml:space="preserve">2 </w:t>
            </w:r>
            <w:r>
              <w:rPr>
                <w:rFonts w:eastAsia="Calibri"/>
              </w:rPr>
              <w:t>–</w:t>
            </w:r>
            <w:r>
              <w:t xml:space="preserve"> 23,</w:t>
            </w:r>
            <w:r w:rsidRPr="00E30038">
              <w:t>9</w:t>
            </w:r>
          </w:p>
        </w:tc>
        <w:tc>
          <w:tcPr>
            <w:tcW w:w="911" w:type="pct"/>
            <w:noWrap/>
            <w:hideMark/>
          </w:tcPr>
          <w:p w14:paraId="53AB2BBA" w14:textId="77777777" w:rsidR="009C214E" w:rsidRPr="00E30038" w:rsidRDefault="009C214E" w:rsidP="00440B7C">
            <w:pPr>
              <w:spacing w:line="240" w:lineRule="auto"/>
              <w:jc w:val="center"/>
            </w:pPr>
            <w:r>
              <w:t>18,</w:t>
            </w:r>
            <w:r w:rsidRPr="00E30038">
              <w:t xml:space="preserve">1 </w:t>
            </w:r>
            <w:r>
              <w:rPr>
                <w:rFonts w:eastAsia="Calibri"/>
              </w:rPr>
              <w:t>–</w:t>
            </w:r>
            <w:r w:rsidRPr="00E30038">
              <w:t xml:space="preserve"> 35</w:t>
            </w:r>
            <w:r>
              <w:t>,</w:t>
            </w:r>
            <w:r w:rsidRPr="00E30038">
              <w:t>6</w:t>
            </w:r>
          </w:p>
        </w:tc>
      </w:tr>
      <w:tr w:rsidR="009C214E" w:rsidRPr="00E30038" w14:paraId="0113E511" w14:textId="77777777" w:rsidTr="00246678">
        <w:trPr>
          <w:trHeight w:val="300"/>
        </w:trPr>
        <w:tc>
          <w:tcPr>
            <w:tcW w:w="1074" w:type="pct"/>
            <w:noWrap/>
            <w:hideMark/>
          </w:tcPr>
          <w:p w14:paraId="297BC614" w14:textId="77777777" w:rsidR="009C214E" w:rsidRPr="00E30038" w:rsidRDefault="009C214E" w:rsidP="007C371C">
            <w:pPr>
              <w:spacing w:line="240" w:lineRule="auto"/>
              <w:ind w:left="284"/>
            </w:pPr>
            <w:r>
              <w:rPr>
                <w:color w:val="auto"/>
                <w:lang w:val="es-ES"/>
              </w:rPr>
              <w:t>Valor de p</w:t>
            </w:r>
          </w:p>
        </w:tc>
        <w:tc>
          <w:tcPr>
            <w:tcW w:w="510" w:type="pct"/>
            <w:noWrap/>
            <w:hideMark/>
          </w:tcPr>
          <w:p w14:paraId="0C6AA88A" w14:textId="77777777" w:rsidR="009C214E" w:rsidRPr="00E30038" w:rsidRDefault="009C214E" w:rsidP="007C371C">
            <w:pPr>
              <w:spacing w:line="240" w:lineRule="auto"/>
              <w:jc w:val="center"/>
            </w:pPr>
          </w:p>
        </w:tc>
        <w:tc>
          <w:tcPr>
            <w:tcW w:w="833" w:type="pct"/>
            <w:noWrap/>
            <w:hideMark/>
          </w:tcPr>
          <w:p w14:paraId="72D05D3E" w14:textId="77777777" w:rsidR="009C214E" w:rsidRPr="00E30038" w:rsidRDefault="009C214E" w:rsidP="007C371C">
            <w:pPr>
              <w:spacing w:line="240" w:lineRule="auto"/>
              <w:jc w:val="center"/>
            </w:pPr>
            <w:r>
              <w:t>0,</w:t>
            </w:r>
            <w:r w:rsidRPr="00E30038">
              <w:t>029</w:t>
            </w:r>
          </w:p>
        </w:tc>
        <w:tc>
          <w:tcPr>
            <w:tcW w:w="938" w:type="pct"/>
            <w:noWrap/>
            <w:hideMark/>
          </w:tcPr>
          <w:p w14:paraId="3E960CAF" w14:textId="77777777" w:rsidR="009C214E" w:rsidRPr="00E30038" w:rsidRDefault="009C214E" w:rsidP="00440B7C">
            <w:pPr>
              <w:spacing w:line="240" w:lineRule="auto"/>
              <w:jc w:val="center"/>
            </w:pPr>
            <w:r w:rsidRPr="00E30038">
              <w:t>0</w:t>
            </w:r>
            <w:r>
              <w:t>,</w:t>
            </w:r>
            <w:r w:rsidRPr="00E30038">
              <w:t>43</w:t>
            </w:r>
          </w:p>
        </w:tc>
        <w:tc>
          <w:tcPr>
            <w:tcW w:w="734" w:type="pct"/>
            <w:noWrap/>
            <w:hideMark/>
          </w:tcPr>
          <w:p w14:paraId="1D71647A" w14:textId="77777777" w:rsidR="009C214E" w:rsidRPr="00E30038" w:rsidRDefault="009C214E" w:rsidP="007C371C">
            <w:pPr>
              <w:spacing w:line="240" w:lineRule="auto"/>
              <w:jc w:val="center"/>
            </w:pPr>
          </w:p>
        </w:tc>
        <w:tc>
          <w:tcPr>
            <w:tcW w:w="911" w:type="pct"/>
            <w:noWrap/>
            <w:hideMark/>
          </w:tcPr>
          <w:p w14:paraId="22285A10" w14:textId="77777777" w:rsidR="009C214E" w:rsidRPr="00E30038" w:rsidRDefault="009C214E" w:rsidP="00440B7C">
            <w:pPr>
              <w:spacing w:line="240" w:lineRule="auto"/>
              <w:jc w:val="center"/>
            </w:pPr>
            <w:r w:rsidRPr="00E30038">
              <w:t>0</w:t>
            </w:r>
            <w:r>
              <w:t>,</w:t>
            </w:r>
            <w:r w:rsidRPr="00E30038">
              <w:t>055</w:t>
            </w:r>
          </w:p>
        </w:tc>
      </w:tr>
      <w:tr w:rsidR="009C214E" w:rsidRPr="00E30038" w14:paraId="1849165E" w14:textId="77777777" w:rsidTr="00246678">
        <w:trPr>
          <w:trHeight w:val="300"/>
        </w:trPr>
        <w:tc>
          <w:tcPr>
            <w:tcW w:w="5000" w:type="pct"/>
            <w:gridSpan w:val="6"/>
            <w:noWrap/>
            <w:hideMark/>
          </w:tcPr>
          <w:p w14:paraId="73477B10" w14:textId="77777777" w:rsidR="009C214E" w:rsidRPr="00E30038" w:rsidRDefault="009C214E" w:rsidP="007C371C">
            <w:pPr>
              <w:keepNext/>
              <w:spacing w:line="240" w:lineRule="auto"/>
            </w:pPr>
            <w:r>
              <w:rPr>
                <w:color w:val="auto"/>
                <w:lang w:val="es-ES"/>
              </w:rPr>
              <w:t>Duración de la respuesta</w:t>
            </w:r>
          </w:p>
        </w:tc>
      </w:tr>
      <w:tr w:rsidR="009C214E" w:rsidRPr="00E30038" w14:paraId="5815A370" w14:textId="77777777" w:rsidTr="00246678">
        <w:trPr>
          <w:trHeight w:val="300"/>
        </w:trPr>
        <w:tc>
          <w:tcPr>
            <w:tcW w:w="1074" w:type="pct"/>
            <w:noWrap/>
            <w:hideMark/>
          </w:tcPr>
          <w:p w14:paraId="46EBD569" w14:textId="77777777" w:rsidR="009C214E" w:rsidRPr="00E30038" w:rsidRDefault="009C214E" w:rsidP="007C371C">
            <w:pPr>
              <w:keepNext/>
              <w:spacing w:line="240" w:lineRule="auto"/>
              <w:ind w:left="284"/>
            </w:pPr>
            <w:r w:rsidRPr="007C3803">
              <w:rPr>
                <w:color w:val="auto"/>
                <w:lang w:val="es-ES"/>
              </w:rPr>
              <w:t xml:space="preserve">Mediana del tiempo </w:t>
            </w:r>
            <w:r>
              <w:rPr>
                <w:color w:val="auto"/>
                <w:lang w:val="es-ES"/>
              </w:rPr>
              <w:t>(meses</w:t>
            </w:r>
            <w:r w:rsidRPr="00E30038">
              <w:t>)</w:t>
            </w:r>
          </w:p>
        </w:tc>
        <w:tc>
          <w:tcPr>
            <w:tcW w:w="510" w:type="pct"/>
            <w:noWrap/>
            <w:hideMark/>
          </w:tcPr>
          <w:p w14:paraId="6066FF00" w14:textId="77777777" w:rsidR="009C214E" w:rsidRPr="00E30038" w:rsidRDefault="009C214E" w:rsidP="007C371C">
            <w:pPr>
              <w:keepNext/>
              <w:spacing w:line="240" w:lineRule="auto"/>
              <w:jc w:val="center"/>
            </w:pPr>
            <w:r w:rsidRPr="00E30038">
              <w:t>NR</w:t>
            </w:r>
          </w:p>
        </w:tc>
        <w:tc>
          <w:tcPr>
            <w:tcW w:w="833" w:type="pct"/>
            <w:noWrap/>
            <w:hideMark/>
          </w:tcPr>
          <w:p w14:paraId="6A518561" w14:textId="77777777" w:rsidR="009C214E" w:rsidRPr="00E30038" w:rsidRDefault="009C214E" w:rsidP="007C371C">
            <w:pPr>
              <w:keepNext/>
              <w:spacing w:line="240" w:lineRule="auto"/>
              <w:jc w:val="center"/>
            </w:pPr>
            <w:r>
              <w:t>9,</w:t>
            </w:r>
            <w:r w:rsidRPr="00E30038">
              <w:t>3</w:t>
            </w:r>
          </w:p>
        </w:tc>
        <w:tc>
          <w:tcPr>
            <w:tcW w:w="938" w:type="pct"/>
            <w:noWrap/>
            <w:hideMark/>
          </w:tcPr>
          <w:p w14:paraId="5476C709" w14:textId="77777777" w:rsidR="009C214E" w:rsidRPr="00E30038" w:rsidRDefault="009C214E" w:rsidP="007C371C">
            <w:pPr>
              <w:keepNext/>
              <w:spacing w:line="240" w:lineRule="auto"/>
              <w:jc w:val="center"/>
            </w:pPr>
            <w:r>
              <w:t>5,</w:t>
            </w:r>
            <w:r w:rsidRPr="00E30038">
              <w:t>0</w:t>
            </w:r>
          </w:p>
        </w:tc>
        <w:tc>
          <w:tcPr>
            <w:tcW w:w="734" w:type="pct"/>
            <w:noWrap/>
            <w:hideMark/>
          </w:tcPr>
          <w:p w14:paraId="6BBE7437" w14:textId="77777777" w:rsidR="009C214E" w:rsidRPr="00E30038" w:rsidRDefault="009C214E" w:rsidP="007C371C">
            <w:pPr>
              <w:keepNext/>
              <w:spacing w:line="240" w:lineRule="auto"/>
              <w:jc w:val="center"/>
            </w:pPr>
            <w:r>
              <w:t>6,</w:t>
            </w:r>
            <w:r w:rsidRPr="00E30038">
              <w:t>8</w:t>
            </w:r>
          </w:p>
        </w:tc>
        <w:tc>
          <w:tcPr>
            <w:tcW w:w="911" w:type="pct"/>
            <w:noWrap/>
            <w:hideMark/>
          </w:tcPr>
          <w:p w14:paraId="047D5AEB" w14:textId="77777777" w:rsidR="009C214E" w:rsidRPr="00E30038" w:rsidRDefault="009C214E" w:rsidP="007C371C">
            <w:pPr>
              <w:keepNext/>
              <w:spacing w:line="240" w:lineRule="auto"/>
              <w:jc w:val="center"/>
            </w:pPr>
            <w:r>
              <w:t>9,</w:t>
            </w:r>
            <w:r w:rsidRPr="00E30038">
              <w:t>2</w:t>
            </w:r>
          </w:p>
        </w:tc>
      </w:tr>
      <w:tr w:rsidR="009C214E" w:rsidRPr="00E30038" w14:paraId="3A007371" w14:textId="77777777" w:rsidTr="00246678">
        <w:trPr>
          <w:trHeight w:val="821"/>
        </w:trPr>
        <w:tc>
          <w:tcPr>
            <w:tcW w:w="1074" w:type="pct"/>
            <w:noWrap/>
            <w:hideMark/>
          </w:tcPr>
          <w:p w14:paraId="512BF71F" w14:textId="77777777" w:rsidR="009C214E" w:rsidRPr="00E30038" w:rsidRDefault="009C214E" w:rsidP="007C371C">
            <w:pPr>
              <w:spacing w:line="240" w:lineRule="auto"/>
              <w:ind w:left="170"/>
            </w:pPr>
            <w:r>
              <w:rPr>
                <w:color w:val="auto"/>
                <w:lang w:val="es-ES"/>
              </w:rPr>
              <w:t>Percentil 25-75 (meses)</w:t>
            </w:r>
          </w:p>
        </w:tc>
        <w:tc>
          <w:tcPr>
            <w:tcW w:w="510" w:type="pct"/>
            <w:noWrap/>
            <w:hideMark/>
          </w:tcPr>
          <w:p w14:paraId="1EB44EA2" w14:textId="77777777" w:rsidR="009C214E" w:rsidRPr="00E30038" w:rsidRDefault="009C214E" w:rsidP="00440B7C">
            <w:pPr>
              <w:spacing w:line="240" w:lineRule="auto"/>
              <w:jc w:val="center"/>
            </w:pPr>
            <w:r w:rsidRPr="00E30038">
              <w:t>5</w:t>
            </w:r>
            <w:r>
              <w:t>,</w:t>
            </w:r>
            <w:r w:rsidRPr="00E30038">
              <w:t xml:space="preserve">5 </w:t>
            </w:r>
            <w:r w:rsidRPr="00776E4B">
              <w:rPr>
                <w:rFonts w:eastAsia="Calibri"/>
              </w:rPr>
              <w:t>-</w:t>
            </w:r>
            <w:r w:rsidRPr="00E30038">
              <w:t xml:space="preserve"> NR</w:t>
            </w:r>
          </w:p>
        </w:tc>
        <w:tc>
          <w:tcPr>
            <w:tcW w:w="833" w:type="pct"/>
            <w:noWrap/>
            <w:hideMark/>
          </w:tcPr>
          <w:p w14:paraId="063965B0" w14:textId="77777777" w:rsidR="009C214E" w:rsidRPr="00E30038" w:rsidRDefault="009C214E">
            <w:pPr>
              <w:spacing w:line="240" w:lineRule="auto"/>
              <w:jc w:val="center"/>
            </w:pPr>
            <w:r w:rsidRPr="00E30038">
              <w:t>6</w:t>
            </w:r>
            <w:r>
              <w:t>,</w:t>
            </w:r>
            <w:r w:rsidRPr="00E30038">
              <w:t xml:space="preserve">1 </w:t>
            </w:r>
            <w:r w:rsidRPr="00776E4B">
              <w:rPr>
                <w:rFonts w:eastAsia="Calibri"/>
              </w:rPr>
              <w:t>-</w:t>
            </w:r>
            <w:r w:rsidRPr="00E30038">
              <w:t xml:space="preserve"> NR</w:t>
            </w:r>
          </w:p>
        </w:tc>
        <w:tc>
          <w:tcPr>
            <w:tcW w:w="938" w:type="pct"/>
            <w:noWrap/>
            <w:hideMark/>
          </w:tcPr>
          <w:p w14:paraId="62FEB354" w14:textId="77777777" w:rsidR="009C214E" w:rsidRPr="00E30038" w:rsidRDefault="009C214E">
            <w:pPr>
              <w:keepNext/>
              <w:spacing w:line="240" w:lineRule="auto"/>
              <w:jc w:val="center"/>
            </w:pPr>
            <w:r w:rsidRPr="00E30038">
              <w:t>3</w:t>
            </w:r>
            <w:r>
              <w:t>,</w:t>
            </w:r>
            <w:r w:rsidRPr="00E30038">
              <w:t xml:space="preserve">8 </w:t>
            </w:r>
            <w:r>
              <w:rPr>
                <w:rFonts w:eastAsia="Calibri"/>
              </w:rPr>
              <w:t>–</w:t>
            </w:r>
            <w:r w:rsidRPr="00E30038">
              <w:t xml:space="preserve"> 7</w:t>
            </w:r>
            <w:r>
              <w:t>,</w:t>
            </w:r>
            <w:r w:rsidRPr="00E30038">
              <w:t>8</w:t>
            </w:r>
          </w:p>
        </w:tc>
        <w:tc>
          <w:tcPr>
            <w:tcW w:w="734" w:type="pct"/>
            <w:noWrap/>
            <w:hideMark/>
          </w:tcPr>
          <w:p w14:paraId="603285AA" w14:textId="77777777" w:rsidR="009C214E" w:rsidRPr="00E30038" w:rsidRDefault="009C214E">
            <w:pPr>
              <w:keepNext/>
              <w:spacing w:line="240" w:lineRule="auto"/>
              <w:jc w:val="center"/>
            </w:pPr>
            <w:r w:rsidRPr="00E30038">
              <w:t>5</w:t>
            </w:r>
            <w:r>
              <w:t>,</w:t>
            </w:r>
            <w:r w:rsidRPr="00E30038">
              <w:t xml:space="preserve">59 </w:t>
            </w:r>
            <w:r>
              <w:rPr>
                <w:rFonts w:eastAsia="Calibri"/>
              </w:rPr>
              <w:t>–</w:t>
            </w:r>
            <w:r w:rsidRPr="00E30038">
              <w:t xml:space="preserve"> 9</w:t>
            </w:r>
            <w:r>
              <w:t>,</w:t>
            </w:r>
            <w:r w:rsidRPr="00E30038">
              <w:t>17</w:t>
            </w:r>
          </w:p>
        </w:tc>
        <w:tc>
          <w:tcPr>
            <w:tcW w:w="911" w:type="pct"/>
            <w:noWrap/>
            <w:hideMark/>
          </w:tcPr>
          <w:p w14:paraId="0D3EB708" w14:textId="77777777" w:rsidR="009C214E" w:rsidRPr="00E30038" w:rsidRDefault="009C214E">
            <w:pPr>
              <w:keepNext/>
              <w:spacing w:line="240" w:lineRule="auto"/>
              <w:jc w:val="center"/>
            </w:pPr>
            <w:r w:rsidRPr="00E30038">
              <w:t>5</w:t>
            </w:r>
            <w:r>
              <w:t>,</w:t>
            </w:r>
            <w:r w:rsidRPr="00E30038">
              <w:t xml:space="preserve">88 </w:t>
            </w:r>
            <w:r>
              <w:rPr>
                <w:rFonts w:eastAsia="Calibri"/>
              </w:rPr>
              <w:t>–</w:t>
            </w:r>
            <w:r>
              <w:t xml:space="preserve"> 13,</w:t>
            </w:r>
            <w:r w:rsidRPr="00E30038">
              <w:t>01</w:t>
            </w:r>
          </w:p>
        </w:tc>
      </w:tr>
    </w:tbl>
    <w:p w14:paraId="3E597F1B" w14:textId="77777777" w:rsidR="00FB24C0" w:rsidRPr="00485CF3" w:rsidRDefault="00FB24C0" w:rsidP="00FB24C0">
      <w:pPr>
        <w:spacing w:after="0" w:line="240" w:lineRule="auto"/>
        <w:ind w:left="567" w:hanging="567"/>
        <w:rPr>
          <w:color w:val="auto"/>
          <w:sz w:val="20"/>
          <w:lang w:val="es-ES"/>
        </w:rPr>
      </w:pPr>
      <w:r w:rsidRPr="00485CF3">
        <w:rPr>
          <w:color w:val="auto"/>
          <w:sz w:val="20"/>
          <w:vertAlign w:val="superscript"/>
          <w:lang w:val="es-ES"/>
        </w:rPr>
        <w:t>a</w:t>
      </w:r>
      <w:r w:rsidRPr="00485CF3">
        <w:rPr>
          <w:color w:val="auto"/>
          <w:sz w:val="20"/>
          <w:lang w:val="es-ES"/>
        </w:rPr>
        <w:tab/>
        <w:t>5 mg/kg cada 2 semanas</w:t>
      </w:r>
      <w:r w:rsidR="0090090A" w:rsidRPr="00485CF3">
        <w:rPr>
          <w:color w:val="auto"/>
          <w:sz w:val="20"/>
          <w:lang w:val="es-ES"/>
        </w:rPr>
        <w:t>.</w:t>
      </w:r>
    </w:p>
    <w:p w14:paraId="0A6E0C79" w14:textId="77777777" w:rsidR="00FB24C0" w:rsidRPr="00485CF3" w:rsidRDefault="00FB24C0" w:rsidP="00FB24C0">
      <w:pPr>
        <w:spacing w:after="0" w:line="240" w:lineRule="auto"/>
        <w:ind w:left="567" w:hanging="567"/>
        <w:rPr>
          <w:color w:val="auto"/>
          <w:sz w:val="20"/>
          <w:lang w:val="es-ES"/>
        </w:rPr>
      </w:pPr>
      <w:r w:rsidRPr="00485CF3">
        <w:rPr>
          <w:color w:val="auto"/>
          <w:sz w:val="20"/>
          <w:vertAlign w:val="superscript"/>
          <w:lang w:val="es-ES"/>
        </w:rPr>
        <w:t>b</w:t>
      </w:r>
      <w:r w:rsidRPr="00485CF3">
        <w:rPr>
          <w:color w:val="auto"/>
          <w:sz w:val="20"/>
          <w:lang w:val="es-ES"/>
        </w:rPr>
        <w:tab/>
        <w:t>10 mg/kg cada 2 semanas</w:t>
      </w:r>
      <w:r w:rsidR="0090090A" w:rsidRPr="00485CF3">
        <w:rPr>
          <w:color w:val="auto"/>
          <w:sz w:val="20"/>
          <w:lang w:val="es-ES"/>
        </w:rPr>
        <w:t>.</w:t>
      </w:r>
    </w:p>
    <w:p w14:paraId="3AE13362" w14:textId="77777777" w:rsidR="00FB24C0" w:rsidRPr="00485CF3" w:rsidRDefault="00FB24C0" w:rsidP="00FB24C0">
      <w:pPr>
        <w:spacing w:after="0" w:line="240" w:lineRule="auto"/>
        <w:ind w:left="567" w:hanging="567"/>
        <w:rPr>
          <w:color w:val="auto"/>
          <w:sz w:val="20"/>
          <w:lang w:val="es-ES"/>
        </w:rPr>
      </w:pPr>
      <w:r w:rsidRPr="00485CF3">
        <w:rPr>
          <w:color w:val="auto"/>
          <w:sz w:val="20"/>
          <w:vertAlign w:val="superscript"/>
          <w:lang w:val="es-ES"/>
        </w:rPr>
        <w:t>c</w:t>
      </w:r>
      <w:r w:rsidRPr="00485CF3">
        <w:rPr>
          <w:color w:val="auto"/>
          <w:sz w:val="20"/>
          <w:lang w:val="es-ES"/>
        </w:rPr>
        <w:tab/>
        <w:t>Relativo al brazo control</w:t>
      </w:r>
      <w:r w:rsidR="0090090A" w:rsidRPr="00485CF3">
        <w:rPr>
          <w:color w:val="auto"/>
          <w:sz w:val="20"/>
          <w:lang w:val="es-ES"/>
        </w:rPr>
        <w:t>.</w:t>
      </w:r>
    </w:p>
    <w:p w14:paraId="6C7CFDA2" w14:textId="09C2291B" w:rsidR="00FB24C0" w:rsidRPr="00485CF3" w:rsidRDefault="00FB24C0" w:rsidP="00FB24C0">
      <w:pPr>
        <w:spacing w:after="0" w:line="240" w:lineRule="auto"/>
        <w:ind w:left="0" w:firstLine="0"/>
        <w:rPr>
          <w:color w:val="auto"/>
          <w:sz w:val="20"/>
          <w:szCs w:val="20"/>
          <w:lang w:val="es-ES"/>
        </w:rPr>
      </w:pPr>
      <w:r w:rsidRPr="00485CF3">
        <w:rPr>
          <w:color w:val="auto"/>
          <w:sz w:val="20"/>
          <w:szCs w:val="20"/>
          <w:lang w:val="es-ES"/>
        </w:rPr>
        <w:t xml:space="preserve">NA </w:t>
      </w:r>
      <w:r w:rsidRPr="00485CF3">
        <w:rPr>
          <w:rFonts w:eastAsia="Segoe UI Symbol"/>
          <w:color w:val="auto"/>
          <w:sz w:val="20"/>
          <w:szCs w:val="20"/>
          <w:lang w:val="es-ES"/>
        </w:rPr>
        <w:t>=</w:t>
      </w:r>
      <w:r w:rsidRPr="00485CF3">
        <w:rPr>
          <w:color w:val="auto"/>
          <w:sz w:val="20"/>
          <w:szCs w:val="20"/>
          <w:lang w:val="es-ES"/>
        </w:rPr>
        <w:t xml:space="preserve"> </w:t>
      </w:r>
      <w:r w:rsidR="00F92731">
        <w:rPr>
          <w:color w:val="auto"/>
          <w:sz w:val="20"/>
          <w:szCs w:val="20"/>
          <w:lang w:val="es-ES"/>
        </w:rPr>
        <w:t>No A</w:t>
      </w:r>
      <w:r w:rsidRPr="00485CF3">
        <w:rPr>
          <w:color w:val="auto"/>
          <w:sz w:val="20"/>
          <w:szCs w:val="20"/>
          <w:lang w:val="es-ES"/>
        </w:rPr>
        <w:t>lcanzado</w:t>
      </w:r>
    </w:p>
    <w:p w14:paraId="121B1130" w14:textId="77777777" w:rsidR="00FB24C0" w:rsidRPr="00485CF3" w:rsidRDefault="00FB24C0" w:rsidP="00FB24C0">
      <w:pPr>
        <w:spacing w:after="0" w:line="240" w:lineRule="auto"/>
        <w:ind w:left="0" w:firstLine="0"/>
        <w:rPr>
          <w:color w:val="auto"/>
          <w:lang w:val="es-ES"/>
        </w:rPr>
      </w:pPr>
    </w:p>
    <w:p w14:paraId="336F101E" w14:textId="77777777" w:rsidR="00FB24C0" w:rsidRPr="00485CF3" w:rsidRDefault="00FB24C0" w:rsidP="004E52B9">
      <w:pPr>
        <w:keepNext/>
        <w:spacing w:after="0" w:line="240" w:lineRule="auto"/>
        <w:ind w:left="0" w:firstLine="0"/>
        <w:rPr>
          <w:i/>
          <w:color w:val="auto"/>
          <w:lang w:val="es-ES"/>
        </w:rPr>
      </w:pPr>
      <w:r w:rsidRPr="00485CF3">
        <w:rPr>
          <w:i/>
          <w:color w:val="auto"/>
          <w:lang w:val="es-ES"/>
        </w:rPr>
        <w:t>NO16966</w:t>
      </w:r>
    </w:p>
    <w:p w14:paraId="46CA12C9" w14:textId="42336C49" w:rsidR="00FB24C0" w:rsidRPr="00485CF3" w:rsidRDefault="00FB24C0" w:rsidP="00FB24C0">
      <w:pPr>
        <w:spacing w:after="0" w:line="240" w:lineRule="auto"/>
        <w:ind w:left="0" w:firstLine="0"/>
        <w:rPr>
          <w:color w:val="auto"/>
          <w:lang w:val="es-ES"/>
        </w:rPr>
      </w:pPr>
      <w:r w:rsidRPr="00485CF3">
        <w:rPr>
          <w:color w:val="auto"/>
          <w:lang w:val="es-ES"/>
        </w:rPr>
        <w:t xml:space="preserve">Ensayo clínico fase III aleatorizado, doble ciego (para bevacizumab), en el que se investigó </w:t>
      </w:r>
      <w:r w:rsidR="007C38C3" w:rsidRPr="001919A9">
        <w:rPr>
          <w:lang w:val="es-ES"/>
        </w:rPr>
        <w:t>bevacizumab</w:t>
      </w:r>
      <w:r w:rsidRPr="00485CF3">
        <w:rPr>
          <w:color w:val="auto"/>
          <w:lang w:val="es-ES"/>
        </w:rPr>
        <w:t xml:space="preserve"> a una dosis de 7,5 mg/kg en combinación con </w:t>
      </w:r>
      <w:proofErr w:type="spellStart"/>
      <w:r w:rsidRPr="00485CF3">
        <w:rPr>
          <w:color w:val="auto"/>
          <w:lang w:val="es-ES"/>
        </w:rPr>
        <w:t>capecitabina</w:t>
      </w:r>
      <w:proofErr w:type="spellEnd"/>
      <w:r w:rsidRPr="00485CF3">
        <w:rPr>
          <w:color w:val="auto"/>
          <w:lang w:val="es-ES"/>
        </w:rPr>
        <w:t xml:space="preserve"> oral y </w:t>
      </w:r>
      <w:proofErr w:type="spellStart"/>
      <w:r w:rsidRPr="00485CF3">
        <w:rPr>
          <w:color w:val="auto"/>
          <w:lang w:val="es-ES"/>
        </w:rPr>
        <w:t>oxaliplatino</w:t>
      </w:r>
      <w:proofErr w:type="spellEnd"/>
      <w:r w:rsidRPr="00485CF3">
        <w:rPr>
          <w:color w:val="auto"/>
          <w:lang w:val="es-ES"/>
        </w:rPr>
        <w:t xml:space="preserve"> IV (XELOX), administrado en un esquema de 3 semanas; o </w:t>
      </w:r>
      <w:r w:rsidR="007C38C3" w:rsidRPr="001919A9">
        <w:rPr>
          <w:lang w:val="es-ES"/>
        </w:rPr>
        <w:t>bevacizumab</w:t>
      </w:r>
      <w:r w:rsidRPr="00485CF3">
        <w:rPr>
          <w:color w:val="auto"/>
          <w:lang w:val="es-ES"/>
        </w:rPr>
        <w:t xml:space="preserve"> a una dosis de 5 mg/kg en combinación con leucovorina con 5-fluorouracilo en bolo, seguido de una perfusión de 5-fluorouracilo con </w:t>
      </w:r>
      <w:proofErr w:type="spellStart"/>
      <w:r w:rsidRPr="00485CF3">
        <w:rPr>
          <w:color w:val="auto"/>
          <w:lang w:val="es-ES"/>
        </w:rPr>
        <w:t>oxaliplatino</w:t>
      </w:r>
      <w:proofErr w:type="spellEnd"/>
      <w:r w:rsidRPr="00485CF3">
        <w:rPr>
          <w:color w:val="auto"/>
          <w:lang w:val="es-ES"/>
        </w:rPr>
        <w:t xml:space="preserve"> IV (FOLFOX-4), administrado en un esquema de 2 semanas. El ensayo tuvo dos fases: una fase inicial abierta de dos brazos (Parte I) en la que los pacientes fueron aleatorizados en dos grupos diferentes de tratamiento (XELOX y FOLFOX-4) y una fase posterior con un diseño factorial 2 </w:t>
      </w:r>
      <w:r w:rsidR="00BE0ACF" w:rsidRPr="007C09D3">
        <w:rPr>
          <w:lang w:val="es-ES"/>
        </w:rPr>
        <w:t>×</w:t>
      </w:r>
      <w:r w:rsidRPr="00485CF3">
        <w:rPr>
          <w:color w:val="auto"/>
          <w:lang w:val="es-ES"/>
        </w:rPr>
        <w:t xml:space="preserve"> 2 de 4 brazos (Parte II) en la que los pacientes fueron aleatorizados a cuatro</w:t>
      </w:r>
      <w:r w:rsidR="00D54EAD">
        <w:rPr>
          <w:color w:val="auto"/>
          <w:lang w:val="es-ES"/>
        </w:rPr>
        <w:t xml:space="preserve"> grupos de tratamiento (XELOX + </w:t>
      </w:r>
      <w:r w:rsidRPr="00485CF3">
        <w:rPr>
          <w:color w:val="auto"/>
          <w:lang w:val="es-ES"/>
        </w:rPr>
        <w:t xml:space="preserve">placebo, FOLFOX-4 + placebo, XELOX + </w:t>
      </w:r>
      <w:r w:rsidR="007C38C3" w:rsidRPr="001919A9">
        <w:rPr>
          <w:lang w:val="es-ES"/>
        </w:rPr>
        <w:t>bevacizumab</w:t>
      </w:r>
      <w:r w:rsidRPr="00485CF3">
        <w:rPr>
          <w:color w:val="auto"/>
          <w:lang w:val="es-ES"/>
        </w:rPr>
        <w:t xml:space="preserve">, FOLFOX-4 + </w:t>
      </w:r>
      <w:r w:rsidR="007C38C3" w:rsidRPr="001919A9">
        <w:rPr>
          <w:lang w:val="es-ES"/>
        </w:rPr>
        <w:t>bevacizumab</w:t>
      </w:r>
      <w:r w:rsidRPr="00485CF3">
        <w:rPr>
          <w:color w:val="auto"/>
          <w:lang w:val="es-ES"/>
        </w:rPr>
        <w:t xml:space="preserve">). En la Parte II la asignación del tratamiento fue doble ciego con respecto a </w:t>
      </w:r>
      <w:r w:rsidR="007C38C3" w:rsidRPr="001919A9">
        <w:rPr>
          <w:lang w:val="es-ES"/>
        </w:rPr>
        <w:t>bevacizumab</w:t>
      </w:r>
      <w:r w:rsidRPr="00485CF3">
        <w:rPr>
          <w:color w:val="auto"/>
          <w:lang w:val="es-ES"/>
        </w:rPr>
        <w:t>.</w:t>
      </w:r>
    </w:p>
    <w:p w14:paraId="513F7239" w14:textId="77777777" w:rsidR="00FB24C0" w:rsidRPr="00485CF3" w:rsidRDefault="00FB24C0" w:rsidP="00FB24C0">
      <w:pPr>
        <w:spacing w:after="0" w:line="240" w:lineRule="auto"/>
        <w:ind w:left="0" w:firstLine="0"/>
        <w:rPr>
          <w:color w:val="auto"/>
          <w:lang w:val="es-ES"/>
        </w:rPr>
      </w:pPr>
    </w:p>
    <w:p w14:paraId="0A0DE04F" w14:textId="77777777" w:rsidR="00FB24C0" w:rsidRPr="00485CF3" w:rsidRDefault="00FB24C0" w:rsidP="00246678">
      <w:pPr>
        <w:keepNext/>
        <w:keepLines/>
        <w:spacing w:after="0" w:line="240" w:lineRule="auto"/>
        <w:ind w:left="0" w:firstLine="0"/>
        <w:rPr>
          <w:color w:val="auto"/>
          <w:lang w:val="es-ES"/>
        </w:rPr>
      </w:pPr>
      <w:r w:rsidRPr="00485CF3">
        <w:rPr>
          <w:color w:val="auto"/>
          <w:lang w:val="es-ES"/>
        </w:rPr>
        <w:lastRenderedPageBreak/>
        <w:t>Se aleatorizaron aproximadamente 350 pacientes en cada uno de los 4 brazos de la Parte II del ensayo clínico.</w:t>
      </w:r>
    </w:p>
    <w:p w14:paraId="5162E3E1" w14:textId="77777777" w:rsidR="00FB24C0" w:rsidRPr="00485CF3" w:rsidRDefault="00FB24C0" w:rsidP="00246678">
      <w:pPr>
        <w:keepNext/>
        <w:keepLines/>
        <w:spacing w:after="0" w:line="240" w:lineRule="auto"/>
        <w:ind w:left="0" w:firstLine="0"/>
        <w:rPr>
          <w:color w:val="auto"/>
          <w:lang w:val="es-ES"/>
        </w:rPr>
      </w:pPr>
    </w:p>
    <w:p w14:paraId="59CD1CE2" w14:textId="40093815" w:rsidR="00FB24C0" w:rsidRPr="004E52B9" w:rsidRDefault="00FB24C0" w:rsidP="004E52B9">
      <w:pPr>
        <w:keepNext/>
        <w:spacing w:after="0" w:line="240" w:lineRule="auto"/>
        <w:ind w:left="0" w:firstLine="0"/>
        <w:rPr>
          <w:b/>
          <w:color w:val="auto"/>
          <w:lang w:val="es-ES"/>
        </w:rPr>
      </w:pPr>
      <w:r w:rsidRPr="004E52B9">
        <w:rPr>
          <w:b/>
          <w:color w:val="auto"/>
          <w:lang w:val="es-ES"/>
        </w:rPr>
        <w:t>Tabla 6</w:t>
      </w:r>
      <w:r w:rsidR="004E52B9">
        <w:rPr>
          <w:b/>
          <w:color w:val="auto"/>
          <w:lang w:val="es-ES"/>
        </w:rPr>
        <w:t>.</w:t>
      </w:r>
      <w:r w:rsidRPr="004E52B9">
        <w:rPr>
          <w:b/>
          <w:color w:val="auto"/>
          <w:lang w:val="es-ES"/>
        </w:rPr>
        <w:t xml:space="preserve"> </w:t>
      </w:r>
      <w:r w:rsidR="00322361">
        <w:rPr>
          <w:b/>
          <w:color w:val="auto"/>
          <w:lang w:val="es-ES"/>
        </w:rPr>
        <w:t>Pautas posológicas</w:t>
      </w:r>
      <w:r w:rsidR="00322361" w:rsidRPr="004E52B9">
        <w:rPr>
          <w:b/>
          <w:color w:val="auto"/>
          <w:lang w:val="es-ES"/>
        </w:rPr>
        <w:t xml:space="preserve"> </w:t>
      </w:r>
      <w:r w:rsidRPr="004E52B9">
        <w:rPr>
          <w:b/>
          <w:color w:val="auto"/>
          <w:lang w:val="es-ES"/>
        </w:rPr>
        <w:t>de tratamiento en el ensayo NO16966 (</w:t>
      </w:r>
      <w:proofErr w:type="spellStart"/>
      <w:r w:rsidRPr="004E52B9">
        <w:rPr>
          <w:b/>
          <w:color w:val="auto"/>
          <w:lang w:val="es-ES"/>
        </w:rPr>
        <w:t>CCRm</w:t>
      </w:r>
      <w:proofErr w:type="spellEnd"/>
      <w:r w:rsidRPr="004E52B9">
        <w:rPr>
          <w:b/>
          <w:color w:val="auto"/>
          <w:lang w:val="es-ES"/>
        </w:rPr>
        <w:t>)</w:t>
      </w:r>
    </w:p>
    <w:p w14:paraId="2CD9E464" w14:textId="77777777" w:rsidR="00FB24C0" w:rsidRPr="00443040" w:rsidRDefault="00FB24C0" w:rsidP="000D2198">
      <w:pPr>
        <w:keepNext/>
        <w:spacing w:after="0" w:line="240" w:lineRule="auto"/>
        <w:ind w:left="0" w:firstLine="0"/>
        <w:rPr>
          <w:color w:val="auto"/>
          <w:lang w:val="es-ES"/>
        </w:rPr>
      </w:pPr>
    </w:p>
    <w:tbl>
      <w:tblPr>
        <w:tblW w:w="8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627"/>
        <w:gridCol w:w="2482"/>
        <w:gridCol w:w="3317"/>
      </w:tblGrid>
      <w:tr w:rsidR="00103089" w:rsidRPr="004E52B9" w14:paraId="37AC888F" w14:textId="77777777" w:rsidTr="00BA4822">
        <w:trPr>
          <w:trHeight w:val="295"/>
          <w:tblHeader/>
        </w:trPr>
        <w:tc>
          <w:tcPr>
            <w:tcW w:w="1559" w:type="dxa"/>
            <w:noWrap/>
          </w:tcPr>
          <w:p w14:paraId="3E1BA572" w14:textId="77777777" w:rsidR="00103089" w:rsidRPr="005D7BF1" w:rsidRDefault="00103089" w:rsidP="00BA4822">
            <w:pPr>
              <w:spacing w:after="0" w:line="240" w:lineRule="auto"/>
              <w:ind w:left="0" w:firstLine="0"/>
              <w:jc w:val="center"/>
              <w:rPr>
                <w:lang w:val="nb-NO"/>
              </w:rPr>
            </w:pPr>
          </w:p>
        </w:tc>
        <w:tc>
          <w:tcPr>
            <w:tcW w:w="1627" w:type="dxa"/>
            <w:tcBorders>
              <w:bottom w:val="single" w:sz="4" w:space="0" w:color="auto"/>
            </w:tcBorders>
            <w:noWrap/>
          </w:tcPr>
          <w:p w14:paraId="45A6ED71" w14:textId="77777777" w:rsidR="00103089" w:rsidRPr="004E52B9" w:rsidRDefault="00103089" w:rsidP="00BA4822">
            <w:pPr>
              <w:spacing w:after="0" w:line="240" w:lineRule="auto"/>
              <w:ind w:left="0" w:firstLine="0"/>
              <w:jc w:val="center"/>
              <w:rPr>
                <w:b/>
                <w:lang w:val="es-ES"/>
              </w:rPr>
            </w:pPr>
            <w:r w:rsidRPr="00103089">
              <w:rPr>
                <w:b/>
                <w:lang w:val="es-ES"/>
              </w:rPr>
              <w:t>Tratamiento</w:t>
            </w:r>
          </w:p>
        </w:tc>
        <w:tc>
          <w:tcPr>
            <w:tcW w:w="2482" w:type="dxa"/>
            <w:tcBorders>
              <w:bottom w:val="single" w:sz="4" w:space="0" w:color="auto"/>
            </w:tcBorders>
            <w:noWrap/>
          </w:tcPr>
          <w:p w14:paraId="2FEFD886" w14:textId="77777777" w:rsidR="00103089" w:rsidRPr="004E52B9" w:rsidRDefault="00103089" w:rsidP="00BA4822">
            <w:pPr>
              <w:spacing w:after="0" w:line="240" w:lineRule="auto"/>
              <w:ind w:left="0" w:firstLine="0"/>
              <w:jc w:val="center"/>
              <w:rPr>
                <w:b/>
                <w:lang w:val="es-ES"/>
              </w:rPr>
            </w:pPr>
            <w:r w:rsidRPr="00103089">
              <w:rPr>
                <w:b/>
                <w:lang w:val="es-ES"/>
              </w:rPr>
              <w:t>Dosis Inicial</w:t>
            </w:r>
          </w:p>
        </w:tc>
        <w:tc>
          <w:tcPr>
            <w:tcW w:w="3315" w:type="dxa"/>
            <w:tcBorders>
              <w:bottom w:val="single" w:sz="4" w:space="0" w:color="auto"/>
            </w:tcBorders>
            <w:noWrap/>
          </w:tcPr>
          <w:p w14:paraId="1F5269AB" w14:textId="77777777" w:rsidR="00103089" w:rsidRPr="004E52B9" w:rsidRDefault="00103089" w:rsidP="00BA4822">
            <w:pPr>
              <w:spacing w:after="0" w:line="240" w:lineRule="auto"/>
              <w:ind w:left="0" w:firstLine="0"/>
              <w:jc w:val="center"/>
              <w:rPr>
                <w:b/>
                <w:lang w:val="es-ES"/>
              </w:rPr>
            </w:pPr>
            <w:r w:rsidRPr="00103089">
              <w:rPr>
                <w:b/>
                <w:lang w:val="es-ES"/>
              </w:rPr>
              <w:t>Esquema</w:t>
            </w:r>
          </w:p>
        </w:tc>
      </w:tr>
      <w:tr w:rsidR="00103089" w:rsidRPr="004E52B9" w14:paraId="4FA6AC3F" w14:textId="77777777" w:rsidTr="001472E9">
        <w:trPr>
          <w:trHeight w:val="409"/>
        </w:trPr>
        <w:tc>
          <w:tcPr>
            <w:tcW w:w="1559" w:type="dxa"/>
            <w:vMerge w:val="restart"/>
            <w:tcBorders>
              <w:right w:val="single" w:sz="4" w:space="0" w:color="auto"/>
            </w:tcBorders>
            <w:noWrap/>
          </w:tcPr>
          <w:p w14:paraId="70FF9BB4" w14:textId="77777777" w:rsidR="00103089" w:rsidRPr="00776AD5" w:rsidRDefault="00103089" w:rsidP="00BA4822">
            <w:pPr>
              <w:spacing w:after="0" w:line="240" w:lineRule="auto"/>
              <w:ind w:left="0" w:firstLine="0"/>
              <w:rPr>
                <w:lang w:val="es-ES"/>
              </w:rPr>
            </w:pPr>
            <w:r w:rsidRPr="00776AD5">
              <w:rPr>
                <w:lang w:val="es-ES"/>
              </w:rPr>
              <w:t>FOLFOX-4</w:t>
            </w:r>
          </w:p>
          <w:p w14:paraId="19054CB7" w14:textId="77777777" w:rsidR="00E22342" w:rsidRDefault="00103089" w:rsidP="00BA4822">
            <w:pPr>
              <w:spacing w:after="0" w:line="240" w:lineRule="auto"/>
              <w:ind w:left="0" w:firstLine="0"/>
              <w:rPr>
                <w:lang w:val="es-ES"/>
              </w:rPr>
            </w:pPr>
            <w:r w:rsidRPr="00776AD5">
              <w:rPr>
                <w:lang w:val="es-ES"/>
              </w:rPr>
              <w:t>o</w:t>
            </w:r>
          </w:p>
          <w:p w14:paraId="7B5CD9ED" w14:textId="77777777" w:rsidR="00103089" w:rsidRPr="004E52B9" w:rsidRDefault="00C00909" w:rsidP="00BA4822">
            <w:pPr>
              <w:spacing w:after="0" w:line="240" w:lineRule="auto"/>
              <w:ind w:left="0" w:firstLine="0"/>
              <w:rPr>
                <w:lang w:val="es-ES"/>
              </w:rPr>
            </w:pPr>
            <w:r>
              <w:rPr>
                <w:lang w:val="es-ES"/>
              </w:rPr>
              <w:t xml:space="preserve">FOLFOX-4 + </w:t>
            </w:r>
            <w:r w:rsidR="007C38C3" w:rsidRPr="001919A9">
              <w:rPr>
                <w:lang w:val="es-ES"/>
              </w:rPr>
              <w:t>bevacizumab</w:t>
            </w:r>
          </w:p>
        </w:tc>
        <w:tc>
          <w:tcPr>
            <w:tcW w:w="1627" w:type="dxa"/>
            <w:tcBorders>
              <w:top w:val="single" w:sz="4" w:space="0" w:color="auto"/>
              <w:left w:val="single" w:sz="4" w:space="0" w:color="auto"/>
              <w:bottom w:val="nil"/>
              <w:right w:val="single" w:sz="4" w:space="0" w:color="auto"/>
            </w:tcBorders>
            <w:noWrap/>
          </w:tcPr>
          <w:p w14:paraId="342143F2" w14:textId="77777777" w:rsidR="00103089" w:rsidRPr="004E52B9" w:rsidRDefault="00103089" w:rsidP="00BA4822">
            <w:pPr>
              <w:spacing w:after="0" w:line="240" w:lineRule="auto"/>
              <w:ind w:left="0" w:firstLine="0"/>
              <w:rPr>
                <w:lang w:val="es-ES"/>
              </w:rPr>
            </w:pPr>
            <w:proofErr w:type="spellStart"/>
            <w:r w:rsidRPr="004E52B9">
              <w:rPr>
                <w:lang w:val="es-ES"/>
              </w:rPr>
              <w:t>Oxaliplatino</w:t>
            </w:r>
            <w:proofErr w:type="spellEnd"/>
          </w:p>
        </w:tc>
        <w:tc>
          <w:tcPr>
            <w:tcW w:w="2482" w:type="dxa"/>
            <w:tcBorders>
              <w:top w:val="single" w:sz="4" w:space="0" w:color="auto"/>
              <w:left w:val="single" w:sz="4" w:space="0" w:color="auto"/>
              <w:bottom w:val="nil"/>
              <w:right w:val="single" w:sz="4" w:space="0" w:color="auto"/>
            </w:tcBorders>
            <w:noWrap/>
          </w:tcPr>
          <w:p w14:paraId="7B3875A6" w14:textId="77777777" w:rsidR="00103089" w:rsidRPr="004E52B9" w:rsidRDefault="00103089" w:rsidP="00BA4822">
            <w:pPr>
              <w:spacing w:after="0" w:line="240" w:lineRule="auto"/>
              <w:ind w:left="0" w:firstLine="0"/>
              <w:rPr>
                <w:lang w:val="es-ES"/>
              </w:rPr>
            </w:pPr>
            <w:r w:rsidRPr="004E52B9">
              <w:rPr>
                <w:lang w:val="es-ES"/>
              </w:rPr>
              <w:t>85</w:t>
            </w:r>
            <w:r w:rsidR="009F084E" w:rsidRPr="00E30038">
              <w:t> </w:t>
            </w:r>
            <w:r w:rsidRPr="004E52B9">
              <w:rPr>
                <w:lang w:val="es-ES"/>
              </w:rPr>
              <w:t>mg/m</w:t>
            </w:r>
            <w:r w:rsidRPr="004E52B9">
              <w:rPr>
                <w:vertAlign w:val="superscript"/>
                <w:lang w:val="es-ES"/>
              </w:rPr>
              <w:t>2</w:t>
            </w:r>
            <w:r w:rsidRPr="004E52B9">
              <w:rPr>
                <w:lang w:val="es-ES"/>
              </w:rPr>
              <w:t xml:space="preserve"> IV 2</w:t>
            </w:r>
            <w:r w:rsidR="009F084E" w:rsidRPr="00E30038">
              <w:t> </w:t>
            </w:r>
            <w:r w:rsidRPr="004E52B9">
              <w:rPr>
                <w:lang w:val="es-ES"/>
              </w:rPr>
              <w:t>h</w:t>
            </w:r>
          </w:p>
        </w:tc>
        <w:tc>
          <w:tcPr>
            <w:tcW w:w="3315" w:type="dxa"/>
            <w:tcBorders>
              <w:top w:val="single" w:sz="4" w:space="0" w:color="auto"/>
              <w:left w:val="single" w:sz="4" w:space="0" w:color="auto"/>
              <w:bottom w:val="nil"/>
              <w:right w:val="single" w:sz="4" w:space="0" w:color="auto"/>
            </w:tcBorders>
            <w:noWrap/>
          </w:tcPr>
          <w:p w14:paraId="4006603C" w14:textId="77777777" w:rsidR="00103089" w:rsidRPr="004E52B9" w:rsidRDefault="00103089" w:rsidP="00BA4822">
            <w:pPr>
              <w:spacing w:after="0" w:line="240" w:lineRule="auto"/>
              <w:ind w:left="0" w:firstLine="0"/>
              <w:rPr>
                <w:lang w:val="es-ES"/>
              </w:rPr>
            </w:pPr>
            <w:proofErr w:type="spellStart"/>
            <w:r w:rsidRPr="00776AD5">
              <w:rPr>
                <w:lang w:val="es-ES"/>
              </w:rPr>
              <w:t>Oxaliplatino</w:t>
            </w:r>
            <w:proofErr w:type="spellEnd"/>
            <w:r w:rsidRPr="00776AD5">
              <w:rPr>
                <w:lang w:val="es-ES"/>
              </w:rPr>
              <w:t xml:space="preserve"> el día 1</w:t>
            </w:r>
          </w:p>
        </w:tc>
      </w:tr>
      <w:tr w:rsidR="00103089" w:rsidRPr="00776AD5" w14:paraId="40A1F121" w14:textId="77777777" w:rsidTr="001472E9">
        <w:trPr>
          <w:trHeight w:val="409"/>
        </w:trPr>
        <w:tc>
          <w:tcPr>
            <w:tcW w:w="1559" w:type="dxa"/>
            <w:vMerge/>
            <w:tcBorders>
              <w:right w:val="single" w:sz="4" w:space="0" w:color="auto"/>
            </w:tcBorders>
            <w:noWrap/>
          </w:tcPr>
          <w:p w14:paraId="482ACD8B" w14:textId="77777777" w:rsidR="00103089" w:rsidRPr="004E52B9" w:rsidRDefault="00103089" w:rsidP="00BA4822">
            <w:pPr>
              <w:spacing w:after="0" w:line="240" w:lineRule="auto"/>
              <w:ind w:left="0" w:firstLine="0"/>
              <w:rPr>
                <w:lang w:val="es-ES"/>
              </w:rPr>
            </w:pPr>
          </w:p>
        </w:tc>
        <w:tc>
          <w:tcPr>
            <w:tcW w:w="1627" w:type="dxa"/>
            <w:tcBorders>
              <w:top w:val="nil"/>
              <w:left w:val="single" w:sz="4" w:space="0" w:color="auto"/>
              <w:bottom w:val="nil"/>
              <w:right w:val="single" w:sz="4" w:space="0" w:color="auto"/>
            </w:tcBorders>
            <w:noWrap/>
          </w:tcPr>
          <w:p w14:paraId="2D1C337A" w14:textId="77777777" w:rsidR="00103089" w:rsidRPr="00776AD5" w:rsidRDefault="00103089" w:rsidP="00BA4822">
            <w:pPr>
              <w:spacing w:after="0" w:line="240" w:lineRule="auto"/>
              <w:ind w:left="0" w:firstLine="0"/>
            </w:pPr>
            <w:r w:rsidRPr="004E52B9">
              <w:rPr>
                <w:lang w:val="es-ES"/>
              </w:rPr>
              <w:t>Leuco</w:t>
            </w:r>
            <w:proofErr w:type="spellStart"/>
            <w:r w:rsidRPr="00776AD5">
              <w:t>vorina</w:t>
            </w:r>
            <w:proofErr w:type="spellEnd"/>
          </w:p>
        </w:tc>
        <w:tc>
          <w:tcPr>
            <w:tcW w:w="2482" w:type="dxa"/>
            <w:tcBorders>
              <w:top w:val="nil"/>
              <w:left w:val="single" w:sz="4" w:space="0" w:color="auto"/>
              <w:bottom w:val="nil"/>
              <w:right w:val="single" w:sz="4" w:space="0" w:color="auto"/>
            </w:tcBorders>
            <w:noWrap/>
          </w:tcPr>
          <w:p w14:paraId="2DEF8AF7" w14:textId="77777777" w:rsidR="00103089" w:rsidRPr="00776AD5" w:rsidRDefault="00103089" w:rsidP="009F084E">
            <w:pPr>
              <w:spacing w:after="0" w:line="240" w:lineRule="auto"/>
              <w:ind w:left="0" w:firstLine="0"/>
            </w:pPr>
            <w:r w:rsidRPr="00776AD5">
              <w:t>200</w:t>
            </w:r>
            <w:r w:rsidR="009F084E" w:rsidRPr="00E30038">
              <w:t> </w:t>
            </w:r>
            <w:r w:rsidRPr="00776AD5">
              <w:t>mg/m</w:t>
            </w:r>
            <w:r w:rsidRPr="00776AD5">
              <w:rPr>
                <w:vertAlign w:val="superscript"/>
              </w:rPr>
              <w:t>2</w:t>
            </w:r>
            <w:r w:rsidRPr="00776AD5">
              <w:t xml:space="preserve"> IV 2</w:t>
            </w:r>
            <w:r w:rsidR="009F084E" w:rsidRPr="00E30038">
              <w:t> </w:t>
            </w:r>
            <w:r w:rsidRPr="00776AD5">
              <w:t>h</w:t>
            </w:r>
          </w:p>
        </w:tc>
        <w:tc>
          <w:tcPr>
            <w:tcW w:w="3315" w:type="dxa"/>
            <w:tcBorders>
              <w:top w:val="nil"/>
              <w:left w:val="single" w:sz="4" w:space="0" w:color="auto"/>
              <w:bottom w:val="nil"/>
              <w:right w:val="single" w:sz="4" w:space="0" w:color="auto"/>
            </w:tcBorders>
            <w:noWrap/>
          </w:tcPr>
          <w:p w14:paraId="59B2EFAF" w14:textId="77777777" w:rsidR="00103089" w:rsidRPr="00776AD5" w:rsidRDefault="00103089" w:rsidP="00BA4822">
            <w:pPr>
              <w:spacing w:after="0" w:line="240" w:lineRule="auto"/>
              <w:ind w:left="0" w:firstLine="0"/>
            </w:pPr>
            <w:r w:rsidRPr="00776AD5">
              <w:rPr>
                <w:lang w:val="es-ES"/>
              </w:rPr>
              <w:t>Leucovorina los días 1 y 2</w:t>
            </w:r>
          </w:p>
        </w:tc>
      </w:tr>
      <w:tr w:rsidR="00103089" w:rsidRPr="00714463" w14:paraId="0F9F7CC3" w14:textId="77777777" w:rsidTr="001472E9">
        <w:trPr>
          <w:trHeight w:val="650"/>
        </w:trPr>
        <w:tc>
          <w:tcPr>
            <w:tcW w:w="1559" w:type="dxa"/>
            <w:vMerge/>
            <w:tcBorders>
              <w:right w:val="single" w:sz="4" w:space="0" w:color="auto"/>
            </w:tcBorders>
            <w:noWrap/>
          </w:tcPr>
          <w:p w14:paraId="1FAC4FB0" w14:textId="77777777" w:rsidR="00103089" w:rsidRPr="00776AD5" w:rsidRDefault="00103089" w:rsidP="00BA4822">
            <w:pPr>
              <w:spacing w:after="0" w:line="240" w:lineRule="auto"/>
              <w:ind w:left="0" w:firstLine="0"/>
            </w:pPr>
          </w:p>
        </w:tc>
        <w:tc>
          <w:tcPr>
            <w:tcW w:w="1627" w:type="dxa"/>
            <w:tcBorders>
              <w:top w:val="nil"/>
              <w:left w:val="single" w:sz="4" w:space="0" w:color="auto"/>
              <w:bottom w:val="single" w:sz="4" w:space="0" w:color="auto"/>
              <w:right w:val="single" w:sz="4" w:space="0" w:color="auto"/>
            </w:tcBorders>
            <w:noWrap/>
          </w:tcPr>
          <w:p w14:paraId="3079DE77" w14:textId="77777777" w:rsidR="00103089" w:rsidRPr="00776AD5" w:rsidRDefault="00103089" w:rsidP="00BA4822">
            <w:pPr>
              <w:spacing w:after="0" w:line="240" w:lineRule="auto"/>
              <w:ind w:left="0" w:firstLine="0"/>
            </w:pPr>
            <w:r w:rsidRPr="00776AD5">
              <w:rPr>
                <w:color w:val="auto"/>
                <w:lang w:val="es-ES"/>
              </w:rPr>
              <w:t>5-Fluorouracilo</w:t>
            </w:r>
          </w:p>
        </w:tc>
        <w:tc>
          <w:tcPr>
            <w:tcW w:w="2482" w:type="dxa"/>
            <w:tcBorders>
              <w:top w:val="nil"/>
              <w:left w:val="single" w:sz="4" w:space="0" w:color="auto"/>
              <w:bottom w:val="single" w:sz="4" w:space="0" w:color="auto"/>
              <w:right w:val="single" w:sz="4" w:space="0" w:color="auto"/>
            </w:tcBorders>
            <w:noWrap/>
          </w:tcPr>
          <w:p w14:paraId="4E5858AA" w14:textId="77777777" w:rsidR="00103089" w:rsidRPr="00776AD5" w:rsidRDefault="00103089" w:rsidP="00BA4822">
            <w:pPr>
              <w:spacing w:after="0" w:line="240" w:lineRule="auto"/>
              <w:ind w:left="0" w:firstLine="0"/>
              <w:rPr>
                <w:lang w:val="nb-NO"/>
              </w:rPr>
            </w:pPr>
            <w:r w:rsidRPr="00776AD5">
              <w:rPr>
                <w:lang w:val="es-ES"/>
              </w:rPr>
              <w:t>400</w:t>
            </w:r>
            <w:r w:rsidR="009F084E" w:rsidRPr="00D1096C">
              <w:rPr>
                <w:lang w:val="es-ES"/>
              </w:rPr>
              <w:t> </w:t>
            </w:r>
            <w:r w:rsidRPr="00776AD5">
              <w:rPr>
                <w:lang w:val="es-ES"/>
              </w:rPr>
              <w:t>mg/m</w:t>
            </w:r>
            <w:r w:rsidRPr="00776AD5">
              <w:rPr>
                <w:vertAlign w:val="superscript"/>
                <w:lang w:val="es-ES"/>
              </w:rPr>
              <w:t>2</w:t>
            </w:r>
            <w:r w:rsidRPr="00776AD5">
              <w:rPr>
                <w:lang w:val="es-ES"/>
              </w:rPr>
              <w:t xml:space="preserve"> IV en bolo, 600 mg/ m</w:t>
            </w:r>
            <w:r w:rsidRPr="00776AD5">
              <w:rPr>
                <w:vertAlign w:val="superscript"/>
                <w:lang w:val="es-ES"/>
              </w:rPr>
              <w:t>2</w:t>
            </w:r>
            <w:r w:rsidRPr="00776AD5">
              <w:rPr>
                <w:lang w:val="es-ES"/>
              </w:rPr>
              <w:t xml:space="preserve"> IV</w:t>
            </w:r>
            <w:r w:rsidR="008F65EC">
              <w:rPr>
                <w:lang w:val="es-ES"/>
              </w:rPr>
              <w:t xml:space="preserve"> </w:t>
            </w:r>
            <w:r w:rsidRPr="00776AD5">
              <w:rPr>
                <w:lang w:val="es-ES"/>
              </w:rPr>
              <w:t>22</w:t>
            </w:r>
            <w:r w:rsidR="009F084E" w:rsidRPr="00D1096C">
              <w:rPr>
                <w:lang w:val="es-ES"/>
              </w:rPr>
              <w:t> </w:t>
            </w:r>
            <w:r w:rsidRPr="00776AD5">
              <w:rPr>
                <w:lang w:val="es-ES"/>
              </w:rPr>
              <w:t>h</w:t>
            </w:r>
          </w:p>
        </w:tc>
        <w:tc>
          <w:tcPr>
            <w:tcW w:w="3315" w:type="dxa"/>
            <w:tcBorders>
              <w:top w:val="nil"/>
              <w:left w:val="single" w:sz="4" w:space="0" w:color="auto"/>
              <w:bottom w:val="single" w:sz="4" w:space="0" w:color="auto"/>
              <w:right w:val="single" w:sz="4" w:space="0" w:color="auto"/>
            </w:tcBorders>
            <w:noWrap/>
          </w:tcPr>
          <w:p w14:paraId="2E4E5F01" w14:textId="77777777" w:rsidR="00103089" w:rsidRPr="00A51019" w:rsidRDefault="00103089" w:rsidP="00BA4822">
            <w:pPr>
              <w:spacing w:after="0" w:line="240" w:lineRule="auto"/>
              <w:ind w:left="0" w:firstLine="0"/>
              <w:rPr>
                <w:lang w:val="es-ES"/>
              </w:rPr>
            </w:pPr>
            <w:r w:rsidRPr="00776AD5">
              <w:rPr>
                <w:lang w:val="es-ES"/>
              </w:rPr>
              <w:t>5-fluorouracilo IV en bolo/perfusión, cada uno los días 1 y 2</w:t>
            </w:r>
          </w:p>
        </w:tc>
      </w:tr>
      <w:tr w:rsidR="00103089" w:rsidRPr="002C10E1" w14:paraId="75A68C14" w14:textId="77777777" w:rsidTr="00BA4822">
        <w:trPr>
          <w:trHeight w:val="300"/>
        </w:trPr>
        <w:tc>
          <w:tcPr>
            <w:tcW w:w="1559" w:type="dxa"/>
            <w:vMerge/>
            <w:tcBorders>
              <w:bottom w:val="single" w:sz="4" w:space="0" w:color="auto"/>
            </w:tcBorders>
            <w:noWrap/>
          </w:tcPr>
          <w:p w14:paraId="7481FEAE" w14:textId="77777777" w:rsidR="00103089" w:rsidRPr="00A51019" w:rsidRDefault="00103089" w:rsidP="00BA4822">
            <w:pPr>
              <w:spacing w:after="0" w:line="240" w:lineRule="auto"/>
              <w:ind w:left="0" w:firstLine="0"/>
              <w:rPr>
                <w:lang w:val="es-ES"/>
              </w:rPr>
            </w:pPr>
          </w:p>
        </w:tc>
        <w:tc>
          <w:tcPr>
            <w:tcW w:w="1627" w:type="dxa"/>
            <w:tcBorders>
              <w:top w:val="single" w:sz="4" w:space="0" w:color="auto"/>
              <w:bottom w:val="single" w:sz="4" w:space="0" w:color="auto"/>
            </w:tcBorders>
            <w:noWrap/>
          </w:tcPr>
          <w:p w14:paraId="3A14621B" w14:textId="77777777" w:rsidR="00103089" w:rsidRPr="00776AD5" w:rsidRDefault="00103089" w:rsidP="00BA4822">
            <w:pPr>
              <w:spacing w:after="0" w:line="240" w:lineRule="auto"/>
              <w:ind w:left="0" w:firstLine="0"/>
            </w:pPr>
            <w:r w:rsidRPr="00776AD5">
              <w:rPr>
                <w:lang w:val="es-ES"/>
              </w:rPr>
              <w:t xml:space="preserve">Placebo o </w:t>
            </w:r>
            <w:r w:rsidR="007C38C3" w:rsidRPr="001919A9">
              <w:rPr>
                <w:lang w:val="es-ES"/>
              </w:rPr>
              <w:t>bevacizumab</w:t>
            </w:r>
          </w:p>
        </w:tc>
        <w:tc>
          <w:tcPr>
            <w:tcW w:w="2482" w:type="dxa"/>
            <w:tcBorders>
              <w:top w:val="single" w:sz="4" w:space="0" w:color="auto"/>
              <w:bottom w:val="single" w:sz="4" w:space="0" w:color="auto"/>
            </w:tcBorders>
            <w:noWrap/>
          </w:tcPr>
          <w:p w14:paraId="3B047A41" w14:textId="77777777" w:rsidR="00103089" w:rsidRPr="00776AD5" w:rsidRDefault="00103089" w:rsidP="009F084E">
            <w:pPr>
              <w:spacing w:after="0" w:line="240" w:lineRule="auto"/>
              <w:ind w:left="0" w:firstLine="0"/>
            </w:pPr>
            <w:r w:rsidRPr="00776AD5">
              <w:rPr>
                <w:lang w:val="es-ES"/>
              </w:rPr>
              <w:t>5</w:t>
            </w:r>
            <w:r w:rsidR="009F084E" w:rsidRPr="00E30038">
              <w:t> </w:t>
            </w:r>
            <w:r w:rsidRPr="00776AD5">
              <w:rPr>
                <w:lang w:val="es-ES"/>
              </w:rPr>
              <w:t>mg/kg IV 30-90 min</w:t>
            </w:r>
          </w:p>
        </w:tc>
        <w:tc>
          <w:tcPr>
            <w:tcW w:w="3315" w:type="dxa"/>
            <w:tcBorders>
              <w:top w:val="single" w:sz="4" w:space="0" w:color="auto"/>
              <w:bottom w:val="single" w:sz="4" w:space="0" w:color="auto"/>
            </w:tcBorders>
            <w:noWrap/>
          </w:tcPr>
          <w:p w14:paraId="35D2DE4A" w14:textId="77777777" w:rsidR="00103089" w:rsidRPr="00776AD5" w:rsidRDefault="00103089" w:rsidP="00BA4822">
            <w:pPr>
              <w:spacing w:after="0" w:line="240" w:lineRule="auto"/>
              <w:ind w:left="0" w:firstLine="0"/>
              <w:rPr>
                <w:lang w:val="nb-NO"/>
              </w:rPr>
            </w:pPr>
            <w:r w:rsidRPr="00776AD5">
              <w:rPr>
                <w:lang w:val="es-ES"/>
              </w:rPr>
              <w:t>Día</w:t>
            </w:r>
            <w:r w:rsidR="009F084E" w:rsidRPr="00D1096C">
              <w:rPr>
                <w:lang w:val="es-ES"/>
              </w:rPr>
              <w:t> </w:t>
            </w:r>
            <w:r w:rsidRPr="00776AD5">
              <w:rPr>
                <w:lang w:val="es-ES"/>
              </w:rPr>
              <w:t>1, antes de FOLFOX-4, cada 2</w:t>
            </w:r>
            <w:r w:rsidR="009F084E" w:rsidRPr="00D1096C">
              <w:rPr>
                <w:lang w:val="es-ES"/>
              </w:rPr>
              <w:t> </w:t>
            </w:r>
            <w:r w:rsidRPr="00776AD5">
              <w:rPr>
                <w:lang w:val="es-ES"/>
              </w:rPr>
              <w:t>semanas</w:t>
            </w:r>
          </w:p>
        </w:tc>
      </w:tr>
      <w:tr w:rsidR="00103089" w:rsidRPr="00776AD5" w14:paraId="43EBB680" w14:textId="77777777" w:rsidTr="00BA4822">
        <w:trPr>
          <w:trHeight w:val="420"/>
        </w:trPr>
        <w:tc>
          <w:tcPr>
            <w:tcW w:w="1559" w:type="dxa"/>
            <w:vMerge w:val="restart"/>
            <w:tcBorders>
              <w:right w:val="single" w:sz="4" w:space="0" w:color="auto"/>
            </w:tcBorders>
            <w:noWrap/>
          </w:tcPr>
          <w:p w14:paraId="1158DB3F" w14:textId="77777777" w:rsidR="00103089" w:rsidRPr="00776AD5" w:rsidRDefault="00103089" w:rsidP="00DD0762">
            <w:pPr>
              <w:keepNext/>
              <w:spacing w:after="0" w:line="240" w:lineRule="auto"/>
              <w:ind w:left="0" w:firstLine="0"/>
              <w:rPr>
                <w:lang w:val="es-ES"/>
              </w:rPr>
            </w:pPr>
            <w:r w:rsidRPr="00776AD5">
              <w:rPr>
                <w:lang w:val="es-ES"/>
              </w:rPr>
              <w:t>XELOX</w:t>
            </w:r>
          </w:p>
          <w:p w14:paraId="18DFBCA8" w14:textId="77777777" w:rsidR="00103089" w:rsidRPr="00776AD5" w:rsidRDefault="00103089" w:rsidP="00DD0762">
            <w:pPr>
              <w:keepNext/>
              <w:spacing w:after="0" w:line="240" w:lineRule="auto"/>
              <w:ind w:left="0" w:firstLine="0"/>
              <w:rPr>
                <w:lang w:val="es-ES"/>
              </w:rPr>
            </w:pPr>
            <w:r w:rsidRPr="00776AD5">
              <w:rPr>
                <w:lang w:val="es-ES"/>
              </w:rPr>
              <w:t>o</w:t>
            </w:r>
          </w:p>
          <w:p w14:paraId="5A55386B" w14:textId="77777777" w:rsidR="00103089" w:rsidRPr="00776AD5" w:rsidRDefault="00103089" w:rsidP="00DD0762">
            <w:pPr>
              <w:keepNext/>
              <w:spacing w:after="0" w:line="240" w:lineRule="auto"/>
              <w:ind w:left="0" w:firstLine="0"/>
              <w:rPr>
                <w:lang w:val="nb-NO"/>
              </w:rPr>
            </w:pPr>
            <w:r w:rsidRPr="00776AD5">
              <w:rPr>
                <w:lang w:val="es-ES"/>
              </w:rPr>
              <w:t xml:space="preserve">XELOX + </w:t>
            </w:r>
            <w:r w:rsidR="007C38C3" w:rsidRPr="001919A9">
              <w:rPr>
                <w:lang w:val="es-ES"/>
              </w:rPr>
              <w:t>bevacizumab</w:t>
            </w:r>
          </w:p>
        </w:tc>
        <w:tc>
          <w:tcPr>
            <w:tcW w:w="1627" w:type="dxa"/>
            <w:tcBorders>
              <w:top w:val="nil"/>
              <w:left w:val="single" w:sz="4" w:space="0" w:color="auto"/>
              <w:bottom w:val="nil"/>
              <w:right w:val="single" w:sz="4" w:space="0" w:color="auto"/>
            </w:tcBorders>
            <w:noWrap/>
          </w:tcPr>
          <w:p w14:paraId="12625457" w14:textId="77777777" w:rsidR="00103089" w:rsidRPr="00776AD5" w:rsidRDefault="00103089" w:rsidP="00DD0762">
            <w:pPr>
              <w:keepNext/>
              <w:spacing w:after="0" w:line="240" w:lineRule="auto"/>
              <w:ind w:left="0" w:firstLine="0"/>
              <w:rPr>
                <w:color w:val="auto"/>
                <w:lang w:val="es-ES"/>
              </w:rPr>
            </w:pPr>
            <w:proofErr w:type="spellStart"/>
            <w:r w:rsidRPr="00776AD5">
              <w:rPr>
                <w:lang w:val="es-ES"/>
              </w:rPr>
              <w:t>Oxaliplatino</w:t>
            </w:r>
            <w:proofErr w:type="spellEnd"/>
          </w:p>
        </w:tc>
        <w:tc>
          <w:tcPr>
            <w:tcW w:w="2482" w:type="dxa"/>
            <w:tcBorders>
              <w:top w:val="single" w:sz="4" w:space="0" w:color="auto"/>
              <w:left w:val="single" w:sz="4" w:space="0" w:color="auto"/>
              <w:bottom w:val="nil"/>
              <w:right w:val="single" w:sz="4" w:space="0" w:color="auto"/>
            </w:tcBorders>
            <w:noWrap/>
          </w:tcPr>
          <w:p w14:paraId="614A3D8F" w14:textId="77777777" w:rsidR="00103089" w:rsidRPr="00776AD5" w:rsidRDefault="00103089" w:rsidP="00DD0762">
            <w:pPr>
              <w:keepNext/>
              <w:spacing w:after="0" w:line="240" w:lineRule="auto"/>
              <w:ind w:left="0" w:firstLine="0"/>
              <w:rPr>
                <w:lang w:val="nb-NO"/>
              </w:rPr>
            </w:pPr>
            <w:r w:rsidRPr="00776AD5">
              <w:rPr>
                <w:lang w:val="es-ES"/>
              </w:rPr>
              <w:t>130</w:t>
            </w:r>
            <w:r w:rsidR="009F084E" w:rsidRPr="00E30038">
              <w:t> </w:t>
            </w:r>
            <w:r w:rsidRPr="00776AD5">
              <w:rPr>
                <w:lang w:val="es-ES"/>
              </w:rPr>
              <w:t>mg/m</w:t>
            </w:r>
            <w:r w:rsidRPr="00776AD5">
              <w:rPr>
                <w:vertAlign w:val="superscript"/>
                <w:lang w:val="es-ES"/>
              </w:rPr>
              <w:t>2</w:t>
            </w:r>
            <w:r w:rsidRPr="00776AD5">
              <w:rPr>
                <w:lang w:val="es-ES"/>
              </w:rPr>
              <w:t xml:space="preserve"> IV 2</w:t>
            </w:r>
            <w:r w:rsidR="009F084E" w:rsidRPr="00E30038">
              <w:t> </w:t>
            </w:r>
            <w:r w:rsidRPr="00776AD5">
              <w:rPr>
                <w:lang w:val="es-ES"/>
              </w:rPr>
              <w:t>h</w:t>
            </w:r>
          </w:p>
        </w:tc>
        <w:tc>
          <w:tcPr>
            <w:tcW w:w="3315" w:type="dxa"/>
            <w:tcBorders>
              <w:top w:val="single" w:sz="4" w:space="0" w:color="auto"/>
              <w:left w:val="single" w:sz="4" w:space="0" w:color="auto"/>
              <w:bottom w:val="nil"/>
              <w:right w:val="single" w:sz="4" w:space="0" w:color="auto"/>
            </w:tcBorders>
            <w:noWrap/>
          </w:tcPr>
          <w:p w14:paraId="78287A60" w14:textId="77777777" w:rsidR="00103089" w:rsidRPr="00776AD5" w:rsidRDefault="00103089" w:rsidP="00DD0762">
            <w:pPr>
              <w:keepNext/>
              <w:spacing w:after="0" w:line="240" w:lineRule="auto"/>
              <w:ind w:left="0" w:firstLine="0"/>
              <w:rPr>
                <w:lang w:val="nb-NO"/>
              </w:rPr>
            </w:pPr>
            <w:proofErr w:type="spellStart"/>
            <w:r w:rsidRPr="00776AD5">
              <w:rPr>
                <w:lang w:val="es-ES"/>
              </w:rPr>
              <w:t>Oxaliplatino</w:t>
            </w:r>
            <w:proofErr w:type="spellEnd"/>
            <w:r w:rsidRPr="00776AD5">
              <w:rPr>
                <w:lang w:val="es-ES"/>
              </w:rPr>
              <w:t xml:space="preserve"> el día 1</w:t>
            </w:r>
          </w:p>
        </w:tc>
      </w:tr>
      <w:tr w:rsidR="00103089" w:rsidRPr="00714463" w14:paraId="6BFDEE7A" w14:textId="77777777" w:rsidTr="00BA4822">
        <w:trPr>
          <w:trHeight w:val="618"/>
        </w:trPr>
        <w:tc>
          <w:tcPr>
            <w:tcW w:w="1559" w:type="dxa"/>
            <w:vMerge/>
            <w:tcBorders>
              <w:right w:val="single" w:sz="4" w:space="0" w:color="auto"/>
            </w:tcBorders>
            <w:noWrap/>
          </w:tcPr>
          <w:p w14:paraId="44C52FA1" w14:textId="77777777" w:rsidR="00103089" w:rsidRPr="00776AD5" w:rsidRDefault="00103089" w:rsidP="00BA4822">
            <w:pPr>
              <w:spacing w:after="0" w:line="240" w:lineRule="auto"/>
              <w:ind w:left="0" w:firstLine="0"/>
              <w:rPr>
                <w:lang w:val="nb-NO"/>
              </w:rPr>
            </w:pPr>
          </w:p>
        </w:tc>
        <w:tc>
          <w:tcPr>
            <w:tcW w:w="1627" w:type="dxa"/>
            <w:tcBorders>
              <w:top w:val="nil"/>
              <w:left w:val="single" w:sz="4" w:space="0" w:color="auto"/>
              <w:bottom w:val="single" w:sz="4" w:space="0" w:color="auto"/>
              <w:right w:val="single" w:sz="4" w:space="0" w:color="auto"/>
            </w:tcBorders>
            <w:noWrap/>
          </w:tcPr>
          <w:p w14:paraId="5BC1193D" w14:textId="77777777" w:rsidR="00103089" w:rsidRPr="00776AD5" w:rsidRDefault="00103089" w:rsidP="00BA4822">
            <w:pPr>
              <w:spacing w:after="0" w:line="240" w:lineRule="auto"/>
              <w:ind w:left="0" w:firstLine="0"/>
              <w:rPr>
                <w:lang w:val="nb-NO"/>
              </w:rPr>
            </w:pPr>
            <w:proofErr w:type="spellStart"/>
            <w:r w:rsidRPr="00776AD5">
              <w:rPr>
                <w:lang w:val="es-ES"/>
              </w:rPr>
              <w:t>Capecitabina</w:t>
            </w:r>
            <w:proofErr w:type="spellEnd"/>
          </w:p>
        </w:tc>
        <w:tc>
          <w:tcPr>
            <w:tcW w:w="2482" w:type="dxa"/>
            <w:tcBorders>
              <w:top w:val="nil"/>
              <w:left w:val="single" w:sz="4" w:space="0" w:color="auto"/>
              <w:bottom w:val="single" w:sz="4" w:space="0" w:color="auto"/>
              <w:right w:val="single" w:sz="4" w:space="0" w:color="auto"/>
            </w:tcBorders>
            <w:noWrap/>
          </w:tcPr>
          <w:p w14:paraId="19F22CA1" w14:textId="77777777" w:rsidR="00103089" w:rsidRPr="00776AD5" w:rsidRDefault="00103089" w:rsidP="00BA4822">
            <w:pPr>
              <w:spacing w:after="0" w:line="240" w:lineRule="auto"/>
              <w:ind w:left="0" w:firstLine="0"/>
              <w:rPr>
                <w:color w:val="auto"/>
                <w:lang w:val="es-ES"/>
              </w:rPr>
            </w:pPr>
            <w:r w:rsidRPr="00776AD5">
              <w:rPr>
                <w:color w:val="auto"/>
                <w:lang w:val="es-ES"/>
              </w:rPr>
              <w:t>1.000</w:t>
            </w:r>
            <w:r w:rsidR="009F084E" w:rsidRPr="00D1096C">
              <w:rPr>
                <w:lang w:val="es-ES"/>
              </w:rPr>
              <w:t> </w:t>
            </w:r>
            <w:r w:rsidRPr="00776AD5">
              <w:rPr>
                <w:color w:val="auto"/>
                <w:lang w:val="es-ES"/>
              </w:rPr>
              <w:t>mg/m</w:t>
            </w:r>
            <w:r w:rsidRPr="00776AD5">
              <w:rPr>
                <w:color w:val="auto"/>
                <w:vertAlign w:val="superscript"/>
                <w:lang w:val="es-ES"/>
              </w:rPr>
              <w:t>2</w:t>
            </w:r>
            <w:r w:rsidRPr="00776AD5">
              <w:rPr>
                <w:lang w:val="es-ES"/>
              </w:rPr>
              <w:t xml:space="preserve"> oral 2 veces al día </w:t>
            </w:r>
          </w:p>
        </w:tc>
        <w:tc>
          <w:tcPr>
            <w:tcW w:w="3315" w:type="dxa"/>
            <w:tcBorders>
              <w:top w:val="nil"/>
              <w:left w:val="single" w:sz="4" w:space="0" w:color="auto"/>
              <w:bottom w:val="single" w:sz="4" w:space="0" w:color="auto"/>
              <w:right w:val="single" w:sz="4" w:space="0" w:color="auto"/>
            </w:tcBorders>
            <w:noWrap/>
          </w:tcPr>
          <w:p w14:paraId="7AA6CC70" w14:textId="77777777" w:rsidR="00103089" w:rsidRPr="00776AD5" w:rsidRDefault="00103089" w:rsidP="00BA4822">
            <w:pPr>
              <w:spacing w:after="0" w:line="240" w:lineRule="auto"/>
              <w:ind w:left="0" w:firstLine="0"/>
              <w:rPr>
                <w:lang w:val="nb-NO"/>
              </w:rPr>
            </w:pPr>
            <w:proofErr w:type="spellStart"/>
            <w:r w:rsidRPr="00776AD5">
              <w:rPr>
                <w:lang w:val="es-ES"/>
              </w:rPr>
              <w:t>Capecitabina</w:t>
            </w:r>
            <w:proofErr w:type="spellEnd"/>
            <w:r w:rsidRPr="00776AD5">
              <w:rPr>
                <w:lang w:val="es-ES"/>
              </w:rPr>
              <w:t xml:space="preserve"> oral 2 veces al día durante 2 semanas (s</w:t>
            </w:r>
            <w:r w:rsidR="00C00909">
              <w:rPr>
                <w:lang w:val="es-ES"/>
              </w:rPr>
              <w:t>eguido de 1 semana de descanso)</w:t>
            </w:r>
          </w:p>
        </w:tc>
      </w:tr>
      <w:tr w:rsidR="00103089" w:rsidRPr="00714463" w14:paraId="7F8CA76B" w14:textId="77777777" w:rsidTr="00BA4822">
        <w:trPr>
          <w:trHeight w:val="300"/>
        </w:trPr>
        <w:tc>
          <w:tcPr>
            <w:tcW w:w="1559" w:type="dxa"/>
            <w:vMerge/>
            <w:noWrap/>
            <w:vAlign w:val="bottom"/>
          </w:tcPr>
          <w:p w14:paraId="07B2C006" w14:textId="77777777" w:rsidR="00103089" w:rsidRPr="00776AD5" w:rsidRDefault="00103089" w:rsidP="00BA4822">
            <w:pPr>
              <w:spacing w:after="0" w:line="240" w:lineRule="auto"/>
              <w:ind w:left="0" w:firstLine="0"/>
              <w:rPr>
                <w:lang w:val="nb-NO"/>
              </w:rPr>
            </w:pPr>
          </w:p>
        </w:tc>
        <w:tc>
          <w:tcPr>
            <w:tcW w:w="1627" w:type="dxa"/>
            <w:tcBorders>
              <w:top w:val="single" w:sz="4" w:space="0" w:color="auto"/>
            </w:tcBorders>
            <w:noWrap/>
          </w:tcPr>
          <w:p w14:paraId="6F7D69D6" w14:textId="77777777" w:rsidR="00103089" w:rsidRPr="00776AD5" w:rsidRDefault="00C00909" w:rsidP="00BA4822">
            <w:pPr>
              <w:spacing w:after="0" w:line="240" w:lineRule="auto"/>
              <w:ind w:left="0" w:firstLine="0"/>
              <w:rPr>
                <w:lang w:val="nb-NO"/>
              </w:rPr>
            </w:pPr>
            <w:r>
              <w:rPr>
                <w:lang w:val="es-ES"/>
              </w:rPr>
              <w:t xml:space="preserve">Placebo o </w:t>
            </w:r>
            <w:r w:rsidR="007C38C3" w:rsidRPr="001919A9">
              <w:rPr>
                <w:lang w:val="es-ES"/>
              </w:rPr>
              <w:t>bevacizumab</w:t>
            </w:r>
          </w:p>
        </w:tc>
        <w:tc>
          <w:tcPr>
            <w:tcW w:w="2482" w:type="dxa"/>
            <w:tcBorders>
              <w:top w:val="single" w:sz="4" w:space="0" w:color="auto"/>
            </w:tcBorders>
            <w:noWrap/>
          </w:tcPr>
          <w:p w14:paraId="395237C5" w14:textId="77777777" w:rsidR="00103089" w:rsidRPr="00776AD5" w:rsidRDefault="00901678" w:rsidP="009F084E">
            <w:pPr>
              <w:spacing w:after="0" w:line="240" w:lineRule="auto"/>
              <w:ind w:left="0" w:firstLine="0"/>
              <w:rPr>
                <w:lang w:val="nb-NO"/>
              </w:rPr>
            </w:pPr>
            <w:r>
              <w:rPr>
                <w:lang w:val="es-ES"/>
              </w:rPr>
              <w:t>7,</w:t>
            </w:r>
            <w:r w:rsidR="0094370F">
              <w:rPr>
                <w:lang w:val="es-ES"/>
              </w:rPr>
              <w:t>5</w:t>
            </w:r>
            <w:r w:rsidR="009F084E" w:rsidRPr="00E30038">
              <w:t> </w:t>
            </w:r>
            <w:r w:rsidR="00103089" w:rsidRPr="00776AD5">
              <w:rPr>
                <w:lang w:val="es-ES"/>
              </w:rPr>
              <w:t>mg/kg IV 30-90 min</w:t>
            </w:r>
          </w:p>
        </w:tc>
        <w:tc>
          <w:tcPr>
            <w:tcW w:w="3315" w:type="dxa"/>
            <w:tcBorders>
              <w:top w:val="single" w:sz="4" w:space="0" w:color="auto"/>
            </w:tcBorders>
            <w:noWrap/>
          </w:tcPr>
          <w:p w14:paraId="22325251" w14:textId="77777777" w:rsidR="00103089" w:rsidRPr="00776AD5" w:rsidRDefault="00103089" w:rsidP="009F084E">
            <w:pPr>
              <w:spacing w:after="0" w:line="240" w:lineRule="auto"/>
              <w:ind w:left="0" w:firstLine="0"/>
              <w:rPr>
                <w:lang w:val="nb-NO"/>
              </w:rPr>
            </w:pPr>
            <w:r w:rsidRPr="00776AD5">
              <w:rPr>
                <w:lang w:val="es-ES"/>
              </w:rPr>
              <w:t>Día</w:t>
            </w:r>
            <w:r w:rsidR="009F084E" w:rsidRPr="00D1096C">
              <w:rPr>
                <w:lang w:val="es-ES"/>
              </w:rPr>
              <w:t> </w:t>
            </w:r>
            <w:r w:rsidRPr="00776AD5">
              <w:rPr>
                <w:lang w:val="es-ES"/>
              </w:rPr>
              <w:t>1, antes de XELOX, cada 3</w:t>
            </w:r>
            <w:r w:rsidR="009F084E" w:rsidRPr="00D1096C">
              <w:rPr>
                <w:lang w:val="es-ES"/>
              </w:rPr>
              <w:t> </w:t>
            </w:r>
            <w:r w:rsidRPr="00776AD5">
              <w:rPr>
                <w:lang w:val="es-ES"/>
              </w:rPr>
              <w:t>semanas</w:t>
            </w:r>
          </w:p>
        </w:tc>
      </w:tr>
      <w:tr w:rsidR="00103089" w:rsidRPr="00714463" w14:paraId="575069CE" w14:textId="77777777" w:rsidTr="00BA4822">
        <w:trPr>
          <w:trHeight w:val="300"/>
        </w:trPr>
        <w:tc>
          <w:tcPr>
            <w:tcW w:w="8985" w:type="dxa"/>
            <w:gridSpan w:val="4"/>
            <w:noWrap/>
            <w:vAlign w:val="bottom"/>
          </w:tcPr>
          <w:p w14:paraId="51FFA456" w14:textId="77777777" w:rsidR="00103089" w:rsidRPr="00776AD5" w:rsidRDefault="00103089" w:rsidP="00BA4822">
            <w:pPr>
              <w:spacing w:after="0" w:line="240" w:lineRule="auto"/>
              <w:ind w:left="0" w:firstLine="0"/>
              <w:rPr>
                <w:lang w:val="nb-NO"/>
              </w:rPr>
            </w:pPr>
            <w:r>
              <w:rPr>
                <w:lang w:val="es-ES"/>
              </w:rPr>
              <w:t xml:space="preserve">5-Fluorouracilo: </w:t>
            </w:r>
            <w:r w:rsidRPr="00776AD5">
              <w:rPr>
                <w:lang w:val="es-ES"/>
              </w:rPr>
              <w:t>IV en bolo inmedi</w:t>
            </w:r>
            <w:r w:rsidR="00C00909">
              <w:rPr>
                <w:lang w:val="es-ES"/>
              </w:rPr>
              <w:t>atamente después de leucovorina</w:t>
            </w:r>
          </w:p>
        </w:tc>
      </w:tr>
    </w:tbl>
    <w:p w14:paraId="42F7F9A0" w14:textId="77777777" w:rsidR="00FB24C0" w:rsidRPr="00C00909" w:rsidRDefault="00FB24C0" w:rsidP="00FB24C0">
      <w:pPr>
        <w:spacing w:after="0" w:line="240" w:lineRule="auto"/>
        <w:ind w:left="0" w:firstLine="0"/>
        <w:rPr>
          <w:color w:val="auto"/>
          <w:lang w:val="es-ES"/>
        </w:rPr>
      </w:pPr>
    </w:p>
    <w:p w14:paraId="3E303748" w14:textId="6303DEBC" w:rsidR="00FB24C0" w:rsidRPr="00C00909" w:rsidRDefault="00FB24C0" w:rsidP="007C4EE6">
      <w:pPr>
        <w:keepNext/>
        <w:spacing w:after="0" w:line="240" w:lineRule="auto"/>
        <w:ind w:left="0" w:firstLine="0"/>
        <w:rPr>
          <w:color w:val="auto"/>
          <w:lang w:val="es-ES"/>
        </w:rPr>
      </w:pPr>
      <w:r w:rsidRPr="00C00909">
        <w:rPr>
          <w:color w:val="auto"/>
          <w:lang w:val="es-ES"/>
        </w:rPr>
        <w:t xml:space="preserve">La variable principal de eficacia del ensayo fue la duración de la supervivencia libre de progresión. En este ensayo hubo dos </w:t>
      </w:r>
      <w:r w:rsidR="00322361">
        <w:rPr>
          <w:color w:val="auto"/>
          <w:lang w:val="es-ES"/>
        </w:rPr>
        <w:t>variable</w:t>
      </w:r>
      <w:r w:rsidRPr="00C00909">
        <w:rPr>
          <w:color w:val="auto"/>
          <w:lang w:val="es-ES"/>
        </w:rPr>
        <w:t xml:space="preserve">s principales: mostrar que XELOX era no inferior a FOLFOX-4 y mostrar que </w:t>
      </w:r>
      <w:r w:rsidR="007C38C3" w:rsidRPr="001919A9">
        <w:rPr>
          <w:lang w:val="es-ES"/>
        </w:rPr>
        <w:t>bevacizumab</w:t>
      </w:r>
      <w:r w:rsidRPr="00C00909">
        <w:rPr>
          <w:color w:val="auto"/>
          <w:lang w:val="es-ES"/>
        </w:rPr>
        <w:t xml:space="preserve"> en combinación con FOLFOX-4 o XELOX era superior frente a la quimioterapia sola. Se cumplieron </w:t>
      </w:r>
      <w:proofErr w:type="gramStart"/>
      <w:r w:rsidRPr="00C00909">
        <w:rPr>
          <w:color w:val="auto"/>
          <w:lang w:val="es-ES"/>
        </w:rPr>
        <w:t>los</w:t>
      </w:r>
      <w:proofErr w:type="gramEnd"/>
      <w:r w:rsidRPr="00C00909">
        <w:rPr>
          <w:color w:val="auto"/>
          <w:lang w:val="es-ES"/>
        </w:rPr>
        <w:t xml:space="preserve"> d</w:t>
      </w:r>
      <w:r w:rsidR="00322361">
        <w:rPr>
          <w:color w:val="auto"/>
          <w:lang w:val="es-ES"/>
        </w:rPr>
        <w:t>a</w:t>
      </w:r>
      <w:r w:rsidRPr="00C00909">
        <w:rPr>
          <w:color w:val="auto"/>
          <w:lang w:val="es-ES"/>
        </w:rPr>
        <w:t xml:space="preserve">s </w:t>
      </w:r>
      <w:r w:rsidR="00322361">
        <w:rPr>
          <w:color w:val="auto"/>
          <w:lang w:val="es-ES"/>
        </w:rPr>
        <w:t>variable</w:t>
      </w:r>
      <w:r w:rsidRPr="00C00909">
        <w:rPr>
          <w:color w:val="auto"/>
          <w:lang w:val="es-ES"/>
        </w:rPr>
        <w:t>s principales:</w:t>
      </w:r>
    </w:p>
    <w:p w14:paraId="5AC59BEC" w14:textId="77777777" w:rsidR="00FB24C0" w:rsidRPr="00C00909" w:rsidRDefault="00FB24C0" w:rsidP="007C4EE6">
      <w:pPr>
        <w:keepNext/>
        <w:spacing w:after="0" w:line="240" w:lineRule="auto"/>
        <w:ind w:left="0" w:firstLine="0"/>
        <w:rPr>
          <w:color w:val="auto"/>
          <w:lang w:val="es-ES"/>
        </w:rPr>
      </w:pPr>
    </w:p>
    <w:p w14:paraId="69FB939C" w14:textId="77777777" w:rsidR="00FB24C0" w:rsidRPr="00C00909" w:rsidRDefault="00FB24C0" w:rsidP="00FB24C0">
      <w:pPr>
        <w:numPr>
          <w:ilvl w:val="0"/>
          <w:numId w:val="5"/>
        </w:numPr>
        <w:spacing w:after="0" w:line="240" w:lineRule="auto"/>
        <w:ind w:left="567" w:hanging="567"/>
        <w:rPr>
          <w:color w:val="auto"/>
          <w:lang w:val="es-ES"/>
        </w:rPr>
      </w:pPr>
      <w:r w:rsidRPr="00C00909">
        <w:rPr>
          <w:color w:val="auto"/>
          <w:lang w:val="es-ES"/>
        </w:rPr>
        <w:t>En la comparación global se demostró la no inferioridad de los brazos que contenían XELOX frente a los que contenían FOLFOX-4 en la población de pacientes incluidos por protocolo en términos de supervivencia libre de progresión y supervivencia global.</w:t>
      </w:r>
    </w:p>
    <w:p w14:paraId="735AB092" w14:textId="2684BAD3" w:rsidR="00FB24C0" w:rsidRPr="00C00909" w:rsidRDefault="00FB24C0" w:rsidP="00FB24C0">
      <w:pPr>
        <w:numPr>
          <w:ilvl w:val="0"/>
          <w:numId w:val="5"/>
        </w:numPr>
        <w:spacing w:after="0" w:line="240" w:lineRule="auto"/>
        <w:ind w:left="567" w:hanging="567"/>
        <w:rPr>
          <w:color w:val="auto"/>
          <w:lang w:val="es-ES"/>
        </w:rPr>
      </w:pPr>
      <w:r w:rsidRPr="00C00909">
        <w:rPr>
          <w:color w:val="auto"/>
          <w:lang w:val="es-ES"/>
        </w:rPr>
        <w:t xml:space="preserve">En la comparación global se demostró la superioridad de los brazos que contenían </w:t>
      </w:r>
      <w:r w:rsidR="007C38C3" w:rsidRPr="001919A9">
        <w:rPr>
          <w:lang w:val="es-ES"/>
        </w:rPr>
        <w:t>bevacizumab</w:t>
      </w:r>
      <w:r w:rsidR="007C38C3">
        <w:rPr>
          <w:lang w:val="es-ES"/>
        </w:rPr>
        <w:t xml:space="preserve"> </w:t>
      </w:r>
      <w:r w:rsidRPr="00C00909">
        <w:rPr>
          <w:color w:val="auto"/>
          <w:lang w:val="es-ES"/>
        </w:rPr>
        <w:t>frente a los brazos que contenían quimioterapia sola en la población por intención de tratar en términos de supervivencia libre de progresión (</w:t>
      </w:r>
      <w:r w:rsidR="00382D82">
        <w:rPr>
          <w:color w:val="auto"/>
          <w:lang w:val="es-ES"/>
        </w:rPr>
        <w:t>ver t</w:t>
      </w:r>
      <w:r w:rsidRPr="00C00909">
        <w:rPr>
          <w:color w:val="auto"/>
          <w:lang w:val="es-ES"/>
        </w:rPr>
        <w:t>abla 7).</w:t>
      </w:r>
    </w:p>
    <w:p w14:paraId="7934B644" w14:textId="77777777" w:rsidR="00FB24C0" w:rsidRPr="00C00909" w:rsidRDefault="00FB24C0" w:rsidP="00FB24C0">
      <w:pPr>
        <w:spacing w:after="0" w:line="240" w:lineRule="auto"/>
        <w:ind w:left="0" w:firstLine="0"/>
        <w:rPr>
          <w:color w:val="auto"/>
          <w:lang w:val="es-ES"/>
        </w:rPr>
      </w:pPr>
    </w:p>
    <w:p w14:paraId="764137D3" w14:textId="4CFFF30A" w:rsidR="00FB24C0" w:rsidRPr="00C00909" w:rsidRDefault="00FB24C0" w:rsidP="00FB24C0">
      <w:pPr>
        <w:spacing w:after="0" w:line="240" w:lineRule="auto"/>
        <w:ind w:left="0" w:firstLine="0"/>
        <w:rPr>
          <w:color w:val="auto"/>
          <w:lang w:val="es-ES"/>
        </w:rPr>
      </w:pPr>
      <w:r w:rsidRPr="00C00909">
        <w:rPr>
          <w:color w:val="auto"/>
          <w:lang w:val="es-ES"/>
        </w:rPr>
        <w:t xml:space="preserve">Los análisis secundarios de supervivencia libre de progresión, en base a la evaluación de la respuesta durante el tratamiento, confirmaron el beneficio clínico significativamente superior para los pacientes tratados con </w:t>
      </w:r>
      <w:r w:rsidR="007C38C3" w:rsidRPr="001919A9">
        <w:rPr>
          <w:lang w:val="es-ES"/>
        </w:rPr>
        <w:t>bevacizumab</w:t>
      </w:r>
      <w:r w:rsidRPr="00C00909">
        <w:rPr>
          <w:color w:val="auto"/>
          <w:lang w:val="es-ES"/>
        </w:rPr>
        <w:t xml:space="preserve"> (los análisis se muestran en la </w:t>
      </w:r>
      <w:r w:rsidR="00471B84">
        <w:rPr>
          <w:color w:val="auto"/>
          <w:lang w:val="es-ES"/>
        </w:rPr>
        <w:t>t</w:t>
      </w:r>
      <w:r w:rsidRPr="00C00909">
        <w:rPr>
          <w:color w:val="auto"/>
          <w:lang w:val="es-ES"/>
        </w:rPr>
        <w:t>abla</w:t>
      </w:r>
      <w:r w:rsidR="009F084E" w:rsidRPr="00D1096C">
        <w:rPr>
          <w:lang w:val="es-ES"/>
        </w:rPr>
        <w:t> </w:t>
      </w:r>
      <w:r w:rsidRPr="00C00909">
        <w:rPr>
          <w:color w:val="auto"/>
          <w:lang w:val="es-ES"/>
        </w:rPr>
        <w:t>7), siendo consistente con el beneficio estadísticamente significativo observado en el análisis agrupado.</w:t>
      </w:r>
    </w:p>
    <w:p w14:paraId="3F0793DC" w14:textId="77777777" w:rsidR="00FB24C0" w:rsidRPr="00C00909" w:rsidRDefault="00FB24C0" w:rsidP="00FB24C0">
      <w:pPr>
        <w:spacing w:after="0" w:line="240" w:lineRule="auto"/>
        <w:ind w:left="0" w:firstLine="0"/>
        <w:rPr>
          <w:color w:val="auto"/>
          <w:lang w:val="es-ES"/>
        </w:rPr>
      </w:pPr>
    </w:p>
    <w:p w14:paraId="20C042A7" w14:textId="77777777" w:rsidR="00FB24C0" w:rsidRPr="00443040" w:rsidRDefault="00FB24C0" w:rsidP="00624B43">
      <w:pPr>
        <w:spacing w:after="0" w:line="240" w:lineRule="auto"/>
        <w:ind w:left="0" w:firstLine="0"/>
        <w:rPr>
          <w:b/>
          <w:color w:val="auto"/>
          <w:lang w:val="es-ES"/>
        </w:rPr>
      </w:pPr>
      <w:r w:rsidRPr="00DF6046">
        <w:rPr>
          <w:b/>
          <w:color w:val="auto"/>
          <w:lang w:val="es-ES"/>
        </w:rPr>
        <w:t>Tabla 7</w:t>
      </w:r>
      <w:r w:rsidR="00DF6046">
        <w:rPr>
          <w:b/>
          <w:color w:val="auto"/>
          <w:lang w:val="es-ES"/>
        </w:rPr>
        <w:t>.</w:t>
      </w:r>
      <w:r w:rsidRPr="00DF6046">
        <w:rPr>
          <w:b/>
          <w:color w:val="auto"/>
          <w:lang w:val="es-ES"/>
        </w:rPr>
        <w:t xml:space="preserve"> Resultados principales de eficacia del análisis de superioridad (Población por intención de tratar (ITT), ensayo NO16966)</w:t>
      </w:r>
    </w:p>
    <w:p w14:paraId="0AC9D172" w14:textId="77777777" w:rsidR="00FB24C0" w:rsidRPr="00443040" w:rsidRDefault="00FB24C0" w:rsidP="00624B43">
      <w:pPr>
        <w:spacing w:after="0" w:line="240" w:lineRule="auto"/>
        <w:ind w:left="0" w:firstLine="0"/>
        <w:rPr>
          <w:color w:val="auto"/>
          <w:lang w:val="es-ES"/>
        </w:rPr>
      </w:pPr>
    </w:p>
    <w:tbl>
      <w:tblPr>
        <w:tblW w:w="9071" w:type="dxa"/>
        <w:tblInd w:w="-105" w:type="dxa"/>
        <w:tblCellMar>
          <w:top w:w="55" w:type="dxa"/>
          <w:left w:w="107" w:type="dxa"/>
          <w:right w:w="115" w:type="dxa"/>
        </w:tblCellMar>
        <w:tblLook w:val="04A0" w:firstRow="1" w:lastRow="0" w:firstColumn="1" w:lastColumn="0" w:noHBand="0" w:noVBand="1"/>
      </w:tblPr>
      <w:tblGrid>
        <w:gridCol w:w="3291"/>
        <w:gridCol w:w="2088"/>
        <w:gridCol w:w="2110"/>
        <w:gridCol w:w="1582"/>
      </w:tblGrid>
      <w:tr w:rsidR="00D445BE" w:rsidRPr="00DF6046" w14:paraId="38A442A5" w14:textId="77777777" w:rsidTr="00C33F4C">
        <w:trPr>
          <w:trHeight w:val="1030"/>
          <w:tblHeader/>
        </w:trPr>
        <w:tc>
          <w:tcPr>
            <w:tcW w:w="3291" w:type="dxa"/>
            <w:tcBorders>
              <w:top w:val="single" w:sz="4" w:space="0" w:color="000000"/>
              <w:left w:val="single" w:sz="4" w:space="0" w:color="000000"/>
              <w:bottom w:val="single" w:sz="4" w:space="0" w:color="000000"/>
              <w:right w:val="single" w:sz="4" w:space="0" w:color="000000"/>
            </w:tcBorders>
          </w:tcPr>
          <w:p w14:paraId="7B74AE8B" w14:textId="77777777" w:rsidR="00FB24C0" w:rsidRPr="00C33F4C" w:rsidRDefault="00FB24C0" w:rsidP="00624B43">
            <w:pPr>
              <w:spacing w:after="0" w:line="240" w:lineRule="auto"/>
              <w:ind w:left="0" w:firstLine="0"/>
              <w:rPr>
                <w:b/>
                <w:color w:val="auto"/>
                <w:lang w:val="es-ES"/>
              </w:rPr>
            </w:pPr>
            <w:r w:rsidRPr="00C33F4C">
              <w:rPr>
                <w:b/>
                <w:color w:val="auto"/>
                <w:lang w:val="es-ES"/>
              </w:rPr>
              <w:t>Variable (meses)</w:t>
            </w:r>
          </w:p>
        </w:tc>
        <w:tc>
          <w:tcPr>
            <w:tcW w:w="2088" w:type="dxa"/>
            <w:tcBorders>
              <w:top w:val="single" w:sz="4" w:space="0" w:color="000000"/>
              <w:left w:val="single" w:sz="4" w:space="0" w:color="000000"/>
              <w:bottom w:val="single" w:sz="4" w:space="0" w:color="000000"/>
              <w:right w:val="single" w:sz="4" w:space="0" w:color="000000"/>
            </w:tcBorders>
          </w:tcPr>
          <w:p w14:paraId="46590A2D" w14:textId="77777777" w:rsidR="00FB24C0" w:rsidRPr="00C33F4C" w:rsidRDefault="00F357E6" w:rsidP="00624B43">
            <w:pPr>
              <w:spacing w:after="0" w:line="240" w:lineRule="auto"/>
              <w:ind w:left="0" w:firstLine="0"/>
              <w:jc w:val="center"/>
              <w:rPr>
                <w:b/>
                <w:color w:val="auto"/>
                <w:lang w:val="es-ES"/>
              </w:rPr>
            </w:pPr>
            <w:r w:rsidRPr="00C33F4C">
              <w:rPr>
                <w:b/>
                <w:color w:val="auto"/>
                <w:lang w:val="es-ES"/>
              </w:rPr>
              <w:t xml:space="preserve">FOLFOX-4 </w:t>
            </w:r>
            <w:r w:rsidR="00FB24C0" w:rsidRPr="00C33F4C">
              <w:rPr>
                <w:b/>
                <w:color w:val="auto"/>
                <w:lang w:val="es-ES"/>
              </w:rPr>
              <w:t>o XELOX</w:t>
            </w:r>
            <w:r w:rsidR="00D54EAD" w:rsidRPr="00C33F4C">
              <w:rPr>
                <w:b/>
                <w:color w:val="auto"/>
                <w:lang w:val="es-ES"/>
              </w:rPr>
              <w:t xml:space="preserve"> </w:t>
            </w:r>
          </w:p>
          <w:p w14:paraId="60E8279A" w14:textId="77777777" w:rsidR="00FB24C0" w:rsidRPr="00C33F4C" w:rsidRDefault="00FB24C0" w:rsidP="00624B43">
            <w:pPr>
              <w:spacing w:after="0" w:line="240" w:lineRule="auto"/>
              <w:ind w:left="0" w:firstLine="0"/>
              <w:jc w:val="center"/>
              <w:rPr>
                <w:b/>
                <w:color w:val="auto"/>
                <w:lang w:val="es-ES"/>
              </w:rPr>
            </w:pPr>
            <w:r w:rsidRPr="00C33F4C">
              <w:rPr>
                <w:b/>
                <w:color w:val="auto"/>
                <w:lang w:val="es-ES"/>
              </w:rPr>
              <w:t>+ placebo</w:t>
            </w:r>
          </w:p>
          <w:p w14:paraId="4544352F" w14:textId="77777777" w:rsidR="00FB24C0" w:rsidRPr="00C33F4C" w:rsidRDefault="00FB24C0" w:rsidP="00624B43">
            <w:pPr>
              <w:spacing w:after="0" w:line="240" w:lineRule="auto"/>
              <w:ind w:left="0" w:firstLine="0"/>
              <w:jc w:val="center"/>
              <w:rPr>
                <w:b/>
                <w:color w:val="auto"/>
                <w:lang w:val="es-ES"/>
              </w:rPr>
            </w:pPr>
            <w:r w:rsidRPr="00C33F4C">
              <w:rPr>
                <w:b/>
                <w:color w:val="auto"/>
                <w:lang w:val="es-ES"/>
              </w:rPr>
              <w:t>(n</w:t>
            </w:r>
            <w:r w:rsidR="009F084E" w:rsidRPr="00C33F4C">
              <w:rPr>
                <w:lang w:val="es-ES"/>
              </w:rPr>
              <w:t> </w:t>
            </w:r>
            <w:r w:rsidRPr="00C33F4C">
              <w:rPr>
                <w:b/>
                <w:color w:val="auto"/>
                <w:lang w:val="es-ES"/>
              </w:rPr>
              <w:t>=</w:t>
            </w:r>
            <w:r w:rsidR="009F084E" w:rsidRPr="00C33F4C">
              <w:rPr>
                <w:lang w:val="es-ES"/>
              </w:rPr>
              <w:t> </w:t>
            </w:r>
            <w:r w:rsidRPr="00C33F4C">
              <w:rPr>
                <w:b/>
                <w:color w:val="auto"/>
                <w:lang w:val="es-ES"/>
              </w:rPr>
              <w:t>701)</w:t>
            </w:r>
          </w:p>
        </w:tc>
        <w:tc>
          <w:tcPr>
            <w:tcW w:w="2109" w:type="dxa"/>
            <w:tcBorders>
              <w:top w:val="single" w:sz="4" w:space="0" w:color="000000"/>
              <w:left w:val="single" w:sz="4" w:space="0" w:color="000000"/>
              <w:bottom w:val="single" w:sz="4" w:space="0" w:color="000000"/>
              <w:right w:val="single" w:sz="4" w:space="0" w:color="000000"/>
            </w:tcBorders>
          </w:tcPr>
          <w:p w14:paraId="64B917AD" w14:textId="77777777" w:rsidR="00E22342" w:rsidRPr="00C33F4C" w:rsidRDefault="00F357E6" w:rsidP="00624B43">
            <w:pPr>
              <w:spacing w:after="0" w:line="240" w:lineRule="auto"/>
              <w:ind w:left="0" w:firstLine="0"/>
              <w:jc w:val="center"/>
              <w:rPr>
                <w:b/>
                <w:color w:val="auto"/>
                <w:lang w:val="es-ES"/>
              </w:rPr>
            </w:pPr>
            <w:r w:rsidRPr="00C33F4C">
              <w:rPr>
                <w:b/>
                <w:color w:val="auto"/>
                <w:lang w:val="es-ES"/>
              </w:rPr>
              <w:t>FOLFOX-4</w:t>
            </w:r>
            <w:r w:rsidR="00FB24C0" w:rsidRPr="00C33F4C">
              <w:rPr>
                <w:b/>
                <w:color w:val="auto"/>
                <w:lang w:val="es-ES"/>
              </w:rPr>
              <w:t xml:space="preserve"> o XELOX</w:t>
            </w:r>
            <w:r w:rsidR="0089541D" w:rsidRPr="00C33F4C">
              <w:rPr>
                <w:b/>
                <w:color w:val="auto"/>
                <w:lang w:val="es-ES"/>
              </w:rPr>
              <w:t xml:space="preserve"> </w:t>
            </w:r>
            <w:r w:rsidR="00FB24C0" w:rsidRPr="00C33F4C">
              <w:rPr>
                <w:b/>
                <w:color w:val="auto"/>
                <w:lang w:val="es-ES"/>
              </w:rPr>
              <w:t>+ bevacizumab</w:t>
            </w:r>
          </w:p>
          <w:p w14:paraId="2BCE2C41" w14:textId="77777777" w:rsidR="00FB24C0" w:rsidRPr="00C33F4C" w:rsidRDefault="00FB24C0" w:rsidP="00624B43">
            <w:pPr>
              <w:spacing w:after="0" w:line="240" w:lineRule="auto"/>
              <w:ind w:left="0" w:firstLine="0"/>
              <w:jc w:val="center"/>
              <w:rPr>
                <w:b/>
                <w:color w:val="auto"/>
                <w:lang w:val="es-ES"/>
              </w:rPr>
            </w:pPr>
            <w:r w:rsidRPr="00C33F4C">
              <w:rPr>
                <w:b/>
                <w:color w:val="auto"/>
                <w:lang w:val="es-ES"/>
              </w:rPr>
              <w:t>(n</w:t>
            </w:r>
            <w:r w:rsidR="009F084E" w:rsidRPr="00C33F4C">
              <w:rPr>
                <w:lang w:val="es-ES"/>
              </w:rPr>
              <w:t> </w:t>
            </w:r>
            <w:r w:rsidRPr="00C33F4C">
              <w:rPr>
                <w:b/>
                <w:color w:val="auto"/>
                <w:lang w:val="es-ES"/>
              </w:rPr>
              <w:t>=</w:t>
            </w:r>
            <w:r w:rsidR="009F084E" w:rsidRPr="00C33F4C">
              <w:rPr>
                <w:lang w:val="es-ES"/>
              </w:rPr>
              <w:t> </w:t>
            </w:r>
            <w:r w:rsidRPr="00C33F4C">
              <w:rPr>
                <w:b/>
                <w:color w:val="auto"/>
                <w:lang w:val="es-ES"/>
              </w:rPr>
              <w:t>699)</w:t>
            </w:r>
          </w:p>
        </w:tc>
        <w:tc>
          <w:tcPr>
            <w:tcW w:w="1581" w:type="dxa"/>
            <w:tcBorders>
              <w:top w:val="single" w:sz="4" w:space="0" w:color="000000"/>
              <w:left w:val="single" w:sz="4" w:space="0" w:color="000000"/>
              <w:bottom w:val="single" w:sz="4" w:space="0" w:color="000000"/>
              <w:right w:val="single" w:sz="4" w:space="0" w:color="000000"/>
            </w:tcBorders>
          </w:tcPr>
          <w:p w14:paraId="1F847C60" w14:textId="77777777" w:rsidR="00FB24C0" w:rsidRPr="00C33F4C" w:rsidRDefault="00F357E6" w:rsidP="00624B43">
            <w:pPr>
              <w:spacing w:after="0" w:line="240" w:lineRule="auto"/>
              <w:ind w:left="0" w:firstLine="0"/>
              <w:jc w:val="center"/>
              <w:rPr>
                <w:b/>
                <w:color w:val="auto"/>
                <w:lang w:val="es-ES"/>
              </w:rPr>
            </w:pPr>
            <w:r w:rsidRPr="00C33F4C">
              <w:rPr>
                <w:b/>
                <w:color w:val="auto"/>
                <w:lang w:val="es-ES"/>
              </w:rPr>
              <w:t>Valor de p</w:t>
            </w:r>
          </w:p>
        </w:tc>
      </w:tr>
      <w:tr w:rsidR="00F357E6" w:rsidRPr="00DF6046" w14:paraId="07C23E6B" w14:textId="77777777" w:rsidTr="00C33F4C">
        <w:trPr>
          <w:trHeight w:val="276"/>
        </w:trPr>
        <w:tc>
          <w:tcPr>
            <w:tcW w:w="9071" w:type="dxa"/>
            <w:gridSpan w:val="4"/>
            <w:tcBorders>
              <w:top w:val="single" w:sz="4" w:space="0" w:color="000000"/>
              <w:left w:val="single" w:sz="4" w:space="0" w:color="000000"/>
              <w:bottom w:val="single" w:sz="4" w:space="0" w:color="000000"/>
              <w:right w:val="single" w:sz="4" w:space="0" w:color="000000"/>
            </w:tcBorders>
          </w:tcPr>
          <w:p w14:paraId="109D90A2" w14:textId="77777777" w:rsidR="00F357E6" w:rsidRPr="00C33F4C" w:rsidRDefault="00F357E6" w:rsidP="00624B43">
            <w:pPr>
              <w:spacing w:after="0" w:line="240" w:lineRule="auto"/>
              <w:ind w:left="0" w:firstLine="0"/>
              <w:rPr>
                <w:color w:val="auto"/>
                <w:lang w:val="es-ES"/>
              </w:rPr>
            </w:pPr>
            <w:r w:rsidRPr="00C33F4C">
              <w:rPr>
                <w:color w:val="auto"/>
                <w:lang w:val="es-ES"/>
              </w:rPr>
              <w:t xml:space="preserve">Variable principal </w:t>
            </w:r>
          </w:p>
        </w:tc>
      </w:tr>
      <w:tr w:rsidR="00D445BE" w:rsidRPr="00443040" w14:paraId="1C67C698" w14:textId="77777777" w:rsidTr="00C33F4C">
        <w:trPr>
          <w:trHeight w:val="238"/>
        </w:trPr>
        <w:tc>
          <w:tcPr>
            <w:tcW w:w="3291" w:type="dxa"/>
            <w:tcBorders>
              <w:top w:val="single" w:sz="4" w:space="0" w:color="000000"/>
              <w:left w:val="single" w:sz="4" w:space="0" w:color="000000"/>
              <w:bottom w:val="single" w:sz="4" w:space="0" w:color="000000"/>
              <w:right w:val="single" w:sz="4" w:space="0" w:color="000000"/>
            </w:tcBorders>
            <w:vAlign w:val="center"/>
          </w:tcPr>
          <w:p w14:paraId="41E13EC0" w14:textId="77777777" w:rsidR="00FB24C0" w:rsidRPr="00C33F4C" w:rsidRDefault="00C00909" w:rsidP="00624B43">
            <w:pPr>
              <w:spacing w:after="0" w:line="240" w:lineRule="auto"/>
              <w:ind w:left="567" w:firstLine="0"/>
              <w:rPr>
                <w:color w:val="auto"/>
                <w:lang w:val="es-ES"/>
              </w:rPr>
            </w:pPr>
            <w:r w:rsidRPr="00C33F4C">
              <w:rPr>
                <w:color w:val="auto"/>
                <w:lang w:val="es-ES"/>
              </w:rPr>
              <w:t>Mediana de SLP (meses)**</w:t>
            </w:r>
          </w:p>
        </w:tc>
        <w:tc>
          <w:tcPr>
            <w:tcW w:w="2088" w:type="dxa"/>
            <w:tcBorders>
              <w:top w:val="single" w:sz="4" w:space="0" w:color="000000"/>
              <w:left w:val="single" w:sz="4" w:space="0" w:color="000000"/>
              <w:bottom w:val="single" w:sz="4" w:space="0" w:color="000000"/>
              <w:right w:val="single" w:sz="4" w:space="0" w:color="000000"/>
            </w:tcBorders>
            <w:vAlign w:val="center"/>
          </w:tcPr>
          <w:p w14:paraId="79312835" w14:textId="77777777" w:rsidR="00FB24C0" w:rsidRPr="00C33F4C" w:rsidRDefault="00FB24C0" w:rsidP="00624B43">
            <w:pPr>
              <w:spacing w:after="0" w:line="240" w:lineRule="auto"/>
              <w:ind w:left="0" w:firstLine="0"/>
              <w:jc w:val="center"/>
              <w:rPr>
                <w:color w:val="auto"/>
                <w:lang w:val="es-ES"/>
              </w:rPr>
            </w:pPr>
            <w:r w:rsidRPr="00C33F4C">
              <w:rPr>
                <w:color w:val="auto"/>
                <w:lang w:val="es-ES"/>
              </w:rPr>
              <w:t>8,0</w:t>
            </w:r>
          </w:p>
        </w:tc>
        <w:tc>
          <w:tcPr>
            <w:tcW w:w="2109" w:type="dxa"/>
            <w:tcBorders>
              <w:top w:val="single" w:sz="4" w:space="0" w:color="000000"/>
              <w:left w:val="single" w:sz="4" w:space="0" w:color="000000"/>
              <w:bottom w:val="single" w:sz="4" w:space="0" w:color="000000"/>
              <w:right w:val="single" w:sz="4" w:space="0" w:color="000000"/>
            </w:tcBorders>
            <w:vAlign w:val="center"/>
          </w:tcPr>
          <w:p w14:paraId="6DE07F00" w14:textId="77777777" w:rsidR="00FB24C0" w:rsidRPr="00C33F4C" w:rsidRDefault="00FB24C0" w:rsidP="00624B43">
            <w:pPr>
              <w:spacing w:after="0" w:line="240" w:lineRule="auto"/>
              <w:ind w:left="0" w:firstLine="0"/>
              <w:jc w:val="center"/>
              <w:rPr>
                <w:color w:val="auto"/>
                <w:lang w:val="es-ES"/>
              </w:rPr>
            </w:pPr>
            <w:r w:rsidRPr="00C33F4C">
              <w:rPr>
                <w:color w:val="auto"/>
                <w:lang w:val="es-ES"/>
              </w:rPr>
              <w:t>9,4</w:t>
            </w:r>
          </w:p>
        </w:tc>
        <w:tc>
          <w:tcPr>
            <w:tcW w:w="1581" w:type="dxa"/>
            <w:tcBorders>
              <w:top w:val="single" w:sz="4" w:space="0" w:color="000000"/>
              <w:left w:val="single" w:sz="4" w:space="0" w:color="000000"/>
              <w:bottom w:val="single" w:sz="4" w:space="0" w:color="000000"/>
              <w:right w:val="single" w:sz="4" w:space="0" w:color="000000"/>
            </w:tcBorders>
            <w:vAlign w:val="center"/>
          </w:tcPr>
          <w:p w14:paraId="587505AE" w14:textId="77777777" w:rsidR="00FB24C0" w:rsidRPr="00C33F4C" w:rsidRDefault="00FB24C0" w:rsidP="00624B43">
            <w:pPr>
              <w:spacing w:after="0" w:line="240" w:lineRule="auto"/>
              <w:ind w:left="0" w:firstLine="0"/>
              <w:jc w:val="center"/>
              <w:rPr>
                <w:color w:val="auto"/>
                <w:lang w:val="es-ES"/>
              </w:rPr>
            </w:pPr>
            <w:r w:rsidRPr="00C33F4C">
              <w:rPr>
                <w:color w:val="auto"/>
                <w:lang w:val="es-ES"/>
              </w:rPr>
              <w:t>0,0023</w:t>
            </w:r>
          </w:p>
        </w:tc>
      </w:tr>
      <w:tr w:rsidR="00FB24C0" w:rsidRPr="00443040" w14:paraId="023D9A61" w14:textId="77777777" w:rsidTr="00C33F4C">
        <w:trPr>
          <w:trHeight w:val="214"/>
        </w:trPr>
        <w:tc>
          <w:tcPr>
            <w:tcW w:w="3291" w:type="dxa"/>
            <w:tcBorders>
              <w:top w:val="single" w:sz="4" w:space="0" w:color="000000"/>
              <w:left w:val="single" w:sz="4" w:space="0" w:color="000000"/>
              <w:bottom w:val="single" w:sz="4" w:space="0" w:color="000000"/>
              <w:right w:val="single" w:sz="4" w:space="0" w:color="000000"/>
            </w:tcBorders>
            <w:vAlign w:val="center"/>
          </w:tcPr>
          <w:p w14:paraId="543A7BA7" w14:textId="77777777" w:rsidR="00FB24C0" w:rsidRPr="00C33F4C" w:rsidRDefault="00FB24C0" w:rsidP="00624B43">
            <w:pPr>
              <w:spacing w:after="0" w:line="240" w:lineRule="auto"/>
              <w:ind w:left="567" w:firstLine="0"/>
              <w:rPr>
                <w:color w:val="auto"/>
                <w:lang w:val="es-ES"/>
              </w:rPr>
            </w:pPr>
            <w:r w:rsidRPr="00C33F4C">
              <w:rPr>
                <w:color w:val="auto"/>
                <w:lang w:val="es-ES"/>
              </w:rPr>
              <w:t>Razón de riesgo (IC del</w:t>
            </w:r>
            <w:r w:rsidR="00C00909" w:rsidRPr="00C33F4C">
              <w:rPr>
                <w:color w:val="auto"/>
                <w:lang w:val="es-ES"/>
              </w:rPr>
              <w:t xml:space="preserve"> </w:t>
            </w:r>
            <w:r w:rsidRPr="00C33F4C">
              <w:rPr>
                <w:color w:val="auto"/>
                <w:lang w:val="es-ES"/>
              </w:rPr>
              <w:t>97,5</w:t>
            </w:r>
            <w:proofErr w:type="gramStart"/>
            <w:r w:rsidRPr="00C33F4C">
              <w:rPr>
                <w:color w:val="auto"/>
                <w:lang w:val="es-ES"/>
              </w:rPr>
              <w:t>%)</w:t>
            </w:r>
            <w:r w:rsidRPr="00C33F4C">
              <w:rPr>
                <w:color w:val="auto"/>
                <w:vertAlign w:val="superscript"/>
                <w:lang w:val="es-ES"/>
              </w:rPr>
              <w:t>a</w:t>
            </w:r>
            <w:proofErr w:type="gramEnd"/>
          </w:p>
        </w:tc>
        <w:tc>
          <w:tcPr>
            <w:tcW w:w="4198" w:type="dxa"/>
            <w:gridSpan w:val="2"/>
            <w:tcBorders>
              <w:top w:val="single" w:sz="4" w:space="0" w:color="000000"/>
              <w:left w:val="single" w:sz="4" w:space="0" w:color="000000"/>
              <w:bottom w:val="single" w:sz="4" w:space="0" w:color="000000"/>
              <w:right w:val="single" w:sz="4" w:space="0" w:color="000000"/>
            </w:tcBorders>
            <w:vAlign w:val="center"/>
          </w:tcPr>
          <w:p w14:paraId="62A6859D" w14:textId="77777777" w:rsidR="00FB24C0" w:rsidRPr="00C33F4C" w:rsidRDefault="00FB24C0" w:rsidP="00624B43">
            <w:pPr>
              <w:spacing w:after="0" w:line="240" w:lineRule="auto"/>
              <w:ind w:left="0" w:firstLine="0"/>
              <w:jc w:val="center"/>
              <w:rPr>
                <w:color w:val="auto"/>
                <w:lang w:val="es-ES"/>
              </w:rPr>
            </w:pPr>
            <w:r w:rsidRPr="00C33F4C">
              <w:rPr>
                <w:color w:val="auto"/>
                <w:lang w:val="es-ES"/>
              </w:rPr>
              <w:t>0,83 (0,72</w:t>
            </w:r>
            <w:r w:rsidR="00AC160C" w:rsidRPr="00C33F4C">
              <w:rPr>
                <w:color w:val="auto"/>
                <w:lang w:val="es-ES"/>
              </w:rPr>
              <w:t xml:space="preserve"> </w:t>
            </w:r>
            <w:r w:rsidRPr="00C33F4C">
              <w:rPr>
                <w:color w:val="auto"/>
                <w:lang w:val="es-ES"/>
              </w:rPr>
              <w:t>-</w:t>
            </w:r>
            <w:r w:rsidR="00AC160C" w:rsidRPr="00C33F4C">
              <w:rPr>
                <w:color w:val="auto"/>
                <w:lang w:val="es-ES"/>
              </w:rPr>
              <w:t xml:space="preserve"> </w:t>
            </w:r>
            <w:r w:rsidRPr="00C33F4C">
              <w:rPr>
                <w:color w:val="auto"/>
                <w:lang w:val="es-ES"/>
              </w:rPr>
              <w:t>0,95)</w:t>
            </w:r>
          </w:p>
        </w:tc>
        <w:tc>
          <w:tcPr>
            <w:tcW w:w="1581" w:type="dxa"/>
            <w:tcBorders>
              <w:top w:val="single" w:sz="4" w:space="0" w:color="000000"/>
              <w:left w:val="single" w:sz="4" w:space="0" w:color="000000"/>
              <w:bottom w:val="single" w:sz="4" w:space="0" w:color="000000"/>
              <w:right w:val="single" w:sz="4" w:space="0" w:color="000000"/>
            </w:tcBorders>
          </w:tcPr>
          <w:p w14:paraId="2960D0F9" w14:textId="77777777" w:rsidR="00FB24C0" w:rsidRPr="00C33F4C" w:rsidRDefault="00FB24C0" w:rsidP="00624B43">
            <w:pPr>
              <w:spacing w:after="0" w:line="240" w:lineRule="auto"/>
              <w:ind w:left="0" w:firstLine="0"/>
              <w:jc w:val="center"/>
              <w:rPr>
                <w:color w:val="auto"/>
                <w:lang w:val="es-ES"/>
              </w:rPr>
            </w:pPr>
          </w:p>
        </w:tc>
      </w:tr>
      <w:tr w:rsidR="00F357E6" w:rsidRPr="00443040" w14:paraId="245DB921" w14:textId="77777777" w:rsidTr="00C33F4C">
        <w:trPr>
          <w:trHeight w:val="235"/>
        </w:trPr>
        <w:tc>
          <w:tcPr>
            <w:tcW w:w="9071" w:type="dxa"/>
            <w:gridSpan w:val="4"/>
            <w:tcBorders>
              <w:top w:val="single" w:sz="4" w:space="0" w:color="000000"/>
              <w:left w:val="single" w:sz="4" w:space="0" w:color="000000"/>
              <w:bottom w:val="single" w:sz="4" w:space="0" w:color="000000"/>
              <w:right w:val="single" w:sz="4" w:space="0" w:color="000000"/>
            </w:tcBorders>
          </w:tcPr>
          <w:p w14:paraId="10583E61" w14:textId="77777777" w:rsidR="00F357E6" w:rsidRPr="00C33F4C" w:rsidRDefault="00F357E6" w:rsidP="00246678">
            <w:pPr>
              <w:keepNext/>
              <w:keepLines/>
              <w:spacing w:after="0" w:line="240" w:lineRule="auto"/>
              <w:ind w:left="0" w:firstLine="0"/>
              <w:rPr>
                <w:color w:val="auto"/>
                <w:lang w:val="es-ES"/>
              </w:rPr>
            </w:pPr>
            <w:r w:rsidRPr="00C33F4C">
              <w:rPr>
                <w:color w:val="auto"/>
                <w:lang w:val="es-ES"/>
              </w:rPr>
              <w:lastRenderedPageBreak/>
              <w:t xml:space="preserve">Variables secundarias </w:t>
            </w:r>
          </w:p>
        </w:tc>
      </w:tr>
      <w:tr w:rsidR="00D445BE" w:rsidRPr="00443040" w14:paraId="724A6ED4" w14:textId="77777777" w:rsidTr="00C33F4C">
        <w:trPr>
          <w:trHeight w:val="520"/>
        </w:trPr>
        <w:tc>
          <w:tcPr>
            <w:tcW w:w="3291" w:type="dxa"/>
            <w:tcBorders>
              <w:top w:val="single" w:sz="4" w:space="0" w:color="000000"/>
              <w:left w:val="single" w:sz="4" w:space="0" w:color="000000"/>
              <w:bottom w:val="single" w:sz="4" w:space="0" w:color="000000"/>
              <w:right w:val="single" w:sz="4" w:space="0" w:color="000000"/>
            </w:tcBorders>
            <w:vAlign w:val="center"/>
          </w:tcPr>
          <w:p w14:paraId="3A93DFB6" w14:textId="77777777" w:rsidR="00FB24C0" w:rsidRPr="00C33F4C" w:rsidRDefault="00FB24C0" w:rsidP="00246678">
            <w:pPr>
              <w:keepNext/>
              <w:keepLines/>
              <w:spacing w:after="0" w:line="240" w:lineRule="auto"/>
              <w:ind w:left="567" w:firstLine="0"/>
              <w:rPr>
                <w:color w:val="auto"/>
                <w:lang w:val="es-ES"/>
              </w:rPr>
            </w:pPr>
            <w:r w:rsidRPr="00C33F4C">
              <w:rPr>
                <w:color w:val="auto"/>
                <w:lang w:val="es-ES"/>
              </w:rPr>
              <w:t>Mediana de SLP (du</w:t>
            </w:r>
            <w:r w:rsidR="00C00909" w:rsidRPr="00C33F4C">
              <w:rPr>
                <w:color w:val="auto"/>
                <w:lang w:val="es-ES"/>
              </w:rPr>
              <w:t>rante el tratamiento) (meses)**</w:t>
            </w:r>
          </w:p>
        </w:tc>
        <w:tc>
          <w:tcPr>
            <w:tcW w:w="2088" w:type="dxa"/>
            <w:tcBorders>
              <w:top w:val="single" w:sz="4" w:space="0" w:color="000000"/>
              <w:left w:val="single" w:sz="4" w:space="0" w:color="000000"/>
              <w:bottom w:val="single" w:sz="4" w:space="0" w:color="000000"/>
              <w:right w:val="single" w:sz="4" w:space="0" w:color="000000"/>
            </w:tcBorders>
            <w:vAlign w:val="center"/>
          </w:tcPr>
          <w:p w14:paraId="55FA0FD9" w14:textId="77777777" w:rsidR="00FB24C0" w:rsidRPr="00C33F4C" w:rsidRDefault="00FB24C0" w:rsidP="00246678">
            <w:pPr>
              <w:keepNext/>
              <w:keepLines/>
              <w:spacing w:after="0" w:line="240" w:lineRule="auto"/>
              <w:ind w:left="0" w:firstLine="0"/>
              <w:jc w:val="center"/>
              <w:rPr>
                <w:color w:val="auto"/>
                <w:lang w:val="es-ES"/>
              </w:rPr>
            </w:pPr>
            <w:r w:rsidRPr="00C33F4C">
              <w:rPr>
                <w:color w:val="auto"/>
                <w:lang w:val="es-ES"/>
              </w:rPr>
              <w:t>7,9</w:t>
            </w:r>
          </w:p>
        </w:tc>
        <w:tc>
          <w:tcPr>
            <w:tcW w:w="2109" w:type="dxa"/>
            <w:tcBorders>
              <w:top w:val="single" w:sz="4" w:space="0" w:color="000000"/>
              <w:left w:val="single" w:sz="4" w:space="0" w:color="000000"/>
              <w:bottom w:val="single" w:sz="4" w:space="0" w:color="000000"/>
              <w:right w:val="single" w:sz="4" w:space="0" w:color="000000"/>
            </w:tcBorders>
            <w:vAlign w:val="center"/>
          </w:tcPr>
          <w:p w14:paraId="753EE3A7" w14:textId="77777777" w:rsidR="00FB24C0" w:rsidRPr="00C33F4C" w:rsidRDefault="00FB24C0" w:rsidP="00246678">
            <w:pPr>
              <w:keepNext/>
              <w:keepLines/>
              <w:spacing w:after="0" w:line="240" w:lineRule="auto"/>
              <w:ind w:left="0" w:firstLine="0"/>
              <w:jc w:val="center"/>
              <w:rPr>
                <w:color w:val="auto"/>
                <w:lang w:val="es-ES"/>
              </w:rPr>
            </w:pPr>
            <w:r w:rsidRPr="00C33F4C">
              <w:rPr>
                <w:color w:val="auto"/>
                <w:lang w:val="es-ES"/>
              </w:rPr>
              <w:t>10,4</w:t>
            </w:r>
          </w:p>
        </w:tc>
        <w:tc>
          <w:tcPr>
            <w:tcW w:w="1581" w:type="dxa"/>
            <w:tcBorders>
              <w:top w:val="single" w:sz="4" w:space="0" w:color="000000"/>
              <w:left w:val="single" w:sz="4" w:space="0" w:color="000000"/>
              <w:bottom w:val="single" w:sz="4" w:space="0" w:color="000000"/>
              <w:right w:val="single" w:sz="4" w:space="0" w:color="000000"/>
            </w:tcBorders>
            <w:vAlign w:val="center"/>
          </w:tcPr>
          <w:p w14:paraId="08B0661F" w14:textId="77777777" w:rsidR="00FB24C0" w:rsidRPr="00C33F4C" w:rsidRDefault="00FB24C0" w:rsidP="00246678">
            <w:pPr>
              <w:keepNext/>
              <w:keepLines/>
              <w:spacing w:after="0" w:line="240" w:lineRule="auto"/>
              <w:ind w:left="0" w:firstLine="0"/>
              <w:jc w:val="center"/>
              <w:rPr>
                <w:color w:val="auto"/>
                <w:lang w:val="es-ES"/>
              </w:rPr>
            </w:pPr>
            <w:r w:rsidRPr="00C33F4C">
              <w:rPr>
                <w:color w:val="auto"/>
                <w:lang w:val="es-ES"/>
              </w:rPr>
              <w:t>&lt;</w:t>
            </w:r>
            <w:r w:rsidR="009F084E" w:rsidRPr="00E30038">
              <w:t> </w:t>
            </w:r>
            <w:r w:rsidRPr="00C33F4C">
              <w:rPr>
                <w:color w:val="auto"/>
                <w:lang w:val="es-ES"/>
              </w:rPr>
              <w:t>0,0001</w:t>
            </w:r>
          </w:p>
        </w:tc>
      </w:tr>
      <w:tr w:rsidR="00FB24C0" w:rsidRPr="00443040" w14:paraId="74EFE9A1" w14:textId="77777777" w:rsidTr="00C33F4C">
        <w:trPr>
          <w:trHeight w:val="278"/>
        </w:trPr>
        <w:tc>
          <w:tcPr>
            <w:tcW w:w="3291" w:type="dxa"/>
            <w:tcBorders>
              <w:top w:val="single" w:sz="4" w:space="0" w:color="000000"/>
              <w:left w:val="single" w:sz="4" w:space="0" w:color="000000"/>
              <w:bottom w:val="single" w:sz="4" w:space="0" w:color="000000"/>
              <w:right w:val="single" w:sz="4" w:space="0" w:color="000000"/>
            </w:tcBorders>
            <w:vAlign w:val="center"/>
          </w:tcPr>
          <w:p w14:paraId="2C8AA45E" w14:textId="77777777" w:rsidR="00FB24C0" w:rsidRPr="00C33F4C" w:rsidRDefault="00FB24C0" w:rsidP="00246678">
            <w:pPr>
              <w:keepNext/>
              <w:keepLines/>
              <w:spacing w:after="0" w:line="240" w:lineRule="auto"/>
              <w:ind w:left="567" w:firstLine="0"/>
              <w:rPr>
                <w:color w:val="auto"/>
                <w:lang w:val="es-ES"/>
              </w:rPr>
            </w:pPr>
            <w:r w:rsidRPr="00C33F4C">
              <w:rPr>
                <w:color w:val="auto"/>
                <w:lang w:val="es-ES"/>
              </w:rPr>
              <w:t xml:space="preserve">Razón de riesgo (IC del 97,5%) </w:t>
            </w:r>
          </w:p>
        </w:tc>
        <w:tc>
          <w:tcPr>
            <w:tcW w:w="4198" w:type="dxa"/>
            <w:gridSpan w:val="2"/>
            <w:tcBorders>
              <w:top w:val="single" w:sz="4" w:space="0" w:color="000000"/>
              <w:left w:val="single" w:sz="4" w:space="0" w:color="000000"/>
              <w:bottom w:val="single" w:sz="4" w:space="0" w:color="000000"/>
              <w:right w:val="single" w:sz="4" w:space="0" w:color="000000"/>
            </w:tcBorders>
            <w:vAlign w:val="center"/>
          </w:tcPr>
          <w:p w14:paraId="5DD06C9C" w14:textId="77777777" w:rsidR="00FB24C0" w:rsidRPr="00C33F4C" w:rsidRDefault="00FB24C0" w:rsidP="00246678">
            <w:pPr>
              <w:keepNext/>
              <w:keepLines/>
              <w:spacing w:after="0" w:line="240" w:lineRule="auto"/>
              <w:ind w:left="0" w:firstLine="0"/>
              <w:jc w:val="center"/>
              <w:rPr>
                <w:color w:val="auto"/>
                <w:lang w:val="es-ES"/>
              </w:rPr>
            </w:pPr>
            <w:r w:rsidRPr="00C33F4C">
              <w:rPr>
                <w:color w:val="auto"/>
                <w:lang w:val="es-ES"/>
              </w:rPr>
              <w:t>0,63 (0,52</w:t>
            </w:r>
            <w:r w:rsidR="00AC160C" w:rsidRPr="00C33F4C">
              <w:rPr>
                <w:color w:val="auto"/>
                <w:lang w:val="es-ES"/>
              </w:rPr>
              <w:t xml:space="preserve"> </w:t>
            </w:r>
            <w:r w:rsidRPr="00C33F4C">
              <w:rPr>
                <w:color w:val="auto"/>
                <w:lang w:val="es-ES"/>
              </w:rPr>
              <w:t>-</w:t>
            </w:r>
            <w:r w:rsidR="00AC160C" w:rsidRPr="00C33F4C">
              <w:rPr>
                <w:color w:val="auto"/>
                <w:lang w:val="es-ES"/>
              </w:rPr>
              <w:t xml:space="preserve"> </w:t>
            </w:r>
            <w:r w:rsidRPr="00C33F4C">
              <w:rPr>
                <w:color w:val="auto"/>
                <w:lang w:val="es-ES"/>
              </w:rPr>
              <w:t>0,75)</w:t>
            </w:r>
          </w:p>
        </w:tc>
        <w:tc>
          <w:tcPr>
            <w:tcW w:w="1581" w:type="dxa"/>
            <w:tcBorders>
              <w:top w:val="single" w:sz="4" w:space="0" w:color="000000"/>
              <w:left w:val="single" w:sz="4" w:space="0" w:color="000000"/>
              <w:bottom w:val="single" w:sz="4" w:space="0" w:color="000000"/>
              <w:right w:val="single" w:sz="4" w:space="0" w:color="000000"/>
            </w:tcBorders>
            <w:vAlign w:val="center"/>
          </w:tcPr>
          <w:p w14:paraId="1FE37AEF" w14:textId="77777777" w:rsidR="00FB24C0" w:rsidRPr="00C33F4C" w:rsidRDefault="00FB24C0" w:rsidP="00246678">
            <w:pPr>
              <w:keepNext/>
              <w:keepLines/>
              <w:spacing w:after="0" w:line="240" w:lineRule="auto"/>
              <w:ind w:left="0" w:firstLine="0"/>
              <w:jc w:val="center"/>
              <w:rPr>
                <w:color w:val="auto"/>
                <w:lang w:val="es-ES"/>
              </w:rPr>
            </w:pPr>
          </w:p>
        </w:tc>
      </w:tr>
      <w:tr w:rsidR="00D445BE" w:rsidRPr="00443040" w14:paraId="6D2B5426" w14:textId="77777777" w:rsidTr="00C33F4C">
        <w:trPr>
          <w:trHeight w:val="524"/>
        </w:trPr>
        <w:tc>
          <w:tcPr>
            <w:tcW w:w="3291" w:type="dxa"/>
            <w:tcBorders>
              <w:top w:val="single" w:sz="4" w:space="0" w:color="000000"/>
              <w:left w:val="single" w:sz="4" w:space="0" w:color="000000"/>
              <w:bottom w:val="single" w:sz="4" w:space="0" w:color="000000"/>
              <w:right w:val="single" w:sz="4" w:space="0" w:color="000000"/>
            </w:tcBorders>
            <w:vAlign w:val="center"/>
          </w:tcPr>
          <w:p w14:paraId="32E2B848" w14:textId="77777777" w:rsidR="00FB24C0" w:rsidRPr="00C33F4C" w:rsidRDefault="00FB24C0" w:rsidP="00246678">
            <w:pPr>
              <w:keepNext/>
              <w:keepLines/>
              <w:spacing w:after="0" w:line="240" w:lineRule="auto"/>
              <w:ind w:left="0" w:firstLine="0"/>
              <w:rPr>
                <w:color w:val="auto"/>
                <w:lang w:val="es-ES"/>
              </w:rPr>
            </w:pPr>
            <w:r w:rsidRPr="00C33F4C">
              <w:rPr>
                <w:color w:val="auto"/>
                <w:lang w:val="es-ES"/>
              </w:rPr>
              <w:t>Tasa de respuesta global</w:t>
            </w:r>
            <w:r w:rsidR="00C00909" w:rsidRPr="00C33F4C">
              <w:rPr>
                <w:color w:val="auto"/>
                <w:lang w:val="es-ES"/>
              </w:rPr>
              <w:t xml:space="preserve"> </w:t>
            </w:r>
            <w:r w:rsidRPr="00C33F4C">
              <w:rPr>
                <w:color w:val="auto"/>
                <w:lang w:val="es-ES"/>
              </w:rPr>
              <w:t>(</w:t>
            </w:r>
            <w:r w:rsidR="00C00909" w:rsidRPr="00C33F4C">
              <w:rPr>
                <w:color w:val="auto"/>
                <w:lang w:val="es-ES"/>
              </w:rPr>
              <w:t xml:space="preserve">Evaluación de </w:t>
            </w:r>
            <w:proofErr w:type="gramStart"/>
            <w:r w:rsidR="00C00909" w:rsidRPr="00C33F4C">
              <w:rPr>
                <w:color w:val="auto"/>
                <w:lang w:val="es-ES"/>
              </w:rPr>
              <w:t>investigadores)*</w:t>
            </w:r>
            <w:proofErr w:type="gramEnd"/>
            <w:r w:rsidR="00C00909" w:rsidRPr="00C33F4C">
              <w:rPr>
                <w:color w:val="auto"/>
                <w:lang w:val="es-ES"/>
              </w:rPr>
              <w:t>*</w:t>
            </w:r>
          </w:p>
        </w:tc>
        <w:tc>
          <w:tcPr>
            <w:tcW w:w="2088" w:type="dxa"/>
            <w:tcBorders>
              <w:top w:val="single" w:sz="4" w:space="0" w:color="000000"/>
              <w:left w:val="single" w:sz="4" w:space="0" w:color="000000"/>
              <w:bottom w:val="single" w:sz="4" w:space="0" w:color="000000"/>
              <w:right w:val="single" w:sz="4" w:space="0" w:color="000000"/>
            </w:tcBorders>
            <w:vAlign w:val="center"/>
          </w:tcPr>
          <w:p w14:paraId="3EC4601F" w14:textId="77777777" w:rsidR="00FB24C0" w:rsidRPr="00C33F4C" w:rsidRDefault="00FB24C0" w:rsidP="00246678">
            <w:pPr>
              <w:keepNext/>
              <w:keepLines/>
              <w:spacing w:after="0" w:line="240" w:lineRule="auto"/>
              <w:ind w:left="0" w:firstLine="0"/>
              <w:jc w:val="center"/>
              <w:rPr>
                <w:color w:val="auto"/>
                <w:lang w:val="es-ES"/>
              </w:rPr>
            </w:pPr>
            <w:r w:rsidRPr="00C33F4C">
              <w:rPr>
                <w:color w:val="auto"/>
                <w:lang w:val="es-ES"/>
              </w:rPr>
              <w:t>49,2%</w:t>
            </w:r>
          </w:p>
        </w:tc>
        <w:tc>
          <w:tcPr>
            <w:tcW w:w="2109" w:type="dxa"/>
            <w:tcBorders>
              <w:top w:val="single" w:sz="4" w:space="0" w:color="000000"/>
              <w:left w:val="single" w:sz="4" w:space="0" w:color="000000"/>
              <w:bottom w:val="single" w:sz="4" w:space="0" w:color="000000"/>
              <w:right w:val="single" w:sz="4" w:space="0" w:color="000000"/>
            </w:tcBorders>
            <w:vAlign w:val="center"/>
          </w:tcPr>
          <w:p w14:paraId="0EA8676C" w14:textId="77777777" w:rsidR="00FB24C0" w:rsidRPr="00C33F4C" w:rsidRDefault="00FB24C0" w:rsidP="00246678">
            <w:pPr>
              <w:keepNext/>
              <w:keepLines/>
              <w:spacing w:after="0" w:line="240" w:lineRule="auto"/>
              <w:ind w:left="0" w:firstLine="0"/>
              <w:jc w:val="center"/>
              <w:rPr>
                <w:color w:val="auto"/>
                <w:lang w:val="es-ES"/>
              </w:rPr>
            </w:pPr>
            <w:r w:rsidRPr="00C33F4C">
              <w:rPr>
                <w:color w:val="auto"/>
                <w:lang w:val="es-ES"/>
              </w:rPr>
              <w:t>46,5%</w:t>
            </w:r>
          </w:p>
        </w:tc>
        <w:tc>
          <w:tcPr>
            <w:tcW w:w="1581" w:type="dxa"/>
            <w:tcBorders>
              <w:top w:val="single" w:sz="4" w:space="0" w:color="000000"/>
              <w:left w:val="single" w:sz="4" w:space="0" w:color="000000"/>
              <w:bottom w:val="single" w:sz="4" w:space="0" w:color="000000"/>
              <w:right w:val="single" w:sz="4" w:space="0" w:color="000000"/>
            </w:tcBorders>
          </w:tcPr>
          <w:p w14:paraId="6D944BC2" w14:textId="77777777" w:rsidR="00FB24C0" w:rsidRPr="00C33F4C" w:rsidRDefault="00FB24C0" w:rsidP="00246678">
            <w:pPr>
              <w:keepNext/>
              <w:keepLines/>
              <w:spacing w:after="0" w:line="240" w:lineRule="auto"/>
              <w:ind w:left="0" w:firstLine="0"/>
              <w:jc w:val="center"/>
              <w:rPr>
                <w:color w:val="auto"/>
                <w:lang w:val="es-ES"/>
              </w:rPr>
            </w:pPr>
          </w:p>
        </w:tc>
      </w:tr>
      <w:tr w:rsidR="00D445BE" w:rsidRPr="00443040" w14:paraId="49314B35" w14:textId="77777777" w:rsidTr="00C33F4C">
        <w:trPr>
          <w:trHeight w:val="361"/>
        </w:trPr>
        <w:tc>
          <w:tcPr>
            <w:tcW w:w="3291" w:type="dxa"/>
            <w:tcBorders>
              <w:top w:val="single" w:sz="4" w:space="0" w:color="000000"/>
              <w:left w:val="single" w:sz="4" w:space="0" w:color="000000"/>
              <w:bottom w:val="single" w:sz="4" w:space="0" w:color="000000"/>
              <w:right w:val="single" w:sz="4" w:space="0" w:color="000000"/>
            </w:tcBorders>
            <w:vAlign w:val="center"/>
          </w:tcPr>
          <w:p w14:paraId="32482D9E" w14:textId="77777777" w:rsidR="00FB24C0" w:rsidRPr="00C33F4C" w:rsidRDefault="00FB24C0" w:rsidP="00C33F4C">
            <w:pPr>
              <w:spacing w:after="0" w:line="240" w:lineRule="auto"/>
              <w:ind w:left="567" w:firstLine="0"/>
              <w:rPr>
                <w:color w:val="auto"/>
                <w:lang w:val="es-ES"/>
              </w:rPr>
            </w:pPr>
            <w:r w:rsidRPr="00C33F4C">
              <w:rPr>
                <w:color w:val="auto"/>
                <w:lang w:val="es-ES"/>
              </w:rPr>
              <w:t xml:space="preserve">Mediana de supervivencia global* </w:t>
            </w:r>
          </w:p>
        </w:tc>
        <w:tc>
          <w:tcPr>
            <w:tcW w:w="2088" w:type="dxa"/>
            <w:tcBorders>
              <w:top w:val="single" w:sz="4" w:space="0" w:color="000000"/>
              <w:left w:val="single" w:sz="4" w:space="0" w:color="000000"/>
              <w:bottom w:val="single" w:sz="4" w:space="0" w:color="000000"/>
              <w:right w:val="single" w:sz="4" w:space="0" w:color="000000"/>
            </w:tcBorders>
            <w:vAlign w:val="center"/>
          </w:tcPr>
          <w:p w14:paraId="160ACAF6"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19,9</w:t>
            </w:r>
          </w:p>
        </w:tc>
        <w:tc>
          <w:tcPr>
            <w:tcW w:w="2109" w:type="dxa"/>
            <w:tcBorders>
              <w:top w:val="single" w:sz="4" w:space="0" w:color="000000"/>
              <w:left w:val="single" w:sz="4" w:space="0" w:color="000000"/>
              <w:bottom w:val="single" w:sz="4" w:space="0" w:color="000000"/>
              <w:right w:val="single" w:sz="4" w:space="0" w:color="000000"/>
            </w:tcBorders>
            <w:vAlign w:val="center"/>
          </w:tcPr>
          <w:p w14:paraId="3718FA90"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21,2</w:t>
            </w:r>
          </w:p>
        </w:tc>
        <w:tc>
          <w:tcPr>
            <w:tcW w:w="1581" w:type="dxa"/>
            <w:tcBorders>
              <w:top w:val="single" w:sz="4" w:space="0" w:color="000000"/>
              <w:left w:val="single" w:sz="4" w:space="0" w:color="000000"/>
              <w:bottom w:val="single" w:sz="4" w:space="0" w:color="000000"/>
              <w:right w:val="single" w:sz="4" w:space="0" w:color="000000"/>
            </w:tcBorders>
            <w:vAlign w:val="center"/>
          </w:tcPr>
          <w:p w14:paraId="54512CD2"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0,0769</w:t>
            </w:r>
          </w:p>
        </w:tc>
      </w:tr>
      <w:tr w:rsidR="00FB24C0" w:rsidRPr="00443040" w14:paraId="2223A641" w14:textId="77777777" w:rsidTr="00C33F4C">
        <w:trPr>
          <w:trHeight w:val="352"/>
        </w:trPr>
        <w:tc>
          <w:tcPr>
            <w:tcW w:w="3291" w:type="dxa"/>
            <w:tcBorders>
              <w:top w:val="single" w:sz="4" w:space="0" w:color="000000"/>
              <w:left w:val="single" w:sz="4" w:space="0" w:color="000000"/>
              <w:bottom w:val="single" w:sz="4" w:space="0" w:color="000000"/>
              <w:right w:val="single" w:sz="4" w:space="0" w:color="000000"/>
            </w:tcBorders>
            <w:vAlign w:val="center"/>
          </w:tcPr>
          <w:p w14:paraId="031EFEB5" w14:textId="77777777" w:rsidR="00FB24C0" w:rsidRPr="00C33F4C" w:rsidRDefault="00FB24C0" w:rsidP="00C33F4C">
            <w:pPr>
              <w:spacing w:after="0" w:line="240" w:lineRule="auto"/>
              <w:ind w:left="567" w:firstLine="0"/>
              <w:rPr>
                <w:color w:val="auto"/>
                <w:lang w:val="es-ES"/>
              </w:rPr>
            </w:pPr>
            <w:r w:rsidRPr="00C33F4C">
              <w:rPr>
                <w:color w:val="auto"/>
                <w:lang w:val="es-ES"/>
              </w:rPr>
              <w:t>Razón de riesgo (IC</w:t>
            </w:r>
            <w:r w:rsidR="00C00909" w:rsidRPr="00C33F4C">
              <w:rPr>
                <w:color w:val="auto"/>
                <w:lang w:val="es-ES"/>
              </w:rPr>
              <w:t xml:space="preserve"> del 97,5%)</w:t>
            </w:r>
          </w:p>
        </w:tc>
        <w:tc>
          <w:tcPr>
            <w:tcW w:w="4198" w:type="dxa"/>
            <w:gridSpan w:val="2"/>
            <w:tcBorders>
              <w:top w:val="single" w:sz="4" w:space="0" w:color="000000"/>
              <w:left w:val="single" w:sz="4" w:space="0" w:color="000000"/>
              <w:bottom w:val="single" w:sz="4" w:space="0" w:color="000000"/>
              <w:right w:val="single" w:sz="4" w:space="0" w:color="000000"/>
            </w:tcBorders>
            <w:vAlign w:val="center"/>
          </w:tcPr>
          <w:p w14:paraId="571E200C"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0,89 (0,76-1,03)</w:t>
            </w:r>
          </w:p>
        </w:tc>
        <w:tc>
          <w:tcPr>
            <w:tcW w:w="1581" w:type="dxa"/>
            <w:tcBorders>
              <w:top w:val="single" w:sz="4" w:space="0" w:color="000000"/>
              <w:left w:val="single" w:sz="4" w:space="0" w:color="000000"/>
              <w:bottom w:val="single" w:sz="4" w:space="0" w:color="000000"/>
              <w:right w:val="single" w:sz="4" w:space="0" w:color="000000"/>
            </w:tcBorders>
          </w:tcPr>
          <w:p w14:paraId="39C05257" w14:textId="77777777" w:rsidR="00FB24C0" w:rsidRPr="00C33F4C" w:rsidRDefault="00FB24C0" w:rsidP="00C33F4C">
            <w:pPr>
              <w:spacing w:after="0" w:line="240" w:lineRule="auto"/>
              <w:ind w:left="0" w:firstLine="0"/>
              <w:jc w:val="center"/>
              <w:rPr>
                <w:color w:val="auto"/>
                <w:lang w:val="es-ES"/>
              </w:rPr>
            </w:pPr>
          </w:p>
        </w:tc>
      </w:tr>
    </w:tbl>
    <w:p w14:paraId="4CADCC80" w14:textId="77777777" w:rsidR="00FB24C0" w:rsidRPr="00B84B8E" w:rsidRDefault="00FB24C0" w:rsidP="00FB24C0">
      <w:pPr>
        <w:spacing w:after="0" w:line="240" w:lineRule="auto"/>
        <w:ind w:left="567" w:hanging="567"/>
        <w:rPr>
          <w:color w:val="auto"/>
          <w:sz w:val="20"/>
          <w:lang w:val="es-ES"/>
        </w:rPr>
      </w:pPr>
      <w:r w:rsidRPr="00292EC4">
        <w:rPr>
          <w:color w:val="auto"/>
          <w:sz w:val="20"/>
          <w:lang w:val="es-ES"/>
        </w:rPr>
        <w:t>*</w:t>
      </w:r>
      <w:r w:rsidRPr="00443040">
        <w:rPr>
          <w:color w:val="auto"/>
          <w:sz w:val="20"/>
          <w:lang w:val="es-ES"/>
        </w:rPr>
        <w:tab/>
      </w:r>
      <w:r w:rsidRPr="00B84B8E">
        <w:rPr>
          <w:color w:val="auto"/>
          <w:sz w:val="20"/>
          <w:lang w:val="es-ES"/>
        </w:rPr>
        <w:t>Análisis de supervivencia global en la fecha de corte de datos clínicos: 31 de enero de 2007</w:t>
      </w:r>
      <w:r w:rsidR="00292EC4" w:rsidRPr="00B84B8E">
        <w:rPr>
          <w:color w:val="auto"/>
          <w:sz w:val="20"/>
          <w:lang w:val="es-ES"/>
        </w:rPr>
        <w:t>.</w:t>
      </w:r>
    </w:p>
    <w:p w14:paraId="428B2FE1" w14:textId="77777777" w:rsidR="00FB24C0" w:rsidRPr="00B84B8E" w:rsidRDefault="00FB24C0" w:rsidP="00FB24C0">
      <w:pPr>
        <w:spacing w:after="0" w:line="240" w:lineRule="auto"/>
        <w:ind w:left="567" w:hanging="567"/>
        <w:rPr>
          <w:color w:val="auto"/>
          <w:sz w:val="20"/>
          <w:lang w:val="es-ES"/>
        </w:rPr>
      </w:pPr>
      <w:r w:rsidRPr="00B84B8E">
        <w:rPr>
          <w:color w:val="auto"/>
          <w:sz w:val="20"/>
          <w:lang w:val="es-ES"/>
        </w:rPr>
        <w:t>**</w:t>
      </w:r>
      <w:r w:rsidRPr="00B84B8E">
        <w:rPr>
          <w:color w:val="auto"/>
          <w:sz w:val="20"/>
          <w:lang w:val="es-ES"/>
        </w:rPr>
        <w:tab/>
        <w:t>Análisis principal en la fecha de corte de datos clínicos: 31 de enero de 2006</w:t>
      </w:r>
      <w:r w:rsidR="00292EC4" w:rsidRPr="00B84B8E">
        <w:rPr>
          <w:color w:val="auto"/>
          <w:sz w:val="20"/>
          <w:lang w:val="es-ES"/>
        </w:rPr>
        <w:t>.</w:t>
      </w:r>
    </w:p>
    <w:p w14:paraId="70B89B5C" w14:textId="77777777" w:rsidR="00FB24C0" w:rsidRPr="00B84B8E" w:rsidRDefault="00FB24C0" w:rsidP="00FB24C0">
      <w:pPr>
        <w:spacing w:after="0" w:line="240" w:lineRule="auto"/>
        <w:ind w:left="567" w:hanging="567"/>
        <w:rPr>
          <w:color w:val="auto"/>
          <w:sz w:val="20"/>
          <w:lang w:val="es-ES"/>
        </w:rPr>
      </w:pPr>
      <w:r w:rsidRPr="00B84B8E">
        <w:rPr>
          <w:color w:val="auto"/>
          <w:sz w:val="20"/>
          <w:vertAlign w:val="superscript"/>
          <w:lang w:val="es-ES"/>
        </w:rPr>
        <w:t>a</w:t>
      </w:r>
      <w:r w:rsidRPr="00B84B8E">
        <w:rPr>
          <w:color w:val="auto"/>
          <w:sz w:val="20"/>
          <w:lang w:val="es-ES"/>
        </w:rPr>
        <w:tab/>
        <w:t>referente al brazo control</w:t>
      </w:r>
      <w:r w:rsidR="00292EC4" w:rsidRPr="00B84B8E">
        <w:rPr>
          <w:color w:val="auto"/>
          <w:sz w:val="20"/>
          <w:lang w:val="es-ES"/>
        </w:rPr>
        <w:t>.</w:t>
      </w:r>
    </w:p>
    <w:p w14:paraId="752D0357" w14:textId="77777777" w:rsidR="00FB24C0" w:rsidRPr="00B84B8E" w:rsidRDefault="00FB24C0" w:rsidP="00FB24C0">
      <w:pPr>
        <w:spacing w:after="0" w:line="240" w:lineRule="auto"/>
        <w:ind w:left="0" w:firstLine="0"/>
        <w:rPr>
          <w:color w:val="auto"/>
          <w:lang w:val="es-ES"/>
        </w:rPr>
      </w:pPr>
    </w:p>
    <w:p w14:paraId="5AE62899" w14:textId="34C350AE" w:rsidR="00FB24C0" w:rsidRPr="00B84B8E" w:rsidRDefault="00FB24C0" w:rsidP="00FB24C0">
      <w:pPr>
        <w:spacing w:after="0" w:line="240" w:lineRule="auto"/>
        <w:ind w:left="0" w:firstLine="0"/>
        <w:rPr>
          <w:color w:val="auto"/>
          <w:lang w:val="es-ES"/>
        </w:rPr>
      </w:pPr>
      <w:r w:rsidRPr="00B84B8E">
        <w:rPr>
          <w:color w:val="auto"/>
          <w:lang w:val="es-ES"/>
        </w:rPr>
        <w:t>En el subgrupo de tratamiento con FOLFOX, la mediana de la supervivencia libre de progresión fue de 8,6 meses en los pacientes tratados con placebo y de 9,4 meses en los tratados con bevacizumab, razón de riesgo (</w:t>
      </w:r>
      <w:proofErr w:type="spellStart"/>
      <w:r w:rsidRPr="00B84B8E">
        <w:rPr>
          <w:i/>
          <w:color w:val="auto"/>
          <w:lang w:val="es-ES"/>
        </w:rPr>
        <w:t>hazard</w:t>
      </w:r>
      <w:proofErr w:type="spellEnd"/>
      <w:r w:rsidRPr="00B84B8E">
        <w:rPr>
          <w:i/>
          <w:color w:val="auto"/>
          <w:lang w:val="es-ES"/>
        </w:rPr>
        <w:t xml:space="preserve"> ratio</w:t>
      </w:r>
      <w:r w:rsidRPr="00B84B8E">
        <w:rPr>
          <w:color w:val="auto"/>
          <w:lang w:val="es-ES"/>
        </w:rPr>
        <w:t xml:space="preserve"> HR)</w:t>
      </w:r>
      <w:r w:rsidR="009F084E" w:rsidRPr="00D1096C">
        <w:rPr>
          <w:lang w:val="es-ES"/>
        </w:rPr>
        <w:t> </w:t>
      </w:r>
      <w:r w:rsidRPr="00B84B8E">
        <w:rPr>
          <w:color w:val="auto"/>
          <w:lang w:val="es-ES"/>
        </w:rPr>
        <w:t>=</w:t>
      </w:r>
      <w:r w:rsidR="009F084E" w:rsidRPr="00D1096C">
        <w:rPr>
          <w:lang w:val="es-ES"/>
        </w:rPr>
        <w:t> </w:t>
      </w:r>
      <w:r w:rsidRPr="00B84B8E">
        <w:rPr>
          <w:color w:val="auto"/>
          <w:lang w:val="es-ES"/>
        </w:rPr>
        <w:t>0,89, IC del 97,5%</w:t>
      </w:r>
      <w:r w:rsidR="009F084E" w:rsidRPr="00D1096C">
        <w:rPr>
          <w:lang w:val="es-ES"/>
        </w:rPr>
        <w:t> </w:t>
      </w:r>
      <w:r w:rsidRPr="00B84B8E">
        <w:rPr>
          <w:color w:val="auto"/>
          <w:lang w:val="es-ES"/>
        </w:rPr>
        <w:t>=</w:t>
      </w:r>
      <w:r w:rsidR="009F084E" w:rsidRPr="00D1096C">
        <w:rPr>
          <w:lang w:val="es-ES"/>
        </w:rPr>
        <w:t> </w:t>
      </w:r>
      <w:r w:rsidRPr="00B84B8E">
        <w:rPr>
          <w:color w:val="auto"/>
          <w:lang w:val="es-ES"/>
        </w:rPr>
        <w:t>[0,73; 1,08]; valor de p</w:t>
      </w:r>
      <w:r w:rsidR="009F084E" w:rsidRPr="00D1096C">
        <w:rPr>
          <w:lang w:val="es-ES"/>
        </w:rPr>
        <w:t> </w:t>
      </w:r>
      <w:r w:rsidRPr="00B84B8E">
        <w:rPr>
          <w:color w:val="auto"/>
          <w:lang w:val="es-ES"/>
        </w:rPr>
        <w:t>=</w:t>
      </w:r>
      <w:r w:rsidR="009F084E" w:rsidRPr="00D1096C">
        <w:rPr>
          <w:lang w:val="es-ES"/>
        </w:rPr>
        <w:t> </w:t>
      </w:r>
      <w:r w:rsidRPr="00B84B8E">
        <w:rPr>
          <w:color w:val="auto"/>
          <w:lang w:val="es-ES"/>
        </w:rPr>
        <w:t>0,1871, siendo los resultados correspondientes en el subgrupo de tratamiento con XELOX de 7,4 fre</w:t>
      </w:r>
      <w:r w:rsidR="00292EC4" w:rsidRPr="00B84B8E">
        <w:rPr>
          <w:color w:val="auto"/>
          <w:lang w:val="es-ES"/>
        </w:rPr>
        <w:t>nte a 9,3 meses, HR </w:t>
      </w:r>
      <w:r w:rsidRPr="00B84B8E">
        <w:rPr>
          <w:color w:val="auto"/>
          <w:lang w:val="es-ES"/>
        </w:rPr>
        <w:t>=</w:t>
      </w:r>
      <w:r w:rsidR="00292EC4" w:rsidRPr="00B84B8E">
        <w:rPr>
          <w:color w:val="auto"/>
          <w:lang w:val="es-ES"/>
        </w:rPr>
        <w:t> </w:t>
      </w:r>
      <w:r w:rsidRPr="00B84B8E">
        <w:rPr>
          <w:color w:val="auto"/>
          <w:lang w:val="es-ES"/>
        </w:rPr>
        <w:t>0,77, IC del 97,5% = [0,63; 0,94]; valor de p = 0,0026.</w:t>
      </w:r>
    </w:p>
    <w:p w14:paraId="4AB0697F" w14:textId="77777777" w:rsidR="00FB24C0" w:rsidRPr="00B84B8E" w:rsidRDefault="00FB24C0" w:rsidP="00FB24C0">
      <w:pPr>
        <w:spacing w:after="0" w:line="240" w:lineRule="auto"/>
        <w:ind w:left="0" w:firstLine="0"/>
        <w:rPr>
          <w:color w:val="auto"/>
          <w:lang w:val="es-ES"/>
        </w:rPr>
      </w:pPr>
    </w:p>
    <w:p w14:paraId="6CCC06E6" w14:textId="77777777" w:rsidR="00FB24C0" w:rsidRPr="00B84B8E" w:rsidRDefault="00FB24C0" w:rsidP="00FB24C0">
      <w:pPr>
        <w:spacing w:after="0" w:line="240" w:lineRule="auto"/>
        <w:ind w:left="0" w:firstLine="0"/>
        <w:rPr>
          <w:color w:val="auto"/>
          <w:lang w:val="es-ES"/>
        </w:rPr>
      </w:pPr>
      <w:r w:rsidRPr="00B84B8E">
        <w:rPr>
          <w:color w:val="auto"/>
          <w:lang w:val="es-ES"/>
        </w:rPr>
        <w:t>En el subgrupo de tratamiento con FOLFOX, la mediana de la supervivencia global fue de 20,3 meses en los pacientes tratados con placebo y de 21,2 meses en los tratados con bevacizumab, HR = 0,94, IC del 97,5% = [0,75; 1,16]; valor de p</w:t>
      </w:r>
      <w:r w:rsidR="009F084E" w:rsidRPr="00D1096C">
        <w:rPr>
          <w:lang w:val="es-ES"/>
        </w:rPr>
        <w:t> </w:t>
      </w:r>
      <w:r w:rsidRPr="00B84B8E">
        <w:rPr>
          <w:color w:val="auto"/>
          <w:lang w:val="es-ES"/>
        </w:rPr>
        <w:t>=</w:t>
      </w:r>
      <w:r w:rsidR="009F084E" w:rsidRPr="00D1096C">
        <w:rPr>
          <w:lang w:val="es-ES"/>
        </w:rPr>
        <w:t> </w:t>
      </w:r>
      <w:r w:rsidRPr="00B84B8E">
        <w:rPr>
          <w:color w:val="auto"/>
          <w:lang w:val="es-ES"/>
        </w:rPr>
        <w:t>0,4937, siendo los resultados correspondientes en el subgrupo de tratamiento con XELOX de 19,2 frente a 21,4 meses, HR = 0,84, IC del 97,5% = [0,68; 1,04]; valor de p</w:t>
      </w:r>
      <w:r w:rsidR="009F084E" w:rsidRPr="00D1096C">
        <w:rPr>
          <w:lang w:val="es-ES"/>
        </w:rPr>
        <w:t> </w:t>
      </w:r>
      <w:r w:rsidRPr="00B84B8E">
        <w:rPr>
          <w:color w:val="auto"/>
          <w:lang w:val="es-ES"/>
        </w:rPr>
        <w:t>=</w:t>
      </w:r>
      <w:r w:rsidR="009F084E" w:rsidRPr="00D1096C">
        <w:rPr>
          <w:lang w:val="es-ES"/>
        </w:rPr>
        <w:t> </w:t>
      </w:r>
      <w:r w:rsidRPr="00B84B8E">
        <w:rPr>
          <w:color w:val="auto"/>
          <w:lang w:val="es-ES"/>
        </w:rPr>
        <w:t>0,0698.</w:t>
      </w:r>
    </w:p>
    <w:p w14:paraId="6A31969F" w14:textId="77777777" w:rsidR="00FB24C0" w:rsidRPr="00B84B8E" w:rsidRDefault="00FB24C0" w:rsidP="00FB24C0">
      <w:pPr>
        <w:spacing w:after="0" w:line="240" w:lineRule="auto"/>
        <w:ind w:left="0" w:firstLine="0"/>
        <w:rPr>
          <w:color w:val="auto"/>
          <w:lang w:val="es-ES"/>
        </w:rPr>
      </w:pPr>
    </w:p>
    <w:p w14:paraId="0B6C2F5A" w14:textId="77777777" w:rsidR="00FB24C0" w:rsidRPr="004E3836" w:rsidRDefault="00FB24C0" w:rsidP="00292EC4">
      <w:pPr>
        <w:keepNext/>
        <w:spacing w:after="0" w:line="240" w:lineRule="auto"/>
        <w:ind w:left="0" w:firstLine="0"/>
        <w:rPr>
          <w:i/>
          <w:color w:val="auto"/>
          <w:lang w:val="es-ES"/>
        </w:rPr>
      </w:pPr>
      <w:r w:rsidRPr="004E3836">
        <w:rPr>
          <w:i/>
          <w:color w:val="auto"/>
          <w:lang w:val="es-ES"/>
        </w:rPr>
        <w:t>ECOG E3200</w:t>
      </w:r>
    </w:p>
    <w:p w14:paraId="50613E26" w14:textId="121B9DED" w:rsidR="00FB24C0" w:rsidRPr="004E3836" w:rsidRDefault="00FB24C0" w:rsidP="00FB24C0">
      <w:pPr>
        <w:spacing w:after="0" w:line="240" w:lineRule="auto"/>
        <w:ind w:left="0" w:firstLine="0"/>
        <w:rPr>
          <w:color w:val="auto"/>
          <w:lang w:val="es-ES"/>
        </w:rPr>
      </w:pPr>
      <w:r w:rsidRPr="004E3836">
        <w:rPr>
          <w:color w:val="auto"/>
          <w:lang w:val="es-ES"/>
        </w:rPr>
        <w:t xml:space="preserve">En este ensayo clínico fase III, aleatorizado, abierto y controlado con comparador activo se investigó en pacientes con cáncer colorrectal avanzado tratados previamente (segunda línea) la administración de </w:t>
      </w:r>
      <w:r w:rsidR="007C38C3" w:rsidRPr="001919A9">
        <w:rPr>
          <w:lang w:val="es-ES"/>
        </w:rPr>
        <w:t>bevacizumab</w:t>
      </w:r>
      <w:r w:rsidR="007C38C3">
        <w:rPr>
          <w:lang w:val="es-ES"/>
        </w:rPr>
        <w:t xml:space="preserve"> </w:t>
      </w:r>
      <w:r w:rsidRPr="004E3836">
        <w:rPr>
          <w:color w:val="auto"/>
          <w:lang w:val="es-ES"/>
        </w:rPr>
        <w:t xml:space="preserve">a una dosis de 10 mg/kg en combinación con leucovorina con 5-fluorouracilo en bolo y después 5-fluorouracilo en perfusión con </w:t>
      </w:r>
      <w:proofErr w:type="spellStart"/>
      <w:r w:rsidRPr="004E3836">
        <w:rPr>
          <w:color w:val="auto"/>
          <w:lang w:val="es-ES"/>
        </w:rPr>
        <w:t>oxaliplatino</w:t>
      </w:r>
      <w:proofErr w:type="spellEnd"/>
      <w:r w:rsidRPr="004E3836">
        <w:rPr>
          <w:color w:val="auto"/>
          <w:lang w:val="es-ES"/>
        </w:rPr>
        <w:t xml:space="preserve"> IV (FOLFOX-4), administrado en un esquema de 2 semanas. En los brazos con quimioterapia se utilizó un régimen de FOLFOX-4 con el mismo esquema y dosis que se muestra en la </w:t>
      </w:r>
      <w:r w:rsidR="00471B84">
        <w:rPr>
          <w:color w:val="auto"/>
          <w:lang w:val="es-ES"/>
        </w:rPr>
        <w:t>t</w:t>
      </w:r>
      <w:r w:rsidRPr="004E3836">
        <w:rPr>
          <w:color w:val="auto"/>
          <w:lang w:val="es-ES"/>
        </w:rPr>
        <w:t>abla 6 para el ensayo NO16966.</w:t>
      </w:r>
    </w:p>
    <w:p w14:paraId="3D9A2952" w14:textId="77777777" w:rsidR="00FB24C0" w:rsidRPr="004E3836" w:rsidRDefault="00FB24C0" w:rsidP="00FB24C0">
      <w:pPr>
        <w:spacing w:after="0" w:line="240" w:lineRule="auto"/>
        <w:ind w:left="0" w:firstLine="0"/>
        <w:rPr>
          <w:color w:val="auto"/>
          <w:lang w:val="es-ES"/>
        </w:rPr>
      </w:pPr>
    </w:p>
    <w:p w14:paraId="5E300FBF" w14:textId="48865807" w:rsidR="00FB24C0" w:rsidRPr="004E3836" w:rsidRDefault="00FB24C0" w:rsidP="00FB24C0">
      <w:pPr>
        <w:spacing w:after="0" w:line="240" w:lineRule="auto"/>
        <w:ind w:left="0" w:firstLine="0"/>
        <w:rPr>
          <w:color w:val="auto"/>
          <w:lang w:val="es-ES"/>
        </w:rPr>
      </w:pPr>
      <w:r w:rsidRPr="004E3836">
        <w:rPr>
          <w:color w:val="auto"/>
          <w:lang w:val="es-ES"/>
        </w:rPr>
        <w:t>La variable principal de eficacia del ensayo fue la supervivencia global, que se definió como el tiempo que transcurre desde la aleatorización hasta la muerte por cualqu</w:t>
      </w:r>
      <w:r w:rsidR="004E3836">
        <w:rPr>
          <w:color w:val="auto"/>
          <w:lang w:val="es-ES"/>
        </w:rPr>
        <w:t>ier causa. Se aleatorizaron 829 </w:t>
      </w:r>
      <w:r w:rsidRPr="004E3836">
        <w:rPr>
          <w:color w:val="auto"/>
          <w:lang w:val="es-ES"/>
        </w:rPr>
        <w:t xml:space="preserve">pacientes (de los cuales 292 recibieron FOLFOX-4, 293 </w:t>
      </w:r>
      <w:r w:rsidR="007C38C3" w:rsidRPr="001919A9">
        <w:rPr>
          <w:lang w:val="es-ES"/>
        </w:rPr>
        <w:t>bevacizumab</w:t>
      </w:r>
      <w:r w:rsidRPr="004E3836">
        <w:rPr>
          <w:color w:val="auto"/>
          <w:lang w:val="es-ES"/>
        </w:rPr>
        <w:t xml:space="preserve"> + FOLFOX-4 y 244 </w:t>
      </w:r>
      <w:r w:rsidR="007C38C3" w:rsidRPr="001919A9">
        <w:rPr>
          <w:lang w:val="es-ES"/>
        </w:rPr>
        <w:t>bevacizumab</w:t>
      </w:r>
      <w:r w:rsidRPr="004E3836">
        <w:rPr>
          <w:color w:val="auto"/>
          <w:lang w:val="es-ES"/>
        </w:rPr>
        <w:t xml:space="preserve"> en monoterapia). La adición de </w:t>
      </w:r>
      <w:r w:rsidR="007C38C3" w:rsidRPr="001919A9">
        <w:rPr>
          <w:lang w:val="es-ES"/>
        </w:rPr>
        <w:t>bevacizumab</w:t>
      </w:r>
      <w:r w:rsidRPr="004E3836">
        <w:rPr>
          <w:color w:val="auto"/>
          <w:lang w:val="es-ES"/>
        </w:rPr>
        <w:t xml:space="preserve"> a FOLFOX-4 dio como resultado una prolongación de la supervivencia estadísticamente significativa. También se observaron mejoras estadísticamente significativas en la supervivencia libre de progresión y en la tasa de respuesta objetiva (ver </w:t>
      </w:r>
      <w:r w:rsidR="00471B84">
        <w:rPr>
          <w:color w:val="auto"/>
          <w:lang w:val="es-ES"/>
        </w:rPr>
        <w:t>t</w:t>
      </w:r>
      <w:r w:rsidRPr="004E3836">
        <w:rPr>
          <w:color w:val="auto"/>
          <w:lang w:val="es-ES"/>
        </w:rPr>
        <w:t>abla</w:t>
      </w:r>
      <w:r w:rsidR="009F084E" w:rsidRPr="00D1096C">
        <w:rPr>
          <w:lang w:val="es-ES"/>
        </w:rPr>
        <w:t> </w:t>
      </w:r>
      <w:r w:rsidRPr="004E3836">
        <w:rPr>
          <w:color w:val="auto"/>
          <w:lang w:val="es-ES"/>
        </w:rPr>
        <w:t>8).</w:t>
      </w:r>
    </w:p>
    <w:p w14:paraId="74D8EDDF" w14:textId="77777777" w:rsidR="00FB24C0" w:rsidRPr="004E3836" w:rsidRDefault="00FB24C0" w:rsidP="00FB24C0">
      <w:pPr>
        <w:spacing w:after="0" w:line="240" w:lineRule="auto"/>
        <w:ind w:left="0" w:firstLine="0"/>
        <w:rPr>
          <w:color w:val="auto"/>
          <w:lang w:val="es-ES"/>
        </w:rPr>
      </w:pPr>
    </w:p>
    <w:p w14:paraId="412A7BE6" w14:textId="77777777" w:rsidR="00FB24C0" w:rsidRPr="00292EC4" w:rsidRDefault="00FB24C0" w:rsidP="00624B43">
      <w:pPr>
        <w:keepNext/>
        <w:keepLines/>
        <w:spacing w:after="0" w:line="240" w:lineRule="auto"/>
        <w:ind w:left="0" w:firstLine="0"/>
        <w:rPr>
          <w:b/>
          <w:color w:val="auto"/>
          <w:lang w:val="es-ES"/>
        </w:rPr>
      </w:pPr>
      <w:r w:rsidRPr="00292EC4">
        <w:rPr>
          <w:b/>
          <w:color w:val="auto"/>
          <w:lang w:val="es-ES"/>
        </w:rPr>
        <w:lastRenderedPageBreak/>
        <w:t>Tabla 8</w:t>
      </w:r>
      <w:r w:rsidR="00292EC4" w:rsidRPr="00292EC4">
        <w:rPr>
          <w:b/>
          <w:color w:val="auto"/>
          <w:lang w:val="es-ES"/>
        </w:rPr>
        <w:t>.</w:t>
      </w:r>
      <w:r w:rsidRPr="00292EC4">
        <w:rPr>
          <w:b/>
          <w:color w:val="auto"/>
          <w:lang w:val="es-ES"/>
        </w:rPr>
        <w:t xml:space="preserve"> Resultados de eficacia del ensayo E3200</w:t>
      </w:r>
    </w:p>
    <w:p w14:paraId="15DFF203" w14:textId="77777777" w:rsidR="00FB24C0" w:rsidRPr="00443040" w:rsidRDefault="00FB24C0" w:rsidP="00624B43">
      <w:pPr>
        <w:keepNext/>
        <w:keepLines/>
        <w:spacing w:after="0" w:line="240" w:lineRule="auto"/>
        <w:ind w:left="0" w:firstLine="0"/>
        <w:rPr>
          <w:color w:val="auto"/>
          <w:lang w:val="es-ES"/>
        </w:rPr>
      </w:pP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3" w:type="dxa"/>
          <w:left w:w="107" w:type="dxa"/>
          <w:bottom w:w="55" w:type="dxa"/>
          <w:right w:w="115" w:type="dxa"/>
        </w:tblCellMar>
        <w:tblLook w:val="04A0" w:firstRow="1" w:lastRow="0" w:firstColumn="1" w:lastColumn="0" w:noHBand="0" w:noVBand="1"/>
      </w:tblPr>
      <w:tblGrid>
        <w:gridCol w:w="3969"/>
        <w:gridCol w:w="2268"/>
        <w:gridCol w:w="2693"/>
      </w:tblGrid>
      <w:tr w:rsidR="00FB24C0" w:rsidRPr="00292EC4" w14:paraId="59DEFEA4" w14:textId="77777777" w:rsidTr="00C33F4C">
        <w:trPr>
          <w:trHeight w:val="212"/>
          <w:tblHeader/>
        </w:trPr>
        <w:tc>
          <w:tcPr>
            <w:tcW w:w="3969" w:type="dxa"/>
            <w:vMerge w:val="restart"/>
            <w:vAlign w:val="bottom"/>
          </w:tcPr>
          <w:p w14:paraId="4B540D32" w14:textId="77777777" w:rsidR="00FB24C0" w:rsidRPr="00C33F4C" w:rsidRDefault="00FB24C0" w:rsidP="00624B43">
            <w:pPr>
              <w:keepNext/>
              <w:keepLines/>
              <w:spacing w:after="0" w:line="240" w:lineRule="auto"/>
              <w:ind w:left="0" w:firstLine="0"/>
              <w:rPr>
                <w:color w:val="auto"/>
                <w:lang w:val="es-ES"/>
              </w:rPr>
            </w:pPr>
          </w:p>
        </w:tc>
        <w:tc>
          <w:tcPr>
            <w:tcW w:w="4961" w:type="dxa"/>
            <w:gridSpan w:val="2"/>
          </w:tcPr>
          <w:p w14:paraId="728B022A" w14:textId="77777777" w:rsidR="00FB24C0" w:rsidRPr="00C33F4C" w:rsidRDefault="00FB24C0" w:rsidP="00624B43">
            <w:pPr>
              <w:keepNext/>
              <w:keepLines/>
              <w:spacing w:after="0" w:line="240" w:lineRule="auto"/>
              <w:ind w:left="0" w:firstLine="0"/>
              <w:jc w:val="center"/>
              <w:rPr>
                <w:b/>
                <w:color w:val="auto"/>
                <w:lang w:val="es-ES"/>
              </w:rPr>
            </w:pPr>
            <w:r w:rsidRPr="00C33F4C">
              <w:rPr>
                <w:b/>
                <w:color w:val="auto"/>
                <w:lang w:val="es-ES"/>
              </w:rPr>
              <w:t xml:space="preserve">E3200 </w:t>
            </w:r>
          </w:p>
        </w:tc>
      </w:tr>
      <w:tr w:rsidR="00FB24C0" w:rsidRPr="00292EC4" w14:paraId="592DAF74" w14:textId="77777777" w:rsidTr="00C33F4C">
        <w:trPr>
          <w:trHeight w:val="283"/>
          <w:tblHeader/>
        </w:trPr>
        <w:tc>
          <w:tcPr>
            <w:tcW w:w="3969" w:type="dxa"/>
            <w:vMerge/>
          </w:tcPr>
          <w:p w14:paraId="5ADBBD4E" w14:textId="77777777" w:rsidR="00FB24C0" w:rsidRPr="00C33F4C" w:rsidRDefault="00FB24C0" w:rsidP="00624B43">
            <w:pPr>
              <w:keepNext/>
              <w:keepLines/>
              <w:spacing w:after="0" w:line="240" w:lineRule="auto"/>
              <w:ind w:left="0" w:firstLine="0"/>
              <w:rPr>
                <w:b/>
                <w:color w:val="auto"/>
                <w:lang w:val="es-ES"/>
              </w:rPr>
            </w:pPr>
          </w:p>
        </w:tc>
        <w:tc>
          <w:tcPr>
            <w:tcW w:w="2268" w:type="dxa"/>
          </w:tcPr>
          <w:p w14:paraId="3AFA5079" w14:textId="77777777" w:rsidR="00FB24C0" w:rsidRPr="00C33F4C" w:rsidRDefault="00FB24C0" w:rsidP="00624B43">
            <w:pPr>
              <w:keepNext/>
              <w:keepLines/>
              <w:spacing w:after="0" w:line="240" w:lineRule="auto"/>
              <w:ind w:left="0" w:firstLine="0"/>
              <w:jc w:val="center"/>
              <w:rPr>
                <w:b/>
                <w:color w:val="auto"/>
                <w:lang w:val="es-ES"/>
              </w:rPr>
            </w:pPr>
            <w:r w:rsidRPr="00C33F4C">
              <w:rPr>
                <w:b/>
                <w:color w:val="auto"/>
                <w:lang w:val="es-ES"/>
              </w:rPr>
              <w:t>FOLFOX-4</w:t>
            </w:r>
          </w:p>
        </w:tc>
        <w:tc>
          <w:tcPr>
            <w:tcW w:w="2693" w:type="dxa"/>
          </w:tcPr>
          <w:p w14:paraId="2FEE0474" w14:textId="77777777" w:rsidR="00FB24C0" w:rsidRPr="00C33F4C" w:rsidRDefault="00FB24C0" w:rsidP="00624B43">
            <w:pPr>
              <w:keepNext/>
              <w:keepLines/>
              <w:spacing w:after="0" w:line="240" w:lineRule="auto"/>
              <w:ind w:left="0" w:firstLine="0"/>
              <w:jc w:val="center"/>
              <w:rPr>
                <w:b/>
                <w:color w:val="auto"/>
                <w:lang w:val="es-ES"/>
              </w:rPr>
            </w:pPr>
            <w:r w:rsidRPr="00C33F4C">
              <w:rPr>
                <w:b/>
                <w:color w:val="auto"/>
                <w:lang w:val="es-ES"/>
              </w:rPr>
              <w:t xml:space="preserve">FOLFOX-4 </w:t>
            </w:r>
            <w:r w:rsidRPr="00C33F4C">
              <w:rPr>
                <w:rFonts w:eastAsia="Segoe UI Symbol"/>
                <w:b/>
                <w:color w:val="auto"/>
                <w:lang w:val="es-ES"/>
              </w:rPr>
              <w:t>+</w:t>
            </w:r>
            <w:r w:rsidRPr="00C33F4C">
              <w:rPr>
                <w:b/>
                <w:color w:val="auto"/>
                <w:lang w:val="es-ES"/>
              </w:rPr>
              <w:t xml:space="preserve"> </w:t>
            </w:r>
            <w:proofErr w:type="spellStart"/>
            <w:r w:rsidR="007C38C3" w:rsidRPr="00C33F4C">
              <w:rPr>
                <w:b/>
                <w:lang w:val="es-ES"/>
              </w:rPr>
              <w:t>bevacizumab</w:t>
            </w:r>
            <w:r w:rsidRPr="00C33F4C">
              <w:rPr>
                <w:b/>
                <w:color w:val="auto"/>
                <w:vertAlign w:val="superscript"/>
                <w:lang w:val="es-ES"/>
              </w:rPr>
              <w:t>a</w:t>
            </w:r>
            <w:proofErr w:type="spellEnd"/>
          </w:p>
        </w:tc>
      </w:tr>
      <w:tr w:rsidR="00FB24C0" w:rsidRPr="00292EC4" w14:paraId="26E91409" w14:textId="77777777" w:rsidTr="00C33F4C">
        <w:trPr>
          <w:trHeight w:val="142"/>
        </w:trPr>
        <w:tc>
          <w:tcPr>
            <w:tcW w:w="3969" w:type="dxa"/>
            <w:vAlign w:val="bottom"/>
          </w:tcPr>
          <w:p w14:paraId="48B0E2C3" w14:textId="77777777" w:rsidR="00FB24C0" w:rsidRPr="00C33F4C" w:rsidRDefault="00FB24C0" w:rsidP="00624B43">
            <w:pPr>
              <w:keepNext/>
              <w:keepLines/>
              <w:spacing w:after="0" w:line="240" w:lineRule="auto"/>
              <w:ind w:left="0" w:firstLine="0"/>
              <w:rPr>
                <w:color w:val="auto"/>
                <w:lang w:val="es-ES"/>
              </w:rPr>
            </w:pPr>
            <w:r w:rsidRPr="00C33F4C">
              <w:rPr>
                <w:color w:val="auto"/>
                <w:lang w:val="es-ES"/>
              </w:rPr>
              <w:t xml:space="preserve">Número de pacientes </w:t>
            </w:r>
          </w:p>
        </w:tc>
        <w:tc>
          <w:tcPr>
            <w:tcW w:w="2268" w:type="dxa"/>
          </w:tcPr>
          <w:p w14:paraId="44F822B7" w14:textId="77777777" w:rsidR="00FB24C0" w:rsidRPr="00C33F4C" w:rsidRDefault="00FB24C0" w:rsidP="00624B43">
            <w:pPr>
              <w:keepNext/>
              <w:keepLines/>
              <w:spacing w:after="0" w:line="240" w:lineRule="auto"/>
              <w:ind w:left="0" w:firstLine="0"/>
              <w:jc w:val="center"/>
              <w:rPr>
                <w:color w:val="auto"/>
                <w:lang w:val="es-ES"/>
              </w:rPr>
            </w:pPr>
            <w:r w:rsidRPr="00C33F4C">
              <w:rPr>
                <w:color w:val="auto"/>
                <w:lang w:val="es-ES"/>
              </w:rPr>
              <w:t>292</w:t>
            </w:r>
          </w:p>
        </w:tc>
        <w:tc>
          <w:tcPr>
            <w:tcW w:w="2693" w:type="dxa"/>
          </w:tcPr>
          <w:p w14:paraId="7E589214" w14:textId="77777777" w:rsidR="00FB24C0" w:rsidRPr="00C33F4C" w:rsidRDefault="00FB24C0" w:rsidP="00624B43">
            <w:pPr>
              <w:keepNext/>
              <w:keepLines/>
              <w:spacing w:after="0" w:line="240" w:lineRule="auto"/>
              <w:ind w:left="0" w:firstLine="0"/>
              <w:jc w:val="center"/>
              <w:rPr>
                <w:color w:val="auto"/>
                <w:lang w:val="es-ES"/>
              </w:rPr>
            </w:pPr>
            <w:r w:rsidRPr="00C33F4C">
              <w:rPr>
                <w:color w:val="auto"/>
                <w:lang w:val="es-ES"/>
              </w:rPr>
              <w:t>293</w:t>
            </w:r>
          </w:p>
        </w:tc>
      </w:tr>
      <w:tr w:rsidR="00024718" w:rsidRPr="00292EC4" w14:paraId="141AE6AE" w14:textId="77777777" w:rsidTr="00C33F4C">
        <w:trPr>
          <w:trHeight w:val="149"/>
        </w:trPr>
        <w:tc>
          <w:tcPr>
            <w:tcW w:w="8930" w:type="dxa"/>
            <w:gridSpan w:val="3"/>
            <w:vAlign w:val="bottom"/>
          </w:tcPr>
          <w:p w14:paraId="56B26008" w14:textId="77777777" w:rsidR="00024718" w:rsidRPr="00C33F4C" w:rsidRDefault="00024718" w:rsidP="00624B43">
            <w:pPr>
              <w:keepNext/>
              <w:keepLines/>
              <w:spacing w:after="0" w:line="240" w:lineRule="auto"/>
              <w:ind w:left="0" w:firstLine="0"/>
              <w:rPr>
                <w:color w:val="auto"/>
                <w:lang w:val="es-ES"/>
              </w:rPr>
            </w:pPr>
            <w:r w:rsidRPr="00C33F4C">
              <w:rPr>
                <w:color w:val="auto"/>
                <w:lang w:val="es-ES"/>
              </w:rPr>
              <w:t xml:space="preserve">Supervivencia global </w:t>
            </w:r>
          </w:p>
        </w:tc>
      </w:tr>
      <w:tr w:rsidR="00FB24C0" w:rsidRPr="00E0428C" w14:paraId="260C4AD2" w14:textId="77777777" w:rsidTr="00C33F4C">
        <w:trPr>
          <w:trHeight w:val="155"/>
        </w:trPr>
        <w:tc>
          <w:tcPr>
            <w:tcW w:w="3969" w:type="dxa"/>
            <w:vAlign w:val="bottom"/>
          </w:tcPr>
          <w:p w14:paraId="67105788" w14:textId="77777777" w:rsidR="00FB24C0" w:rsidRPr="00C33F4C" w:rsidRDefault="004E3836" w:rsidP="00C33F4C">
            <w:pPr>
              <w:spacing w:after="0" w:line="240" w:lineRule="auto"/>
              <w:ind w:left="567" w:firstLine="0"/>
              <w:rPr>
                <w:color w:val="auto"/>
                <w:lang w:val="es-ES"/>
              </w:rPr>
            </w:pPr>
            <w:r w:rsidRPr="00C33F4C">
              <w:rPr>
                <w:color w:val="auto"/>
                <w:lang w:val="es-ES"/>
              </w:rPr>
              <w:t>Mediana del tiempo (meses)</w:t>
            </w:r>
          </w:p>
        </w:tc>
        <w:tc>
          <w:tcPr>
            <w:tcW w:w="2268" w:type="dxa"/>
            <w:vAlign w:val="bottom"/>
          </w:tcPr>
          <w:p w14:paraId="78FAF0B1"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10,8</w:t>
            </w:r>
          </w:p>
        </w:tc>
        <w:tc>
          <w:tcPr>
            <w:tcW w:w="2693" w:type="dxa"/>
            <w:vAlign w:val="bottom"/>
          </w:tcPr>
          <w:p w14:paraId="4DF0B2E8"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13,0</w:t>
            </w:r>
          </w:p>
        </w:tc>
      </w:tr>
      <w:tr w:rsidR="00FB24C0" w:rsidRPr="00E0428C" w14:paraId="0B5DF24B" w14:textId="77777777" w:rsidTr="00C33F4C">
        <w:trPr>
          <w:trHeight w:val="175"/>
        </w:trPr>
        <w:tc>
          <w:tcPr>
            <w:tcW w:w="3969" w:type="dxa"/>
            <w:vAlign w:val="bottom"/>
          </w:tcPr>
          <w:p w14:paraId="409F1A47" w14:textId="77777777" w:rsidR="00FB24C0" w:rsidRPr="00C33F4C" w:rsidRDefault="004E3836" w:rsidP="00C33F4C">
            <w:pPr>
              <w:spacing w:after="0" w:line="240" w:lineRule="auto"/>
              <w:ind w:left="567" w:firstLine="0"/>
              <w:rPr>
                <w:color w:val="auto"/>
                <w:lang w:val="es-ES"/>
              </w:rPr>
            </w:pPr>
            <w:r w:rsidRPr="00C33F4C">
              <w:rPr>
                <w:color w:val="auto"/>
                <w:lang w:val="es-ES"/>
              </w:rPr>
              <w:t>IC 95%</w:t>
            </w:r>
          </w:p>
        </w:tc>
        <w:tc>
          <w:tcPr>
            <w:tcW w:w="2268" w:type="dxa"/>
            <w:vAlign w:val="bottom"/>
          </w:tcPr>
          <w:p w14:paraId="32BFF447"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10,12 – 11,86</w:t>
            </w:r>
          </w:p>
        </w:tc>
        <w:tc>
          <w:tcPr>
            <w:tcW w:w="2693" w:type="dxa"/>
            <w:vAlign w:val="bottom"/>
          </w:tcPr>
          <w:p w14:paraId="090B2382"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12,09 – 14,03</w:t>
            </w:r>
          </w:p>
        </w:tc>
      </w:tr>
      <w:tr w:rsidR="00FB24C0" w:rsidRPr="00E0428C" w14:paraId="797598A4" w14:textId="77777777" w:rsidTr="00C33F4C">
        <w:trPr>
          <w:trHeight w:val="478"/>
        </w:trPr>
        <w:tc>
          <w:tcPr>
            <w:tcW w:w="3969" w:type="dxa"/>
          </w:tcPr>
          <w:p w14:paraId="2E24E656" w14:textId="77777777" w:rsidR="00FB24C0" w:rsidRPr="00C33F4C" w:rsidRDefault="00FB24C0" w:rsidP="00C33F4C">
            <w:pPr>
              <w:spacing w:after="0" w:line="240" w:lineRule="auto"/>
              <w:ind w:left="567" w:firstLine="0"/>
              <w:rPr>
                <w:color w:val="auto"/>
                <w:lang w:val="es-ES"/>
              </w:rPr>
            </w:pPr>
            <w:r w:rsidRPr="00C33F4C">
              <w:rPr>
                <w:color w:val="auto"/>
                <w:lang w:val="es-ES"/>
              </w:rPr>
              <w:t xml:space="preserve">Razón de riesgo (Hazard </w:t>
            </w:r>
            <w:proofErr w:type="gramStart"/>
            <w:r w:rsidRPr="00C33F4C">
              <w:rPr>
                <w:color w:val="auto"/>
                <w:lang w:val="es-ES"/>
              </w:rPr>
              <w:t>Ratio)</w:t>
            </w:r>
            <w:r w:rsidRPr="00C33F4C">
              <w:rPr>
                <w:color w:val="auto"/>
                <w:vertAlign w:val="superscript"/>
                <w:lang w:val="es-ES"/>
              </w:rPr>
              <w:t>b</w:t>
            </w:r>
            <w:proofErr w:type="gramEnd"/>
          </w:p>
        </w:tc>
        <w:tc>
          <w:tcPr>
            <w:tcW w:w="4961" w:type="dxa"/>
            <w:gridSpan w:val="2"/>
          </w:tcPr>
          <w:p w14:paraId="58A548D5"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0,751</w:t>
            </w:r>
          </w:p>
          <w:p w14:paraId="57E7FA2E"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(valor de p</w:t>
            </w:r>
            <w:r w:rsidR="009F084E" w:rsidRPr="00E30038">
              <w:t> </w:t>
            </w:r>
            <w:r w:rsidRPr="00C33F4C">
              <w:rPr>
                <w:color w:val="auto"/>
                <w:lang w:val="es-ES"/>
              </w:rPr>
              <w:t>=</w:t>
            </w:r>
            <w:r w:rsidR="009F084E" w:rsidRPr="00E30038">
              <w:t> </w:t>
            </w:r>
            <w:r w:rsidRPr="00C33F4C">
              <w:rPr>
                <w:color w:val="auto"/>
                <w:lang w:val="es-ES"/>
              </w:rPr>
              <w:t>0,0012)</w:t>
            </w:r>
          </w:p>
        </w:tc>
      </w:tr>
      <w:tr w:rsidR="00024718" w:rsidRPr="00E0428C" w14:paraId="1EC2D0ED" w14:textId="77777777" w:rsidTr="00C33F4C">
        <w:trPr>
          <w:trHeight w:val="232"/>
        </w:trPr>
        <w:tc>
          <w:tcPr>
            <w:tcW w:w="8930" w:type="dxa"/>
            <w:gridSpan w:val="3"/>
            <w:vAlign w:val="bottom"/>
          </w:tcPr>
          <w:p w14:paraId="2F6DB4EE" w14:textId="77777777" w:rsidR="00024718" w:rsidRPr="00C33F4C" w:rsidRDefault="00024718" w:rsidP="00C33F4C">
            <w:pPr>
              <w:spacing w:after="0" w:line="240" w:lineRule="auto"/>
              <w:ind w:left="0" w:firstLine="0"/>
              <w:rPr>
                <w:color w:val="auto"/>
                <w:lang w:val="es-ES"/>
              </w:rPr>
            </w:pPr>
            <w:r w:rsidRPr="00C33F4C">
              <w:rPr>
                <w:color w:val="auto"/>
                <w:lang w:val="es-ES"/>
              </w:rPr>
              <w:t>Supervivenci</w:t>
            </w:r>
            <w:r w:rsidR="004E3836" w:rsidRPr="00C33F4C">
              <w:rPr>
                <w:color w:val="auto"/>
                <w:lang w:val="es-ES"/>
              </w:rPr>
              <w:t>a libre de progresión</w:t>
            </w:r>
          </w:p>
        </w:tc>
      </w:tr>
      <w:tr w:rsidR="00FB24C0" w:rsidRPr="00E0428C" w14:paraId="7D04756E" w14:textId="77777777" w:rsidTr="00C33F4C">
        <w:trPr>
          <w:trHeight w:val="252"/>
        </w:trPr>
        <w:tc>
          <w:tcPr>
            <w:tcW w:w="3969" w:type="dxa"/>
            <w:vAlign w:val="bottom"/>
          </w:tcPr>
          <w:p w14:paraId="32D5CBFF" w14:textId="77777777" w:rsidR="00FB24C0" w:rsidRPr="00C33F4C" w:rsidRDefault="004E3836" w:rsidP="00C33F4C">
            <w:pPr>
              <w:spacing w:after="0" w:line="240" w:lineRule="auto"/>
              <w:ind w:left="567" w:firstLine="0"/>
              <w:rPr>
                <w:color w:val="auto"/>
                <w:lang w:val="es-ES"/>
              </w:rPr>
            </w:pPr>
            <w:r w:rsidRPr="00C33F4C">
              <w:rPr>
                <w:color w:val="auto"/>
                <w:lang w:val="es-ES"/>
              </w:rPr>
              <w:t>Mediana del tiempo (meses)</w:t>
            </w:r>
          </w:p>
        </w:tc>
        <w:tc>
          <w:tcPr>
            <w:tcW w:w="2268" w:type="dxa"/>
          </w:tcPr>
          <w:p w14:paraId="4EFFBC72"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4,5</w:t>
            </w:r>
          </w:p>
        </w:tc>
        <w:tc>
          <w:tcPr>
            <w:tcW w:w="2693" w:type="dxa"/>
          </w:tcPr>
          <w:p w14:paraId="43ED2DD7"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7,5</w:t>
            </w:r>
          </w:p>
        </w:tc>
      </w:tr>
      <w:tr w:rsidR="00FB24C0" w:rsidRPr="00E0428C" w14:paraId="7BB997B5" w14:textId="77777777" w:rsidTr="00C33F4C">
        <w:trPr>
          <w:trHeight w:val="272"/>
        </w:trPr>
        <w:tc>
          <w:tcPr>
            <w:tcW w:w="3969" w:type="dxa"/>
          </w:tcPr>
          <w:p w14:paraId="2F1A057B" w14:textId="77777777" w:rsidR="00FB24C0" w:rsidRPr="00C33F4C" w:rsidRDefault="004E3836" w:rsidP="00C33F4C">
            <w:pPr>
              <w:spacing w:after="0" w:line="240" w:lineRule="auto"/>
              <w:ind w:left="567" w:firstLine="0"/>
              <w:rPr>
                <w:color w:val="auto"/>
                <w:lang w:val="es-ES"/>
              </w:rPr>
            </w:pPr>
            <w:r w:rsidRPr="00C33F4C">
              <w:rPr>
                <w:color w:val="auto"/>
                <w:lang w:val="es-ES"/>
              </w:rPr>
              <w:t>Razón de riesgo (Hazard Ratio)</w:t>
            </w:r>
          </w:p>
        </w:tc>
        <w:tc>
          <w:tcPr>
            <w:tcW w:w="4961" w:type="dxa"/>
            <w:gridSpan w:val="2"/>
          </w:tcPr>
          <w:p w14:paraId="145117BA"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0,518</w:t>
            </w:r>
          </w:p>
          <w:p w14:paraId="0607FE76"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(valor de p</w:t>
            </w:r>
            <w:r w:rsidR="009F084E" w:rsidRPr="00E30038">
              <w:t> </w:t>
            </w:r>
            <w:r w:rsidRPr="00C33F4C">
              <w:rPr>
                <w:rFonts w:eastAsia="Segoe UI Symbol"/>
                <w:color w:val="auto"/>
                <w:lang w:val="es-ES"/>
              </w:rPr>
              <w:t>&lt;</w:t>
            </w:r>
            <w:r w:rsidRPr="00C33F4C">
              <w:rPr>
                <w:color w:val="auto"/>
                <w:lang w:val="es-ES"/>
              </w:rPr>
              <w:t>0,0001)</w:t>
            </w:r>
          </w:p>
        </w:tc>
      </w:tr>
      <w:tr w:rsidR="00024718" w:rsidRPr="00E0428C" w14:paraId="3C7ADE3E" w14:textId="77777777" w:rsidTr="00C33F4C">
        <w:trPr>
          <w:trHeight w:val="169"/>
        </w:trPr>
        <w:tc>
          <w:tcPr>
            <w:tcW w:w="8930" w:type="dxa"/>
            <w:gridSpan w:val="3"/>
            <w:vAlign w:val="bottom"/>
          </w:tcPr>
          <w:p w14:paraId="19FDE65B" w14:textId="77777777" w:rsidR="00024718" w:rsidRPr="00C33F4C" w:rsidRDefault="004E3836" w:rsidP="00C33F4C">
            <w:pPr>
              <w:spacing w:after="0" w:line="240" w:lineRule="auto"/>
              <w:ind w:left="0" w:firstLine="0"/>
              <w:rPr>
                <w:color w:val="auto"/>
                <w:lang w:val="es-ES"/>
              </w:rPr>
            </w:pPr>
            <w:r w:rsidRPr="00C33F4C">
              <w:rPr>
                <w:color w:val="auto"/>
                <w:lang w:val="es-ES"/>
              </w:rPr>
              <w:t>Tasa de respuesta objetiva</w:t>
            </w:r>
          </w:p>
        </w:tc>
      </w:tr>
      <w:tr w:rsidR="00FB24C0" w:rsidRPr="00E0428C" w14:paraId="7375568C" w14:textId="77777777" w:rsidTr="00C33F4C">
        <w:trPr>
          <w:trHeight w:val="175"/>
        </w:trPr>
        <w:tc>
          <w:tcPr>
            <w:tcW w:w="3969" w:type="dxa"/>
            <w:vAlign w:val="bottom"/>
          </w:tcPr>
          <w:p w14:paraId="50ACB84E" w14:textId="77777777" w:rsidR="00FB24C0" w:rsidRPr="00C33F4C" w:rsidRDefault="004E3836" w:rsidP="00C33F4C">
            <w:pPr>
              <w:spacing w:after="0" w:line="240" w:lineRule="auto"/>
              <w:ind w:left="567" w:firstLine="0"/>
              <w:rPr>
                <w:color w:val="auto"/>
                <w:lang w:val="es-ES"/>
              </w:rPr>
            </w:pPr>
            <w:r w:rsidRPr="00C33F4C">
              <w:rPr>
                <w:color w:val="auto"/>
                <w:lang w:val="es-ES"/>
              </w:rPr>
              <w:t>Tasa</w:t>
            </w:r>
          </w:p>
        </w:tc>
        <w:tc>
          <w:tcPr>
            <w:tcW w:w="2268" w:type="dxa"/>
            <w:vAlign w:val="bottom"/>
          </w:tcPr>
          <w:p w14:paraId="0D2762A1"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8,6%</w:t>
            </w:r>
          </w:p>
        </w:tc>
        <w:tc>
          <w:tcPr>
            <w:tcW w:w="2693" w:type="dxa"/>
            <w:vAlign w:val="bottom"/>
          </w:tcPr>
          <w:p w14:paraId="3AFF693F"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22,2%</w:t>
            </w:r>
          </w:p>
        </w:tc>
      </w:tr>
      <w:tr w:rsidR="00FB24C0" w:rsidRPr="00E0428C" w14:paraId="50EC35EB" w14:textId="77777777" w:rsidTr="00C33F4C">
        <w:trPr>
          <w:trHeight w:val="194"/>
        </w:trPr>
        <w:tc>
          <w:tcPr>
            <w:tcW w:w="3969" w:type="dxa"/>
            <w:vAlign w:val="bottom"/>
          </w:tcPr>
          <w:p w14:paraId="77862FB1" w14:textId="77777777" w:rsidR="00FB24C0" w:rsidRPr="00C33F4C" w:rsidRDefault="00FB24C0" w:rsidP="00C33F4C">
            <w:pPr>
              <w:spacing w:after="0" w:line="240" w:lineRule="auto"/>
              <w:ind w:left="0" w:firstLine="0"/>
              <w:rPr>
                <w:color w:val="auto"/>
                <w:lang w:val="es-ES"/>
              </w:rPr>
            </w:pPr>
          </w:p>
        </w:tc>
        <w:tc>
          <w:tcPr>
            <w:tcW w:w="4961" w:type="dxa"/>
            <w:gridSpan w:val="2"/>
            <w:vAlign w:val="bottom"/>
          </w:tcPr>
          <w:p w14:paraId="71E09CCC"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(valor de p</w:t>
            </w:r>
            <w:r w:rsidR="009F084E" w:rsidRPr="00E30038">
              <w:t> </w:t>
            </w:r>
            <w:r w:rsidRPr="00C33F4C">
              <w:rPr>
                <w:rFonts w:eastAsia="Segoe UI Symbol"/>
                <w:color w:val="auto"/>
                <w:lang w:val="es-ES"/>
              </w:rPr>
              <w:t>&lt;</w:t>
            </w:r>
            <w:r w:rsidR="009F084E" w:rsidRPr="00E30038">
              <w:t> </w:t>
            </w:r>
            <w:r w:rsidRPr="00C33F4C">
              <w:rPr>
                <w:rFonts w:eastAsia="Segoe UI Symbol"/>
                <w:color w:val="auto"/>
                <w:lang w:val="es-ES"/>
              </w:rPr>
              <w:t>0,0001</w:t>
            </w:r>
            <w:r w:rsidRPr="00C33F4C">
              <w:rPr>
                <w:color w:val="auto"/>
                <w:lang w:val="es-ES"/>
              </w:rPr>
              <w:t>)</w:t>
            </w:r>
          </w:p>
        </w:tc>
      </w:tr>
    </w:tbl>
    <w:p w14:paraId="10DD634C" w14:textId="77777777" w:rsidR="00FB24C0" w:rsidRPr="00443040" w:rsidRDefault="00FB24C0" w:rsidP="00FB24C0">
      <w:pPr>
        <w:spacing w:after="0" w:line="240" w:lineRule="auto"/>
        <w:ind w:left="567" w:hanging="567"/>
        <w:rPr>
          <w:color w:val="auto"/>
          <w:sz w:val="20"/>
          <w:lang w:val="es-ES"/>
        </w:rPr>
      </w:pPr>
      <w:r w:rsidRPr="00443040">
        <w:rPr>
          <w:color w:val="auto"/>
          <w:sz w:val="20"/>
          <w:vertAlign w:val="superscript"/>
          <w:lang w:val="es-ES"/>
        </w:rPr>
        <w:t>a</w:t>
      </w:r>
      <w:r w:rsidRPr="00443040">
        <w:rPr>
          <w:color w:val="auto"/>
          <w:sz w:val="20"/>
          <w:lang w:val="es-ES"/>
        </w:rPr>
        <w:tab/>
        <w:t>10 mg/kg cada 2 semanas</w:t>
      </w:r>
      <w:r w:rsidR="008667A8">
        <w:rPr>
          <w:color w:val="auto"/>
          <w:sz w:val="20"/>
          <w:lang w:val="es-ES"/>
        </w:rPr>
        <w:t>.</w:t>
      </w:r>
    </w:p>
    <w:p w14:paraId="183715CE" w14:textId="77777777" w:rsidR="00FB24C0" w:rsidRPr="00443040" w:rsidRDefault="00FB24C0" w:rsidP="00FB24C0">
      <w:pPr>
        <w:spacing w:after="0" w:line="240" w:lineRule="auto"/>
        <w:ind w:left="567" w:hanging="567"/>
        <w:rPr>
          <w:color w:val="auto"/>
          <w:sz w:val="20"/>
          <w:lang w:val="es-ES"/>
        </w:rPr>
      </w:pPr>
      <w:r w:rsidRPr="00443040">
        <w:rPr>
          <w:color w:val="auto"/>
          <w:sz w:val="20"/>
          <w:vertAlign w:val="superscript"/>
          <w:lang w:val="es-ES"/>
        </w:rPr>
        <w:t>b</w:t>
      </w:r>
      <w:r w:rsidRPr="00443040">
        <w:rPr>
          <w:color w:val="auto"/>
          <w:sz w:val="20"/>
          <w:lang w:val="es-ES"/>
        </w:rPr>
        <w:tab/>
        <w:t>Referente al brazo control</w:t>
      </w:r>
      <w:r w:rsidR="008667A8">
        <w:rPr>
          <w:color w:val="auto"/>
          <w:sz w:val="20"/>
          <w:lang w:val="es-ES"/>
        </w:rPr>
        <w:t>.</w:t>
      </w:r>
    </w:p>
    <w:p w14:paraId="144C4659" w14:textId="77777777" w:rsidR="00FB24C0" w:rsidRPr="00443040" w:rsidRDefault="00FB24C0" w:rsidP="00FB24C0">
      <w:pPr>
        <w:spacing w:after="0" w:line="240" w:lineRule="auto"/>
        <w:ind w:left="0" w:firstLine="0"/>
        <w:rPr>
          <w:color w:val="auto"/>
          <w:lang w:val="es-ES"/>
        </w:rPr>
      </w:pPr>
    </w:p>
    <w:p w14:paraId="4D3374E3" w14:textId="77777777" w:rsidR="00FB24C0" w:rsidRPr="00443040" w:rsidRDefault="00FB24C0" w:rsidP="00FB24C0">
      <w:pPr>
        <w:spacing w:after="0" w:line="240" w:lineRule="auto"/>
        <w:ind w:left="0" w:firstLine="0"/>
        <w:rPr>
          <w:color w:val="auto"/>
          <w:lang w:val="es-ES"/>
        </w:rPr>
      </w:pPr>
      <w:r w:rsidRPr="00443040">
        <w:rPr>
          <w:color w:val="auto"/>
          <w:lang w:val="es-ES"/>
        </w:rPr>
        <w:t xml:space="preserve">No se observaron diferencias significativas en la duración de la supervivencia global entre los pacientes que recibieron </w:t>
      </w:r>
      <w:r w:rsidR="007C38C3" w:rsidRPr="001919A9">
        <w:rPr>
          <w:lang w:val="es-ES"/>
        </w:rPr>
        <w:t>bevacizumab</w:t>
      </w:r>
      <w:r w:rsidRPr="00443040">
        <w:rPr>
          <w:color w:val="auto"/>
          <w:lang w:val="es-ES"/>
        </w:rPr>
        <w:t xml:space="preserve"> en monoterapia y los pacientes tratados con FOLFOX-4. La supervivencia libre de progresión y la tasa de respuesta objetiva fueron inferiores en el brazo de </w:t>
      </w:r>
      <w:r w:rsidR="007C38C3" w:rsidRPr="001919A9">
        <w:rPr>
          <w:lang w:val="es-ES"/>
        </w:rPr>
        <w:t>bevacizumab</w:t>
      </w:r>
      <w:r w:rsidRPr="00443040">
        <w:rPr>
          <w:color w:val="auto"/>
          <w:lang w:val="es-ES"/>
        </w:rPr>
        <w:t xml:space="preserve"> en monoterapia comparado con el brazo de FOLFOX-4.</w:t>
      </w:r>
    </w:p>
    <w:p w14:paraId="4A17F6EA" w14:textId="77777777" w:rsidR="00FB24C0" w:rsidRPr="00443040" w:rsidRDefault="00FB24C0" w:rsidP="00FB24C0">
      <w:pPr>
        <w:spacing w:after="0" w:line="240" w:lineRule="auto"/>
        <w:ind w:left="0" w:firstLine="0"/>
        <w:rPr>
          <w:color w:val="auto"/>
          <w:lang w:val="es-ES"/>
        </w:rPr>
      </w:pPr>
    </w:p>
    <w:p w14:paraId="14684FAB" w14:textId="77777777" w:rsidR="00FB24C0" w:rsidRPr="00443040" w:rsidRDefault="00FB24C0" w:rsidP="00292EC4">
      <w:pPr>
        <w:keepNext/>
        <w:spacing w:after="0" w:line="240" w:lineRule="auto"/>
        <w:ind w:left="0" w:firstLine="0"/>
        <w:rPr>
          <w:i/>
          <w:color w:val="auto"/>
          <w:lang w:val="es-ES"/>
        </w:rPr>
      </w:pPr>
      <w:r w:rsidRPr="00443040">
        <w:rPr>
          <w:i/>
          <w:color w:val="auto"/>
          <w:lang w:val="es-ES"/>
        </w:rPr>
        <w:t>ML18147</w:t>
      </w:r>
    </w:p>
    <w:p w14:paraId="00C512BD" w14:textId="32FE3357" w:rsidR="00FB24C0" w:rsidRDefault="00FB24C0" w:rsidP="00FB24C0">
      <w:pPr>
        <w:spacing w:after="0" w:line="240" w:lineRule="auto"/>
        <w:ind w:left="0" w:firstLine="0"/>
        <w:rPr>
          <w:color w:val="auto"/>
          <w:lang w:val="es-ES"/>
        </w:rPr>
      </w:pPr>
      <w:r w:rsidRPr="00443040">
        <w:rPr>
          <w:color w:val="auto"/>
          <w:lang w:val="es-ES"/>
        </w:rPr>
        <w:t xml:space="preserve">En este ensayo fase III aleatorizado, controlado, abierto, en pacientes con </w:t>
      </w:r>
      <w:proofErr w:type="spellStart"/>
      <w:r w:rsidRPr="00443040">
        <w:rPr>
          <w:color w:val="auto"/>
          <w:lang w:val="es-ES"/>
        </w:rPr>
        <w:t>CCRm</w:t>
      </w:r>
      <w:proofErr w:type="spellEnd"/>
      <w:r w:rsidRPr="00443040">
        <w:rPr>
          <w:color w:val="auto"/>
          <w:lang w:val="es-ES"/>
        </w:rPr>
        <w:t xml:space="preserve"> que habían progresado a un régimen de tratamiento con bevacizumab en primera línea se investigó </w:t>
      </w:r>
      <w:r w:rsidR="00D43E33" w:rsidRPr="001919A9">
        <w:rPr>
          <w:lang w:val="es-ES"/>
        </w:rPr>
        <w:t>bevacizumab</w:t>
      </w:r>
      <w:r w:rsidR="00A56081">
        <w:rPr>
          <w:lang w:val="es-ES"/>
        </w:rPr>
        <w:t xml:space="preserve"> </w:t>
      </w:r>
      <w:r w:rsidRPr="00443040">
        <w:rPr>
          <w:color w:val="auto"/>
          <w:lang w:val="es-ES"/>
        </w:rPr>
        <w:t xml:space="preserve">5,0 mg/kg cada 2 semanas o 7,5 mg/kg cada 3 semanas en combinación con quimioterapia basada en </w:t>
      </w:r>
      <w:proofErr w:type="spellStart"/>
      <w:r w:rsidRPr="00443040">
        <w:rPr>
          <w:color w:val="auto"/>
          <w:lang w:val="es-ES"/>
        </w:rPr>
        <w:t>fluoropirimidina</w:t>
      </w:r>
      <w:proofErr w:type="spellEnd"/>
      <w:r w:rsidRPr="00443040">
        <w:rPr>
          <w:color w:val="auto"/>
          <w:lang w:val="es-ES"/>
        </w:rPr>
        <w:t xml:space="preserve"> comparado con quimioterapia sola basada en </w:t>
      </w:r>
      <w:proofErr w:type="spellStart"/>
      <w:r w:rsidRPr="00443040">
        <w:rPr>
          <w:color w:val="auto"/>
          <w:lang w:val="es-ES"/>
        </w:rPr>
        <w:t>fluoropirimidina</w:t>
      </w:r>
      <w:proofErr w:type="spellEnd"/>
      <w:r w:rsidRPr="00443040">
        <w:rPr>
          <w:color w:val="auto"/>
          <w:lang w:val="es-ES"/>
        </w:rPr>
        <w:t>.</w:t>
      </w:r>
    </w:p>
    <w:p w14:paraId="236C984E" w14:textId="77777777" w:rsidR="00292EC4" w:rsidRPr="00443040" w:rsidRDefault="00292EC4" w:rsidP="00FB24C0">
      <w:pPr>
        <w:spacing w:after="0" w:line="240" w:lineRule="auto"/>
        <w:ind w:left="0" w:firstLine="0"/>
        <w:rPr>
          <w:color w:val="auto"/>
          <w:lang w:val="es-ES"/>
        </w:rPr>
      </w:pPr>
    </w:p>
    <w:p w14:paraId="181BB24B" w14:textId="77777777" w:rsidR="00FB24C0" w:rsidRDefault="00FB24C0" w:rsidP="00FB24C0">
      <w:pPr>
        <w:spacing w:after="0" w:line="240" w:lineRule="auto"/>
        <w:ind w:left="0" w:firstLine="0"/>
        <w:rPr>
          <w:color w:val="auto"/>
          <w:lang w:val="es-ES"/>
        </w:rPr>
      </w:pPr>
      <w:r w:rsidRPr="00443040">
        <w:rPr>
          <w:color w:val="auto"/>
          <w:lang w:val="es-ES"/>
        </w:rPr>
        <w:t xml:space="preserve">Pacientes con </w:t>
      </w:r>
      <w:proofErr w:type="spellStart"/>
      <w:r w:rsidRPr="00443040">
        <w:rPr>
          <w:color w:val="auto"/>
          <w:lang w:val="es-ES"/>
        </w:rPr>
        <w:t>CCRm</w:t>
      </w:r>
      <w:proofErr w:type="spellEnd"/>
      <w:r w:rsidRPr="00443040">
        <w:rPr>
          <w:color w:val="auto"/>
          <w:lang w:val="es-ES"/>
        </w:rPr>
        <w:t xml:space="preserve"> confirmado histológicamente y con progresión de la enfermedad fueron aleatorizados en una proporción 1:1 dentro de los 3 meses tras la discontinuación del tratamiento con bevacizumab en primera línea para recibir quimioterapia basada en </w:t>
      </w:r>
      <w:proofErr w:type="spellStart"/>
      <w:r w:rsidRPr="00443040">
        <w:rPr>
          <w:color w:val="auto"/>
          <w:lang w:val="es-ES"/>
        </w:rPr>
        <w:t>fluoropirimidina</w:t>
      </w:r>
      <w:proofErr w:type="spellEnd"/>
      <w:r w:rsidRPr="00443040">
        <w:rPr>
          <w:color w:val="auto"/>
          <w:lang w:val="es-ES"/>
        </w:rPr>
        <w:t>/</w:t>
      </w:r>
      <w:proofErr w:type="spellStart"/>
      <w:r w:rsidRPr="00443040">
        <w:rPr>
          <w:color w:val="auto"/>
          <w:lang w:val="es-ES"/>
        </w:rPr>
        <w:t>oxaliplatino</w:t>
      </w:r>
      <w:proofErr w:type="spellEnd"/>
      <w:r w:rsidRPr="00443040">
        <w:rPr>
          <w:color w:val="auto"/>
          <w:lang w:val="es-ES"/>
        </w:rPr>
        <w:t xml:space="preserve"> o en </w:t>
      </w:r>
      <w:proofErr w:type="spellStart"/>
      <w:r w:rsidRPr="00443040">
        <w:rPr>
          <w:color w:val="auto"/>
          <w:lang w:val="es-ES"/>
        </w:rPr>
        <w:t>fluoropirimidina</w:t>
      </w:r>
      <w:proofErr w:type="spellEnd"/>
      <w:r w:rsidRPr="00443040">
        <w:rPr>
          <w:color w:val="auto"/>
          <w:lang w:val="es-ES"/>
        </w:rPr>
        <w:t>/irinotecán (la quimioterapia se cambiaba dependiendo de la quimioterapia en primera línea) con o sin bevacizumab. El tratamiento se administró hasta progresión de la enfermedad o toxicidad inaceptable. La variable principal del ensayo fue supervivencia global definida como el tiempo desde la aleatorización hasta la muerte por cualquier causa.</w:t>
      </w:r>
    </w:p>
    <w:p w14:paraId="7993B0EF" w14:textId="77777777" w:rsidR="00292EC4" w:rsidRPr="00443040" w:rsidRDefault="00292EC4" w:rsidP="00FB24C0">
      <w:pPr>
        <w:spacing w:after="0" w:line="240" w:lineRule="auto"/>
        <w:ind w:left="0" w:firstLine="0"/>
        <w:rPr>
          <w:color w:val="auto"/>
          <w:lang w:val="es-ES"/>
        </w:rPr>
      </w:pPr>
    </w:p>
    <w:p w14:paraId="31F7C689" w14:textId="64EBD098" w:rsidR="00FB24C0" w:rsidRPr="00443040" w:rsidRDefault="00FB24C0" w:rsidP="00FB24C0">
      <w:pPr>
        <w:spacing w:after="0" w:line="240" w:lineRule="auto"/>
        <w:ind w:left="0" w:firstLine="0"/>
        <w:rPr>
          <w:color w:val="auto"/>
          <w:lang w:val="es-ES"/>
        </w:rPr>
      </w:pPr>
      <w:r w:rsidRPr="00443040">
        <w:rPr>
          <w:color w:val="auto"/>
          <w:lang w:val="es-ES"/>
        </w:rPr>
        <w:t xml:space="preserve">Se aleatorizaron un total de 820 pacientes. Añadir bevacizumab a la quimioterapia basada en </w:t>
      </w:r>
      <w:proofErr w:type="spellStart"/>
      <w:r w:rsidRPr="00443040">
        <w:rPr>
          <w:color w:val="auto"/>
          <w:lang w:val="es-ES"/>
        </w:rPr>
        <w:t>fluoropirimidina</w:t>
      </w:r>
      <w:proofErr w:type="spellEnd"/>
      <w:r w:rsidRPr="00443040">
        <w:rPr>
          <w:color w:val="auto"/>
          <w:lang w:val="es-ES"/>
        </w:rPr>
        <w:t xml:space="preserve"> resultó en una prolongación de la supervivencia estadísticamente significativa en los pacientes con </w:t>
      </w:r>
      <w:proofErr w:type="spellStart"/>
      <w:r w:rsidRPr="00443040">
        <w:rPr>
          <w:color w:val="auto"/>
          <w:lang w:val="es-ES"/>
        </w:rPr>
        <w:t>CCRm</w:t>
      </w:r>
      <w:proofErr w:type="spellEnd"/>
      <w:r w:rsidRPr="00443040">
        <w:rPr>
          <w:color w:val="auto"/>
          <w:lang w:val="es-ES"/>
        </w:rPr>
        <w:t xml:space="preserve"> que habían progresado a un régimen de tratamiento conteniendo bevacizumab en primera línea (ITT (población por intención de tratar)</w:t>
      </w:r>
      <w:r w:rsidR="009F084E" w:rsidRPr="00D1096C">
        <w:rPr>
          <w:lang w:val="es-ES"/>
        </w:rPr>
        <w:t> </w:t>
      </w:r>
      <w:r w:rsidRPr="00443040">
        <w:rPr>
          <w:color w:val="auto"/>
          <w:lang w:val="es-ES"/>
        </w:rPr>
        <w:t>=</w:t>
      </w:r>
      <w:r w:rsidR="009F084E" w:rsidRPr="00D1096C">
        <w:rPr>
          <w:lang w:val="es-ES"/>
        </w:rPr>
        <w:t> </w:t>
      </w:r>
      <w:r w:rsidRPr="00443040">
        <w:rPr>
          <w:color w:val="auto"/>
          <w:lang w:val="es-ES"/>
        </w:rPr>
        <w:t xml:space="preserve">819) (ver </w:t>
      </w:r>
      <w:r w:rsidR="00471B84">
        <w:rPr>
          <w:color w:val="auto"/>
          <w:lang w:val="es-ES"/>
        </w:rPr>
        <w:t>t</w:t>
      </w:r>
      <w:r w:rsidRPr="00443040">
        <w:rPr>
          <w:color w:val="auto"/>
          <w:lang w:val="es-ES"/>
        </w:rPr>
        <w:t>abla 9).</w:t>
      </w:r>
    </w:p>
    <w:p w14:paraId="098841D3" w14:textId="77777777" w:rsidR="00FB24C0" w:rsidRPr="00443040" w:rsidRDefault="00FB24C0" w:rsidP="00FB24C0">
      <w:pPr>
        <w:spacing w:after="0" w:line="240" w:lineRule="auto"/>
        <w:ind w:left="0" w:firstLine="0"/>
        <w:rPr>
          <w:color w:val="auto"/>
          <w:lang w:val="es-ES"/>
        </w:rPr>
      </w:pPr>
    </w:p>
    <w:p w14:paraId="4B51FD24" w14:textId="77777777" w:rsidR="00FB24C0" w:rsidRPr="00371483" w:rsidRDefault="00CD583F" w:rsidP="00DE52D3">
      <w:pPr>
        <w:keepNext/>
        <w:keepLines/>
        <w:spacing w:after="0" w:line="240" w:lineRule="auto"/>
        <w:ind w:left="0" w:firstLine="0"/>
        <w:rPr>
          <w:b/>
          <w:color w:val="auto"/>
          <w:lang w:val="es-ES"/>
        </w:rPr>
      </w:pPr>
      <w:r w:rsidRPr="00371483">
        <w:rPr>
          <w:b/>
          <w:color w:val="auto"/>
          <w:lang w:val="es-ES"/>
        </w:rPr>
        <w:lastRenderedPageBreak/>
        <w:t xml:space="preserve">Tabla 9. </w:t>
      </w:r>
      <w:r w:rsidR="00FB24C0" w:rsidRPr="00371483">
        <w:rPr>
          <w:b/>
          <w:color w:val="auto"/>
          <w:lang w:val="es-ES"/>
        </w:rPr>
        <w:t>Resultados de Eficacia del Estudio ML18147 (población por intención de tratar)</w:t>
      </w:r>
    </w:p>
    <w:p w14:paraId="23691E7A" w14:textId="77777777" w:rsidR="00FB24C0" w:rsidRPr="00443040" w:rsidRDefault="00FB24C0" w:rsidP="00DE52D3">
      <w:pPr>
        <w:keepNext/>
        <w:keepLines/>
        <w:spacing w:after="0" w:line="240" w:lineRule="auto"/>
        <w:ind w:left="0" w:firstLine="0"/>
        <w:rPr>
          <w:color w:val="auto"/>
          <w:lang w:val="es-ES"/>
        </w:rPr>
      </w:pPr>
    </w:p>
    <w:tbl>
      <w:tblPr>
        <w:tblW w:w="9034" w:type="dxa"/>
        <w:tblInd w:w="-5" w:type="dxa"/>
        <w:tblCellMar>
          <w:top w:w="57" w:type="dxa"/>
          <w:left w:w="107" w:type="dxa"/>
          <w:right w:w="54" w:type="dxa"/>
        </w:tblCellMar>
        <w:tblLook w:val="04A0" w:firstRow="1" w:lastRow="0" w:firstColumn="1" w:lastColumn="0" w:noHBand="0" w:noVBand="1"/>
      </w:tblPr>
      <w:tblGrid>
        <w:gridCol w:w="3210"/>
        <w:gridCol w:w="2912"/>
        <w:gridCol w:w="2912"/>
      </w:tblGrid>
      <w:tr w:rsidR="00FB24C0" w:rsidRPr="00083E6C" w14:paraId="798C21A3" w14:textId="77777777" w:rsidTr="00C33F4C">
        <w:trPr>
          <w:trHeight w:val="289"/>
          <w:tblHeader/>
        </w:trPr>
        <w:tc>
          <w:tcPr>
            <w:tcW w:w="3369" w:type="dxa"/>
            <w:tcBorders>
              <w:top w:val="single" w:sz="4" w:space="0" w:color="000000"/>
              <w:left w:val="single" w:sz="4" w:space="0" w:color="000000"/>
              <w:bottom w:val="single" w:sz="4" w:space="0" w:color="000000"/>
              <w:right w:val="single" w:sz="4" w:space="0" w:color="000000"/>
            </w:tcBorders>
            <w:vAlign w:val="bottom"/>
          </w:tcPr>
          <w:p w14:paraId="12C30457" w14:textId="77777777" w:rsidR="00FB24C0" w:rsidRPr="00C33F4C" w:rsidRDefault="00FB24C0" w:rsidP="00DE52D3">
            <w:pPr>
              <w:keepNext/>
              <w:keepLines/>
              <w:spacing w:after="0" w:line="240" w:lineRule="auto"/>
              <w:ind w:left="0" w:firstLine="0"/>
              <w:rPr>
                <w:b/>
                <w:color w:val="auto"/>
                <w:lang w:val="es-ES"/>
              </w:rPr>
            </w:pPr>
          </w:p>
        </w:tc>
        <w:tc>
          <w:tcPr>
            <w:tcW w:w="5665" w:type="dxa"/>
            <w:gridSpan w:val="2"/>
            <w:tcBorders>
              <w:top w:val="single" w:sz="4" w:space="0" w:color="000000"/>
              <w:left w:val="single" w:sz="4" w:space="0" w:color="000000"/>
              <w:bottom w:val="single" w:sz="4" w:space="0" w:color="000000"/>
              <w:right w:val="single" w:sz="4" w:space="0" w:color="000000"/>
            </w:tcBorders>
          </w:tcPr>
          <w:p w14:paraId="5E8A4529" w14:textId="77777777" w:rsidR="00FB24C0" w:rsidRPr="00C33F4C" w:rsidRDefault="00FB24C0" w:rsidP="00DE52D3">
            <w:pPr>
              <w:keepNext/>
              <w:keepLines/>
              <w:spacing w:after="0" w:line="240" w:lineRule="auto"/>
              <w:ind w:left="0" w:firstLine="0"/>
              <w:jc w:val="center"/>
              <w:rPr>
                <w:b/>
                <w:color w:val="auto"/>
                <w:lang w:val="es-ES"/>
              </w:rPr>
            </w:pPr>
            <w:r w:rsidRPr="00C33F4C">
              <w:rPr>
                <w:b/>
                <w:color w:val="auto"/>
                <w:lang w:val="es-ES"/>
              </w:rPr>
              <w:t>ML18147</w:t>
            </w:r>
          </w:p>
        </w:tc>
      </w:tr>
      <w:tr w:rsidR="00FB24C0" w:rsidRPr="00083E6C" w14:paraId="4F97993F" w14:textId="77777777" w:rsidTr="00C33F4C">
        <w:trPr>
          <w:trHeight w:val="1304"/>
          <w:tblHeader/>
        </w:trPr>
        <w:tc>
          <w:tcPr>
            <w:tcW w:w="3369" w:type="dxa"/>
            <w:tcBorders>
              <w:top w:val="single" w:sz="4" w:space="0" w:color="000000"/>
              <w:left w:val="single" w:sz="4" w:space="0" w:color="000000"/>
              <w:bottom w:val="single" w:sz="4" w:space="0" w:color="000000"/>
              <w:right w:val="single" w:sz="4" w:space="0" w:color="000000"/>
            </w:tcBorders>
            <w:vAlign w:val="bottom"/>
          </w:tcPr>
          <w:p w14:paraId="0FF37210" w14:textId="77777777" w:rsidR="00FB24C0" w:rsidRPr="00C33F4C" w:rsidRDefault="00FB24C0" w:rsidP="00DE52D3">
            <w:pPr>
              <w:keepNext/>
              <w:keepLines/>
              <w:spacing w:after="0" w:line="240" w:lineRule="auto"/>
              <w:ind w:left="0" w:firstLine="0"/>
              <w:rPr>
                <w:b/>
                <w:color w:val="auto"/>
                <w:lang w:val="es-ES"/>
              </w:rPr>
            </w:pPr>
          </w:p>
        </w:tc>
        <w:tc>
          <w:tcPr>
            <w:tcW w:w="2832" w:type="dxa"/>
            <w:tcBorders>
              <w:top w:val="single" w:sz="4" w:space="0" w:color="000000"/>
              <w:left w:val="single" w:sz="4" w:space="0" w:color="000000"/>
              <w:bottom w:val="single" w:sz="4" w:space="0" w:color="000000"/>
              <w:right w:val="single" w:sz="4" w:space="0" w:color="000000"/>
            </w:tcBorders>
          </w:tcPr>
          <w:p w14:paraId="096B8F6E" w14:textId="77777777" w:rsidR="00FB24C0" w:rsidRPr="00C33F4C" w:rsidRDefault="00FB24C0" w:rsidP="00DE52D3">
            <w:pPr>
              <w:keepNext/>
              <w:keepLines/>
              <w:spacing w:after="0" w:line="240" w:lineRule="auto"/>
              <w:ind w:left="0" w:firstLine="0"/>
              <w:jc w:val="center"/>
              <w:rPr>
                <w:b/>
                <w:color w:val="auto"/>
                <w:lang w:val="es-ES"/>
              </w:rPr>
            </w:pPr>
            <w:r w:rsidRPr="00C33F4C">
              <w:rPr>
                <w:b/>
                <w:color w:val="auto"/>
                <w:lang w:val="es-ES"/>
              </w:rPr>
              <w:t xml:space="preserve">Quimioterapia basada en </w:t>
            </w:r>
            <w:proofErr w:type="spellStart"/>
            <w:r w:rsidRPr="00C33F4C">
              <w:rPr>
                <w:b/>
                <w:color w:val="auto"/>
                <w:lang w:val="es-ES"/>
              </w:rPr>
              <w:t>fluoropirimidina</w:t>
            </w:r>
            <w:proofErr w:type="spellEnd"/>
            <w:r w:rsidRPr="00C33F4C">
              <w:rPr>
                <w:b/>
                <w:color w:val="auto"/>
                <w:lang w:val="es-ES"/>
              </w:rPr>
              <w:t>/irinotecán o en</w:t>
            </w:r>
          </w:p>
          <w:p w14:paraId="7E6A2A9A" w14:textId="77777777" w:rsidR="00FB24C0" w:rsidRPr="00C33F4C" w:rsidRDefault="00FB24C0" w:rsidP="00DE52D3">
            <w:pPr>
              <w:keepNext/>
              <w:keepLines/>
              <w:spacing w:after="0" w:line="240" w:lineRule="auto"/>
              <w:ind w:left="0" w:firstLine="0"/>
              <w:jc w:val="center"/>
              <w:rPr>
                <w:b/>
                <w:color w:val="auto"/>
                <w:lang w:val="es-ES"/>
              </w:rPr>
            </w:pPr>
            <w:proofErr w:type="spellStart"/>
            <w:r w:rsidRPr="00C33F4C">
              <w:rPr>
                <w:b/>
                <w:color w:val="auto"/>
                <w:lang w:val="es-ES"/>
              </w:rPr>
              <w:t>fluoropirimidina</w:t>
            </w:r>
            <w:proofErr w:type="spellEnd"/>
            <w:r w:rsidRPr="00C33F4C">
              <w:rPr>
                <w:b/>
                <w:color w:val="auto"/>
                <w:lang w:val="es-ES"/>
              </w:rPr>
              <w:t>/</w:t>
            </w:r>
            <w:proofErr w:type="spellStart"/>
            <w:r w:rsidRPr="00C33F4C">
              <w:rPr>
                <w:b/>
                <w:color w:val="auto"/>
                <w:lang w:val="es-ES"/>
              </w:rPr>
              <w:t>oxaliplatino</w:t>
            </w:r>
            <w:proofErr w:type="spellEnd"/>
          </w:p>
        </w:tc>
        <w:tc>
          <w:tcPr>
            <w:tcW w:w="2832" w:type="dxa"/>
            <w:tcBorders>
              <w:top w:val="single" w:sz="4" w:space="0" w:color="000000"/>
              <w:left w:val="single" w:sz="4" w:space="0" w:color="000000"/>
              <w:bottom w:val="single" w:sz="4" w:space="0" w:color="000000"/>
              <w:right w:val="single" w:sz="4" w:space="0" w:color="000000"/>
            </w:tcBorders>
          </w:tcPr>
          <w:p w14:paraId="49F14643" w14:textId="77777777" w:rsidR="00FB24C0" w:rsidRPr="00C33F4C" w:rsidRDefault="00FB24C0" w:rsidP="00DE52D3">
            <w:pPr>
              <w:keepNext/>
              <w:keepLines/>
              <w:spacing w:after="0" w:line="240" w:lineRule="auto"/>
              <w:ind w:left="0" w:firstLine="0"/>
              <w:jc w:val="center"/>
              <w:rPr>
                <w:b/>
                <w:color w:val="auto"/>
                <w:lang w:val="es-ES"/>
              </w:rPr>
            </w:pPr>
            <w:r w:rsidRPr="00C33F4C">
              <w:rPr>
                <w:b/>
                <w:color w:val="auto"/>
                <w:lang w:val="es-ES"/>
              </w:rPr>
              <w:t xml:space="preserve">Quimioterapia basada en </w:t>
            </w:r>
            <w:proofErr w:type="spellStart"/>
            <w:r w:rsidRPr="00C33F4C">
              <w:rPr>
                <w:b/>
                <w:color w:val="auto"/>
                <w:lang w:val="es-ES"/>
              </w:rPr>
              <w:t>fluoropirimidina</w:t>
            </w:r>
            <w:proofErr w:type="spellEnd"/>
            <w:r w:rsidRPr="00C33F4C">
              <w:rPr>
                <w:b/>
                <w:color w:val="auto"/>
                <w:lang w:val="es-ES"/>
              </w:rPr>
              <w:t>/irinotecán o en</w:t>
            </w:r>
          </w:p>
          <w:p w14:paraId="48215CF8" w14:textId="77777777" w:rsidR="00FB24C0" w:rsidRPr="00C33F4C" w:rsidRDefault="00FB24C0" w:rsidP="00DE52D3">
            <w:pPr>
              <w:keepNext/>
              <w:keepLines/>
              <w:spacing w:after="0" w:line="240" w:lineRule="auto"/>
              <w:ind w:left="0" w:firstLine="0"/>
              <w:jc w:val="center"/>
              <w:rPr>
                <w:b/>
                <w:color w:val="auto"/>
                <w:lang w:val="es-ES"/>
              </w:rPr>
            </w:pPr>
            <w:proofErr w:type="spellStart"/>
            <w:r w:rsidRPr="00C33F4C">
              <w:rPr>
                <w:b/>
                <w:color w:val="auto"/>
                <w:lang w:val="es-ES"/>
              </w:rPr>
              <w:t>fluoropirimidina</w:t>
            </w:r>
            <w:proofErr w:type="spellEnd"/>
            <w:r w:rsidRPr="00C33F4C">
              <w:rPr>
                <w:b/>
                <w:color w:val="auto"/>
                <w:lang w:val="es-ES"/>
              </w:rPr>
              <w:t>/</w:t>
            </w:r>
            <w:proofErr w:type="spellStart"/>
            <w:r w:rsidRPr="00C33F4C">
              <w:rPr>
                <w:b/>
                <w:color w:val="auto"/>
                <w:lang w:val="es-ES"/>
              </w:rPr>
              <w:t>oxaliplatino</w:t>
            </w:r>
            <w:proofErr w:type="spellEnd"/>
          </w:p>
          <w:p w14:paraId="42F86DC3" w14:textId="77777777" w:rsidR="00FB24C0" w:rsidRPr="00C33F4C" w:rsidRDefault="00FB24C0" w:rsidP="00DE52D3">
            <w:pPr>
              <w:keepNext/>
              <w:keepLines/>
              <w:spacing w:after="0" w:line="240" w:lineRule="auto"/>
              <w:ind w:left="0" w:firstLine="0"/>
              <w:jc w:val="center"/>
              <w:rPr>
                <w:b/>
                <w:color w:val="auto"/>
                <w:lang w:val="es-ES"/>
              </w:rPr>
            </w:pPr>
            <w:r w:rsidRPr="00C33F4C">
              <w:rPr>
                <w:b/>
                <w:color w:val="auto"/>
                <w:lang w:val="es-ES"/>
              </w:rPr>
              <w:t xml:space="preserve">+ </w:t>
            </w:r>
            <w:proofErr w:type="spellStart"/>
            <w:r w:rsidR="00D43E33" w:rsidRPr="00C33F4C">
              <w:rPr>
                <w:b/>
                <w:lang w:val="es-ES"/>
              </w:rPr>
              <w:t>bevacizumab</w:t>
            </w:r>
            <w:r w:rsidRPr="00C33F4C">
              <w:rPr>
                <w:b/>
                <w:color w:val="auto"/>
                <w:vertAlign w:val="superscript"/>
                <w:lang w:val="es-ES"/>
              </w:rPr>
              <w:t>a</w:t>
            </w:r>
            <w:proofErr w:type="spellEnd"/>
          </w:p>
        </w:tc>
      </w:tr>
      <w:tr w:rsidR="00FB24C0" w:rsidRPr="00083E6C" w14:paraId="5F6B84FA" w14:textId="77777777" w:rsidTr="00C33F4C">
        <w:trPr>
          <w:trHeight w:val="290"/>
        </w:trPr>
        <w:tc>
          <w:tcPr>
            <w:tcW w:w="3369" w:type="dxa"/>
            <w:tcBorders>
              <w:top w:val="single" w:sz="4" w:space="0" w:color="000000"/>
              <w:left w:val="single" w:sz="4" w:space="0" w:color="000000"/>
              <w:bottom w:val="single" w:sz="4" w:space="0" w:color="000000"/>
              <w:right w:val="single" w:sz="4" w:space="0" w:color="000000"/>
            </w:tcBorders>
            <w:vAlign w:val="bottom"/>
          </w:tcPr>
          <w:p w14:paraId="05DEE3B3" w14:textId="77777777" w:rsidR="00FB24C0" w:rsidRPr="00C33F4C" w:rsidRDefault="00FB24C0" w:rsidP="00DE52D3">
            <w:pPr>
              <w:keepNext/>
              <w:keepLines/>
              <w:spacing w:after="0" w:line="240" w:lineRule="auto"/>
              <w:ind w:left="0" w:firstLine="0"/>
              <w:rPr>
                <w:color w:val="auto"/>
                <w:lang w:val="es-ES"/>
              </w:rPr>
            </w:pPr>
            <w:r w:rsidRPr="00C33F4C">
              <w:rPr>
                <w:color w:val="auto"/>
                <w:lang w:val="es-ES"/>
              </w:rPr>
              <w:t xml:space="preserve">Número de Pacientes </w:t>
            </w:r>
          </w:p>
        </w:tc>
        <w:tc>
          <w:tcPr>
            <w:tcW w:w="2832" w:type="dxa"/>
            <w:tcBorders>
              <w:top w:val="single" w:sz="4" w:space="0" w:color="000000"/>
              <w:left w:val="single" w:sz="4" w:space="0" w:color="000000"/>
              <w:bottom w:val="single" w:sz="4" w:space="0" w:color="000000"/>
              <w:right w:val="single" w:sz="4" w:space="0" w:color="000000"/>
            </w:tcBorders>
            <w:vAlign w:val="center"/>
          </w:tcPr>
          <w:p w14:paraId="52D20D63" w14:textId="77777777" w:rsidR="00FB24C0" w:rsidRPr="00C33F4C" w:rsidRDefault="00FB24C0" w:rsidP="00DE52D3">
            <w:pPr>
              <w:keepNext/>
              <w:keepLines/>
              <w:spacing w:after="0" w:line="240" w:lineRule="auto"/>
              <w:ind w:left="0" w:firstLine="0"/>
              <w:jc w:val="center"/>
              <w:rPr>
                <w:color w:val="auto"/>
                <w:lang w:val="es-ES"/>
              </w:rPr>
            </w:pPr>
            <w:r w:rsidRPr="00C33F4C">
              <w:rPr>
                <w:color w:val="auto"/>
                <w:lang w:val="es-ES"/>
              </w:rPr>
              <w:t>410</w:t>
            </w:r>
          </w:p>
        </w:tc>
        <w:tc>
          <w:tcPr>
            <w:tcW w:w="2832" w:type="dxa"/>
            <w:tcBorders>
              <w:top w:val="single" w:sz="4" w:space="0" w:color="000000"/>
              <w:left w:val="single" w:sz="4" w:space="0" w:color="000000"/>
              <w:bottom w:val="single" w:sz="4" w:space="0" w:color="000000"/>
              <w:right w:val="single" w:sz="4" w:space="0" w:color="000000"/>
            </w:tcBorders>
            <w:vAlign w:val="center"/>
          </w:tcPr>
          <w:p w14:paraId="5F58741E" w14:textId="77777777" w:rsidR="00FB24C0" w:rsidRPr="00C33F4C" w:rsidRDefault="00FB24C0" w:rsidP="00DE52D3">
            <w:pPr>
              <w:keepNext/>
              <w:keepLines/>
              <w:spacing w:after="0" w:line="240" w:lineRule="auto"/>
              <w:ind w:left="0" w:firstLine="0"/>
              <w:jc w:val="center"/>
              <w:rPr>
                <w:color w:val="auto"/>
                <w:lang w:val="es-ES"/>
              </w:rPr>
            </w:pPr>
            <w:r w:rsidRPr="00C33F4C">
              <w:rPr>
                <w:color w:val="auto"/>
                <w:lang w:val="es-ES"/>
              </w:rPr>
              <w:t>409</w:t>
            </w:r>
          </w:p>
        </w:tc>
      </w:tr>
      <w:tr w:rsidR="00FB24C0" w:rsidRPr="00083E6C" w14:paraId="434BC999" w14:textId="77777777" w:rsidTr="00C33F4C">
        <w:trPr>
          <w:trHeight w:val="290"/>
        </w:trPr>
        <w:tc>
          <w:tcPr>
            <w:tcW w:w="3369" w:type="dxa"/>
            <w:tcBorders>
              <w:top w:val="single" w:sz="4" w:space="0" w:color="000000"/>
              <w:left w:val="single" w:sz="4" w:space="0" w:color="000000"/>
              <w:bottom w:val="single" w:sz="4" w:space="0" w:color="000000"/>
              <w:right w:val="single" w:sz="4" w:space="0" w:color="000000"/>
            </w:tcBorders>
            <w:vAlign w:val="bottom"/>
          </w:tcPr>
          <w:p w14:paraId="3AD9621B" w14:textId="77777777" w:rsidR="00FB24C0" w:rsidRPr="00C33F4C" w:rsidRDefault="00FB24C0" w:rsidP="00C33F4C">
            <w:pPr>
              <w:spacing w:after="0" w:line="240" w:lineRule="auto"/>
              <w:ind w:left="0" w:firstLine="0"/>
              <w:rPr>
                <w:color w:val="auto"/>
                <w:lang w:val="es-ES"/>
              </w:rPr>
            </w:pPr>
            <w:r w:rsidRPr="00C33F4C">
              <w:rPr>
                <w:color w:val="auto"/>
                <w:lang w:val="es-ES"/>
              </w:rPr>
              <w:t xml:space="preserve">Supervivencia Global </w:t>
            </w:r>
          </w:p>
        </w:tc>
        <w:tc>
          <w:tcPr>
            <w:tcW w:w="5665" w:type="dxa"/>
            <w:gridSpan w:val="2"/>
            <w:tcBorders>
              <w:top w:val="single" w:sz="4" w:space="0" w:color="000000"/>
              <w:left w:val="single" w:sz="4" w:space="0" w:color="000000"/>
              <w:bottom w:val="single" w:sz="4" w:space="0" w:color="000000"/>
              <w:right w:val="single" w:sz="4" w:space="0" w:color="000000"/>
            </w:tcBorders>
            <w:vAlign w:val="center"/>
          </w:tcPr>
          <w:p w14:paraId="4095863E" w14:textId="77777777" w:rsidR="00FB24C0" w:rsidRPr="00C33F4C" w:rsidRDefault="00FB24C0" w:rsidP="00C33F4C">
            <w:pPr>
              <w:spacing w:after="0" w:line="240" w:lineRule="auto"/>
              <w:ind w:left="0" w:firstLine="0"/>
              <w:jc w:val="center"/>
              <w:rPr>
                <w:color w:val="auto"/>
                <w:lang w:val="es-ES"/>
              </w:rPr>
            </w:pPr>
          </w:p>
        </w:tc>
      </w:tr>
      <w:tr w:rsidR="00FB24C0" w:rsidRPr="00083E6C" w14:paraId="3D7C0974" w14:textId="77777777" w:rsidTr="00C33F4C">
        <w:trPr>
          <w:trHeight w:val="289"/>
        </w:trPr>
        <w:tc>
          <w:tcPr>
            <w:tcW w:w="3369" w:type="dxa"/>
            <w:tcBorders>
              <w:top w:val="single" w:sz="4" w:space="0" w:color="000000"/>
              <w:left w:val="single" w:sz="4" w:space="0" w:color="000000"/>
              <w:bottom w:val="single" w:sz="4" w:space="0" w:color="000000"/>
              <w:right w:val="single" w:sz="4" w:space="0" w:color="000000"/>
            </w:tcBorders>
            <w:vAlign w:val="bottom"/>
          </w:tcPr>
          <w:p w14:paraId="4D81BA96" w14:textId="77777777" w:rsidR="00FB24C0" w:rsidRPr="00C33F4C" w:rsidRDefault="00FB24C0" w:rsidP="00C33F4C">
            <w:pPr>
              <w:spacing w:after="0" w:line="240" w:lineRule="auto"/>
              <w:ind w:left="567" w:firstLine="0"/>
              <w:rPr>
                <w:color w:val="auto"/>
                <w:lang w:val="es-ES"/>
              </w:rPr>
            </w:pPr>
            <w:r w:rsidRPr="00C33F4C">
              <w:rPr>
                <w:color w:val="auto"/>
                <w:lang w:val="es-ES"/>
              </w:rPr>
              <w:t xml:space="preserve">Mediana (meses) </w:t>
            </w:r>
          </w:p>
        </w:tc>
        <w:tc>
          <w:tcPr>
            <w:tcW w:w="2832" w:type="dxa"/>
            <w:tcBorders>
              <w:top w:val="single" w:sz="4" w:space="0" w:color="000000"/>
              <w:left w:val="single" w:sz="4" w:space="0" w:color="000000"/>
              <w:bottom w:val="single" w:sz="4" w:space="0" w:color="000000"/>
              <w:right w:val="single" w:sz="4" w:space="0" w:color="000000"/>
            </w:tcBorders>
            <w:vAlign w:val="center"/>
          </w:tcPr>
          <w:p w14:paraId="04DFFBB1"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9,8</w:t>
            </w:r>
          </w:p>
        </w:tc>
        <w:tc>
          <w:tcPr>
            <w:tcW w:w="2832" w:type="dxa"/>
            <w:tcBorders>
              <w:top w:val="single" w:sz="4" w:space="0" w:color="000000"/>
              <w:left w:val="single" w:sz="4" w:space="0" w:color="000000"/>
              <w:bottom w:val="single" w:sz="4" w:space="0" w:color="000000"/>
              <w:right w:val="single" w:sz="4" w:space="0" w:color="000000"/>
            </w:tcBorders>
            <w:vAlign w:val="center"/>
          </w:tcPr>
          <w:p w14:paraId="1FC757B2"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11,2</w:t>
            </w:r>
          </w:p>
        </w:tc>
      </w:tr>
      <w:tr w:rsidR="00FB24C0" w:rsidRPr="00083E6C" w14:paraId="7D1882A3" w14:textId="77777777" w:rsidTr="00C33F4C">
        <w:trPr>
          <w:trHeight w:val="570"/>
        </w:trPr>
        <w:tc>
          <w:tcPr>
            <w:tcW w:w="3369" w:type="dxa"/>
            <w:tcBorders>
              <w:top w:val="single" w:sz="4" w:space="0" w:color="000000"/>
              <w:left w:val="single" w:sz="4" w:space="0" w:color="000000"/>
              <w:bottom w:val="single" w:sz="4" w:space="0" w:color="000000"/>
              <w:right w:val="single" w:sz="4" w:space="0" w:color="000000"/>
            </w:tcBorders>
            <w:vAlign w:val="center"/>
          </w:tcPr>
          <w:p w14:paraId="5A836D0C" w14:textId="77777777" w:rsidR="00FB24C0" w:rsidRPr="00C33F4C" w:rsidRDefault="00FB24C0" w:rsidP="00C33F4C">
            <w:pPr>
              <w:spacing w:after="0" w:line="240" w:lineRule="auto"/>
              <w:ind w:left="567" w:firstLine="0"/>
              <w:rPr>
                <w:color w:val="auto"/>
                <w:lang w:val="es-ES"/>
              </w:rPr>
            </w:pPr>
            <w:r w:rsidRPr="00C33F4C">
              <w:rPr>
                <w:color w:val="auto"/>
                <w:lang w:val="es-ES"/>
              </w:rPr>
              <w:t xml:space="preserve">Razón de riesgo (Intervalo de confianza al 95%) </w:t>
            </w:r>
          </w:p>
        </w:tc>
        <w:tc>
          <w:tcPr>
            <w:tcW w:w="5665" w:type="dxa"/>
            <w:gridSpan w:val="2"/>
            <w:tcBorders>
              <w:top w:val="single" w:sz="4" w:space="0" w:color="000000"/>
              <w:left w:val="single" w:sz="4" w:space="0" w:color="000000"/>
              <w:bottom w:val="single" w:sz="4" w:space="0" w:color="000000"/>
              <w:right w:val="single" w:sz="4" w:space="0" w:color="000000"/>
            </w:tcBorders>
            <w:vAlign w:val="center"/>
          </w:tcPr>
          <w:p w14:paraId="7EFB5141"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0,81 (0,69</w:t>
            </w:r>
            <w:r w:rsidR="00AC160C" w:rsidRPr="00C33F4C">
              <w:rPr>
                <w:color w:val="auto"/>
                <w:lang w:val="es-ES"/>
              </w:rPr>
              <w:t xml:space="preserve"> </w:t>
            </w:r>
            <w:r w:rsidRPr="00C33F4C">
              <w:rPr>
                <w:color w:val="auto"/>
                <w:lang w:val="es-ES"/>
              </w:rPr>
              <w:t>- 0,94)</w:t>
            </w:r>
          </w:p>
          <w:p w14:paraId="0A691A09"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(valor de p</w:t>
            </w:r>
            <w:r w:rsidR="009F084E" w:rsidRPr="00E30038">
              <w:t> </w:t>
            </w:r>
            <w:r w:rsidRPr="00C33F4C">
              <w:rPr>
                <w:color w:val="auto"/>
                <w:lang w:val="es-ES"/>
              </w:rPr>
              <w:t>=</w:t>
            </w:r>
            <w:r w:rsidR="009F084E" w:rsidRPr="00E30038">
              <w:t> </w:t>
            </w:r>
            <w:r w:rsidRPr="00C33F4C">
              <w:rPr>
                <w:color w:val="auto"/>
                <w:lang w:val="es-ES"/>
              </w:rPr>
              <w:t>0,0062)</w:t>
            </w:r>
          </w:p>
        </w:tc>
      </w:tr>
      <w:tr w:rsidR="00FB24C0" w:rsidRPr="00083E6C" w14:paraId="019FF79F" w14:textId="77777777" w:rsidTr="00C33F4C">
        <w:trPr>
          <w:trHeight w:val="290"/>
        </w:trPr>
        <w:tc>
          <w:tcPr>
            <w:tcW w:w="3369" w:type="dxa"/>
            <w:tcBorders>
              <w:top w:val="single" w:sz="4" w:space="0" w:color="000000"/>
              <w:left w:val="single" w:sz="4" w:space="0" w:color="000000"/>
              <w:bottom w:val="single" w:sz="4" w:space="0" w:color="000000"/>
              <w:right w:val="single" w:sz="4" w:space="0" w:color="000000"/>
            </w:tcBorders>
            <w:vAlign w:val="bottom"/>
          </w:tcPr>
          <w:p w14:paraId="3058B056" w14:textId="77777777" w:rsidR="00FB24C0" w:rsidRPr="00C33F4C" w:rsidRDefault="00FB24C0" w:rsidP="00C33F4C">
            <w:pPr>
              <w:spacing w:after="0" w:line="240" w:lineRule="auto"/>
              <w:ind w:left="0" w:firstLine="0"/>
              <w:rPr>
                <w:color w:val="auto"/>
                <w:lang w:val="es-ES"/>
              </w:rPr>
            </w:pPr>
            <w:r w:rsidRPr="00C33F4C">
              <w:rPr>
                <w:color w:val="auto"/>
                <w:lang w:val="es-ES"/>
              </w:rPr>
              <w:t xml:space="preserve">Supervivencia libre de progresión </w:t>
            </w:r>
          </w:p>
        </w:tc>
        <w:tc>
          <w:tcPr>
            <w:tcW w:w="5665" w:type="dxa"/>
            <w:gridSpan w:val="2"/>
            <w:tcBorders>
              <w:top w:val="single" w:sz="4" w:space="0" w:color="000000"/>
              <w:left w:val="single" w:sz="4" w:space="0" w:color="000000"/>
              <w:bottom w:val="single" w:sz="4" w:space="0" w:color="000000"/>
              <w:right w:val="single" w:sz="4" w:space="0" w:color="000000"/>
            </w:tcBorders>
            <w:vAlign w:val="center"/>
          </w:tcPr>
          <w:p w14:paraId="5571964D" w14:textId="77777777" w:rsidR="00FB24C0" w:rsidRPr="00C33F4C" w:rsidRDefault="00FB24C0" w:rsidP="00C33F4C">
            <w:pPr>
              <w:spacing w:after="0" w:line="240" w:lineRule="auto"/>
              <w:ind w:left="0" w:firstLine="0"/>
              <w:jc w:val="center"/>
              <w:rPr>
                <w:color w:val="auto"/>
                <w:lang w:val="es-ES"/>
              </w:rPr>
            </w:pPr>
          </w:p>
        </w:tc>
      </w:tr>
      <w:tr w:rsidR="00FB24C0" w:rsidRPr="00083E6C" w14:paraId="7445D5F8" w14:textId="77777777" w:rsidTr="00C33F4C">
        <w:trPr>
          <w:trHeight w:val="290"/>
        </w:trPr>
        <w:tc>
          <w:tcPr>
            <w:tcW w:w="3369" w:type="dxa"/>
            <w:tcBorders>
              <w:top w:val="single" w:sz="4" w:space="0" w:color="000000"/>
              <w:left w:val="single" w:sz="4" w:space="0" w:color="000000"/>
              <w:bottom w:val="single" w:sz="4" w:space="0" w:color="000000"/>
              <w:right w:val="single" w:sz="4" w:space="0" w:color="000000"/>
            </w:tcBorders>
            <w:vAlign w:val="bottom"/>
          </w:tcPr>
          <w:p w14:paraId="70EB3499" w14:textId="77777777" w:rsidR="00FB24C0" w:rsidRPr="00C33F4C" w:rsidRDefault="00FB24C0" w:rsidP="00C33F4C">
            <w:pPr>
              <w:spacing w:after="0" w:line="240" w:lineRule="auto"/>
              <w:ind w:left="567" w:firstLine="0"/>
              <w:rPr>
                <w:color w:val="auto"/>
                <w:lang w:val="es-ES"/>
              </w:rPr>
            </w:pPr>
            <w:r w:rsidRPr="00C33F4C">
              <w:rPr>
                <w:color w:val="auto"/>
                <w:lang w:val="es-ES"/>
              </w:rPr>
              <w:t xml:space="preserve">Mediana (meses) </w:t>
            </w:r>
          </w:p>
        </w:tc>
        <w:tc>
          <w:tcPr>
            <w:tcW w:w="2832" w:type="dxa"/>
            <w:tcBorders>
              <w:top w:val="single" w:sz="4" w:space="0" w:color="000000"/>
              <w:left w:val="single" w:sz="4" w:space="0" w:color="000000"/>
              <w:bottom w:val="single" w:sz="4" w:space="0" w:color="000000"/>
              <w:right w:val="single" w:sz="4" w:space="0" w:color="000000"/>
            </w:tcBorders>
            <w:vAlign w:val="center"/>
          </w:tcPr>
          <w:p w14:paraId="0A4DC760"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4,1</w:t>
            </w:r>
          </w:p>
        </w:tc>
        <w:tc>
          <w:tcPr>
            <w:tcW w:w="2832" w:type="dxa"/>
            <w:tcBorders>
              <w:top w:val="single" w:sz="4" w:space="0" w:color="000000"/>
              <w:left w:val="single" w:sz="4" w:space="0" w:color="000000"/>
              <w:bottom w:val="single" w:sz="4" w:space="0" w:color="000000"/>
              <w:right w:val="single" w:sz="4" w:space="0" w:color="000000"/>
            </w:tcBorders>
            <w:vAlign w:val="center"/>
          </w:tcPr>
          <w:p w14:paraId="64E65B34"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5,7</w:t>
            </w:r>
          </w:p>
        </w:tc>
      </w:tr>
      <w:tr w:rsidR="00FB24C0" w:rsidRPr="00083E6C" w14:paraId="38D328E3" w14:textId="77777777" w:rsidTr="00C33F4C">
        <w:trPr>
          <w:trHeight w:val="570"/>
        </w:trPr>
        <w:tc>
          <w:tcPr>
            <w:tcW w:w="3369" w:type="dxa"/>
            <w:tcBorders>
              <w:top w:val="single" w:sz="4" w:space="0" w:color="000000"/>
              <w:left w:val="single" w:sz="4" w:space="0" w:color="000000"/>
              <w:bottom w:val="single" w:sz="4" w:space="0" w:color="000000"/>
              <w:right w:val="single" w:sz="4" w:space="0" w:color="000000"/>
            </w:tcBorders>
            <w:vAlign w:val="center"/>
          </w:tcPr>
          <w:p w14:paraId="362E8381" w14:textId="77777777" w:rsidR="00FB24C0" w:rsidRPr="00C33F4C" w:rsidRDefault="00FB24C0" w:rsidP="00C33F4C">
            <w:pPr>
              <w:spacing w:after="0" w:line="240" w:lineRule="auto"/>
              <w:ind w:left="567" w:firstLine="0"/>
              <w:rPr>
                <w:color w:val="auto"/>
                <w:lang w:val="es-ES"/>
              </w:rPr>
            </w:pPr>
            <w:r w:rsidRPr="00C33F4C">
              <w:rPr>
                <w:color w:val="auto"/>
                <w:lang w:val="es-ES"/>
              </w:rPr>
              <w:t xml:space="preserve">Razón de riesgo (Intervalo de confianza al 95%) </w:t>
            </w:r>
          </w:p>
        </w:tc>
        <w:tc>
          <w:tcPr>
            <w:tcW w:w="5665" w:type="dxa"/>
            <w:gridSpan w:val="2"/>
            <w:tcBorders>
              <w:top w:val="single" w:sz="4" w:space="0" w:color="000000"/>
              <w:left w:val="single" w:sz="4" w:space="0" w:color="000000"/>
              <w:bottom w:val="single" w:sz="4" w:space="0" w:color="000000"/>
              <w:right w:val="single" w:sz="4" w:space="0" w:color="000000"/>
            </w:tcBorders>
            <w:vAlign w:val="center"/>
          </w:tcPr>
          <w:p w14:paraId="3177C1CF"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0,68 (0,59</w:t>
            </w:r>
            <w:r w:rsidR="00AC160C" w:rsidRPr="00C33F4C">
              <w:rPr>
                <w:color w:val="auto"/>
                <w:lang w:val="es-ES"/>
              </w:rPr>
              <w:t xml:space="preserve"> </w:t>
            </w:r>
            <w:r w:rsidRPr="00C33F4C">
              <w:rPr>
                <w:color w:val="auto"/>
                <w:lang w:val="es-ES"/>
              </w:rPr>
              <w:t>- 0,78)</w:t>
            </w:r>
          </w:p>
          <w:p w14:paraId="5A52E2C9"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(valor de p</w:t>
            </w:r>
            <w:r w:rsidR="009F084E" w:rsidRPr="00E30038">
              <w:t> </w:t>
            </w:r>
            <w:r w:rsidRPr="00C33F4C">
              <w:rPr>
                <w:color w:val="auto"/>
                <w:lang w:val="es-ES"/>
              </w:rPr>
              <w:t>&lt;</w:t>
            </w:r>
            <w:r w:rsidR="009F084E" w:rsidRPr="00E30038">
              <w:t> </w:t>
            </w:r>
            <w:r w:rsidRPr="00C33F4C">
              <w:rPr>
                <w:color w:val="auto"/>
                <w:lang w:val="es-ES"/>
              </w:rPr>
              <w:t>0,0001)</w:t>
            </w:r>
          </w:p>
        </w:tc>
      </w:tr>
      <w:tr w:rsidR="00FB24C0" w:rsidRPr="002C10E1" w14:paraId="7E009582" w14:textId="77777777" w:rsidTr="00C33F4C">
        <w:trPr>
          <w:trHeight w:val="289"/>
        </w:trPr>
        <w:tc>
          <w:tcPr>
            <w:tcW w:w="3369" w:type="dxa"/>
            <w:tcBorders>
              <w:top w:val="single" w:sz="4" w:space="0" w:color="000000"/>
              <w:left w:val="single" w:sz="4" w:space="0" w:color="000000"/>
              <w:bottom w:val="single" w:sz="4" w:space="0" w:color="000000"/>
              <w:right w:val="single" w:sz="4" w:space="0" w:color="000000"/>
            </w:tcBorders>
            <w:vAlign w:val="bottom"/>
          </w:tcPr>
          <w:p w14:paraId="17D46D93" w14:textId="21E1BCF6" w:rsidR="00FB24C0" w:rsidRPr="00C33F4C" w:rsidRDefault="00FB24C0" w:rsidP="00C33F4C">
            <w:pPr>
              <w:spacing w:after="0" w:line="240" w:lineRule="auto"/>
              <w:ind w:left="0" w:firstLine="0"/>
              <w:rPr>
                <w:color w:val="auto"/>
                <w:lang w:val="es-ES"/>
              </w:rPr>
            </w:pPr>
            <w:r w:rsidRPr="00C33F4C">
              <w:rPr>
                <w:color w:val="auto"/>
                <w:lang w:val="es-ES"/>
              </w:rPr>
              <w:t>Tasa de Respuesta Objetiva (TR</w:t>
            </w:r>
            <w:r w:rsidR="005E2E95" w:rsidRPr="00535C81">
              <w:rPr>
                <w:color w:val="auto"/>
                <w:lang w:val="es-ES"/>
              </w:rPr>
              <w:t>O</w:t>
            </w:r>
            <w:r w:rsidRPr="00C33F4C">
              <w:rPr>
                <w:color w:val="auto"/>
                <w:lang w:val="es-ES"/>
              </w:rPr>
              <w:t xml:space="preserve">) </w:t>
            </w:r>
          </w:p>
        </w:tc>
        <w:tc>
          <w:tcPr>
            <w:tcW w:w="5665" w:type="dxa"/>
            <w:gridSpan w:val="2"/>
            <w:tcBorders>
              <w:top w:val="single" w:sz="4" w:space="0" w:color="000000"/>
              <w:left w:val="single" w:sz="4" w:space="0" w:color="000000"/>
              <w:bottom w:val="single" w:sz="4" w:space="0" w:color="000000"/>
              <w:right w:val="single" w:sz="4" w:space="0" w:color="000000"/>
            </w:tcBorders>
            <w:vAlign w:val="center"/>
          </w:tcPr>
          <w:p w14:paraId="4B7C6376" w14:textId="77777777" w:rsidR="00FB24C0" w:rsidRPr="00C33F4C" w:rsidRDefault="00FB24C0" w:rsidP="00C33F4C">
            <w:pPr>
              <w:spacing w:after="0" w:line="240" w:lineRule="auto"/>
              <w:ind w:left="0" w:firstLine="0"/>
              <w:jc w:val="center"/>
              <w:rPr>
                <w:color w:val="auto"/>
                <w:lang w:val="es-ES"/>
              </w:rPr>
            </w:pPr>
          </w:p>
        </w:tc>
      </w:tr>
      <w:tr w:rsidR="00FB24C0" w:rsidRPr="00083E6C" w14:paraId="725C7E9B" w14:textId="77777777" w:rsidTr="00C33F4C">
        <w:trPr>
          <w:trHeight w:val="346"/>
        </w:trPr>
        <w:tc>
          <w:tcPr>
            <w:tcW w:w="3369" w:type="dxa"/>
            <w:tcBorders>
              <w:top w:val="single" w:sz="4" w:space="0" w:color="000000"/>
              <w:left w:val="single" w:sz="4" w:space="0" w:color="000000"/>
              <w:bottom w:val="single" w:sz="4" w:space="0" w:color="000000"/>
              <w:right w:val="single" w:sz="4" w:space="0" w:color="000000"/>
            </w:tcBorders>
            <w:vAlign w:val="bottom"/>
          </w:tcPr>
          <w:p w14:paraId="77748ECA" w14:textId="77777777" w:rsidR="00FB24C0" w:rsidRPr="00C33F4C" w:rsidRDefault="00FB24C0" w:rsidP="00C33F4C">
            <w:pPr>
              <w:spacing w:after="0" w:line="240" w:lineRule="auto"/>
              <w:ind w:left="567" w:firstLine="0"/>
              <w:rPr>
                <w:color w:val="auto"/>
                <w:lang w:val="es-ES"/>
              </w:rPr>
            </w:pPr>
            <w:r w:rsidRPr="00C33F4C">
              <w:rPr>
                <w:color w:val="auto"/>
                <w:lang w:val="es-ES"/>
              </w:rPr>
              <w:t xml:space="preserve">Pacientes incluidos en el análisis </w:t>
            </w:r>
          </w:p>
        </w:tc>
        <w:tc>
          <w:tcPr>
            <w:tcW w:w="2832" w:type="dxa"/>
            <w:tcBorders>
              <w:top w:val="single" w:sz="4" w:space="0" w:color="000000"/>
              <w:left w:val="single" w:sz="4" w:space="0" w:color="000000"/>
              <w:bottom w:val="single" w:sz="4" w:space="0" w:color="000000"/>
              <w:right w:val="single" w:sz="4" w:space="0" w:color="000000"/>
            </w:tcBorders>
            <w:vAlign w:val="center"/>
          </w:tcPr>
          <w:p w14:paraId="4D96D13F"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406</w:t>
            </w:r>
          </w:p>
        </w:tc>
        <w:tc>
          <w:tcPr>
            <w:tcW w:w="2832" w:type="dxa"/>
            <w:tcBorders>
              <w:top w:val="single" w:sz="4" w:space="0" w:color="000000"/>
              <w:left w:val="single" w:sz="4" w:space="0" w:color="000000"/>
              <w:bottom w:val="single" w:sz="4" w:space="0" w:color="000000"/>
              <w:right w:val="single" w:sz="4" w:space="0" w:color="000000"/>
            </w:tcBorders>
            <w:vAlign w:val="center"/>
          </w:tcPr>
          <w:p w14:paraId="2DE62D16"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404</w:t>
            </w:r>
          </w:p>
        </w:tc>
      </w:tr>
      <w:tr w:rsidR="00FB24C0" w:rsidRPr="00083E6C" w14:paraId="4C637160" w14:textId="77777777" w:rsidTr="00C33F4C">
        <w:trPr>
          <w:trHeight w:val="290"/>
        </w:trPr>
        <w:tc>
          <w:tcPr>
            <w:tcW w:w="3369" w:type="dxa"/>
            <w:tcBorders>
              <w:top w:val="single" w:sz="4" w:space="0" w:color="000000"/>
              <w:left w:val="single" w:sz="4" w:space="0" w:color="000000"/>
              <w:bottom w:val="single" w:sz="4" w:space="0" w:color="000000"/>
              <w:right w:val="single" w:sz="4" w:space="0" w:color="000000"/>
            </w:tcBorders>
            <w:vAlign w:val="bottom"/>
          </w:tcPr>
          <w:p w14:paraId="6171E370" w14:textId="77777777" w:rsidR="00FB24C0" w:rsidRPr="00C33F4C" w:rsidRDefault="00FB24C0" w:rsidP="00C33F4C">
            <w:pPr>
              <w:spacing w:after="0" w:line="240" w:lineRule="auto"/>
              <w:ind w:left="567" w:firstLine="0"/>
              <w:rPr>
                <w:color w:val="auto"/>
                <w:lang w:val="es-ES"/>
              </w:rPr>
            </w:pPr>
            <w:r w:rsidRPr="00C33F4C">
              <w:rPr>
                <w:color w:val="auto"/>
                <w:lang w:val="es-ES"/>
              </w:rPr>
              <w:t xml:space="preserve">Tasa </w:t>
            </w:r>
          </w:p>
        </w:tc>
        <w:tc>
          <w:tcPr>
            <w:tcW w:w="2832" w:type="dxa"/>
            <w:tcBorders>
              <w:top w:val="single" w:sz="4" w:space="0" w:color="000000"/>
              <w:left w:val="single" w:sz="4" w:space="0" w:color="000000"/>
              <w:bottom w:val="single" w:sz="4" w:space="0" w:color="000000"/>
              <w:right w:val="single" w:sz="4" w:space="0" w:color="000000"/>
            </w:tcBorders>
            <w:vAlign w:val="center"/>
          </w:tcPr>
          <w:p w14:paraId="692F2583"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3,9%</w:t>
            </w:r>
          </w:p>
        </w:tc>
        <w:tc>
          <w:tcPr>
            <w:tcW w:w="2832" w:type="dxa"/>
            <w:tcBorders>
              <w:top w:val="single" w:sz="4" w:space="0" w:color="000000"/>
              <w:left w:val="single" w:sz="4" w:space="0" w:color="000000"/>
              <w:bottom w:val="single" w:sz="4" w:space="0" w:color="000000"/>
              <w:right w:val="single" w:sz="4" w:space="0" w:color="000000"/>
            </w:tcBorders>
            <w:vAlign w:val="center"/>
          </w:tcPr>
          <w:p w14:paraId="50BF0D06"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5,4%</w:t>
            </w:r>
          </w:p>
        </w:tc>
      </w:tr>
      <w:tr w:rsidR="00FB24C0" w:rsidRPr="00083E6C" w14:paraId="35618C04" w14:textId="77777777" w:rsidTr="00C33F4C">
        <w:trPr>
          <w:trHeight w:val="290"/>
        </w:trPr>
        <w:tc>
          <w:tcPr>
            <w:tcW w:w="3369" w:type="dxa"/>
            <w:tcBorders>
              <w:top w:val="single" w:sz="4" w:space="0" w:color="000000"/>
              <w:left w:val="single" w:sz="4" w:space="0" w:color="000000"/>
              <w:bottom w:val="single" w:sz="4" w:space="0" w:color="000000"/>
              <w:right w:val="single" w:sz="4" w:space="0" w:color="000000"/>
            </w:tcBorders>
            <w:vAlign w:val="bottom"/>
          </w:tcPr>
          <w:p w14:paraId="1E0153AF" w14:textId="77777777" w:rsidR="00FB24C0" w:rsidRPr="00C33F4C" w:rsidRDefault="00FB24C0" w:rsidP="00C33F4C">
            <w:pPr>
              <w:spacing w:after="0" w:line="240" w:lineRule="auto"/>
              <w:ind w:left="0" w:firstLine="0"/>
              <w:rPr>
                <w:color w:val="auto"/>
                <w:lang w:val="es-ES"/>
              </w:rPr>
            </w:pPr>
          </w:p>
        </w:tc>
        <w:tc>
          <w:tcPr>
            <w:tcW w:w="5665" w:type="dxa"/>
            <w:gridSpan w:val="2"/>
            <w:tcBorders>
              <w:top w:val="single" w:sz="4" w:space="0" w:color="000000"/>
              <w:left w:val="single" w:sz="4" w:space="0" w:color="000000"/>
              <w:bottom w:val="single" w:sz="4" w:space="0" w:color="000000"/>
              <w:right w:val="single" w:sz="4" w:space="0" w:color="000000"/>
            </w:tcBorders>
            <w:vAlign w:val="center"/>
          </w:tcPr>
          <w:p w14:paraId="33F411F4"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(valor de p</w:t>
            </w:r>
            <w:r w:rsidR="009F084E" w:rsidRPr="00E30038">
              <w:t> </w:t>
            </w:r>
            <w:r w:rsidRPr="00C33F4C">
              <w:rPr>
                <w:color w:val="auto"/>
                <w:lang w:val="es-ES"/>
              </w:rPr>
              <w:t>=</w:t>
            </w:r>
            <w:r w:rsidR="009F084E" w:rsidRPr="00E30038">
              <w:t> </w:t>
            </w:r>
            <w:r w:rsidRPr="00C33F4C">
              <w:rPr>
                <w:color w:val="auto"/>
                <w:lang w:val="es-ES"/>
              </w:rPr>
              <w:t>0,3113)</w:t>
            </w:r>
          </w:p>
        </w:tc>
      </w:tr>
    </w:tbl>
    <w:p w14:paraId="7A454F24" w14:textId="77777777" w:rsidR="00FB24C0" w:rsidRPr="009A266D" w:rsidRDefault="00FB24C0" w:rsidP="00DA03D4">
      <w:pPr>
        <w:spacing w:after="0" w:line="240" w:lineRule="auto"/>
        <w:ind w:left="567" w:hanging="567"/>
        <w:rPr>
          <w:color w:val="auto"/>
          <w:sz w:val="20"/>
          <w:lang w:val="es-ES"/>
        </w:rPr>
      </w:pPr>
      <w:r w:rsidRPr="009A266D">
        <w:rPr>
          <w:color w:val="auto"/>
          <w:sz w:val="20"/>
          <w:vertAlign w:val="superscript"/>
          <w:lang w:val="es-ES"/>
        </w:rPr>
        <w:t>a</w:t>
      </w:r>
      <w:r w:rsidRPr="009A266D">
        <w:rPr>
          <w:color w:val="auto"/>
          <w:sz w:val="20"/>
          <w:lang w:val="es-ES"/>
        </w:rPr>
        <w:tab/>
        <w:t>5,0 mg/kg cada 2 semanas o 7,5 mg/kg cada 3 semanas</w:t>
      </w:r>
      <w:r w:rsidR="005B4556" w:rsidRPr="009A266D">
        <w:rPr>
          <w:color w:val="auto"/>
          <w:sz w:val="20"/>
          <w:lang w:val="es-ES"/>
        </w:rPr>
        <w:t>.</w:t>
      </w:r>
    </w:p>
    <w:p w14:paraId="4FFA022D" w14:textId="77777777" w:rsidR="00FB24C0" w:rsidRPr="009A266D" w:rsidRDefault="00FB24C0" w:rsidP="00FB24C0">
      <w:pPr>
        <w:spacing w:after="0" w:line="240" w:lineRule="auto"/>
        <w:ind w:left="0" w:firstLine="0"/>
        <w:rPr>
          <w:color w:val="auto"/>
          <w:lang w:val="es-ES"/>
        </w:rPr>
      </w:pPr>
    </w:p>
    <w:p w14:paraId="453259FB" w14:textId="77777777" w:rsidR="00FB24C0" w:rsidRPr="009A266D" w:rsidRDefault="00FB24C0" w:rsidP="00FB24C0">
      <w:pPr>
        <w:spacing w:after="0" w:line="240" w:lineRule="auto"/>
        <w:ind w:left="0" w:firstLine="0"/>
        <w:rPr>
          <w:color w:val="auto"/>
          <w:lang w:val="es-ES"/>
        </w:rPr>
      </w:pPr>
      <w:r w:rsidRPr="009A266D">
        <w:rPr>
          <w:color w:val="auto"/>
          <w:lang w:val="es-ES"/>
        </w:rPr>
        <w:t>También se observó una mejoría estadísticamente significativa en la supervivencia libre de progresión. La tasa de respuesta objetiva fue baja en ambos brazos de tratamiento y la diferencia no fue significativa.</w:t>
      </w:r>
    </w:p>
    <w:p w14:paraId="37B2BFA9" w14:textId="77777777" w:rsidR="004333BB" w:rsidRPr="009A266D" w:rsidRDefault="004333BB" w:rsidP="00FB24C0">
      <w:pPr>
        <w:spacing w:after="0" w:line="240" w:lineRule="auto"/>
        <w:ind w:left="0" w:firstLine="0"/>
        <w:rPr>
          <w:color w:val="auto"/>
          <w:lang w:val="es-ES"/>
        </w:rPr>
      </w:pPr>
    </w:p>
    <w:p w14:paraId="5F6F8930" w14:textId="169AB9DA" w:rsidR="00FB24C0" w:rsidRPr="009A266D" w:rsidRDefault="00FB24C0" w:rsidP="00FB24C0">
      <w:pPr>
        <w:spacing w:after="0" w:line="240" w:lineRule="auto"/>
        <w:ind w:left="0" w:firstLine="0"/>
        <w:rPr>
          <w:color w:val="auto"/>
          <w:lang w:val="es-ES"/>
        </w:rPr>
      </w:pPr>
      <w:r w:rsidRPr="009A266D">
        <w:rPr>
          <w:color w:val="auto"/>
          <w:lang w:val="es-ES"/>
        </w:rPr>
        <w:t xml:space="preserve">En el ensayo E3200 se utilizó una dosis equivalente de bevacizumab de 5 mg/kg/semana en pacientes no tratados previamente con bevacizumab, mientras que en el ensayo ML18147 se utilizó una dosis equivalente de bevacizumab de 2,5 mg/kg/semana en pacientes tratados previamente con bevacizumab. La comparación entre los ensayos clínicos de los datos de eficacia y seguridad está limitada por las diferencias entre estos ensayos, más notables en poblaciones de pacientes expuestas previamente a bevacizumab y a </w:t>
      </w:r>
      <w:r w:rsidR="005D0470">
        <w:rPr>
          <w:color w:val="auto"/>
          <w:lang w:val="es-ES"/>
        </w:rPr>
        <w:t>tratamientos</w:t>
      </w:r>
      <w:r w:rsidR="005D0470" w:rsidRPr="009A266D">
        <w:rPr>
          <w:color w:val="auto"/>
          <w:lang w:val="es-ES"/>
        </w:rPr>
        <w:t xml:space="preserve"> </w:t>
      </w:r>
      <w:r w:rsidRPr="009A266D">
        <w:rPr>
          <w:color w:val="auto"/>
          <w:lang w:val="es-ES"/>
        </w:rPr>
        <w:t xml:space="preserve">de quimioterapia. Ambas dosis equivalentes de bevacizumab, de 5 mg/kg/semana y 2,5 mg/kg/semana, proporcionaron un beneficio estadísticamente significativo </w:t>
      </w:r>
      <w:proofErr w:type="gramStart"/>
      <w:r w:rsidRPr="009A266D">
        <w:rPr>
          <w:color w:val="auto"/>
          <w:lang w:val="es-ES"/>
        </w:rPr>
        <w:t>en relación a</w:t>
      </w:r>
      <w:proofErr w:type="gramEnd"/>
      <w:r w:rsidRPr="009A266D">
        <w:rPr>
          <w:color w:val="auto"/>
          <w:lang w:val="es-ES"/>
        </w:rPr>
        <w:t xml:space="preserve"> la SG (Razón de riesgo 0,751 en el ensayo E3200; razón de riesgo 0,81 en el ensayo ML18147) y a la SLP (Razón de riesgo 0,518 en el ensayo E3200; razón de riesgo 0,68 en el ensayo ML18147). En términos de seguridad, hubo una mayor incidencia global de reacciones adversas de Grado 3-5 en el ensayo E3200 con respecto al ensayo ML18147.</w:t>
      </w:r>
    </w:p>
    <w:p w14:paraId="54EEEBA0" w14:textId="77777777" w:rsidR="00FB24C0" w:rsidRPr="009A266D" w:rsidRDefault="00FB24C0" w:rsidP="00FB24C0">
      <w:pPr>
        <w:spacing w:after="0" w:line="240" w:lineRule="auto"/>
        <w:ind w:left="0" w:firstLine="0"/>
        <w:rPr>
          <w:color w:val="auto"/>
          <w:lang w:val="es-ES"/>
        </w:rPr>
      </w:pPr>
    </w:p>
    <w:p w14:paraId="6CD23642" w14:textId="77777777" w:rsidR="00FB24C0" w:rsidRPr="009A266D" w:rsidRDefault="00FB24C0" w:rsidP="004333BB">
      <w:pPr>
        <w:keepNext/>
        <w:spacing w:after="0" w:line="240" w:lineRule="auto"/>
        <w:ind w:left="0" w:firstLine="0"/>
        <w:rPr>
          <w:i/>
          <w:color w:val="auto"/>
          <w:lang w:val="es-ES"/>
        </w:rPr>
      </w:pPr>
      <w:r w:rsidRPr="009A266D">
        <w:rPr>
          <w:i/>
          <w:color w:val="auto"/>
          <w:u w:val="single" w:color="000000"/>
          <w:lang w:val="es-ES"/>
        </w:rPr>
        <w:t>Cáncer de mama metastásico (</w:t>
      </w:r>
      <w:proofErr w:type="spellStart"/>
      <w:r w:rsidRPr="009A266D">
        <w:rPr>
          <w:i/>
          <w:color w:val="auto"/>
          <w:u w:val="single" w:color="000000"/>
          <w:lang w:val="es-ES"/>
        </w:rPr>
        <w:t>CMm</w:t>
      </w:r>
      <w:proofErr w:type="spellEnd"/>
      <w:r w:rsidRPr="009A266D">
        <w:rPr>
          <w:i/>
          <w:color w:val="auto"/>
          <w:u w:val="single" w:color="000000"/>
          <w:lang w:val="es-ES"/>
        </w:rPr>
        <w:t>)</w:t>
      </w:r>
    </w:p>
    <w:p w14:paraId="577879B6" w14:textId="77777777" w:rsidR="00FB24C0" w:rsidRPr="009A266D" w:rsidRDefault="00FB24C0" w:rsidP="004333BB">
      <w:pPr>
        <w:keepNext/>
        <w:spacing w:after="0" w:line="240" w:lineRule="auto"/>
        <w:ind w:left="0" w:firstLine="0"/>
        <w:rPr>
          <w:color w:val="auto"/>
          <w:lang w:val="es-ES"/>
        </w:rPr>
      </w:pPr>
    </w:p>
    <w:p w14:paraId="43E21F26" w14:textId="3D6D835A" w:rsidR="00FB24C0" w:rsidRPr="009A266D" w:rsidRDefault="00FB24C0" w:rsidP="00FB24C0">
      <w:pPr>
        <w:spacing w:after="0" w:line="240" w:lineRule="auto"/>
        <w:ind w:left="0" w:firstLine="0"/>
        <w:rPr>
          <w:color w:val="auto"/>
          <w:lang w:val="es-ES"/>
        </w:rPr>
      </w:pPr>
      <w:r w:rsidRPr="009A266D">
        <w:rPr>
          <w:color w:val="auto"/>
          <w:lang w:val="es-ES"/>
        </w:rPr>
        <w:t>Se diseñ</w:t>
      </w:r>
      <w:r w:rsidR="00D25A2A">
        <w:rPr>
          <w:color w:val="auto"/>
          <w:lang w:val="es-ES"/>
        </w:rPr>
        <w:t>aron</w:t>
      </w:r>
      <w:r w:rsidRPr="009A266D">
        <w:rPr>
          <w:color w:val="auto"/>
          <w:lang w:val="es-ES"/>
        </w:rPr>
        <w:t xml:space="preserve"> </w:t>
      </w:r>
      <w:r w:rsidR="00D25A2A">
        <w:rPr>
          <w:color w:val="auto"/>
          <w:lang w:val="es-ES"/>
        </w:rPr>
        <w:t>dos</w:t>
      </w:r>
      <w:r w:rsidR="00322361">
        <w:rPr>
          <w:color w:val="auto"/>
          <w:lang w:val="es-ES"/>
        </w:rPr>
        <w:t xml:space="preserve"> gran</w:t>
      </w:r>
      <w:r w:rsidR="00D25A2A">
        <w:rPr>
          <w:color w:val="auto"/>
          <w:lang w:val="es-ES"/>
        </w:rPr>
        <w:t>des</w:t>
      </w:r>
      <w:r w:rsidR="009C2918">
        <w:rPr>
          <w:color w:val="auto"/>
          <w:lang w:val="es-ES"/>
        </w:rPr>
        <w:t xml:space="preserve"> </w:t>
      </w:r>
      <w:r w:rsidR="00756D7E">
        <w:rPr>
          <w:color w:val="auto"/>
          <w:lang w:val="es-ES"/>
        </w:rPr>
        <w:t>ensayo</w:t>
      </w:r>
      <w:r w:rsidR="00D25A2A">
        <w:rPr>
          <w:color w:val="auto"/>
          <w:lang w:val="es-ES"/>
        </w:rPr>
        <w:t>s</w:t>
      </w:r>
      <w:r w:rsidRPr="009A266D">
        <w:rPr>
          <w:color w:val="auto"/>
          <w:lang w:val="es-ES"/>
        </w:rPr>
        <w:t xml:space="preserve"> fase III con el fin de investigar el efecto del tratamiento de</w:t>
      </w:r>
      <w:r w:rsidR="00D43E33">
        <w:rPr>
          <w:color w:val="auto"/>
          <w:lang w:val="es-ES"/>
        </w:rPr>
        <w:t xml:space="preserve"> </w:t>
      </w:r>
      <w:r w:rsidR="00D43E33" w:rsidRPr="001919A9">
        <w:rPr>
          <w:lang w:val="es-ES"/>
        </w:rPr>
        <w:t>bevacizumab</w:t>
      </w:r>
      <w:r w:rsidR="00D43E33">
        <w:rPr>
          <w:lang w:val="es-ES"/>
        </w:rPr>
        <w:t xml:space="preserve"> </w:t>
      </w:r>
      <w:r w:rsidRPr="009A266D">
        <w:rPr>
          <w:color w:val="auto"/>
          <w:lang w:val="es-ES"/>
        </w:rPr>
        <w:t xml:space="preserve">en combinación con </w:t>
      </w:r>
      <w:r w:rsidR="00D25A2A">
        <w:rPr>
          <w:color w:val="auto"/>
          <w:lang w:val="es-ES"/>
        </w:rPr>
        <w:t>dos agentes quimioterápicos de forma individual</w:t>
      </w:r>
      <w:r w:rsidRPr="009A266D">
        <w:rPr>
          <w:color w:val="auto"/>
          <w:lang w:val="es-ES"/>
        </w:rPr>
        <w:t xml:space="preserve">, en los que se midió como variable principal la SLP. </w:t>
      </w:r>
      <w:r w:rsidR="00D25A2A">
        <w:rPr>
          <w:color w:val="auto"/>
          <w:lang w:val="es-ES"/>
        </w:rPr>
        <w:t>En ambos ensayos s</w:t>
      </w:r>
      <w:r w:rsidRPr="009A266D">
        <w:rPr>
          <w:color w:val="auto"/>
          <w:lang w:val="es-ES"/>
        </w:rPr>
        <w:t>e observó una mejoría clínic</w:t>
      </w:r>
      <w:r w:rsidR="009C2918">
        <w:rPr>
          <w:color w:val="auto"/>
          <w:lang w:val="es-ES"/>
        </w:rPr>
        <w:t>a</w:t>
      </w:r>
      <w:r w:rsidRPr="009A266D">
        <w:rPr>
          <w:color w:val="auto"/>
          <w:lang w:val="es-ES"/>
        </w:rPr>
        <w:t xml:space="preserve"> y estadísticamente significativa en SLP.</w:t>
      </w:r>
    </w:p>
    <w:p w14:paraId="54D1BB16" w14:textId="77777777" w:rsidR="00FB24C0" w:rsidRPr="009A266D" w:rsidRDefault="00FB24C0" w:rsidP="00FB24C0">
      <w:pPr>
        <w:spacing w:after="0" w:line="240" w:lineRule="auto"/>
        <w:ind w:left="0" w:firstLine="0"/>
        <w:rPr>
          <w:color w:val="auto"/>
          <w:lang w:val="es-ES"/>
        </w:rPr>
      </w:pPr>
    </w:p>
    <w:p w14:paraId="0D03235F" w14:textId="3E39A8C0" w:rsidR="00FB24C0" w:rsidRPr="009A266D" w:rsidRDefault="00FB24C0" w:rsidP="00AE2BCA">
      <w:pPr>
        <w:keepNext/>
        <w:keepLines/>
        <w:spacing w:after="0" w:line="240" w:lineRule="auto"/>
        <w:ind w:left="0" w:firstLine="0"/>
        <w:rPr>
          <w:color w:val="auto"/>
          <w:lang w:val="es-ES"/>
        </w:rPr>
      </w:pPr>
      <w:r w:rsidRPr="009A266D">
        <w:rPr>
          <w:color w:val="auto"/>
          <w:lang w:val="es-ES"/>
        </w:rPr>
        <w:lastRenderedPageBreak/>
        <w:t>A continuación</w:t>
      </w:r>
      <w:r w:rsidR="00832F03">
        <w:rPr>
          <w:color w:val="auto"/>
          <w:lang w:val="es-ES"/>
        </w:rPr>
        <w:t>,</w:t>
      </w:r>
      <w:r w:rsidRPr="009A266D">
        <w:rPr>
          <w:color w:val="auto"/>
          <w:lang w:val="es-ES"/>
        </w:rPr>
        <w:t xml:space="preserve"> se resumen los resultados de SLP</w:t>
      </w:r>
      <w:r w:rsidR="00C7151B">
        <w:rPr>
          <w:color w:val="auto"/>
          <w:lang w:val="es-ES"/>
        </w:rPr>
        <w:t xml:space="preserve"> </w:t>
      </w:r>
      <w:r w:rsidR="00C7151B" w:rsidRPr="005F3B14">
        <w:rPr>
          <w:lang w:val="es-ES"/>
        </w:rPr>
        <w:t>para los agentes quimioterápicos de forma individual incluidos en la indicación</w:t>
      </w:r>
      <w:r w:rsidRPr="009A266D">
        <w:rPr>
          <w:color w:val="auto"/>
          <w:lang w:val="es-ES"/>
        </w:rPr>
        <w:t>:</w:t>
      </w:r>
    </w:p>
    <w:p w14:paraId="4C70A7F6" w14:textId="77777777" w:rsidR="00FB24C0" w:rsidRPr="009A266D" w:rsidRDefault="00FB24C0" w:rsidP="00AE2BCA">
      <w:pPr>
        <w:keepNext/>
        <w:keepLines/>
        <w:spacing w:after="0" w:line="240" w:lineRule="auto"/>
        <w:ind w:left="0" w:firstLine="0"/>
        <w:rPr>
          <w:color w:val="auto"/>
          <w:lang w:val="es-ES"/>
        </w:rPr>
      </w:pPr>
    </w:p>
    <w:p w14:paraId="18E867E7" w14:textId="77777777" w:rsidR="00FB24C0" w:rsidRPr="009A266D" w:rsidRDefault="00FB24C0" w:rsidP="00AE2BCA">
      <w:pPr>
        <w:keepNext/>
        <w:keepLines/>
        <w:numPr>
          <w:ilvl w:val="0"/>
          <w:numId w:val="6"/>
        </w:numPr>
        <w:spacing w:after="0" w:line="240" w:lineRule="auto"/>
        <w:ind w:left="567" w:hanging="567"/>
        <w:rPr>
          <w:color w:val="auto"/>
          <w:lang w:val="es-ES"/>
        </w:rPr>
      </w:pPr>
      <w:r w:rsidRPr="009A266D">
        <w:rPr>
          <w:color w:val="auto"/>
          <w:lang w:val="es-ES"/>
        </w:rPr>
        <w:t>Ensayo E2100 (</w:t>
      </w:r>
      <w:proofErr w:type="spellStart"/>
      <w:r w:rsidRPr="009A266D">
        <w:rPr>
          <w:color w:val="auto"/>
          <w:lang w:val="es-ES"/>
        </w:rPr>
        <w:t>paclitaxel</w:t>
      </w:r>
      <w:proofErr w:type="spellEnd"/>
      <w:r w:rsidRPr="009A266D">
        <w:rPr>
          <w:color w:val="auto"/>
          <w:lang w:val="es-ES"/>
        </w:rPr>
        <w:t>)</w:t>
      </w:r>
    </w:p>
    <w:p w14:paraId="26E6D319" w14:textId="77777777" w:rsidR="00FB24C0" w:rsidRDefault="00FB24C0" w:rsidP="00AE2BCA">
      <w:pPr>
        <w:keepNext/>
        <w:keepLines/>
        <w:numPr>
          <w:ilvl w:val="0"/>
          <w:numId w:val="6"/>
        </w:numPr>
        <w:spacing w:after="0" w:line="240" w:lineRule="auto"/>
        <w:ind w:left="993" w:hanging="426"/>
        <w:rPr>
          <w:color w:val="auto"/>
          <w:lang w:val="es-ES"/>
        </w:rPr>
      </w:pPr>
      <w:r w:rsidRPr="009A266D">
        <w:rPr>
          <w:color w:val="auto"/>
          <w:lang w:val="es-ES"/>
        </w:rPr>
        <w:t>Mediana de SLP aumenta 5,6 meses, razón de riesgo 0,421 (valor de p</w:t>
      </w:r>
      <w:r w:rsidR="00A46A8A" w:rsidRPr="00D1096C">
        <w:rPr>
          <w:lang w:val="es-ES"/>
        </w:rPr>
        <w:t> </w:t>
      </w:r>
      <w:r w:rsidRPr="009A266D">
        <w:rPr>
          <w:color w:val="auto"/>
          <w:lang w:val="es-ES"/>
        </w:rPr>
        <w:t>&lt; 0,0001, IC del 95% 0,343; 0,516)</w:t>
      </w:r>
    </w:p>
    <w:p w14:paraId="57F38E51" w14:textId="2A1EA925" w:rsidR="00C7151B" w:rsidRPr="005F3B14" w:rsidRDefault="00C7151B" w:rsidP="00C7151B">
      <w:pPr>
        <w:numPr>
          <w:ilvl w:val="0"/>
          <w:numId w:val="6"/>
        </w:numPr>
        <w:spacing w:after="0" w:line="240" w:lineRule="auto"/>
        <w:ind w:left="567" w:hanging="567"/>
        <w:rPr>
          <w:color w:val="auto"/>
          <w:lang w:val="es-ES"/>
        </w:rPr>
      </w:pPr>
      <w:proofErr w:type="spellStart"/>
      <w:r>
        <w:t>Ensayo</w:t>
      </w:r>
      <w:proofErr w:type="spellEnd"/>
      <w:r>
        <w:t xml:space="preserve"> AVF3694g (</w:t>
      </w:r>
      <w:proofErr w:type="spellStart"/>
      <w:r>
        <w:t>capecitabina</w:t>
      </w:r>
      <w:proofErr w:type="spellEnd"/>
      <w:r>
        <w:t>)</w:t>
      </w:r>
    </w:p>
    <w:p w14:paraId="6C97F14A" w14:textId="3F46E5C4" w:rsidR="00C7151B" w:rsidRPr="009A266D" w:rsidRDefault="00C7151B" w:rsidP="00EE5480">
      <w:pPr>
        <w:numPr>
          <w:ilvl w:val="0"/>
          <w:numId w:val="6"/>
        </w:numPr>
        <w:spacing w:after="0" w:line="240" w:lineRule="auto"/>
        <w:ind w:left="993" w:hanging="426"/>
        <w:rPr>
          <w:color w:val="auto"/>
          <w:lang w:val="es-ES"/>
        </w:rPr>
      </w:pPr>
      <w:r w:rsidRPr="005F3B14">
        <w:rPr>
          <w:lang w:val="es-ES"/>
        </w:rPr>
        <w:t>Mediana de SLP aumenta 2,9</w:t>
      </w:r>
      <w:r>
        <w:rPr>
          <w:lang w:val="es-ES"/>
        </w:rPr>
        <w:t> </w:t>
      </w:r>
      <w:r w:rsidRPr="005F3B14">
        <w:rPr>
          <w:lang w:val="es-ES"/>
        </w:rPr>
        <w:t>meses, razón de riesgo 0,69 (valor de p</w:t>
      </w:r>
      <w:r>
        <w:rPr>
          <w:lang w:val="es-ES"/>
        </w:rPr>
        <w:t> </w:t>
      </w:r>
      <w:r w:rsidRPr="005F3B14">
        <w:rPr>
          <w:lang w:val="es-ES"/>
        </w:rPr>
        <w:t>=</w:t>
      </w:r>
      <w:r>
        <w:rPr>
          <w:lang w:val="es-ES"/>
        </w:rPr>
        <w:t> </w:t>
      </w:r>
      <w:r w:rsidRPr="00EE5480">
        <w:rPr>
          <w:lang w:val="es-ES"/>
        </w:rPr>
        <w:t>0,0002, IC del 95% 0,56; 0,84)</w:t>
      </w:r>
    </w:p>
    <w:p w14:paraId="003D392F" w14:textId="77777777" w:rsidR="00FB24C0" w:rsidRPr="009A266D" w:rsidRDefault="00FB24C0" w:rsidP="00FB24C0">
      <w:pPr>
        <w:spacing w:after="0" w:line="240" w:lineRule="auto"/>
        <w:ind w:left="0" w:firstLine="0"/>
        <w:rPr>
          <w:color w:val="auto"/>
          <w:lang w:val="es-ES"/>
        </w:rPr>
      </w:pPr>
    </w:p>
    <w:p w14:paraId="47C75E0C" w14:textId="450B90A9" w:rsidR="00FB24C0" w:rsidRPr="009A266D" w:rsidRDefault="00FB24C0" w:rsidP="00FB24C0">
      <w:pPr>
        <w:spacing w:after="0" w:line="240" w:lineRule="auto"/>
        <w:ind w:left="0" w:firstLine="0"/>
        <w:rPr>
          <w:color w:val="auto"/>
          <w:lang w:val="es-ES"/>
        </w:rPr>
      </w:pPr>
      <w:r w:rsidRPr="009A266D">
        <w:rPr>
          <w:color w:val="auto"/>
          <w:lang w:val="es-ES"/>
        </w:rPr>
        <w:t>A continuación</w:t>
      </w:r>
      <w:r w:rsidR="00832F03">
        <w:rPr>
          <w:color w:val="auto"/>
          <w:lang w:val="es-ES"/>
        </w:rPr>
        <w:t>,</w:t>
      </w:r>
      <w:r w:rsidRPr="009A266D">
        <w:rPr>
          <w:color w:val="auto"/>
          <w:lang w:val="es-ES"/>
        </w:rPr>
        <w:t xml:space="preserve"> se pr</w:t>
      </w:r>
      <w:r w:rsidR="00756D7E">
        <w:rPr>
          <w:color w:val="auto"/>
          <w:lang w:val="es-ES"/>
        </w:rPr>
        <w:t>oporcionan los detalles de</w:t>
      </w:r>
      <w:r w:rsidR="007B6F2F">
        <w:rPr>
          <w:color w:val="auto"/>
          <w:lang w:val="es-ES"/>
        </w:rPr>
        <w:t xml:space="preserve"> cada</w:t>
      </w:r>
      <w:r w:rsidR="00756D7E">
        <w:rPr>
          <w:color w:val="auto"/>
          <w:lang w:val="es-ES"/>
        </w:rPr>
        <w:t xml:space="preserve"> </w:t>
      </w:r>
      <w:r w:rsidRPr="009A266D">
        <w:rPr>
          <w:color w:val="auto"/>
          <w:lang w:val="es-ES"/>
        </w:rPr>
        <w:t>ensayo y sus resultados.</w:t>
      </w:r>
    </w:p>
    <w:p w14:paraId="466FBF03" w14:textId="77777777" w:rsidR="00FB24C0" w:rsidRPr="009A266D" w:rsidRDefault="00FB24C0" w:rsidP="00FB24C0">
      <w:pPr>
        <w:spacing w:after="0" w:line="240" w:lineRule="auto"/>
        <w:ind w:left="0" w:firstLine="0"/>
        <w:rPr>
          <w:color w:val="auto"/>
          <w:lang w:val="es-ES"/>
        </w:rPr>
      </w:pPr>
    </w:p>
    <w:p w14:paraId="47FFB759" w14:textId="77777777" w:rsidR="00FB24C0" w:rsidRPr="009A266D" w:rsidRDefault="00FB24C0" w:rsidP="00DF3681">
      <w:pPr>
        <w:keepNext/>
        <w:spacing w:after="0" w:line="240" w:lineRule="auto"/>
        <w:ind w:left="0" w:firstLine="0"/>
        <w:rPr>
          <w:i/>
          <w:color w:val="auto"/>
          <w:lang w:val="es-ES"/>
        </w:rPr>
      </w:pPr>
      <w:r w:rsidRPr="009A266D">
        <w:rPr>
          <w:i/>
          <w:color w:val="auto"/>
          <w:lang w:val="es-ES"/>
        </w:rPr>
        <w:t>ECOG E2100</w:t>
      </w:r>
    </w:p>
    <w:p w14:paraId="3829A255" w14:textId="77777777" w:rsidR="00FB24C0" w:rsidRPr="009A266D" w:rsidRDefault="00FB24C0" w:rsidP="00FB24C0">
      <w:pPr>
        <w:spacing w:after="0" w:line="240" w:lineRule="auto"/>
        <w:ind w:left="0" w:firstLine="0"/>
        <w:rPr>
          <w:color w:val="auto"/>
          <w:lang w:val="es-ES"/>
        </w:rPr>
      </w:pPr>
      <w:r w:rsidRPr="009A266D">
        <w:rPr>
          <w:color w:val="auto"/>
          <w:lang w:val="es-ES"/>
        </w:rPr>
        <w:t xml:space="preserve">El ensayo E2100, multicéntrico, aleatorizado, abierto y controlado con comparador activo, en el que se evaluó </w:t>
      </w:r>
      <w:r w:rsidR="00D43E33" w:rsidRPr="001919A9">
        <w:rPr>
          <w:lang w:val="es-ES"/>
        </w:rPr>
        <w:t>bevacizumab</w:t>
      </w:r>
      <w:r w:rsidRPr="009A266D">
        <w:rPr>
          <w:color w:val="auto"/>
          <w:lang w:val="es-ES"/>
        </w:rPr>
        <w:t xml:space="preserve"> en combinación con </w:t>
      </w:r>
      <w:proofErr w:type="spellStart"/>
      <w:r w:rsidRPr="009A266D">
        <w:rPr>
          <w:color w:val="auto"/>
          <w:lang w:val="es-ES"/>
        </w:rPr>
        <w:t>paclitaxel</w:t>
      </w:r>
      <w:proofErr w:type="spellEnd"/>
      <w:r w:rsidRPr="009A266D">
        <w:rPr>
          <w:color w:val="auto"/>
          <w:lang w:val="es-ES"/>
        </w:rPr>
        <w:t xml:space="preserve"> para el tratamiento del cáncer de mama metastásico o localmente recidivante en pacientes que no habían recibido previamente quimioterapia para la enfermedad metastásica y localmente recidivante. Los pacientes fueron aleatorizados para recibir </w:t>
      </w:r>
      <w:proofErr w:type="spellStart"/>
      <w:r w:rsidRPr="009A266D">
        <w:rPr>
          <w:color w:val="auto"/>
          <w:lang w:val="es-ES"/>
        </w:rPr>
        <w:t>paclitaxel</w:t>
      </w:r>
      <w:proofErr w:type="spellEnd"/>
      <w:r w:rsidRPr="009A266D">
        <w:rPr>
          <w:color w:val="auto"/>
          <w:lang w:val="es-ES"/>
        </w:rPr>
        <w:t xml:space="preserve"> solo (90 mg/m</w:t>
      </w:r>
      <w:r w:rsidRPr="009A266D">
        <w:rPr>
          <w:color w:val="auto"/>
          <w:vertAlign w:val="superscript"/>
          <w:lang w:val="es-ES"/>
        </w:rPr>
        <w:t>2</w:t>
      </w:r>
      <w:r w:rsidRPr="009A266D">
        <w:rPr>
          <w:color w:val="auto"/>
          <w:lang w:val="es-ES"/>
        </w:rPr>
        <w:t xml:space="preserve"> IV durante 1 hora una vez a la semana, tres semanas de cada cuatro) o en combinación con </w:t>
      </w:r>
      <w:r w:rsidR="00D43E33" w:rsidRPr="001919A9">
        <w:rPr>
          <w:lang w:val="es-ES"/>
        </w:rPr>
        <w:t>bevacizumab</w:t>
      </w:r>
      <w:r w:rsidRPr="009A266D">
        <w:rPr>
          <w:color w:val="auto"/>
          <w:lang w:val="es-ES"/>
        </w:rPr>
        <w:t xml:space="preserve"> (10 mg/kg en perfusión IV cada dos semanas). Se permitió que los pacientes hubieran recibido tratamiento hormonal previo para la enfermedad metastásica. La terapia adyuvante con </w:t>
      </w:r>
      <w:proofErr w:type="spellStart"/>
      <w:r w:rsidRPr="009A266D">
        <w:rPr>
          <w:color w:val="auto"/>
          <w:lang w:val="es-ES"/>
        </w:rPr>
        <w:t>taxanos</w:t>
      </w:r>
      <w:proofErr w:type="spellEnd"/>
      <w:r w:rsidRPr="009A266D">
        <w:rPr>
          <w:color w:val="auto"/>
          <w:lang w:val="es-ES"/>
        </w:rPr>
        <w:t xml:space="preserve"> se permitió sólo en aquellos casos en que hubiera sido completada al menos 12 meses antes de la incorporación al ensayo. De los 722 pacientes del ensayo, la mayoría eran pacientes con tumores HER2-negativos (90%), salvo un pequeño número con estatus HER2-desconocido (8%) o HER2-positivo (2%), que habían sido tratados previamente con </w:t>
      </w:r>
      <w:proofErr w:type="spellStart"/>
      <w:r w:rsidRPr="009A266D">
        <w:rPr>
          <w:color w:val="auto"/>
          <w:lang w:val="es-ES"/>
        </w:rPr>
        <w:t>trastuzumab</w:t>
      </w:r>
      <w:proofErr w:type="spellEnd"/>
      <w:r w:rsidRPr="009A266D">
        <w:rPr>
          <w:color w:val="auto"/>
          <w:lang w:val="es-ES"/>
        </w:rPr>
        <w:t xml:space="preserve"> o no se consideraron candidatos para </w:t>
      </w:r>
      <w:proofErr w:type="spellStart"/>
      <w:r w:rsidRPr="009A266D">
        <w:rPr>
          <w:color w:val="auto"/>
          <w:lang w:val="es-ES"/>
        </w:rPr>
        <w:t>trastuzumab</w:t>
      </w:r>
      <w:proofErr w:type="spellEnd"/>
      <w:r w:rsidRPr="009A266D">
        <w:rPr>
          <w:color w:val="auto"/>
          <w:lang w:val="es-ES"/>
        </w:rPr>
        <w:t xml:space="preserve">. Además, el 65% de los pacientes habían recibido quimioterapia en adyuvancia, incluyendo un 19% con tratamiento previo de </w:t>
      </w:r>
      <w:proofErr w:type="spellStart"/>
      <w:r w:rsidRPr="009A266D">
        <w:rPr>
          <w:color w:val="auto"/>
          <w:lang w:val="es-ES"/>
        </w:rPr>
        <w:t>taxanos</w:t>
      </w:r>
      <w:proofErr w:type="spellEnd"/>
      <w:r w:rsidRPr="009A266D">
        <w:rPr>
          <w:color w:val="auto"/>
          <w:lang w:val="es-ES"/>
        </w:rPr>
        <w:t xml:space="preserve"> y un 49% con tratamiento previo de</w:t>
      </w:r>
      <w:r w:rsidR="00DF3681" w:rsidRPr="009A266D">
        <w:rPr>
          <w:color w:val="auto"/>
          <w:lang w:val="es-ES"/>
        </w:rPr>
        <w:t xml:space="preserve"> </w:t>
      </w:r>
      <w:r w:rsidRPr="009A266D">
        <w:rPr>
          <w:color w:val="auto"/>
          <w:lang w:val="es-ES"/>
        </w:rPr>
        <w:t>antraciclinas. Se excluyeron aquellos pacientes con metástasis en el sistema nervioso central, incluyendo los tratados previamente o con lesiones cerebrales resecadas.</w:t>
      </w:r>
    </w:p>
    <w:p w14:paraId="304557EB" w14:textId="77777777" w:rsidR="00FB24C0" w:rsidRPr="009A266D" w:rsidRDefault="00FB24C0" w:rsidP="00FB24C0">
      <w:pPr>
        <w:spacing w:after="0" w:line="240" w:lineRule="auto"/>
        <w:ind w:left="0" w:firstLine="0"/>
        <w:rPr>
          <w:color w:val="auto"/>
          <w:lang w:val="es-ES"/>
        </w:rPr>
      </w:pPr>
    </w:p>
    <w:p w14:paraId="6F4A9F52" w14:textId="45AE3F12" w:rsidR="00FB24C0" w:rsidRPr="009A266D" w:rsidRDefault="00FB24C0" w:rsidP="00FB24C0">
      <w:pPr>
        <w:spacing w:after="0" w:line="240" w:lineRule="auto"/>
        <w:ind w:left="0" w:firstLine="0"/>
        <w:rPr>
          <w:color w:val="auto"/>
          <w:lang w:val="es-ES"/>
        </w:rPr>
      </w:pPr>
      <w:r w:rsidRPr="009A266D">
        <w:rPr>
          <w:color w:val="auto"/>
          <w:lang w:val="es-ES"/>
        </w:rPr>
        <w:t xml:space="preserve">En el ensayo E2100, los pacientes se trataron hasta la progresión de la enfermedad. En aquellas situaciones en que se requirió la interrupción temprana de la quimioterapia, el tratamiento continuó con </w:t>
      </w:r>
      <w:r w:rsidR="00D43E33" w:rsidRPr="001919A9">
        <w:rPr>
          <w:lang w:val="es-ES"/>
        </w:rPr>
        <w:t>bevacizumab</w:t>
      </w:r>
      <w:r w:rsidRPr="009A266D">
        <w:rPr>
          <w:color w:val="auto"/>
          <w:lang w:val="es-ES"/>
        </w:rPr>
        <w:t xml:space="preserve"> en monoterapia hasta la progresión de la enfermedad. Las características basales de los pacientes fueron similares entre los brazos del ensayo. La variable principal del ensayo fue la supervivencia libre de progresión (SLP), basada en la evaluación de los investigadores del ensayo de la progresión de la enfermedad. Además, también se realizó una revisión independiente de la variable principal. En la </w:t>
      </w:r>
      <w:r w:rsidR="00471B84">
        <w:rPr>
          <w:color w:val="auto"/>
          <w:lang w:val="es-ES"/>
        </w:rPr>
        <w:t>t</w:t>
      </w:r>
      <w:r w:rsidRPr="009A266D">
        <w:rPr>
          <w:color w:val="auto"/>
          <w:lang w:val="es-ES"/>
        </w:rPr>
        <w:t>abla 10 se recogen los resultados de este ensayo.</w:t>
      </w:r>
    </w:p>
    <w:p w14:paraId="1CCEFB89" w14:textId="77777777" w:rsidR="00FB24C0" w:rsidRPr="009A266D" w:rsidRDefault="00FB24C0" w:rsidP="00FB24C0">
      <w:pPr>
        <w:spacing w:after="0" w:line="240" w:lineRule="auto"/>
        <w:ind w:left="0" w:firstLine="0"/>
        <w:rPr>
          <w:color w:val="auto"/>
          <w:lang w:val="es-ES"/>
        </w:rPr>
      </w:pPr>
    </w:p>
    <w:p w14:paraId="4B947C3A" w14:textId="77777777" w:rsidR="00FB24C0" w:rsidRPr="00DF3681" w:rsidRDefault="00FB24C0" w:rsidP="00DF3681">
      <w:pPr>
        <w:keepNext/>
        <w:spacing w:after="0" w:line="240" w:lineRule="auto"/>
        <w:ind w:left="0" w:firstLine="0"/>
        <w:rPr>
          <w:b/>
          <w:color w:val="auto"/>
          <w:lang w:val="es-ES"/>
        </w:rPr>
      </w:pPr>
      <w:r w:rsidRPr="00DF3681">
        <w:rPr>
          <w:b/>
          <w:color w:val="auto"/>
          <w:lang w:val="es-ES"/>
        </w:rPr>
        <w:t>Tabla 10</w:t>
      </w:r>
      <w:r w:rsidR="00DF3681">
        <w:rPr>
          <w:b/>
          <w:color w:val="auto"/>
          <w:lang w:val="es-ES"/>
        </w:rPr>
        <w:t>.</w:t>
      </w:r>
      <w:r w:rsidRPr="00DF3681">
        <w:rPr>
          <w:b/>
          <w:color w:val="auto"/>
          <w:lang w:val="es-ES"/>
        </w:rPr>
        <w:t xml:space="preserve"> Resultados de eficacia del ensayo E2100</w:t>
      </w:r>
    </w:p>
    <w:p w14:paraId="1A6EA586" w14:textId="77777777" w:rsidR="00FB24C0" w:rsidRPr="00443040" w:rsidRDefault="00FB24C0" w:rsidP="008367EA">
      <w:pPr>
        <w:keepNext/>
        <w:spacing w:after="0" w:line="240" w:lineRule="auto"/>
        <w:ind w:left="0" w:firstLine="0"/>
        <w:rPr>
          <w:color w:val="auto"/>
          <w:lang w:val="es-ES"/>
        </w:rPr>
      </w:pPr>
    </w:p>
    <w:tbl>
      <w:tblPr>
        <w:tblW w:w="9067" w:type="dxa"/>
        <w:tblInd w:w="-5" w:type="dxa"/>
        <w:tblLayout w:type="fixed"/>
        <w:tblCellMar>
          <w:top w:w="55" w:type="dxa"/>
          <w:right w:w="115" w:type="dxa"/>
        </w:tblCellMar>
        <w:tblLook w:val="04A0" w:firstRow="1" w:lastRow="0" w:firstColumn="1" w:lastColumn="0" w:noHBand="0" w:noVBand="1"/>
      </w:tblPr>
      <w:tblGrid>
        <w:gridCol w:w="1291"/>
        <w:gridCol w:w="1119"/>
        <w:gridCol w:w="2769"/>
        <w:gridCol w:w="1200"/>
        <w:gridCol w:w="2688"/>
      </w:tblGrid>
      <w:tr w:rsidR="00260E0F" w:rsidRPr="00DF3681" w14:paraId="608CB77E" w14:textId="77777777" w:rsidTr="00D161AB">
        <w:trPr>
          <w:trHeight w:val="281"/>
        </w:trPr>
        <w:tc>
          <w:tcPr>
            <w:tcW w:w="9067" w:type="dxa"/>
            <w:gridSpan w:val="5"/>
            <w:tcBorders>
              <w:top w:val="single" w:sz="4" w:space="0" w:color="000000"/>
              <w:left w:val="single" w:sz="4" w:space="0" w:color="000000"/>
              <w:bottom w:val="single" w:sz="4" w:space="0" w:color="000000"/>
              <w:right w:val="single" w:sz="4" w:space="0" w:color="000000"/>
            </w:tcBorders>
          </w:tcPr>
          <w:p w14:paraId="21D0C11A" w14:textId="77777777" w:rsidR="00260E0F" w:rsidRPr="00C33F4C" w:rsidRDefault="00260E0F" w:rsidP="00C33F4C">
            <w:pPr>
              <w:spacing w:after="0" w:line="240" w:lineRule="auto"/>
              <w:ind w:left="0" w:firstLine="0"/>
              <w:rPr>
                <w:color w:val="auto"/>
                <w:lang w:val="es-ES"/>
              </w:rPr>
            </w:pPr>
            <w:r w:rsidRPr="00C33F4C">
              <w:rPr>
                <w:color w:val="auto"/>
                <w:lang w:val="es-ES"/>
              </w:rPr>
              <w:t>Supervivencia libre de progresión</w:t>
            </w:r>
          </w:p>
        </w:tc>
      </w:tr>
      <w:tr w:rsidR="00D445BE" w:rsidRPr="002C10E1" w14:paraId="6F18731E" w14:textId="77777777" w:rsidTr="00D161AB">
        <w:trPr>
          <w:trHeight w:val="499"/>
        </w:trPr>
        <w:tc>
          <w:tcPr>
            <w:tcW w:w="1291" w:type="dxa"/>
            <w:tcBorders>
              <w:top w:val="single" w:sz="4" w:space="0" w:color="000000"/>
              <w:left w:val="single" w:sz="4" w:space="0" w:color="000000"/>
              <w:bottom w:val="single" w:sz="4" w:space="0" w:color="000000"/>
              <w:right w:val="single" w:sz="4" w:space="0" w:color="000000"/>
            </w:tcBorders>
            <w:vAlign w:val="bottom"/>
          </w:tcPr>
          <w:p w14:paraId="11684DB2" w14:textId="77777777" w:rsidR="00FB24C0" w:rsidRPr="00C33F4C" w:rsidRDefault="00FB24C0" w:rsidP="00C33F4C">
            <w:pPr>
              <w:spacing w:after="0" w:line="240" w:lineRule="auto"/>
              <w:ind w:left="0" w:firstLine="0"/>
              <w:rPr>
                <w:color w:val="auto"/>
                <w:lang w:val="es-ES"/>
              </w:rPr>
            </w:pPr>
          </w:p>
        </w:tc>
        <w:tc>
          <w:tcPr>
            <w:tcW w:w="3888" w:type="dxa"/>
            <w:gridSpan w:val="2"/>
            <w:tcBorders>
              <w:top w:val="single" w:sz="4" w:space="0" w:color="000000"/>
              <w:left w:val="single" w:sz="4" w:space="0" w:color="000000"/>
              <w:bottom w:val="single" w:sz="4" w:space="0" w:color="000000"/>
              <w:right w:val="single" w:sz="4" w:space="0" w:color="000000"/>
            </w:tcBorders>
          </w:tcPr>
          <w:p w14:paraId="69794EDF"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Evaluación de los investigadores</w:t>
            </w:r>
            <w:r w:rsidR="00EA2DCD" w:rsidRPr="00C33F4C">
              <w:rPr>
                <w:color w:val="auto"/>
                <w:lang w:val="es-ES"/>
              </w:rPr>
              <w:t>*</w:t>
            </w:r>
          </w:p>
        </w:tc>
        <w:tc>
          <w:tcPr>
            <w:tcW w:w="3888" w:type="dxa"/>
            <w:gridSpan w:val="2"/>
            <w:tcBorders>
              <w:top w:val="single" w:sz="4" w:space="0" w:color="000000"/>
              <w:left w:val="single" w:sz="4" w:space="0" w:color="000000"/>
              <w:bottom w:val="single" w:sz="4" w:space="0" w:color="000000"/>
              <w:right w:val="single" w:sz="4" w:space="0" w:color="000000"/>
            </w:tcBorders>
          </w:tcPr>
          <w:p w14:paraId="6DD3BD77"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Evaluación del Comité de</w:t>
            </w:r>
            <w:r w:rsidR="00EA2DCD" w:rsidRPr="00C33F4C">
              <w:rPr>
                <w:color w:val="auto"/>
                <w:lang w:val="es-ES"/>
              </w:rPr>
              <w:t xml:space="preserve"> </w:t>
            </w:r>
            <w:r w:rsidRPr="00C33F4C">
              <w:rPr>
                <w:color w:val="auto"/>
                <w:lang w:val="es-ES"/>
              </w:rPr>
              <w:t>revisión independiente</w:t>
            </w:r>
          </w:p>
        </w:tc>
      </w:tr>
      <w:tr w:rsidR="00D445BE" w:rsidRPr="000E5D1F" w14:paraId="6E3ABD2A" w14:textId="77777777" w:rsidTr="00D161AB">
        <w:trPr>
          <w:trHeight w:val="492"/>
        </w:trPr>
        <w:tc>
          <w:tcPr>
            <w:tcW w:w="1291" w:type="dxa"/>
            <w:tcBorders>
              <w:top w:val="single" w:sz="4" w:space="0" w:color="000000"/>
              <w:left w:val="single" w:sz="4" w:space="0" w:color="000000"/>
              <w:bottom w:val="single" w:sz="4" w:space="0" w:color="000000"/>
              <w:right w:val="single" w:sz="4" w:space="0" w:color="000000"/>
            </w:tcBorders>
            <w:vAlign w:val="bottom"/>
          </w:tcPr>
          <w:p w14:paraId="18052D87" w14:textId="77777777" w:rsidR="00FB24C0" w:rsidRPr="00C33F4C" w:rsidRDefault="00FB24C0" w:rsidP="00C33F4C">
            <w:pPr>
              <w:spacing w:after="0" w:line="240" w:lineRule="auto"/>
              <w:ind w:left="0" w:firstLine="0"/>
              <w:rPr>
                <w:color w:val="auto"/>
                <w:lang w:val="es-ES"/>
              </w:rPr>
            </w:pPr>
          </w:p>
        </w:tc>
        <w:tc>
          <w:tcPr>
            <w:tcW w:w="1119" w:type="dxa"/>
            <w:tcBorders>
              <w:top w:val="single" w:sz="4" w:space="0" w:color="000000"/>
              <w:left w:val="single" w:sz="4" w:space="0" w:color="000000"/>
              <w:bottom w:val="single" w:sz="4" w:space="0" w:color="000000"/>
              <w:right w:val="single" w:sz="4" w:space="0" w:color="000000"/>
            </w:tcBorders>
          </w:tcPr>
          <w:p w14:paraId="19B04F9D" w14:textId="77777777" w:rsidR="00EA2DCD" w:rsidRPr="00C33F4C" w:rsidRDefault="00FB24C0" w:rsidP="00C33F4C">
            <w:pPr>
              <w:spacing w:after="0" w:line="240" w:lineRule="auto"/>
              <w:ind w:left="0" w:firstLine="0"/>
              <w:jc w:val="center"/>
              <w:rPr>
                <w:color w:val="auto"/>
                <w:lang w:val="es-ES"/>
              </w:rPr>
            </w:pPr>
            <w:proofErr w:type="spellStart"/>
            <w:r w:rsidRPr="00C33F4C">
              <w:rPr>
                <w:color w:val="auto"/>
                <w:lang w:val="es-ES"/>
              </w:rPr>
              <w:t>Paclitaxel</w:t>
            </w:r>
            <w:proofErr w:type="spellEnd"/>
          </w:p>
          <w:p w14:paraId="1BEAFD06"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(n</w:t>
            </w:r>
            <w:r w:rsidR="00A46A8A" w:rsidRPr="00E30038">
              <w:t> </w:t>
            </w:r>
            <w:r w:rsidRPr="00C33F4C">
              <w:rPr>
                <w:color w:val="auto"/>
                <w:lang w:val="es-ES"/>
              </w:rPr>
              <w:t>=</w:t>
            </w:r>
            <w:r w:rsidR="00A46A8A" w:rsidRPr="00E30038">
              <w:t> </w:t>
            </w:r>
            <w:r w:rsidRPr="00C33F4C">
              <w:rPr>
                <w:color w:val="auto"/>
                <w:lang w:val="es-ES"/>
              </w:rPr>
              <w:t>354)</w:t>
            </w:r>
          </w:p>
        </w:tc>
        <w:tc>
          <w:tcPr>
            <w:tcW w:w="2769" w:type="dxa"/>
            <w:tcBorders>
              <w:top w:val="single" w:sz="4" w:space="0" w:color="000000"/>
              <w:left w:val="single" w:sz="4" w:space="0" w:color="000000"/>
              <w:bottom w:val="single" w:sz="4" w:space="0" w:color="000000"/>
              <w:right w:val="single" w:sz="4" w:space="0" w:color="000000"/>
            </w:tcBorders>
          </w:tcPr>
          <w:p w14:paraId="20F9917E" w14:textId="77777777" w:rsidR="00EA2DCD" w:rsidRPr="00C33F4C" w:rsidRDefault="00FB24C0" w:rsidP="00C33F4C">
            <w:pPr>
              <w:spacing w:after="0" w:line="240" w:lineRule="auto"/>
              <w:ind w:left="0" w:firstLine="0"/>
              <w:jc w:val="center"/>
              <w:rPr>
                <w:color w:val="auto"/>
                <w:lang w:val="es-ES"/>
              </w:rPr>
            </w:pPr>
            <w:proofErr w:type="spellStart"/>
            <w:r w:rsidRPr="00C33F4C">
              <w:rPr>
                <w:color w:val="auto"/>
                <w:lang w:val="es-ES"/>
              </w:rPr>
              <w:t>Paclitaxel</w:t>
            </w:r>
            <w:proofErr w:type="spellEnd"/>
            <w:r w:rsidRPr="00C33F4C">
              <w:rPr>
                <w:color w:val="auto"/>
                <w:lang w:val="es-ES"/>
              </w:rPr>
              <w:t>/</w:t>
            </w:r>
            <w:r w:rsidR="00D43E33" w:rsidRPr="00C33F4C">
              <w:rPr>
                <w:lang w:val="es-ES"/>
              </w:rPr>
              <w:t>bevacizumab</w:t>
            </w:r>
          </w:p>
          <w:p w14:paraId="214F5F19"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(n</w:t>
            </w:r>
            <w:r w:rsidR="00A46A8A" w:rsidRPr="00E30038">
              <w:t> </w:t>
            </w:r>
            <w:r w:rsidRPr="00C33F4C">
              <w:rPr>
                <w:color w:val="auto"/>
                <w:lang w:val="es-ES"/>
              </w:rPr>
              <w:t>=</w:t>
            </w:r>
            <w:r w:rsidR="00A46A8A" w:rsidRPr="00E30038">
              <w:t> </w:t>
            </w:r>
            <w:r w:rsidRPr="00C33F4C">
              <w:rPr>
                <w:color w:val="auto"/>
                <w:lang w:val="es-ES"/>
              </w:rPr>
              <w:t>368)</w:t>
            </w:r>
          </w:p>
        </w:tc>
        <w:tc>
          <w:tcPr>
            <w:tcW w:w="1200" w:type="dxa"/>
            <w:tcBorders>
              <w:top w:val="single" w:sz="4" w:space="0" w:color="000000"/>
              <w:left w:val="single" w:sz="4" w:space="0" w:color="000000"/>
              <w:bottom w:val="single" w:sz="4" w:space="0" w:color="000000"/>
              <w:right w:val="single" w:sz="4" w:space="0" w:color="000000"/>
            </w:tcBorders>
          </w:tcPr>
          <w:p w14:paraId="7D001121" w14:textId="77777777" w:rsidR="00EA2DCD" w:rsidRPr="00C33F4C" w:rsidRDefault="00FB24C0" w:rsidP="00C33F4C">
            <w:pPr>
              <w:spacing w:after="0" w:line="240" w:lineRule="auto"/>
              <w:ind w:left="0" w:firstLine="0"/>
              <w:jc w:val="center"/>
              <w:rPr>
                <w:color w:val="auto"/>
                <w:lang w:val="es-ES"/>
              </w:rPr>
            </w:pPr>
            <w:proofErr w:type="spellStart"/>
            <w:r w:rsidRPr="00C33F4C">
              <w:rPr>
                <w:color w:val="auto"/>
                <w:lang w:val="es-ES"/>
              </w:rPr>
              <w:t>Paclitaxel</w:t>
            </w:r>
            <w:proofErr w:type="spellEnd"/>
          </w:p>
          <w:p w14:paraId="069E1108"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(n</w:t>
            </w:r>
            <w:r w:rsidR="00A46A8A" w:rsidRPr="00E30038">
              <w:t> </w:t>
            </w:r>
            <w:r w:rsidRPr="00C33F4C">
              <w:rPr>
                <w:color w:val="auto"/>
                <w:lang w:val="es-ES"/>
              </w:rPr>
              <w:t>=</w:t>
            </w:r>
            <w:r w:rsidR="00A46A8A" w:rsidRPr="00E30038">
              <w:t> </w:t>
            </w:r>
            <w:r w:rsidRPr="00C33F4C">
              <w:rPr>
                <w:color w:val="auto"/>
                <w:lang w:val="es-ES"/>
              </w:rPr>
              <w:t>354)</w:t>
            </w:r>
          </w:p>
        </w:tc>
        <w:tc>
          <w:tcPr>
            <w:tcW w:w="2688" w:type="dxa"/>
            <w:tcBorders>
              <w:top w:val="single" w:sz="4" w:space="0" w:color="000000"/>
              <w:left w:val="single" w:sz="4" w:space="0" w:color="000000"/>
              <w:bottom w:val="single" w:sz="4" w:space="0" w:color="000000"/>
              <w:right w:val="single" w:sz="4" w:space="0" w:color="000000"/>
            </w:tcBorders>
          </w:tcPr>
          <w:p w14:paraId="79002510" w14:textId="77777777" w:rsidR="00EA2DCD" w:rsidRPr="00C33F4C" w:rsidRDefault="00EA2DCD" w:rsidP="00C33F4C">
            <w:pPr>
              <w:spacing w:after="0" w:line="240" w:lineRule="auto"/>
              <w:ind w:left="0" w:firstLine="0"/>
              <w:jc w:val="center"/>
              <w:rPr>
                <w:color w:val="auto"/>
                <w:lang w:val="es-ES"/>
              </w:rPr>
            </w:pPr>
            <w:proofErr w:type="spellStart"/>
            <w:r w:rsidRPr="00C33F4C">
              <w:rPr>
                <w:color w:val="auto"/>
                <w:lang w:val="es-ES"/>
              </w:rPr>
              <w:t>Paclitaxel</w:t>
            </w:r>
            <w:proofErr w:type="spellEnd"/>
            <w:r w:rsidRPr="00C33F4C">
              <w:rPr>
                <w:color w:val="auto"/>
                <w:lang w:val="es-ES"/>
              </w:rPr>
              <w:t>/</w:t>
            </w:r>
            <w:r w:rsidR="00D43E33" w:rsidRPr="00C33F4C">
              <w:rPr>
                <w:lang w:val="es-ES"/>
              </w:rPr>
              <w:t>bevacizumab</w:t>
            </w:r>
          </w:p>
          <w:p w14:paraId="159AC9C1"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(n</w:t>
            </w:r>
            <w:r w:rsidR="00A46A8A" w:rsidRPr="00E30038">
              <w:t> </w:t>
            </w:r>
            <w:r w:rsidRPr="00C33F4C">
              <w:rPr>
                <w:color w:val="auto"/>
                <w:lang w:val="es-ES"/>
              </w:rPr>
              <w:t>=</w:t>
            </w:r>
            <w:r w:rsidR="00A46A8A" w:rsidRPr="00E30038">
              <w:t> </w:t>
            </w:r>
            <w:r w:rsidRPr="00C33F4C">
              <w:rPr>
                <w:color w:val="auto"/>
                <w:lang w:val="es-ES"/>
              </w:rPr>
              <w:t>368)</w:t>
            </w:r>
          </w:p>
        </w:tc>
      </w:tr>
      <w:tr w:rsidR="00D445BE" w:rsidRPr="000E5D1F" w14:paraId="2B92AC65" w14:textId="77777777" w:rsidTr="00C33F4C">
        <w:trPr>
          <w:trHeight w:val="344"/>
        </w:trPr>
        <w:tc>
          <w:tcPr>
            <w:tcW w:w="1291" w:type="dxa"/>
            <w:tcBorders>
              <w:top w:val="single" w:sz="4" w:space="0" w:color="000000"/>
              <w:left w:val="single" w:sz="4" w:space="0" w:color="000000"/>
              <w:bottom w:val="single" w:sz="4" w:space="0" w:color="000000"/>
              <w:right w:val="single" w:sz="4" w:space="0" w:color="000000"/>
            </w:tcBorders>
            <w:vAlign w:val="center"/>
          </w:tcPr>
          <w:p w14:paraId="5E77DC1B"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Mediana de SLP (meses)</w:t>
            </w:r>
          </w:p>
        </w:tc>
        <w:tc>
          <w:tcPr>
            <w:tcW w:w="1119" w:type="dxa"/>
            <w:tcBorders>
              <w:top w:val="single" w:sz="4" w:space="0" w:color="000000"/>
              <w:left w:val="single" w:sz="4" w:space="0" w:color="000000"/>
              <w:bottom w:val="single" w:sz="4" w:space="0" w:color="000000"/>
              <w:right w:val="single" w:sz="4" w:space="0" w:color="000000"/>
            </w:tcBorders>
            <w:vAlign w:val="center"/>
          </w:tcPr>
          <w:p w14:paraId="3743EEB8"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5,8</w:t>
            </w:r>
          </w:p>
        </w:tc>
        <w:tc>
          <w:tcPr>
            <w:tcW w:w="2769" w:type="dxa"/>
            <w:tcBorders>
              <w:top w:val="single" w:sz="4" w:space="0" w:color="000000"/>
              <w:left w:val="single" w:sz="4" w:space="0" w:color="000000"/>
              <w:bottom w:val="single" w:sz="4" w:space="0" w:color="000000"/>
              <w:right w:val="single" w:sz="4" w:space="0" w:color="000000"/>
            </w:tcBorders>
            <w:vAlign w:val="center"/>
          </w:tcPr>
          <w:p w14:paraId="4429ECCC"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11,4</w:t>
            </w:r>
          </w:p>
        </w:tc>
        <w:tc>
          <w:tcPr>
            <w:tcW w:w="1200" w:type="dxa"/>
            <w:tcBorders>
              <w:top w:val="single" w:sz="4" w:space="0" w:color="000000"/>
              <w:left w:val="single" w:sz="4" w:space="0" w:color="000000"/>
              <w:bottom w:val="single" w:sz="4" w:space="0" w:color="000000"/>
              <w:right w:val="single" w:sz="4" w:space="0" w:color="000000"/>
            </w:tcBorders>
            <w:vAlign w:val="center"/>
          </w:tcPr>
          <w:p w14:paraId="176E33CA"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5,8</w:t>
            </w:r>
          </w:p>
        </w:tc>
        <w:tc>
          <w:tcPr>
            <w:tcW w:w="2688" w:type="dxa"/>
            <w:tcBorders>
              <w:top w:val="single" w:sz="4" w:space="0" w:color="000000"/>
              <w:left w:val="single" w:sz="4" w:space="0" w:color="000000"/>
              <w:bottom w:val="single" w:sz="4" w:space="0" w:color="000000"/>
              <w:right w:val="single" w:sz="4" w:space="0" w:color="000000"/>
            </w:tcBorders>
            <w:vAlign w:val="center"/>
          </w:tcPr>
          <w:p w14:paraId="79C59283"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11,3</w:t>
            </w:r>
          </w:p>
        </w:tc>
      </w:tr>
      <w:tr w:rsidR="00FB24C0" w:rsidRPr="000E5D1F" w14:paraId="3E3E0336" w14:textId="77777777" w:rsidTr="00C33F4C">
        <w:trPr>
          <w:trHeight w:val="516"/>
        </w:trPr>
        <w:tc>
          <w:tcPr>
            <w:tcW w:w="1291" w:type="dxa"/>
            <w:tcBorders>
              <w:top w:val="single" w:sz="4" w:space="0" w:color="000000"/>
              <w:left w:val="single" w:sz="4" w:space="0" w:color="000000"/>
              <w:bottom w:val="single" w:sz="4" w:space="0" w:color="000000"/>
              <w:right w:val="single" w:sz="4" w:space="0" w:color="000000"/>
            </w:tcBorders>
            <w:vAlign w:val="center"/>
          </w:tcPr>
          <w:p w14:paraId="34EC5B76"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 xml:space="preserve">Razón de riesgo (IC del 95%) </w:t>
            </w:r>
          </w:p>
        </w:tc>
        <w:tc>
          <w:tcPr>
            <w:tcW w:w="3888" w:type="dxa"/>
            <w:gridSpan w:val="2"/>
            <w:tcBorders>
              <w:top w:val="single" w:sz="4" w:space="0" w:color="000000"/>
              <w:left w:val="single" w:sz="4" w:space="0" w:color="000000"/>
              <w:bottom w:val="single" w:sz="4" w:space="0" w:color="000000"/>
              <w:right w:val="single" w:sz="4" w:space="0" w:color="000000"/>
            </w:tcBorders>
            <w:vAlign w:val="center"/>
          </w:tcPr>
          <w:p w14:paraId="6A7D7D41"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0,421</w:t>
            </w:r>
          </w:p>
          <w:p w14:paraId="6B3B1A13" w14:textId="77777777" w:rsidR="00FB24C0" w:rsidRPr="00C33F4C" w:rsidRDefault="00F6120A" w:rsidP="00C33F4C">
            <w:pPr>
              <w:spacing w:after="0" w:line="240" w:lineRule="auto"/>
              <w:ind w:left="0" w:firstLine="0"/>
              <w:jc w:val="center"/>
              <w:rPr>
                <w:color w:val="auto"/>
                <w:lang w:val="es-ES"/>
              </w:rPr>
            </w:pPr>
            <w:r w:rsidRPr="00C33F4C">
              <w:rPr>
                <w:color w:val="auto"/>
                <w:lang w:val="es-ES"/>
              </w:rPr>
              <w:t>(0,343</w:t>
            </w:r>
            <w:r w:rsidR="00FB24C0" w:rsidRPr="00C33F4C">
              <w:rPr>
                <w:color w:val="auto"/>
                <w:lang w:val="es-ES"/>
              </w:rPr>
              <w:t>; 0,516)</w:t>
            </w:r>
          </w:p>
        </w:tc>
        <w:tc>
          <w:tcPr>
            <w:tcW w:w="3888" w:type="dxa"/>
            <w:gridSpan w:val="2"/>
            <w:tcBorders>
              <w:top w:val="single" w:sz="4" w:space="0" w:color="000000"/>
              <w:left w:val="single" w:sz="4" w:space="0" w:color="000000"/>
              <w:bottom w:val="single" w:sz="4" w:space="0" w:color="000000"/>
              <w:right w:val="single" w:sz="4" w:space="0" w:color="000000"/>
            </w:tcBorders>
            <w:vAlign w:val="center"/>
          </w:tcPr>
          <w:p w14:paraId="55644795"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0,483</w:t>
            </w:r>
          </w:p>
          <w:p w14:paraId="031B0290" w14:textId="77777777" w:rsidR="00FB24C0" w:rsidRPr="00C33F4C" w:rsidRDefault="00F6120A" w:rsidP="00C33F4C">
            <w:pPr>
              <w:spacing w:after="0" w:line="240" w:lineRule="auto"/>
              <w:ind w:left="0" w:firstLine="0"/>
              <w:jc w:val="center"/>
              <w:rPr>
                <w:color w:val="auto"/>
                <w:lang w:val="es-ES"/>
              </w:rPr>
            </w:pPr>
            <w:r w:rsidRPr="00C33F4C">
              <w:rPr>
                <w:color w:val="auto"/>
                <w:lang w:val="es-ES"/>
              </w:rPr>
              <w:t>(0,385</w:t>
            </w:r>
            <w:r w:rsidR="00FB24C0" w:rsidRPr="00C33F4C">
              <w:rPr>
                <w:color w:val="auto"/>
                <w:lang w:val="es-ES"/>
              </w:rPr>
              <w:t>; 0,607)</w:t>
            </w:r>
          </w:p>
        </w:tc>
      </w:tr>
      <w:tr w:rsidR="00FB24C0" w:rsidRPr="000E5D1F" w14:paraId="2E4FE301" w14:textId="77777777" w:rsidTr="00C33F4C">
        <w:trPr>
          <w:trHeight w:val="263"/>
        </w:trPr>
        <w:tc>
          <w:tcPr>
            <w:tcW w:w="1291" w:type="dxa"/>
            <w:tcBorders>
              <w:top w:val="single" w:sz="4" w:space="0" w:color="000000"/>
              <w:left w:val="single" w:sz="4" w:space="0" w:color="000000"/>
              <w:bottom w:val="single" w:sz="4" w:space="0" w:color="000000"/>
              <w:right w:val="single" w:sz="4" w:space="0" w:color="000000"/>
            </w:tcBorders>
            <w:vAlign w:val="center"/>
          </w:tcPr>
          <w:p w14:paraId="6C0E1199"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 xml:space="preserve">Valor de p </w:t>
            </w:r>
          </w:p>
        </w:tc>
        <w:tc>
          <w:tcPr>
            <w:tcW w:w="3888" w:type="dxa"/>
            <w:gridSpan w:val="2"/>
            <w:tcBorders>
              <w:top w:val="single" w:sz="4" w:space="0" w:color="000000"/>
              <w:left w:val="single" w:sz="4" w:space="0" w:color="000000"/>
              <w:bottom w:val="single" w:sz="4" w:space="0" w:color="000000"/>
              <w:right w:val="single" w:sz="4" w:space="0" w:color="000000"/>
            </w:tcBorders>
          </w:tcPr>
          <w:p w14:paraId="72C60966"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&lt;</w:t>
            </w:r>
            <w:r w:rsidR="00A46A8A" w:rsidRPr="00E30038">
              <w:t> </w:t>
            </w:r>
            <w:r w:rsidRPr="00C33F4C">
              <w:rPr>
                <w:color w:val="auto"/>
                <w:lang w:val="es-ES"/>
              </w:rPr>
              <w:t xml:space="preserve">0,0001 </w:t>
            </w:r>
          </w:p>
        </w:tc>
        <w:tc>
          <w:tcPr>
            <w:tcW w:w="3888" w:type="dxa"/>
            <w:gridSpan w:val="2"/>
            <w:tcBorders>
              <w:top w:val="single" w:sz="4" w:space="0" w:color="000000"/>
              <w:left w:val="single" w:sz="4" w:space="0" w:color="000000"/>
              <w:bottom w:val="single" w:sz="4" w:space="0" w:color="000000"/>
              <w:right w:val="single" w:sz="4" w:space="0" w:color="000000"/>
            </w:tcBorders>
            <w:vAlign w:val="center"/>
          </w:tcPr>
          <w:p w14:paraId="326380C5"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&lt;</w:t>
            </w:r>
            <w:r w:rsidR="00A46A8A" w:rsidRPr="00E30038">
              <w:t> </w:t>
            </w:r>
            <w:r w:rsidRPr="00C33F4C">
              <w:rPr>
                <w:color w:val="auto"/>
                <w:lang w:val="es-ES"/>
              </w:rPr>
              <w:t>0,0001</w:t>
            </w:r>
          </w:p>
        </w:tc>
      </w:tr>
      <w:tr w:rsidR="00FB24C0" w:rsidRPr="00714463" w14:paraId="454CE25D" w14:textId="77777777" w:rsidTr="00C33F4C">
        <w:trPr>
          <w:trHeight w:val="281"/>
        </w:trPr>
        <w:tc>
          <w:tcPr>
            <w:tcW w:w="5179" w:type="dxa"/>
            <w:gridSpan w:val="3"/>
            <w:tcBorders>
              <w:top w:val="single" w:sz="4" w:space="0" w:color="000000"/>
              <w:left w:val="single" w:sz="4" w:space="0" w:color="000000"/>
              <w:bottom w:val="single" w:sz="4" w:space="0" w:color="000000"/>
              <w:right w:val="nil"/>
            </w:tcBorders>
            <w:vAlign w:val="center"/>
          </w:tcPr>
          <w:p w14:paraId="49C4643F" w14:textId="77777777" w:rsidR="00FB24C0" w:rsidRPr="00C33F4C" w:rsidRDefault="00FB24C0" w:rsidP="00D161AB">
            <w:pPr>
              <w:keepNext/>
              <w:keepLines/>
              <w:spacing w:after="0" w:line="240" w:lineRule="auto"/>
              <w:ind w:left="0" w:firstLine="0"/>
              <w:rPr>
                <w:color w:val="auto"/>
                <w:lang w:val="es-ES"/>
              </w:rPr>
            </w:pPr>
            <w:r w:rsidRPr="00C33F4C">
              <w:rPr>
                <w:color w:val="auto"/>
                <w:lang w:val="es-ES"/>
              </w:rPr>
              <w:lastRenderedPageBreak/>
              <w:t>Tasas de respuesta (pacientes con enfermedad medible)</w:t>
            </w:r>
            <w:r w:rsidRPr="00C33F4C">
              <w:rPr>
                <w:b/>
                <w:color w:val="auto"/>
                <w:lang w:val="es-ES"/>
              </w:rPr>
              <w:t xml:space="preserve"> </w:t>
            </w:r>
          </w:p>
        </w:tc>
        <w:tc>
          <w:tcPr>
            <w:tcW w:w="3888" w:type="dxa"/>
            <w:gridSpan w:val="2"/>
            <w:tcBorders>
              <w:top w:val="single" w:sz="4" w:space="0" w:color="000000"/>
              <w:left w:val="nil"/>
              <w:bottom w:val="single" w:sz="4" w:space="0" w:color="000000"/>
              <w:right w:val="single" w:sz="4" w:space="0" w:color="000000"/>
            </w:tcBorders>
          </w:tcPr>
          <w:p w14:paraId="0E469849" w14:textId="77777777" w:rsidR="00FB24C0" w:rsidRPr="00C33F4C" w:rsidRDefault="00FB24C0" w:rsidP="00D161AB">
            <w:pPr>
              <w:keepNext/>
              <w:keepLines/>
              <w:spacing w:after="0" w:line="240" w:lineRule="auto"/>
              <w:ind w:left="0" w:firstLine="0"/>
              <w:rPr>
                <w:color w:val="auto"/>
                <w:lang w:val="es-ES"/>
              </w:rPr>
            </w:pPr>
          </w:p>
        </w:tc>
      </w:tr>
      <w:tr w:rsidR="00D445BE" w:rsidRPr="002C10E1" w14:paraId="3B5F053F" w14:textId="77777777" w:rsidTr="00C33F4C">
        <w:trPr>
          <w:trHeight w:val="512"/>
        </w:trPr>
        <w:tc>
          <w:tcPr>
            <w:tcW w:w="1291" w:type="dxa"/>
            <w:tcBorders>
              <w:top w:val="single" w:sz="4" w:space="0" w:color="000000"/>
              <w:left w:val="single" w:sz="4" w:space="0" w:color="000000"/>
              <w:bottom w:val="single" w:sz="4" w:space="0" w:color="000000"/>
              <w:right w:val="single" w:sz="4" w:space="0" w:color="000000"/>
            </w:tcBorders>
          </w:tcPr>
          <w:p w14:paraId="3194EC51" w14:textId="77777777" w:rsidR="00FB24C0" w:rsidRPr="00C33F4C" w:rsidRDefault="00FB24C0" w:rsidP="00D161AB">
            <w:pPr>
              <w:keepNext/>
              <w:keepLines/>
              <w:spacing w:after="0" w:line="240" w:lineRule="auto"/>
              <w:ind w:left="0" w:firstLine="0"/>
              <w:jc w:val="center"/>
              <w:rPr>
                <w:color w:val="auto"/>
                <w:lang w:val="es-ES"/>
              </w:rPr>
            </w:pPr>
          </w:p>
        </w:tc>
        <w:tc>
          <w:tcPr>
            <w:tcW w:w="3888" w:type="dxa"/>
            <w:gridSpan w:val="2"/>
            <w:tcBorders>
              <w:top w:val="single" w:sz="4" w:space="0" w:color="000000"/>
              <w:left w:val="single" w:sz="4" w:space="0" w:color="000000"/>
              <w:bottom w:val="single" w:sz="4" w:space="0" w:color="000000"/>
              <w:right w:val="single" w:sz="4" w:space="0" w:color="000000"/>
            </w:tcBorders>
            <w:vAlign w:val="center"/>
          </w:tcPr>
          <w:p w14:paraId="393AB3CC" w14:textId="77777777" w:rsidR="00FB24C0" w:rsidRPr="00C33F4C" w:rsidRDefault="00FB24C0" w:rsidP="00D161AB">
            <w:pPr>
              <w:keepNext/>
              <w:keepLines/>
              <w:spacing w:after="0" w:line="240" w:lineRule="auto"/>
              <w:ind w:left="0" w:firstLine="0"/>
              <w:jc w:val="center"/>
              <w:rPr>
                <w:color w:val="auto"/>
                <w:lang w:val="es-ES"/>
              </w:rPr>
            </w:pPr>
            <w:r w:rsidRPr="00C33F4C">
              <w:rPr>
                <w:color w:val="auto"/>
                <w:lang w:val="es-ES"/>
              </w:rPr>
              <w:t>Evaluación de los investigadores</w:t>
            </w:r>
          </w:p>
        </w:tc>
        <w:tc>
          <w:tcPr>
            <w:tcW w:w="3888" w:type="dxa"/>
            <w:gridSpan w:val="2"/>
            <w:tcBorders>
              <w:top w:val="single" w:sz="4" w:space="0" w:color="000000"/>
              <w:left w:val="single" w:sz="4" w:space="0" w:color="000000"/>
              <w:bottom w:val="single" w:sz="4" w:space="0" w:color="000000"/>
              <w:right w:val="single" w:sz="4" w:space="0" w:color="000000"/>
            </w:tcBorders>
            <w:vAlign w:val="center"/>
          </w:tcPr>
          <w:p w14:paraId="1C1060D1" w14:textId="77777777" w:rsidR="00FB24C0" w:rsidRPr="00C33F4C" w:rsidRDefault="00FB24C0" w:rsidP="00D161AB">
            <w:pPr>
              <w:keepNext/>
              <w:keepLines/>
              <w:spacing w:after="0" w:line="240" w:lineRule="auto"/>
              <w:ind w:left="0" w:firstLine="0"/>
              <w:jc w:val="center"/>
              <w:rPr>
                <w:color w:val="auto"/>
                <w:lang w:val="es-ES"/>
              </w:rPr>
            </w:pPr>
            <w:r w:rsidRPr="00C33F4C">
              <w:rPr>
                <w:color w:val="auto"/>
                <w:lang w:val="es-ES"/>
              </w:rPr>
              <w:t>Evaluación del Comité de</w:t>
            </w:r>
            <w:r w:rsidR="00EA2DCD" w:rsidRPr="00C33F4C">
              <w:rPr>
                <w:color w:val="auto"/>
                <w:lang w:val="es-ES"/>
              </w:rPr>
              <w:t xml:space="preserve"> </w:t>
            </w:r>
            <w:r w:rsidRPr="00C33F4C">
              <w:rPr>
                <w:color w:val="auto"/>
                <w:lang w:val="es-ES"/>
              </w:rPr>
              <w:t>revisión independiente</w:t>
            </w:r>
          </w:p>
        </w:tc>
      </w:tr>
      <w:tr w:rsidR="00D445BE" w:rsidRPr="00D43E33" w14:paraId="02507248" w14:textId="77777777" w:rsidTr="00C33F4C">
        <w:trPr>
          <w:trHeight w:val="584"/>
        </w:trPr>
        <w:tc>
          <w:tcPr>
            <w:tcW w:w="1291" w:type="dxa"/>
            <w:tcBorders>
              <w:top w:val="single" w:sz="4" w:space="0" w:color="000000"/>
              <w:left w:val="single" w:sz="4" w:space="0" w:color="000000"/>
              <w:bottom w:val="single" w:sz="4" w:space="0" w:color="000000"/>
              <w:right w:val="single" w:sz="4" w:space="0" w:color="000000"/>
            </w:tcBorders>
          </w:tcPr>
          <w:p w14:paraId="47591B20" w14:textId="77777777" w:rsidR="00FB24C0" w:rsidRPr="00C33F4C" w:rsidRDefault="00FB24C0" w:rsidP="00D161AB">
            <w:pPr>
              <w:keepNext/>
              <w:keepLines/>
              <w:spacing w:after="0" w:line="240" w:lineRule="auto"/>
              <w:ind w:left="0" w:firstLine="0"/>
              <w:jc w:val="center"/>
              <w:rPr>
                <w:color w:val="auto"/>
                <w:lang w:val="es-ES"/>
              </w:rPr>
            </w:pPr>
          </w:p>
        </w:tc>
        <w:tc>
          <w:tcPr>
            <w:tcW w:w="1119" w:type="dxa"/>
            <w:tcBorders>
              <w:top w:val="single" w:sz="4" w:space="0" w:color="000000"/>
              <w:left w:val="single" w:sz="4" w:space="0" w:color="000000"/>
              <w:bottom w:val="single" w:sz="4" w:space="0" w:color="000000"/>
              <w:right w:val="single" w:sz="4" w:space="0" w:color="000000"/>
            </w:tcBorders>
          </w:tcPr>
          <w:p w14:paraId="40728147" w14:textId="77777777" w:rsidR="00EA2DCD" w:rsidRPr="00C33F4C" w:rsidRDefault="00FB24C0" w:rsidP="00D161AB">
            <w:pPr>
              <w:keepNext/>
              <w:keepLines/>
              <w:spacing w:after="0" w:line="240" w:lineRule="auto"/>
              <w:ind w:left="0" w:firstLine="0"/>
              <w:jc w:val="center"/>
              <w:rPr>
                <w:color w:val="auto"/>
                <w:lang w:val="es-ES"/>
              </w:rPr>
            </w:pPr>
            <w:proofErr w:type="spellStart"/>
            <w:r w:rsidRPr="00C33F4C">
              <w:rPr>
                <w:color w:val="auto"/>
                <w:lang w:val="es-ES"/>
              </w:rPr>
              <w:t>Paclitaxel</w:t>
            </w:r>
            <w:proofErr w:type="spellEnd"/>
          </w:p>
          <w:p w14:paraId="03D654CB" w14:textId="77777777" w:rsidR="00FB24C0" w:rsidRPr="00C33F4C" w:rsidRDefault="00FB24C0" w:rsidP="00D161AB">
            <w:pPr>
              <w:keepNext/>
              <w:keepLines/>
              <w:spacing w:after="0" w:line="240" w:lineRule="auto"/>
              <w:ind w:left="0" w:firstLine="0"/>
              <w:jc w:val="center"/>
              <w:rPr>
                <w:color w:val="auto"/>
                <w:lang w:val="es-ES"/>
              </w:rPr>
            </w:pPr>
            <w:r w:rsidRPr="00C33F4C">
              <w:rPr>
                <w:color w:val="auto"/>
                <w:lang w:val="es-ES"/>
              </w:rPr>
              <w:t>(n</w:t>
            </w:r>
            <w:r w:rsidR="00A46A8A" w:rsidRPr="00E30038">
              <w:t> </w:t>
            </w:r>
            <w:r w:rsidRPr="00C33F4C">
              <w:rPr>
                <w:color w:val="auto"/>
                <w:lang w:val="es-ES"/>
              </w:rPr>
              <w:t>=</w:t>
            </w:r>
            <w:r w:rsidR="00A46A8A" w:rsidRPr="00E30038">
              <w:t> </w:t>
            </w:r>
            <w:r w:rsidRPr="00C33F4C">
              <w:rPr>
                <w:color w:val="auto"/>
                <w:lang w:val="es-ES"/>
              </w:rPr>
              <w:t>273)</w:t>
            </w:r>
          </w:p>
        </w:tc>
        <w:tc>
          <w:tcPr>
            <w:tcW w:w="2769" w:type="dxa"/>
            <w:tcBorders>
              <w:top w:val="single" w:sz="4" w:space="0" w:color="000000"/>
              <w:left w:val="single" w:sz="4" w:space="0" w:color="000000"/>
              <w:bottom w:val="single" w:sz="4" w:space="0" w:color="000000"/>
              <w:right w:val="single" w:sz="4" w:space="0" w:color="000000"/>
            </w:tcBorders>
          </w:tcPr>
          <w:p w14:paraId="507F949C" w14:textId="77777777" w:rsidR="00FB24C0" w:rsidRPr="00C33F4C" w:rsidRDefault="00FB24C0" w:rsidP="00D161AB">
            <w:pPr>
              <w:keepNext/>
              <w:keepLines/>
              <w:spacing w:after="0" w:line="240" w:lineRule="auto"/>
              <w:ind w:left="0" w:firstLine="0"/>
              <w:jc w:val="center"/>
              <w:rPr>
                <w:color w:val="auto"/>
                <w:lang w:val="es-ES"/>
              </w:rPr>
            </w:pPr>
            <w:proofErr w:type="spellStart"/>
            <w:r w:rsidRPr="00C33F4C">
              <w:rPr>
                <w:color w:val="auto"/>
                <w:lang w:val="es-ES"/>
              </w:rPr>
              <w:t>Paclitaxel</w:t>
            </w:r>
            <w:proofErr w:type="spellEnd"/>
            <w:r w:rsidRPr="00C33F4C">
              <w:rPr>
                <w:color w:val="auto"/>
                <w:lang w:val="es-ES"/>
              </w:rPr>
              <w:t>/</w:t>
            </w:r>
            <w:r w:rsidR="00D43E33" w:rsidRPr="00C33F4C">
              <w:rPr>
                <w:lang w:val="es-ES"/>
              </w:rPr>
              <w:t>bevacizumab</w:t>
            </w:r>
            <w:r w:rsidR="00D43E33" w:rsidRPr="00C33F4C" w:rsidDel="00D43E33">
              <w:rPr>
                <w:color w:val="auto"/>
                <w:lang w:val="es-ES"/>
              </w:rPr>
              <w:t xml:space="preserve"> </w:t>
            </w:r>
            <w:r w:rsidR="00D43E33" w:rsidRPr="00C33F4C">
              <w:rPr>
                <w:color w:val="auto"/>
                <w:lang w:val="es-ES"/>
              </w:rPr>
              <w:br/>
            </w:r>
            <w:r w:rsidRPr="00C33F4C">
              <w:rPr>
                <w:color w:val="auto"/>
                <w:lang w:val="es-ES"/>
              </w:rPr>
              <w:t>(n</w:t>
            </w:r>
            <w:r w:rsidR="00A46A8A" w:rsidRPr="00E30038">
              <w:t> </w:t>
            </w:r>
            <w:r w:rsidRPr="00C33F4C">
              <w:rPr>
                <w:color w:val="auto"/>
                <w:lang w:val="es-ES"/>
              </w:rPr>
              <w:t>=</w:t>
            </w:r>
            <w:r w:rsidR="00A46A8A" w:rsidRPr="00E30038">
              <w:t> </w:t>
            </w:r>
            <w:r w:rsidRPr="00C33F4C">
              <w:rPr>
                <w:color w:val="auto"/>
                <w:lang w:val="es-ES"/>
              </w:rPr>
              <w:t>252)</w:t>
            </w:r>
          </w:p>
        </w:tc>
        <w:tc>
          <w:tcPr>
            <w:tcW w:w="1200" w:type="dxa"/>
            <w:tcBorders>
              <w:top w:val="single" w:sz="4" w:space="0" w:color="000000"/>
              <w:left w:val="single" w:sz="4" w:space="0" w:color="000000"/>
              <w:bottom w:val="single" w:sz="4" w:space="0" w:color="000000"/>
              <w:right w:val="single" w:sz="4" w:space="0" w:color="000000"/>
            </w:tcBorders>
          </w:tcPr>
          <w:p w14:paraId="49750C99" w14:textId="77777777" w:rsidR="00EA2DCD" w:rsidRPr="00C33F4C" w:rsidRDefault="00FB24C0" w:rsidP="00D161AB">
            <w:pPr>
              <w:keepNext/>
              <w:keepLines/>
              <w:spacing w:after="0" w:line="240" w:lineRule="auto"/>
              <w:ind w:left="0" w:firstLine="0"/>
              <w:jc w:val="center"/>
              <w:rPr>
                <w:color w:val="auto"/>
                <w:lang w:val="es-ES"/>
              </w:rPr>
            </w:pPr>
            <w:proofErr w:type="spellStart"/>
            <w:r w:rsidRPr="00C33F4C">
              <w:rPr>
                <w:color w:val="auto"/>
                <w:lang w:val="es-ES"/>
              </w:rPr>
              <w:t>Paclitaxel</w:t>
            </w:r>
            <w:proofErr w:type="spellEnd"/>
          </w:p>
          <w:p w14:paraId="2A7120F3" w14:textId="77777777" w:rsidR="00FB24C0" w:rsidRPr="00C33F4C" w:rsidRDefault="00FB24C0" w:rsidP="00D161AB">
            <w:pPr>
              <w:keepNext/>
              <w:keepLines/>
              <w:spacing w:after="0" w:line="240" w:lineRule="auto"/>
              <w:ind w:left="0" w:firstLine="0"/>
              <w:jc w:val="center"/>
              <w:rPr>
                <w:color w:val="auto"/>
                <w:lang w:val="es-ES"/>
              </w:rPr>
            </w:pPr>
            <w:r w:rsidRPr="00C33F4C">
              <w:rPr>
                <w:color w:val="auto"/>
                <w:lang w:val="es-ES"/>
              </w:rPr>
              <w:t>(n</w:t>
            </w:r>
            <w:r w:rsidR="00A46A8A" w:rsidRPr="00E30038">
              <w:t> </w:t>
            </w:r>
            <w:r w:rsidRPr="00C33F4C">
              <w:rPr>
                <w:color w:val="auto"/>
                <w:lang w:val="es-ES"/>
              </w:rPr>
              <w:t>=</w:t>
            </w:r>
            <w:r w:rsidR="00A46A8A" w:rsidRPr="00E30038">
              <w:t> </w:t>
            </w:r>
            <w:r w:rsidRPr="00C33F4C">
              <w:rPr>
                <w:color w:val="auto"/>
                <w:lang w:val="es-ES"/>
              </w:rPr>
              <w:t>243)</w:t>
            </w:r>
          </w:p>
        </w:tc>
        <w:tc>
          <w:tcPr>
            <w:tcW w:w="2688" w:type="dxa"/>
            <w:tcBorders>
              <w:top w:val="single" w:sz="4" w:space="0" w:color="000000"/>
              <w:left w:val="single" w:sz="4" w:space="0" w:color="000000"/>
              <w:bottom w:val="single" w:sz="4" w:space="0" w:color="000000"/>
              <w:right w:val="single" w:sz="4" w:space="0" w:color="000000"/>
            </w:tcBorders>
          </w:tcPr>
          <w:p w14:paraId="5109DC2C" w14:textId="77777777" w:rsidR="00FB24C0" w:rsidRPr="00C33F4C" w:rsidRDefault="00FB24C0" w:rsidP="00D161AB">
            <w:pPr>
              <w:keepNext/>
              <w:keepLines/>
              <w:spacing w:after="0" w:line="240" w:lineRule="auto"/>
              <w:ind w:left="0" w:firstLine="0"/>
              <w:jc w:val="center"/>
              <w:rPr>
                <w:color w:val="auto"/>
                <w:lang w:val="es-ES"/>
              </w:rPr>
            </w:pPr>
            <w:proofErr w:type="spellStart"/>
            <w:r w:rsidRPr="00C33F4C">
              <w:rPr>
                <w:color w:val="auto"/>
                <w:lang w:val="es-ES"/>
              </w:rPr>
              <w:t>Paclitaxel</w:t>
            </w:r>
            <w:proofErr w:type="spellEnd"/>
            <w:r w:rsidRPr="00C33F4C">
              <w:rPr>
                <w:color w:val="auto"/>
                <w:lang w:val="es-ES"/>
              </w:rPr>
              <w:t>/</w:t>
            </w:r>
            <w:r w:rsidR="00D43E33" w:rsidRPr="00C33F4C">
              <w:rPr>
                <w:lang w:val="es-ES"/>
              </w:rPr>
              <w:t>bevacizumab</w:t>
            </w:r>
            <w:r w:rsidR="00D43E33" w:rsidRPr="00C33F4C" w:rsidDel="00D43E33">
              <w:rPr>
                <w:color w:val="auto"/>
                <w:lang w:val="es-ES"/>
              </w:rPr>
              <w:t xml:space="preserve"> </w:t>
            </w:r>
            <w:r w:rsidR="00D43E33" w:rsidRPr="00C33F4C">
              <w:rPr>
                <w:color w:val="auto"/>
                <w:lang w:val="es-ES"/>
              </w:rPr>
              <w:br/>
            </w:r>
            <w:r w:rsidRPr="00C33F4C">
              <w:rPr>
                <w:color w:val="auto"/>
                <w:lang w:val="es-ES"/>
              </w:rPr>
              <w:t>(n</w:t>
            </w:r>
            <w:r w:rsidR="00A46A8A" w:rsidRPr="00E30038">
              <w:t> </w:t>
            </w:r>
            <w:r w:rsidRPr="00C33F4C">
              <w:rPr>
                <w:color w:val="auto"/>
                <w:lang w:val="es-ES"/>
              </w:rPr>
              <w:t>=</w:t>
            </w:r>
            <w:r w:rsidR="00A46A8A" w:rsidRPr="00E30038">
              <w:t> </w:t>
            </w:r>
            <w:r w:rsidRPr="00C33F4C">
              <w:rPr>
                <w:color w:val="auto"/>
                <w:lang w:val="es-ES"/>
              </w:rPr>
              <w:t>229)</w:t>
            </w:r>
          </w:p>
        </w:tc>
      </w:tr>
      <w:tr w:rsidR="00D445BE" w:rsidRPr="00D43E33" w14:paraId="4A2BBA44" w14:textId="77777777" w:rsidTr="00C33F4C">
        <w:trPr>
          <w:trHeight w:val="376"/>
        </w:trPr>
        <w:tc>
          <w:tcPr>
            <w:tcW w:w="1291" w:type="dxa"/>
            <w:tcBorders>
              <w:top w:val="single" w:sz="4" w:space="0" w:color="000000"/>
              <w:left w:val="single" w:sz="4" w:space="0" w:color="000000"/>
              <w:bottom w:val="single" w:sz="4" w:space="0" w:color="000000"/>
              <w:right w:val="single" w:sz="4" w:space="0" w:color="000000"/>
            </w:tcBorders>
            <w:vAlign w:val="center"/>
          </w:tcPr>
          <w:p w14:paraId="633CF604" w14:textId="77777777" w:rsidR="00FB24C0" w:rsidRPr="00C33F4C" w:rsidRDefault="00FB24C0" w:rsidP="00D161AB">
            <w:pPr>
              <w:keepNext/>
              <w:keepLines/>
              <w:spacing w:after="0" w:line="240" w:lineRule="auto"/>
              <w:ind w:left="0" w:firstLine="0"/>
              <w:rPr>
                <w:color w:val="auto"/>
                <w:lang w:val="es-ES"/>
              </w:rPr>
            </w:pPr>
            <w:r w:rsidRPr="00C33F4C">
              <w:rPr>
                <w:color w:val="auto"/>
                <w:lang w:val="es-ES"/>
              </w:rPr>
              <w:t xml:space="preserve">% pacientes con respuesta objetiva </w:t>
            </w:r>
          </w:p>
        </w:tc>
        <w:tc>
          <w:tcPr>
            <w:tcW w:w="1119" w:type="dxa"/>
            <w:tcBorders>
              <w:top w:val="single" w:sz="4" w:space="0" w:color="000000"/>
              <w:left w:val="single" w:sz="4" w:space="0" w:color="000000"/>
              <w:bottom w:val="single" w:sz="4" w:space="0" w:color="000000"/>
              <w:right w:val="single" w:sz="4" w:space="0" w:color="000000"/>
            </w:tcBorders>
          </w:tcPr>
          <w:p w14:paraId="34B6EAB2" w14:textId="77777777" w:rsidR="00FB24C0" w:rsidRPr="00C33F4C" w:rsidRDefault="00FB24C0" w:rsidP="00D161AB">
            <w:pPr>
              <w:keepNext/>
              <w:keepLines/>
              <w:spacing w:after="0" w:line="240" w:lineRule="auto"/>
              <w:ind w:left="0" w:firstLine="0"/>
              <w:jc w:val="center"/>
              <w:rPr>
                <w:color w:val="auto"/>
                <w:lang w:val="es-ES"/>
              </w:rPr>
            </w:pPr>
            <w:r w:rsidRPr="00C33F4C">
              <w:rPr>
                <w:color w:val="auto"/>
                <w:lang w:val="es-ES"/>
              </w:rPr>
              <w:t>23,4</w:t>
            </w:r>
          </w:p>
        </w:tc>
        <w:tc>
          <w:tcPr>
            <w:tcW w:w="2769" w:type="dxa"/>
            <w:tcBorders>
              <w:top w:val="single" w:sz="4" w:space="0" w:color="000000"/>
              <w:left w:val="single" w:sz="4" w:space="0" w:color="000000"/>
              <w:bottom w:val="single" w:sz="4" w:space="0" w:color="000000"/>
              <w:right w:val="single" w:sz="4" w:space="0" w:color="000000"/>
            </w:tcBorders>
          </w:tcPr>
          <w:p w14:paraId="68568714" w14:textId="77777777" w:rsidR="00FB24C0" w:rsidRPr="00C33F4C" w:rsidRDefault="00FB24C0" w:rsidP="00D161AB">
            <w:pPr>
              <w:keepNext/>
              <w:keepLines/>
              <w:spacing w:after="0" w:line="240" w:lineRule="auto"/>
              <w:ind w:left="0" w:firstLine="0"/>
              <w:jc w:val="center"/>
              <w:rPr>
                <w:color w:val="auto"/>
                <w:lang w:val="es-ES"/>
              </w:rPr>
            </w:pPr>
            <w:r w:rsidRPr="00C33F4C">
              <w:rPr>
                <w:color w:val="auto"/>
                <w:lang w:val="es-ES"/>
              </w:rPr>
              <w:t>48,0</w:t>
            </w:r>
          </w:p>
        </w:tc>
        <w:tc>
          <w:tcPr>
            <w:tcW w:w="1200" w:type="dxa"/>
            <w:tcBorders>
              <w:top w:val="single" w:sz="4" w:space="0" w:color="000000"/>
              <w:left w:val="single" w:sz="4" w:space="0" w:color="000000"/>
              <w:bottom w:val="single" w:sz="4" w:space="0" w:color="000000"/>
              <w:right w:val="single" w:sz="4" w:space="0" w:color="000000"/>
            </w:tcBorders>
          </w:tcPr>
          <w:p w14:paraId="5A88F0FE" w14:textId="77777777" w:rsidR="00FB24C0" w:rsidRPr="00C33F4C" w:rsidRDefault="00FB24C0" w:rsidP="00D161AB">
            <w:pPr>
              <w:keepNext/>
              <w:keepLines/>
              <w:spacing w:after="0" w:line="240" w:lineRule="auto"/>
              <w:ind w:left="0" w:firstLine="0"/>
              <w:jc w:val="center"/>
              <w:rPr>
                <w:color w:val="auto"/>
                <w:lang w:val="es-ES"/>
              </w:rPr>
            </w:pPr>
            <w:r w:rsidRPr="00C33F4C">
              <w:rPr>
                <w:color w:val="auto"/>
                <w:lang w:val="es-ES"/>
              </w:rPr>
              <w:t>22,2</w:t>
            </w:r>
          </w:p>
        </w:tc>
        <w:tc>
          <w:tcPr>
            <w:tcW w:w="2688" w:type="dxa"/>
            <w:tcBorders>
              <w:top w:val="single" w:sz="4" w:space="0" w:color="000000"/>
              <w:left w:val="single" w:sz="4" w:space="0" w:color="000000"/>
              <w:bottom w:val="single" w:sz="4" w:space="0" w:color="000000"/>
              <w:right w:val="single" w:sz="4" w:space="0" w:color="000000"/>
            </w:tcBorders>
          </w:tcPr>
          <w:p w14:paraId="52921B3C" w14:textId="77777777" w:rsidR="00FB24C0" w:rsidRPr="00C33F4C" w:rsidRDefault="00FB24C0" w:rsidP="00D161AB">
            <w:pPr>
              <w:keepNext/>
              <w:keepLines/>
              <w:spacing w:after="0" w:line="240" w:lineRule="auto"/>
              <w:ind w:left="0" w:firstLine="0"/>
              <w:jc w:val="center"/>
              <w:rPr>
                <w:color w:val="auto"/>
                <w:lang w:val="es-ES"/>
              </w:rPr>
            </w:pPr>
            <w:r w:rsidRPr="00C33F4C">
              <w:rPr>
                <w:color w:val="auto"/>
                <w:lang w:val="es-ES"/>
              </w:rPr>
              <w:t>49,8</w:t>
            </w:r>
          </w:p>
        </w:tc>
      </w:tr>
      <w:tr w:rsidR="00FB24C0" w:rsidRPr="00D43E33" w14:paraId="747F5972" w14:textId="77777777" w:rsidTr="00C33F4C">
        <w:trPr>
          <w:trHeight w:val="263"/>
        </w:trPr>
        <w:tc>
          <w:tcPr>
            <w:tcW w:w="1291" w:type="dxa"/>
            <w:tcBorders>
              <w:top w:val="single" w:sz="4" w:space="0" w:color="000000"/>
              <w:left w:val="single" w:sz="4" w:space="0" w:color="000000"/>
              <w:bottom w:val="single" w:sz="4" w:space="0" w:color="000000"/>
              <w:right w:val="single" w:sz="4" w:space="0" w:color="000000"/>
            </w:tcBorders>
            <w:vAlign w:val="center"/>
          </w:tcPr>
          <w:p w14:paraId="0A95AB02"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 xml:space="preserve">Valor de p </w:t>
            </w:r>
          </w:p>
        </w:tc>
        <w:tc>
          <w:tcPr>
            <w:tcW w:w="3888" w:type="dxa"/>
            <w:gridSpan w:val="2"/>
            <w:tcBorders>
              <w:top w:val="single" w:sz="4" w:space="0" w:color="000000"/>
              <w:left w:val="single" w:sz="4" w:space="0" w:color="000000"/>
              <w:bottom w:val="single" w:sz="4" w:space="0" w:color="000000"/>
              <w:right w:val="single" w:sz="4" w:space="0" w:color="000000"/>
            </w:tcBorders>
            <w:vAlign w:val="center"/>
          </w:tcPr>
          <w:p w14:paraId="2ACE1936"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&lt;</w:t>
            </w:r>
            <w:r w:rsidR="00A46A8A" w:rsidRPr="00E30038">
              <w:t> </w:t>
            </w:r>
            <w:r w:rsidRPr="00C33F4C">
              <w:rPr>
                <w:color w:val="auto"/>
                <w:lang w:val="es-ES"/>
              </w:rPr>
              <w:t>0,0001</w:t>
            </w:r>
          </w:p>
        </w:tc>
        <w:tc>
          <w:tcPr>
            <w:tcW w:w="3888" w:type="dxa"/>
            <w:gridSpan w:val="2"/>
            <w:tcBorders>
              <w:top w:val="single" w:sz="4" w:space="0" w:color="000000"/>
              <w:left w:val="single" w:sz="4" w:space="0" w:color="000000"/>
              <w:bottom w:val="single" w:sz="4" w:space="0" w:color="000000"/>
              <w:right w:val="single" w:sz="4" w:space="0" w:color="000000"/>
            </w:tcBorders>
            <w:vAlign w:val="center"/>
          </w:tcPr>
          <w:p w14:paraId="3FA9E9E9"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&lt;</w:t>
            </w:r>
            <w:r w:rsidR="00A46A8A" w:rsidRPr="00E30038">
              <w:t> </w:t>
            </w:r>
            <w:r w:rsidRPr="00C33F4C">
              <w:rPr>
                <w:color w:val="auto"/>
                <w:lang w:val="es-ES"/>
              </w:rPr>
              <w:t>0,0001</w:t>
            </w:r>
          </w:p>
        </w:tc>
      </w:tr>
    </w:tbl>
    <w:p w14:paraId="54976765" w14:textId="77777777" w:rsidR="00FB24C0" w:rsidRPr="00443040" w:rsidRDefault="00FB24C0" w:rsidP="00FB24C0">
      <w:pPr>
        <w:spacing w:after="0" w:line="240" w:lineRule="auto"/>
        <w:ind w:left="567" w:hanging="567"/>
        <w:rPr>
          <w:color w:val="auto"/>
          <w:sz w:val="20"/>
          <w:lang w:val="es-ES"/>
        </w:rPr>
      </w:pPr>
      <w:r w:rsidRPr="00443040">
        <w:rPr>
          <w:color w:val="auto"/>
          <w:sz w:val="20"/>
          <w:lang w:val="es-ES"/>
        </w:rPr>
        <w:t>*</w:t>
      </w:r>
      <w:r w:rsidRPr="00443040">
        <w:rPr>
          <w:color w:val="auto"/>
          <w:sz w:val="20"/>
          <w:lang w:val="es-ES"/>
        </w:rPr>
        <w:tab/>
        <w:t>análisis principal</w:t>
      </w:r>
      <w:r w:rsidR="009363D4">
        <w:rPr>
          <w:color w:val="auto"/>
          <w:sz w:val="20"/>
          <w:lang w:val="es-ES"/>
        </w:rPr>
        <w:t>.</w:t>
      </w:r>
    </w:p>
    <w:p w14:paraId="4F6666A1" w14:textId="77777777" w:rsidR="00FB24C0" w:rsidRPr="00443040" w:rsidRDefault="00FB24C0" w:rsidP="00FB24C0">
      <w:pPr>
        <w:spacing w:after="0" w:line="240" w:lineRule="auto"/>
        <w:ind w:left="0" w:firstLine="0"/>
        <w:rPr>
          <w:color w:val="auto"/>
          <w:lang w:val="es-ES"/>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977"/>
        <w:gridCol w:w="3119"/>
        <w:gridCol w:w="2835"/>
      </w:tblGrid>
      <w:tr w:rsidR="006C1D74" w:rsidRPr="0059798C" w14:paraId="02D647F9" w14:textId="77777777" w:rsidTr="009363D4">
        <w:trPr>
          <w:trHeight w:val="300"/>
        </w:trPr>
        <w:tc>
          <w:tcPr>
            <w:tcW w:w="8931" w:type="dxa"/>
            <w:gridSpan w:val="3"/>
            <w:noWrap/>
            <w:vAlign w:val="bottom"/>
          </w:tcPr>
          <w:p w14:paraId="267C1FA2" w14:textId="77777777" w:rsidR="006C1D74" w:rsidRPr="0059798C" w:rsidRDefault="006C1D74" w:rsidP="007E4B32">
            <w:pPr>
              <w:spacing w:line="240" w:lineRule="auto"/>
              <w:ind w:left="0"/>
            </w:pPr>
            <w:r w:rsidRPr="00D1096C">
              <w:rPr>
                <w:lang w:val="es-ES"/>
              </w:rPr>
              <w:t>Supervivencia g</w:t>
            </w:r>
            <w:r w:rsidRPr="002D3A5C">
              <w:t>lobal</w:t>
            </w:r>
          </w:p>
        </w:tc>
      </w:tr>
      <w:tr w:rsidR="006C1D74" w:rsidRPr="0059798C" w14:paraId="0B3E09A2" w14:textId="77777777" w:rsidTr="009363D4">
        <w:trPr>
          <w:trHeight w:val="263"/>
        </w:trPr>
        <w:tc>
          <w:tcPr>
            <w:tcW w:w="2977" w:type="dxa"/>
            <w:tcBorders>
              <w:right w:val="single" w:sz="4" w:space="0" w:color="auto"/>
            </w:tcBorders>
            <w:noWrap/>
            <w:vAlign w:val="bottom"/>
          </w:tcPr>
          <w:p w14:paraId="7193BED2" w14:textId="77777777" w:rsidR="006C1D74" w:rsidRPr="0059798C" w:rsidRDefault="006C1D74" w:rsidP="004B62C8">
            <w:pPr>
              <w:spacing w:line="240" w:lineRule="auto"/>
              <w:ind w:left="0"/>
            </w:pPr>
          </w:p>
        </w:tc>
        <w:tc>
          <w:tcPr>
            <w:tcW w:w="3119" w:type="dxa"/>
            <w:tcBorders>
              <w:left w:val="single" w:sz="4" w:space="0" w:color="auto"/>
              <w:right w:val="single" w:sz="4" w:space="0" w:color="auto"/>
            </w:tcBorders>
            <w:noWrap/>
          </w:tcPr>
          <w:p w14:paraId="4C0C744E" w14:textId="77777777" w:rsidR="007E4B32" w:rsidRDefault="007E4B32" w:rsidP="007E4B32">
            <w:pPr>
              <w:spacing w:line="240" w:lineRule="auto"/>
              <w:ind w:left="0"/>
              <w:jc w:val="center"/>
              <w:rPr>
                <w:lang w:val="es-ES"/>
              </w:rPr>
            </w:pPr>
            <w:proofErr w:type="spellStart"/>
            <w:r>
              <w:rPr>
                <w:lang w:val="es-ES"/>
              </w:rPr>
              <w:t>Paclitaxel</w:t>
            </w:r>
            <w:proofErr w:type="spellEnd"/>
          </w:p>
          <w:p w14:paraId="14D6A20A" w14:textId="77777777" w:rsidR="006C1D74" w:rsidRPr="0059798C" w:rsidRDefault="006C1D74" w:rsidP="00A46A8A">
            <w:pPr>
              <w:spacing w:line="240" w:lineRule="auto"/>
              <w:ind w:left="0"/>
              <w:jc w:val="center"/>
            </w:pPr>
            <w:r w:rsidRPr="002D3A5C">
              <w:rPr>
                <w:lang w:val="es-ES"/>
              </w:rPr>
              <w:t>(n</w:t>
            </w:r>
            <w:r w:rsidR="00A46A8A" w:rsidRPr="00E30038">
              <w:t> </w:t>
            </w:r>
            <w:r w:rsidRPr="002D3A5C">
              <w:rPr>
                <w:lang w:val="es-ES"/>
              </w:rPr>
              <w:t>=</w:t>
            </w:r>
            <w:r w:rsidR="00A46A8A" w:rsidRPr="00E30038">
              <w:t> </w:t>
            </w:r>
            <w:r w:rsidRPr="002D3A5C">
              <w:rPr>
                <w:lang w:val="es-ES"/>
              </w:rPr>
              <w:t>354)</w:t>
            </w:r>
          </w:p>
        </w:tc>
        <w:tc>
          <w:tcPr>
            <w:tcW w:w="2835" w:type="dxa"/>
            <w:tcBorders>
              <w:left w:val="single" w:sz="4" w:space="0" w:color="auto"/>
            </w:tcBorders>
            <w:noWrap/>
          </w:tcPr>
          <w:p w14:paraId="09131AF9" w14:textId="77777777" w:rsidR="007E4B32" w:rsidRDefault="007E4B32" w:rsidP="007E4B32">
            <w:pPr>
              <w:spacing w:line="240" w:lineRule="auto"/>
              <w:ind w:left="0"/>
              <w:jc w:val="center"/>
              <w:rPr>
                <w:lang w:val="es-ES"/>
              </w:rPr>
            </w:pPr>
            <w:proofErr w:type="spellStart"/>
            <w:r>
              <w:rPr>
                <w:lang w:val="es-ES"/>
              </w:rPr>
              <w:t>Paclitaxel</w:t>
            </w:r>
            <w:proofErr w:type="spellEnd"/>
            <w:r>
              <w:rPr>
                <w:lang w:val="es-ES"/>
              </w:rPr>
              <w:t>/</w:t>
            </w:r>
            <w:r w:rsidR="00D43E33" w:rsidRPr="001919A9">
              <w:rPr>
                <w:lang w:val="es-ES"/>
              </w:rPr>
              <w:t>bevacizumab</w:t>
            </w:r>
          </w:p>
          <w:p w14:paraId="3CFE84EB" w14:textId="77777777" w:rsidR="006C1D74" w:rsidRPr="0059798C" w:rsidRDefault="006C1D74" w:rsidP="007E4B32">
            <w:pPr>
              <w:spacing w:line="240" w:lineRule="auto"/>
              <w:ind w:left="0"/>
              <w:jc w:val="center"/>
            </w:pPr>
            <w:r w:rsidRPr="002D3A5C">
              <w:rPr>
                <w:lang w:val="es-ES"/>
              </w:rPr>
              <w:t>(n</w:t>
            </w:r>
            <w:r w:rsidR="00A46A8A" w:rsidRPr="00E30038">
              <w:t> </w:t>
            </w:r>
            <w:r w:rsidRPr="002D3A5C">
              <w:rPr>
                <w:lang w:val="es-ES"/>
              </w:rPr>
              <w:t>=</w:t>
            </w:r>
            <w:r w:rsidR="00A46A8A" w:rsidRPr="00E30038">
              <w:t> </w:t>
            </w:r>
            <w:r w:rsidRPr="002D3A5C">
              <w:rPr>
                <w:lang w:val="es-ES"/>
              </w:rPr>
              <w:t>368)</w:t>
            </w:r>
          </w:p>
        </w:tc>
      </w:tr>
      <w:tr w:rsidR="006C1D74" w:rsidRPr="0059798C" w14:paraId="1AE0EC8F" w14:textId="77777777" w:rsidTr="009363D4">
        <w:trPr>
          <w:trHeight w:val="300"/>
        </w:trPr>
        <w:tc>
          <w:tcPr>
            <w:tcW w:w="2977" w:type="dxa"/>
            <w:tcBorders>
              <w:right w:val="single" w:sz="4" w:space="0" w:color="auto"/>
            </w:tcBorders>
            <w:noWrap/>
            <w:vAlign w:val="center"/>
          </w:tcPr>
          <w:p w14:paraId="660452A8" w14:textId="77777777" w:rsidR="006C1D74" w:rsidRPr="00A51019" w:rsidRDefault="006C1D74" w:rsidP="007E4B32">
            <w:pPr>
              <w:spacing w:line="240" w:lineRule="auto"/>
              <w:ind w:left="0"/>
              <w:jc w:val="center"/>
              <w:rPr>
                <w:lang w:val="es-ES"/>
              </w:rPr>
            </w:pPr>
            <w:r w:rsidRPr="002D3A5C">
              <w:rPr>
                <w:lang w:val="es-ES"/>
              </w:rPr>
              <w:t>Mediana de supervivencia global (meses)</w:t>
            </w:r>
          </w:p>
        </w:tc>
        <w:tc>
          <w:tcPr>
            <w:tcW w:w="3119" w:type="dxa"/>
            <w:tcBorders>
              <w:left w:val="single" w:sz="4" w:space="0" w:color="auto"/>
              <w:right w:val="single" w:sz="4" w:space="0" w:color="auto"/>
            </w:tcBorders>
            <w:noWrap/>
            <w:vAlign w:val="bottom"/>
          </w:tcPr>
          <w:p w14:paraId="4EE3E9D2" w14:textId="77777777" w:rsidR="006C1D74" w:rsidRPr="0059798C" w:rsidRDefault="006C1D74" w:rsidP="004B62C8">
            <w:pPr>
              <w:spacing w:line="240" w:lineRule="auto"/>
              <w:ind w:left="0"/>
              <w:jc w:val="center"/>
            </w:pPr>
            <w:r w:rsidRPr="002D3A5C">
              <w:rPr>
                <w:lang w:val="es-ES"/>
              </w:rPr>
              <w:t>24,8</w:t>
            </w:r>
          </w:p>
        </w:tc>
        <w:tc>
          <w:tcPr>
            <w:tcW w:w="2835" w:type="dxa"/>
            <w:tcBorders>
              <w:left w:val="single" w:sz="4" w:space="0" w:color="auto"/>
            </w:tcBorders>
            <w:noWrap/>
            <w:vAlign w:val="bottom"/>
          </w:tcPr>
          <w:p w14:paraId="188E019F" w14:textId="77777777" w:rsidR="006C1D74" w:rsidRPr="0059798C" w:rsidRDefault="006C1D74" w:rsidP="004B62C8">
            <w:pPr>
              <w:spacing w:line="240" w:lineRule="auto"/>
              <w:ind w:left="0"/>
              <w:jc w:val="center"/>
            </w:pPr>
            <w:r w:rsidRPr="00443040">
              <w:rPr>
                <w:color w:val="auto"/>
                <w:lang w:val="es-ES"/>
              </w:rPr>
              <w:t>26,5</w:t>
            </w:r>
          </w:p>
        </w:tc>
      </w:tr>
      <w:tr w:rsidR="006C1D74" w:rsidRPr="002D3A5C" w14:paraId="4BA09175" w14:textId="77777777" w:rsidTr="009363D4">
        <w:trPr>
          <w:trHeight w:val="459"/>
        </w:trPr>
        <w:tc>
          <w:tcPr>
            <w:tcW w:w="2977" w:type="dxa"/>
            <w:tcBorders>
              <w:right w:val="single" w:sz="4" w:space="0" w:color="auto"/>
            </w:tcBorders>
            <w:noWrap/>
            <w:vAlign w:val="center"/>
          </w:tcPr>
          <w:p w14:paraId="41DFDB7A" w14:textId="77777777" w:rsidR="006C1D74" w:rsidRPr="002D3A5C" w:rsidRDefault="006C1D74" w:rsidP="007E4B32">
            <w:pPr>
              <w:spacing w:after="0" w:line="240" w:lineRule="auto"/>
              <w:ind w:left="567" w:firstLine="0"/>
              <w:rPr>
                <w:lang w:val="nb-NO"/>
              </w:rPr>
            </w:pPr>
            <w:r w:rsidRPr="002D3A5C">
              <w:rPr>
                <w:lang w:val="es-ES"/>
              </w:rPr>
              <w:t>Razón de riesgo (IC del 95%)</w:t>
            </w:r>
          </w:p>
        </w:tc>
        <w:tc>
          <w:tcPr>
            <w:tcW w:w="5954" w:type="dxa"/>
            <w:gridSpan w:val="2"/>
            <w:tcBorders>
              <w:left w:val="single" w:sz="4" w:space="0" w:color="auto"/>
            </w:tcBorders>
            <w:noWrap/>
          </w:tcPr>
          <w:p w14:paraId="43F3B3A2" w14:textId="77777777" w:rsidR="006C1D74" w:rsidRPr="00443040" w:rsidRDefault="006C1D74" w:rsidP="00AE6A24">
            <w:pPr>
              <w:spacing w:after="0" w:line="259" w:lineRule="auto"/>
              <w:ind w:left="0" w:firstLine="0"/>
              <w:jc w:val="center"/>
              <w:rPr>
                <w:color w:val="auto"/>
                <w:lang w:val="es-ES"/>
              </w:rPr>
            </w:pPr>
            <w:r w:rsidRPr="00443040">
              <w:rPr>
                <w:color w:val="auto"/>
                <w:lang w:val="es-ES"/>
              </w:rPr>
              <w:t>0,869</w:t>
            </w:r>
          </w:p>
          <w:p w14:paraId="773F1F4C" w14:textId="77777777" w:rsidR="006C1D74" w:rsidRPr="002D3A5C" w:rsidRDefault="009E3815" w:rsidP="00AE6A24">
            <w:pPr>
              <w:spacing w:line="240" w:lineRule="auto"/>
              <w:ind w:left="0"/>
              <w:jc w:val="center"/>
              <w:rPr>
                <w:lang w:val="nb-NO"/>
              </w:rPr>
            </w:pPr>
            <w:r>
              <w:rPr>
                <w:color w:val="auto"/>
                <w:lang w:val="es-ES"/>
              </w:rPr>
              <w:t>(0,722</w:t>
            </w:r>
            <w:r w:rsidR="006C1D74" w:rsidRPr="00443040">
              <w:rPr>
                <w:color w:val="auto"/>
                <w:lang w:val="es-ES"/>
              </w:rPr>
              <w:t>; 1,046)</w:t>
            </w:r>
          </w:p>
        </w:tc>
      </w:tr>
      <w:tr w:rsidR="006C1D74" w:rsidRPr="002D3A5C" w14:paraId="40AA87A8" w14:textId="77777777" w:rsidTr="009363D4">
        <w:trPr>
          <w:trHeight w:val="300"/>
        </w:trPr>
        <w:tc>
          <w:tcPr>
            <w:tcW w:w="2977" w:type="dxa"/>
            <w:tcBorders>
              <w:right w:val="single" w:sz="4" w:space="0" w:color="auto"/>
            </w:tcBorders>
            <w:noWrap/>
            <w:vAlign w:val="center"/>
          </w:tcPr>
          <w:p w14:paraId="69F9103D" w14:textId="77777777" w:rsidR="006C1D74" w:rsidRPr="002D3A5C" w:rsidRDefault="006C1D74" w:rsidP="007E4B32">
            <w:pPr>
              <w:spacing w:after="0" w:line="240" w:lineRule="auto"/>
              <w:ind w:left="567" w:firstLine="0"/>
              <w:rPr>
                <w:lang w:val="nb-NO"/>
              </w:rPr>
            </w:pPr>
            <w:r w:rsidRPr="002D3A5C">
              <w:rPr>
                <w:lang w:val="es-ES"/>
              </w:rPr>
              <w:t>Valor de p</w:t>
            </w:r>
          </w:p>
        </w:tc>
        <w:tc>
          <w:tcPr>
            <w:tcW w:w="5954" w:type="dxa"/>
            <w:gridSpan w:val="2"/>
            <w:tcBorders>
              <w:left w:val="single" w:sz="4" w:space="0" w:color="auto"/>
            </w:tcBorders>
            <w:noWrap/>
            <w:vAlign w:val="bottom"/>
          </w:tcPr>
          <w:p w14:paraId="12F0F317" w14:textId="77777777" w:rsidR="006C1D74" w:rsidRPr="002D3A5C" w:rsidRDefault="006C1D74" w:rsidP="001B6BD0">
            <w:pPr>
              <w:spacing w:line="240" w:lineRule="auto"/>
              <w:ind w:left="0" w:firstLine="0"/>
              <w:jc w:val="center"/>
              <w:rPr>
                <w:lang w:val="nb-NO"/>
              </w:rPr>
            </w:pPr>
            <w:r w:rsidRPr="00443040">
              <w:rPr>
                <w:color w:val="auto"/>
                <w:lang w:val="es-ES"/>
              </w:rPr>
              <w:t>0,1374</w:t>
            </w:r>
          </w:p>
        </w:tc>
      </w:tr>
    </w:tbl>
    <w:p w14:paraId="69230AC0" w14:textId="77777777" w:rsidR="00FB24C0" w:rsidRPr="00F13385" w:rsidRDefault="00FB24C0" w:rsidP="00FB24C0">
      <w:pPr>
        <w:spacing w:after="0" w:line="240" w:lineRule="auto"/>
        <w:ind w:left="0" w:firstLine="0"/>
        <w:rPr>
          <w:color w:val="auto"/>
          <w:lang w:val="es-ES"/>
        </w:rPr>
      </w:pPr>
    </w:p>
    <w:p w14:paraId="006055F9" w14:textId="77777777" w:rsidR="00FB24C0" w:rsidRDefault="00FB24C0" w:rsidP="00FB24C0">
      <w:pPr>
        <w:spacing w:after="0" w:line="240" w:lineRule="auto"/>
        <w:ind w:left="0" w:firstLine="0"/>
        <w:rPr>
          <w:color w:val="auto"/>
          <w:lang w:val="es-ES"/>
        </w:rPr>
      </w:pPr>
      <w:r w:rsidRPr="00F13385">
        <w:rPr>
          <w:color w:val="auto"/>
          <w:lang w:val="es-ES"/>
        </w:rPr>
        <w:t xml:space="preserve">El beneficio clínico de </w:t>
      </w:r>
      <w:r w:rsidR="00E47A0B" w:rsidRPr="001919A9">
        <w:rPr>
          <w:lang w:val="es-ES"/>
        </w:rPr>
        <w:t>bevacizumab</w:t>
      </w:r>
      <w:r w:rsidRPr="00F13385">
        <w:rPr>
          <w:color w:val="auto"/>
          <w:lang w:val="es-ES"/>
        </w:rPr>
        <w:t>, medido mediante la SLP, se observó en todos los subgrupos preespecificados en el ensayo (incluyendo el intervalo libre de enfermedad, el número de metástasis, la quimioterapia adyuvante previa y el estatus de los receptores de estrógenos (RE)).</w:t>
      </w:r>
    </w:p>
    <w:p w14:paraId="25A2B6AD" w14:textId="77777777" w:rsidR="005756DB" w:rsidRDefault="005756DB" w:rsidP="00FB24C0">
      <w:pPr>
        <w:spacing w:after="0" w:line="240" w:lineRule="auto"/>
        <w:ind w:left="0" w:firstLine="0"/>
        <w:rPr>
          <w:color w:val="auto"/>
          <w:lang w:val="es-ES"/>
        </w:rPr>
      </w:pPr>
    </w:p>
    <w:p w14:paraId="3627C802" w14:textId="77777777" w:rsidR="005756DB" w:rsidRPr="00C33F4C" w:rsidRDefault="005756DB" w:rsidP="005756DB">
      <w:pPr>
        <w:autoSpaceDE w:val="0"/>
        <w:autoSpaceDN w:val="0"/>
        <w:adjustRightInd w:val="0"/>
        <w:spacing w:after="0" w:line="240" w:lineRule="auto"/>
        <w:ind w:left="0" w:firstLine="0"/>
        <w:rPr>
          <w:rFonts w:eastAsia="Calibri"/>
          <w:lang w:val="es-ES" w:eastAsia="en-US"/>
        </w:rPr>
      </w:pPr>
      <w:r w:rsidRPr="00C33F4C">
        <w:rPr>
          <w:rFonts w:eastAsia="Calibri"/>
          <w:i/>
          <w:iCs/>
          <w:lang w:val="es-ES" w:eastAsia="en-US"/>
        </w:rPr>
        <w:t xml:space="preserve">AVF3694g </w:t>
      </w:r>
    </w:p>
    <w:p w14:paraId="792CE448" w14:textId="158680A3" w:rsidR="005756DB" w:rsidRPr="00C33F4C" w:rsidRDefault="005756DB" w:rsidP="005756DB">
      <w:pPr>
        <w:spacing w:after="0" w:line="240" w:lineRule="auto"/>
        <w:ind w:left="0" w:firstLine="0"/>
        <w:rPr>
          <w:rFonts w:eastAsia="Calibri"/>
          <w:lang w:val="es-ES" w:eastAsia="en-US"/>
        </w:rPr>
      </w:pPr>
      <w:r w:rsidRPr="00C33F4C">
        <w:rPr>
          <w:rFonts w:eastAsia="Calibri"/>
          <w:lang w:val="es-ES" w:eastAsia="en-US"/>
        </w:rPr>
        <w:t>El ensayo AVF3694g fase III, multicéntrico, aleatorizado, controlado con placebo fue diseñado para evaluar la eficacia y seguridad de bevacizumab en combinación con quimioterapia comparado con quimioterapia más placebo como tratamiento de primera línea para pacientes con cáncer de mama metastásico o localmente recurrente HER2-negativo.</w:t>
      </w:r>
    </w:p>
    <w:p w14:paraId="3DBCE386" w14:textId="77777777" w:rsidR="005756DB" w:rsidRPr="00C33F4C" w:rsidRDefault="005756DB" w:rsidP="005756DB">
      <w:pPr>
        <w:spacing w:after="0" w:line="240" w:lineRule="auto"/>
        <w:ind w:left="0" w:firstLine="0"/>
        <w:rPr>
          <w:rFonts w:eastAsia="Calibri"/>
          <w:lang w:val="es-ES" w:eastAsia="en-US"/>
        </w:rPr>
      </w:pPr>
    </w:p>
    <w:p w14:paraId="0F78D033" w14:textId="27C8C59E" w:rsidR="005756DB" w:rsidRPr="00C33F4C" w:rsidRDefault="005756DB" w:rsidP="005756DB">
      <w:pPr>
        <w:autoSpaceDE w:val="0"/>
        <w:autoSpaceDN w:val="0"/>
        <w:adjustRightInd w:val="0"/>
        <w:spacing w:after="0" w:line="240" w:lineRule="auto"/>
        <w:ind w:left="0" w:firstLine="0"/>
        <w:rPr>
          <w:rFonts w:eastAsia="Calibri"/>
          <w:lang w:val="es-ES" w:eastAsia="en-US"/>
        </w:rPr>
      </w:pPr>
      <w:r w:rsidRPr="00C33F4C">
        <w:rPr>
          <w:rFonts w:eastAsia="Calibri"/>
          <w:lang w:val="es-ES" w:eastAsia="en-US"/>
        </w:rPr>
        <w:t xml:space="preserve">La quimioterapia fue elegida a juicio del investigador antes de la aleatorización en una proporción 2:1 para recibir bevacizumab y quimioterapia o quimioterapia y placebo. Las quimioterapias elegidas que se administraron cada 3 semanas incluyeron </w:t>
      </w:r>
      <w:proofErr w:type="spellStart"/>
      <w:r w:rsidRPr="00C33F4C">
        <w:rPr>
          <w:rFonts w:eastAsia="Calibri"/>
          <w:lang w:val="es-ES" w:eastAsia="en-US"/>
        </w:rPr>
        <w:t>capecitabina</w:t>
      </w:r>
      <w:proofErr w:type="spellEnd"/>
      <w:r w:rsidRPr="00C33F4C">
        <w:rPr>
          <w:rFonts w:eastAsia="Calibri"/>
          <w:lang w:val="es-ES" w:eastAsia="en-US"/>
        </w:rPr>
        <w:t xml:space="preserve">, </w:t>
      </w:r>
      <w:proofErr w:type="spellStart"/>
      <w:r w:rsidRPr="00C33F4C">
        <w:rPr>
          <w:rFonts w:eastAsia="Calibri"/>
          <w:lang w:val="es-ES" w:eastAsia="en-US"/>
        </w:rPr>
        <w:t>taxanos</w:t>
      </w:r>
      <w:proofErr w:type="spellEnd"/>
      <w:r w:rsidRPr="00C33F4C">
        <w:rPr>
          <w:rFonts w:eastAsia="Calibri"/>
          <w:lang w:val="es-ES" w:eastAsia="en-US"/>
        </w:rPr>
        <w:t xml:space="preserve"> (</w:t>
      </w:r>
      <w:proofErr w:type="spellStart"/>
      <w:r w:rsidRPr="00C33F4C">
        <w:rPr>
          <w:rFonts w:eastAsia="Calibri"/>
          <w:lang w:val="es-ES" w:eastAsia="en-US"/>
        </w:rPr>
        <w:t>paclitaxel</w:t>
      </w:r>
      <w:proofErr w:type="spellEnd"/>
      <w:r w:rsidRPr="00C33F4C">
        <w:rPr>
          <w:rFonts w:eastAsia="Calibri"/>
          <w:lang w:val="es-ES" w:eastAsia="en-US"/>
        </w:rPr>
        <w:t xml:space="preserve"> unido a proteínas, </w:t>
      </w:r>
      <w:proofErr w:type="spellStart"/>
      <w:r w:rsidRPr="00C33F4C">
        <w:rPr>
          <w:rFonts w:eastAsia="Calibri"/>
          <w:lang w:val="es-ES" w:eastAsia="en-US"/>
        </w:rPr>
        <w:t>docetaxel</w:t>
      </w:r>
      <w:proofErr w:type="spellEnd"/>
      <w:r w:rsidRPr="00C33F4C">
        <w:rPr>
          <w:rFonts w:eastAsia="Calibri"/>
          <w:lang w:val="es-ES" w:eastAsia="en-US"/>
        </w:rPr>
        <w:t xml:space="preserve">), agentes basados en antraciclinas (doxorrubicina/ ciclofosfamida, </w:t>
      </w:r>
      <w:proofErr w:type="spellStart"/>
      <w:r w:rsidRPr="00C33F4C">
        <w:rPr>
          <w:rFonts w:eastAsia="Calibri"/>
          <w:lang w:val="es-ES" w:eastAsia="en-US"/>
        </w:rPr>
        <w:t>epirrubicina</w:t>
      </w:r>
      <w:proofErr w:type="spellEnd"/>
      <w:r w:rsidRPr="00C33F4C">
        <w:rPr>
          <w:rFonts w:eastAsia="Calibri"/>
          <w:lang w:val="es-ES" w:eastAsia="en-US"/>
        </w:rPr>
        <w:t xml:space="preserve">/ ciclofosfamida, 5-fluorouracilo/ doxorrubicina/ ciclofosfamida, 5-fluorouracilo/ </w:t>
      </w:r>
      <w:proofErr w:type="spellStart"/>
      <w:r w:rsidRPr="00C33F4C">
        <w:rPr>
          <w:rFonts w:eastAsia="Calibri"/>
          <w:lang w:val="es-ES" w:eastAsia="en-US"/>
        </w:rPr>
        <w:t>epirrubicina</w:t>
      </w:r>
      <w:proofErr w:type="spellEnd"/>
      <w:r w:rsidRPr="00C33F4C">
        <w:rPr>
          <w:rFonts w:eastAsia="Calibri"/>
          <w:lang w:val="es-ES" w:eastAsia="en-US"/>
        </w:rPr>
        <w:t>/ ciclofosfamida). Bevacizumab o placebo fueron administrados a una dosis de 15 mg/kg cada 3 semanas.</w:t>
      </w:r>
    </w:p>
    <w:p w14:paraId="67CEBE6E" w14:textId="77777777" w:rsidR="005756DB" w:rsidRPr="00C33F4C" w:rsidRDefault="005756DB" w:rsidP="005756DB">
      <w:pPr>
        <w:autoSpaceDE w:val="0"/>
        <w:autoSpaceDN w:val="0"/>
        <w:adjustRightInd w:val="0"/>
        <w:spacing w:after="0" w:line="240" w:lineRule="auto"/>
        <w:ind w:left="0" w:firstLine="0"/>
        <w:rPr>
          <w:rFonts w:eastAsia="Calibri"/>
          <w:lang w:val="es-ES" w:eastAsia="en-US"/>
        </w:rPr>
      </w:pPr>
    </w:p>
    <w:p w14:paraId="28D7F411" w14:textId="1963C683" w:rsidR="005756DB" w:rsidRPr="00C33F4C" w:rsidRDefault="005756DB" w:rsidP="005756DB">
      <w:pPr>
        <w:autoSpaceDE w:val="0"/>
        <w:autoSpaceDN w:val="0"/>
        <w:adjustRightInd w:val="0"/>
        <w:spacing w:after="0" w:line="240" w:lineRule="auto"/>
        <w:ind w:left="0" w:firstLine="0"/>
        <w:rPr>
          <w:rFonts w:eastAsia="Calibri"/>
          <w:lang w:val="es-ES" w:eastAsia="en-US"/>
        </w:rPr>
      </w:pPr>
      <w:r w:rsidRPr="00C33F4C">
        <w:rPr>
          <w:rFonts w:eastAsia="Calibri"/>
          <w:lang w:val="es-ES" w:eastAsia="en-US"/>
        </w:rPr>
        <w:t>Este ensayo incluyó una fase de tratamiento ciego, una fase opcional tras progresión abierta, y una fase de seguimiento de supervivencia. Durante la fase de tratamiento ciego, los pacientes recibieron quimioterapia y el medicamento (</w:t>
      </w:r>
      <w:r w:rsidR="000B0DAA" w:rsidRPr="00C33F4C">
        <w:rPr>
          <w:rFonts w:eastAsia="Calibri"/>
          <w:lang w:val="es-ES" w:eastAsia="en-US"/>
        </w:rPr>
        <w:t>bevacizumab</w:t>
      </w:r>
      <w:r w:rsidRPr="00C33F4C">
        <w:rPr>
          <w:rFonts w:eastAsia="Calibri"/>
          <w:lang w:val="es-ES" w:eastAsia="en-US"/>
        </w:rPr>
        <w:t xml:space="preserve"> o placebo) cada 3</w:t>
      </w:r>
      <w:r w:rsidR="000B0DAA" w:rsidRPr="00C33F4C">
        <w:rPr>
          <w:rFonts w:eastAsia="Calibri"/>
          <w:lang w:val="es-ES" w:eastAsia="en-US"/>
        </w:rPr>
        <w:t> </w:t>
      </w:r>
      <w:r w:rsidRPr="00C33F4C">
        <w:rPr>
          <w:rFonts w:eastAsia="Calibri"/>
          <w:lang w:val="es-ES" w:eastAsia="en-US"/>
        </w:rPr>
        <w:t xml:space="preserve">semanas hasta progresión de la enfermedad, toxicidad limitante del tratamiento, o fallecimiento. En caso de progresión de la enfermedad confirmada, los pacientes que entraron en la fase opcional abierta pudieron recibir </w:t>
      </w:r>
      <w:r w:rsidR="000B0DAA" w:rsidRPr="00C33F4C">
        <w:rPr>
          <w:rFonts w:eastAsia="Calibri"/>
          <w:lang w:val="es-ES" w:eastAsia="en-US"/>
        </w:rPr>
        <w:t>bevacizumab</w:t>
      </w:r>
      <w:r w:rsidRPr="00C33F4C">
        <w:rPr>
          <w:rFonts w:eastAsia="Calibri"/>
          <w:lang w:val="es-ES" w:eastAsia="en-US"/>
        </w:rPr>
        <w:t xml:space="preserve"> junto a una amplia gama de tratamientos de segunda línea abiertamente.</w:t>
      </w:r>
    </w:p>
    <w:p w14:paraId="34E18763" w14:textId="77777777" w:rsidR="000B0DAA" w:rsidRPr="00C33F4C" w:rsidRDefault="000B0DAA" w:rsidP="005756DB">
      <w:pPr>
        <w:autoSpaceDE w:val="0"/>
        <w:autoSpaceDN w:val="0"/>
        <w:adjustRightInd w:val="0"/>
        <w:spacing w:after="0" w:line="240" w:lineRule="auto"/>
        <w:ind w:left="0" w:firstLine="0"/>
        <w:rPr>
          <w:rFonts w:eastAsia="Calibri"/>
          <w:lang w:val="es-ES" w:eastAsia="en-US"/>
        </w:rPr>
      </w:pPr>
    </w:p>
    <w:p w14:paraId="7FBB0B36" w14:textId="17241A72" w:rsidR="005756DB" w:rsidRPr="00C33F4C" w:rsidRDefault="005756DB" w:rsidP="005756DB">
      <w:pPr>
        <w:autoSpaceDE w:val="0"/>
        <w:autoSpaceDN w:val="0"/>
        <w:adjustRightInd w:val="0"/>
        <w:spacing w:after="0" w:line="240" w:lineRule="auto"/>
        <w:ind w:left="0" w:firstLine="0"/>
        <w:rPr>
          <w:rFonts w:eastAsia="Calibri"/>
          <w:lang w:val="es-ES" w:eastAsia="en-US"/>
        </w:rPr>
      </w:pPr>
      <w:r w:rsidRPr="00C33F4C">
        <w:rPr>
          <w:rFonts w:eastAsia="Calibri"/>
          <w:lang w:val="es-ES" w:eastAsia="en-US"/>
        </w:rPr>
        <w:t xml:space="preserve">Se realizaron análisis estadísticos de forma independiente para 1) pacientes que recibieron </w:t>
      </w:r>
      <w:proofErr w:type="spellStart"/>
      <w:r w:rsidRPr="00C33F4C">
        <w:rPr>
          <w:rFonts w:eastAsia="Calibri"/>
          <w:lang w:val="es-ES" w:eastAsia="en-US"/>
        </w:rPr>
        <w:t>capecitabina</w:t>
      </w:r>
      <w:proofErr w:type="spellEnd"/>
      <w:r w:rsidRPr="00C33F4C">
        <w:rPr>
          <w:rFonts w:eastAsia="Calibri"/>
          <w:lang w:val="es-ES" w:eastAsia="en-US"/>
        </w:rPr>
        <w:t xml:space="preserve"> en combinación con </w:t>
      </w:r>
      <w:r w:rsidR="000B0DAA" w:rsidRPr="00C33F4C">
        <w:rPr>
          <w:rFonts w:eastAsia="Calibri"/>
          <w:lang w:val="es-ES" w:eastAsia="en-US"/>
        </w:rPr>
        <w:t>bevacizumab</w:t>
      </w:r>
      <w:r w:rsidRPr="00C33F4C">
        <w:rPr>
          <w:rFonts w:eastAsia="Calibri"/>
          <w:lang w:val="es-ES" w:eastAsia="en-US"/>
        </w:rPr>
        <w:t xml:space="preserve"> o placebo; 2) pacientes que recibieron quimioterapia basada en </w:t>
      </w:r>
      <w:proofErr w:type="spellStart"/>
      <w:r w:rsidRPr="00C33F4C">
        <w:rPr>
          <w:rFonts w:eastAsia="Calibri"/>
          <w:lang w:val="es-ES" w:eastAsia="en-US"/>
        </w:rPr>
        <w:t>taxanos</w:t>
      </w:r>
      <w:proofErr w:type="spellEnd"/>
      <w:r w:rsidRPr="00C33F4C">
        <w:rPr>
          <w:rFonts w:eastAsia="Calibri"/>
          <w:lang w:val="es-ES" w:eastAsia="en-US"/>
        </w:rPr>
        <w:t xml:space="preserve"> o en antraciclinas en combinación con </w:t>
      </w:r>
      <w:r w:rsidR="000B0DAA" w:rsidRPr="00C33F4C">
        <w:rPr>
          <w:rFonts w:eastAsia="Calibri"/>
          <w:lang w:val="es-ES" w:eastAsia="en-US"/>
        </w:rPr>
        <w:t>bevacizumab</w:t>
      </w:r>
      <w:r w:rsidRPr="00C33F4C">
        <w:rPr>
          <w:rFonts w:eastAsia="Calibri"/>
          <w:lang w:val="es-ES" w:eastAsia="en-US"/>
        </w:rPr>
        <w:t xml:space="preserve"> o placebo. La variable principal del ensayo fue la SLP evaluada por el investigador. Adicionalmente, la variable principal fue también evaluada por un Comité de revisión independiente (CRI).</w:t>
      </w:r>
    </w:p>
    <w:p w14:paraId="7FF057FF" w14:textId="77777777" w:rsidR="000B0DAA" w:rsidRPr="00C33F4C" w:rsidRDefault="000B0DAA" w:rsidP="005756DB">
      <w:pPr>
        <w:autoSpaceDE w:val="0"/>
        <w:autoSpaceDN w:val="0"/>
        <w:adjustRightInd w:val="0"/>
        <w:spacing w:after="0" w:line="240" w:lineRule="auto"/>
        <w:ind w:left="0" w:firstLine="0"/>
        <w:rPr>
          <w:rFonts w:eastAsia="Calibri"/>
          <w:lang w:val="es-ES" w:eastAsia="en-US"/>
        </w:rPr>
      </w:pPr>
    </w:p>
    <w:p w14:paraId="76330892" w14:textId="48B665F0" w:rsidR="000B0DAA" w:rsidRPr="00C33F4C" w:rsidRDefault="005756DB" w:rsidP="005756DB">
      <w:pPr>
        <w:spacing w:after="0" w:line="240" w:lineRule="auto"/>
        <w:ind w:left="0" w:firstLine="0"/>
        <w:rPr>
          <w:rFonts w:eastAsia="Calibri"/>
          <w:lang w:val="es-ES" w:eastAsia="en-US"/>
        </w:rPr>
      </w:pPr>
      <w:r w:rsidRPr="00C33F4C">
        <w:rPr>
          <w:rFonts w:eastAsia="Calibri"/>
          <w:lang w:val="es-ES" w:eastAsia="en-US"/>
        </w:rPr>
        <w:t xml:space="preserve">En la </w:t>
      </w:r>
      <w:r w:rsidR="00382D82">
        <w:rPr>
          <w:rFonts w:eastAsia="Calibri"/>
          <w:lang w:val="es-ES" w:eastAsia="en-US"/>
        </w:rPr>
        <w:t>t</w:t>
      </w:r>
      <w:r w:rsidRPr="00C33F4C">
        <w:rPr>
          <w:rFonts w:eastAsia="Calibri"/>
          <w:lang w:val="es-ES" w:eastAsia="en-US"/>
        </w:rPr>
        <w:t>abla</w:t>
      </w:r>
      <w:r w:rsidR="000B0DAA" w:rsidRPr="00C33F4C">
        <w:rPr>
          <w:rFonts w:eastAsia="Calibri"/>
          <w:lang w:val="es-ES" w:eastAsia="en-US"/>
        </w:rPr>
        <w:t> </w:t>
      </w:r>
      <w:r w:rsidRPr="00C33F4C">
        <w:rPr>
          <w:rFonts w:eastAsia="Calibri"/>
          <w:lang w:val="es-ES" w:eastAsia="en-US"/>
        </w:rPr>
        <w:t xml:space="preserve">11 se presentan los resultados de los análisis definidos en el protocolo final para la supervivencia libre de progresión y las tasas de respuesta para la cohorte de </w:t>
      </w:r>
      <w:proofErr w:type="spellStart"/>
      <w:r w:rsidRPr="00C33F4C">
        <w:rPr>
          <w:rFonts w:eastAsia="Calibri"/>
          <w:lang w:val="es-ES" w:eastAsia="en-US"/>
        </w:rPr>
        <w:t>capecitabina</w:t>
      </w:r>
      <w:proofErr w:type="spellEnd"/>
      <w:r w:rsidRPr="00C33F4C">
        <w:rPr>
          <w:rFonts w:eastAsia="Calibri"/>
          <w:lang w:val="es-ES" w:eastAsia="en-US"/>
        </w:rPr>
        <w:t xml:space="preserve"> analizados independientemente en el ensayo AVF3694g. También se presentan los resultados de un análisis de </w:t>
      </w:r>
      <w:r w:rsidRPr="00C33F4C">
        <w:rPr>
          <w:rFonts w:eastAsia="Calibri"/>
          <w:lang w:val="es-ES" w:eastAsia="en-US"/>
        </w:rPr>
        <w:lastRenderedPageBreak/>
        <w:t>supervivencia global exploratorio que incluye un seguimiento adicional de 7</w:t>
      </w:r>
      <w:r w:rsidR="000B0DAA" w:rsidRPr="00C33F4C">
        <w:rPr>
          <w:rFonts w:eastAsia="Calibri"/>
          <w:lang w:val="es-ES" w:eastAsia="en-US"/>
        </w:rPr>
        <w:t> </w:t>
      </w:r>
      <w:r w:rsidRPr="00C33F4C">
        <w:rPr>
          <w:rFonts w:eastAsia="Calibri"/>
          <w:lang w:val="es-ES" w:eastAsia="en-US"/>
        </w:rPr>
        <w:t xml:space="preserve">meses (aproximadamente el 46% de los pacientes habían fallecido). El porcentaje de pacientes que recibieron </w:t>
      </w:r>
      <w:r w:rsidR="000B0DAA" w:rsidRPr="00C33F4C">
        <w:rPr>
          <w:rFonts w:eastAsia="Calibri"/>
          <w:lang w:val="es-ES" w:eastAsia="en-US"/>
        </w:rPr>
        <w:t>bevacizumab</w:t>
      </w:r>
      <w:r w:rsidRPr="00C33F4C">
        <w:rPr>
          <w:rFonts w:eastAsia="Calibri"/>
          <w:lang w:val="es-ES" w:eastAsia="en-US"/>
        </w:rPr>
        <w:t xml:space="preserve"> en la fase abierta fue del 62,1% en el brazo de </w:t>
      </w:r>
      <w:proofErr w:type="spellStart"/>
      <w:r w:rsidRPr="00C33F4C">
        <w:rPr>
          <w:rFonts w:eastAsia="Calibri"/>
          <w:lang w:val="es-ES" w:eastAsia="en-US"/>
        </w:rPr>
        <w:t>capecitabina</w:t>
      </w:r>
      <w:proofErr w:type="spellEnd"/>
      <w:r w:rsidRPr="00C33F4C">
        <w:rPr>
          <w:rFonts w:eastAsia="Calibri"/>
          <w:lang w:val="es-ES" w:eastAsia="en-US"/>
        </w:rPr>
        <w:t xml:space="preserve"> + placebo y del 49,9% en el brazo de </w:t>
      </w:r>
      <w:proofErr w:type="spellStart"/>
      <w:r w:rsidRPr="00C33F4C">
        <w:rPr>
          <w:rFonts w:eastAsia="Calibri"/>
          <w:lang w:val="es-ES" w:eastAsia="en-US"/>
        </w:rPr>
        <w:t>capecitabina</w:t>
      </w:r>
      <w:proofErr w:type="spellEnd"/>
      <w:r w:rsidRPr="00C33F4C">
        <w:rPr>
          <w:rFonts w:eastAsia="Calibri"/>
          <w:lang w:val="es-ES" w:eastAsia="en-US"/>
        </w:rPr>
        <w:t xml:space="preserve"> + </w:t>
      </w:r>
      <w:r w:rsidR="000B0DAA" w:rsidRPr="00C33F4C">
        <w:rPr>
          <w:rFonts w:eastAsia="Calibri"/>
          <w:lang w:val="es-ES" w:eastAsia="en-US"/>
        </w:rPr>
        <w:t>bevacizumab.</w:t>
      </w:r>
    </w:p>
    <w:p w14:paraId="2DB8FBAD" w14:textId="1DDD2A66" w:rsidR="000B0DAA" w:rsidRPr="00C33F4C" w:rsidRDefault="000B0DAA" w:rsidP="005756DB">
      <w:pPr>
        <w:spacing w:after="0" w:line="240" w:lineRule="auto"/>
        <w:ind w:left="0" w:firstLine="0"/>
        <w:rPr>
          <w:rFonts w:eastAsia="Calibri"/>
          <w:lang w:val="es-ES" w:eastAsia="en-US"/>
        </w:rPr>
      </w:pPr>
    </w:p>
    <w:p w14:paraId="4A0D5DE9" w14:textId="74D162CB" w:rsidR="000B0DAA" w:rsidRPr="005F3B14" w:rsidRDefault="000B0DAA" w:rsidP="000B0DAA">
      <w:pPr>
        <w:keepNext/>
        <w:autoSpaceDE w:val="0"/>
        <w:autoSpaceDN w:val="0"/>
        <w:adjustRightInd w:val="0"/>
        <w:spacing w:line="240" w:lineRule="auto"/>
        <w:rPr>
          <w:rFonts w:eastAsia="Calibri"/>
          <w:b/>
          <w:bCs/>
          <w:lang w:val="es-ES"/>
        </w:rPr>
      </w:pPr>
      <w:r w:rsidRPr="005F3B14">
        <w:rPr>
          <w:rFonts w:eastAsia="Calibri"/>
          <w:b/>
          <w:bCs/>
          <w:lang w:val="es-ES"/>
        </w:rPr>
        <w:t xml:space="preserve">Tabla 11. Resultados de eficacia para el ensayo AVF3694g: </w:t>
      </w:r>
      <w:proofErr w:type="spellStart"/>
      <w:r w:rsidRPr="005F3B14">
        <w:rPr>
          <w:rFonts w:eastAsia="Calibri"/>
          <w:b/>
          <w:bCs/>
          <w:lang w:val="es-ES"/>
        </w:rPr>
        <w:t>Capecitabina</w:t>
      </w:r>
      <w:r w:rsidRPr="005F3B14">
        <w:rPr>
          <w:rFonts w:eastAsia="Calibri"/>
          <w:b/>
          <w:bCs/>
          <w:vertAlign w:val="superscript"/>
          <w:lang w:val="es-ES"/>
        </w:rPr>
        <w:t>a</w:t>
      </w:r>
      <w:proofErr w:type="spellEnd"/>
      <w:r w:rsidRPr="005F3B14">
        <w:rPr>
          <w:rFonts w:eastAsia="Calibri"/>
          <w:b/>
          <w:bCs/>
          <w:lang w:val="es-ES"/>
        </w:rPr>
        <w:t xml:space="preserve"> </w:t>
      </w:r>
      <w:r>
        <w:rPr>
          <w:rFonts w:eastAsia="Calibri"/>
          <w:b/>
          <w:bCs/>
          <w:lang w:val="es-ES"/>
        </w:rPr>
        <w:t>y</w:t>
      </w:r>
      <w:r w:rsidRPr="005F3B14">
        <w:rPr>
          <w:rFonts w:eastAsia="Calibri"/>
          <w:b/>
          <w:bCs/>
          <w:lang w:val="es-ES"/>
        </w:rPr>
        <w:t xml:space="preserve"> </w:t>
      </w:r>
      <w:r>
        <w:rPr>
          <w:rFonts w:eastAsia="Calibri"/>
          <w:b/>
          <w:bCs/>
          <w:lang w:val="es-ES"/>
        </w:rPr>
        <w:t>B</w:t>
      </w:r>
      <w:r w:rsidRPr="005F3B14">
        <w:rPr>
          <w:rFonts w:eastAsia="Calibri"/>
          <w:b/>
          <w:bCs/>
          <w:lang w:val="es-ES"/>
        </w:rPr>
        <w:t>evacizumab/Placebo (</w:t>
      </w:r>
      <w:proofErr w:type="spellStart"/>
      <w:r w:rsidRPr="005F3B14">
        <w:rPr>
          <w:rFonts w:eastAsia="Calibri"/>
          <w:b/>
          <w:bCs/>
          <w:lang w:val="es-ES"/>
        </w:rPr>
        <w:t>Cap</w:t>
      </w:r>
      <w:proofErr w:type="spellEnd"/>
      <w:r w:rsidRPr="005F3B14">
        <w:rPr>
          <w:rFonts w:eastAsia="Calibri"/>
          <w:b/>
          <w:bCs/>
          <w:lang w:val="es-ES"/>
        </w:rPr>
        <w:t> + Bevacizumab/</w:t>
      </w:r>
      <w:proofErr w:type="spellStart"/>
      <w:r w:rsidRPr="005F3B14">
        <w:rPr>
          <w:rFonts w:eastAsia="Calibri"/>
          <w:b/>
          <w:bCs/>
          <w:lang w:val="es-ES"/>
        </w:rPr>
        <w:t>Pl</w:t>
      </w:r>
      <w:proofErr w:type="spellEnd"/>
      <w:r w:rsidRPr="005F3B14">
        <w:rPr>
          <w:rFonts w:eastAsia="Calibri"/>
          <w:b/>
          <w:bCs/>
          <w:lang w:val="es-ES"/>
        </w:rPr>
        <w:t>)</w:t>
      </w:r>
    </w:p>
    <w:p w14:paraId="7DD87ECB" w14:textId="77777777" w:rsidR="000B0DAA" w:rsidRPr="005F3B14" w:rsidRDefault="000B0DAA" w:rsidP="000B0DAA">
      <w:pPr>
        <w:pStyle w:val="Default"/>
        <w:keepNext/>
        <w:widowControl/>
        <w:rPr>
          <w:sz w:val="22"/>
          <w:szCs w:val="22"/>
          <w:lang w:val="es-ES" w:eastAsia="en-US"/>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1561"/>
        <w:gridCol w:w="1834"/>
        <w:gridCol w:w="7"/>
        <w:gridCol w:w="1842"/>
        <w:gridCol w:w="1845"/>
      </w:tblGrid>
      <w:tr w:rsidR="000B0DAA" w:rsidRPr="00E30038" w14:paraId="12EB1CD1" w14:textId="77777777" w:rsidTr="000B0DAA">
        <w:trPr>
          <w:trHeight w:val="300"/>
          <w:tblHeader/>
        </w:trPr>
        <w:tc>
          <w:tcPr>
            <w:tcW w:w="9229" w:type="dxa"/>
            <w:gridSpan w:val="6"/>
            <w:noWrap/>
            <w:vAlign w:val="bottom"/>
            <w:hideMark/>
          </w:tcPr>
          <w:p w14:paraId="75853910" w14:textId="706E4D77" w:rsidR="000B0DAA" w:rsidRPr="00E30038" w:rsidRDefault="000B0DAA" w:rsidP="000B0DAA">
            <w:pPr>
              <w:keepNext/>
              <w:spacing w:line="240" w:lineRule="auto"/>
            </w:pPr>
            <w:proofErr w:type="spellStart"/>
            <w:r>
              <w:t>Supervivencia</w:t>
            </w:r>
            <w:proofErr w:type="spellEnd"/>
            <w:r>
              <w:t xml:space="preserve"> libre de </w:t>
            </w:r>
            <w:proofErr w:type="spellStart"/>
            <w:r>
              <w:t>progresión</w:t>
            </w:r>
            <w:r w:rsidRPr="00E30038">
              <w:rPr>
                <w:vertAlign w:val="superscript"/>
              </w:rPr>
              <w:t>b</w:t>
            </w:r>
            <w:proofErr w:type="spellEnd"/>
          </w:p>
        </w:tc>
      </w:tr>
      <w:tr w:rsidR="000B0DAA" w:rsidRPr="002C10E1" w14:paraId="0F047A07" w14:textId="77777777" w:rsidTr="000B0DAA">
        <w:trPr>
          <w:trHeight w:val="300"/>
          <w:tblHeader/>
        </w:trPr>
        <w:tc>
          <w:tcPr>
            <w:tcW w:w="2140" w:type="dxa"/>
            <w:noWrap/>
            <w:vAlign w:val="bottom"/>
            <w:hideMark/>
          </w:tcPr>
          <w:p w14:paraId="60BD3718" w14:textId="77777777" w:rsidR="000B0DAA" w:rsidRPr="00E30038" w:rsidRDefault="000B0DAA" w:rsidP="000B0DAA">
            <w:pPr>
              <w:keepNext/>
              <w:spacing w:line="240" w:lineRule="auto"/>
            </w:pPr>
          </w:p>
        </w:tc>
        <w:tc>
          <w:tcPr>
            <w:tcW w:w="3395" w:type="dxa"/>
            <w:gridSpan w:val="2"/>
            <w:noWrap/>
            <w:vAlign w:val="bottom"/>
            <w:hideMark/>
          </w:tcPr>
          <w:p w14:paraId="55F78443" w14:textId="73709709" w:rsidR="000B0DAA" w:rsidRPr="00E30038" w:rsidRDefault="000B0DAA" w:rsidP="000B0DAA">
            <w:pPr>
              <w:keepNext/>
              <w:spacing w:line="240" w:lineRule="auto"/>
            </w:pPr>
            <w:proofErr w:type="spellStart"/>
            <w:r>
              <w:t>Evaluación</w:t>
            </w:r>
            <w:proofErr w:type="spellEnd"/>
            <w:r>
              <w:t xml:space="preserve"> de </w:t>
            </w:r>
            <w:proofErr w:type="spellStart"/>
            <w:r>
              <w:t>los</w:t>
            </w:r>
            <w:proofErr w:type="spellEnd"/>
            <w:r>
              <w:t xml:space="preserve"> </w:t>
            </w:r>
            <w:proofErr w:type="spellStart"/>
            <w:r>
              <w:t>investigadores</w:t>
            </w:r>
            <w:proofErr w:type="spellEnd"/>
          </w:p>
        </w:tc>
        <w:tc>
          <w:tcPr>
            <w:tcW w:w="3694" w:type="dxa"/>
            <w:gridSpan w:val="3"/>
            <w:noWrap/>
            <w:vAlign w:val="bottom"/>
            <w:hideMark/>
          </w:tcPr>
          <w:p w14:paraId="1399D170" w14:textId="28EA5E96" w:rsidR="000B0DAA" w:rsidRPr="005F3B14" w:rsidRDefault="000B0DAA" w:rsidP="000B0DAA">
            <w:pPr>
              <w:keepNext/>
              <w:spacing w:line="240" w:lineRule="auto"/>
              <w:rPr>
                <w:lang w:val="es-ES"/>
              </w:rPr>
            </w:pPr>
            <w:r w:rsidRPr="005F3B14">
              <w:rPr>
                <w:lang w:val="es-ES"/>
              </w:rPr>
              <w:t xml:space="preserve">Evaluación del Comité de </w:t>
            </w:r>
            <w:r w:rsidRPr="000B0DAA">
              <w:rPr>
                <w:lang w:val="es-ES"/>
              </w:rPr>
              <w:t>revisi</w:t>
            </w:r>
            <w:r>
              <w:rPr>
                <w:lang w:val="es-ES"/>
              </w:rPr>
              <w:t>ó</w:t>
            </w:r>
            <w:r w:rsidRPr="005F3B14">
              <w:rPr>
                <w:lang w:val="es-ES"/>
              </w:rPr>
              <w:t>n independiente</w:t>
            </w:r>
          </w:p>
        </w:tc>
      </w:tr>
      <w:tr w:rsidR="000B0DAA" w:rsidRPr="00E30038" w14:paraId="27CC505A" w14:textId="77777777" w:rsidTr="000B0DAA">
        <w:trPr>
          <w:trHeight w:val="300"/>
          <w:tblHeader/>
        </w:trPr>
        <w:tc>
          <w:tcPr>
            <w:tcW w:w="2140" w:type="dxa"/>
            <w:noWrap/>
            <w:vAlign w:val="bottom"/>
            <w:hideMark/>
          </w:tcPr>
          <w:p w14:paraId="39CA04D5" w14:textId="77777777" w:rsidR="000B0DAA" w:rsidRPr="005F3B14" w:rsidRDefault="000B0DAA" w:rsidP="000B0DAA">
            <w:pPr>
              <w:keepNext/>
              <w:spacing w:line="240" w:lineRule="auto"/>
              <w:rPr>
                <w:lang w:val="es-ES"/>
              </w:rPr>
            </w:pPr>
          </w:p>
        </w:tc>
        <w:tc>
          <w:tcPr>
            <w:tcW w:w="1561" w:type="dxa"/>
            <w:noWrap/>
            <w:hideMark/>
          </w:tcPr>
          <w:p w14:paraId="1F1C970C" w14:textId="03DD2B5E" w:rsidR="000B0DAA" w:rsidRPr="00E30038" w:rsidRDefault="000B0DAA" w:rsidP="000B0DAA">
            <w:pPr>
              <w:keepNext/>
              <w:spacing w:line="240" w:lineRule="auto"/>
              <w:jc w:val="center"/>
            </w:pPr>
            <w:r w:rsidRPr="00E30038">
              <w:t>Cap + Pl</w:t>
            </w:r>
            <w:r>
              <w:t xml:space="preserve"> </w:t>
            </w:r>
            <w:r w:rsidRPr="00E30038">
              <w:t>(n = 206)</w:t>
            </w:r>
          </w:p>
        </w:tc>
        <w:tc>
          <w:tcPr>
            <w:tcW w:w="1834" w:type="dxa"/>
            <w:noWrap/>
            <w:hideMark/>
          </w:tcPr>
          <w:p w14:paraId="26DB5A03" w14:textId="77777777" w:rsidR="000B0DAA" w:rsidRPr="00E30038" w:rsidRDefault="000B0DAA" w:rsidP="000B0DAA">
            <w:pPr>
              <w:keepNext/>
              <w:spacing w:line="240" w:lineRule="auto"/>
              <w:jc w:val="center"/>
            </w:pPr>
            <w:r w:rsidRPr="00E30038">
              <w:t>Cap + bevacizumab (n = 409)</w:t>
            </w:r>
          </w:p>
        </w:tc>
        <w:tc>
          <w:tcPr>
            <w:tcW w:w="1849" w:type="dxa"/>
            <w:gridSpan w:val="2"/>
            <w:noWrap/>
            <w:hideMark/>
          </w:tcPr>
          <w:p w14:paraId="00C2501B" w14:textId="45B62CCE" w:rsidR="000B0DAA" w:rsidRPr="00E30038" w:rsidRDefault="000B0DAA" w:rsidP="000B0DAA">
            <w:pPr>
              <w:keepNext/>
              <w:spacing w:line="240" w:lineRule="auto"/>
              <w:jc w:val="center"/>
            </w:pPr>
            <w:r w:rsidRPr="00E30038">
              <w:t>Cap + Pl</w:t>
            </w:r>
            <w:r>
              <w:t xml:space="preserve"> </w:t>
            </w:r>
            <w:r w:rsidRPr="00E30038">
              <w:t>(n = 206)</w:t>
            </w:r>
          </w:p>
        </w:tc>
        <w:tc>
          <w:tcPr>
            <w:tcW w:w="1845" w:type="dxa"/>
            <w:noWrap/>
            <w:hideMark/>
          </w:tcPr>
          <w:p w14:paraId="3987BF8D" w14:textId="77777777" w:rsidR="000B0DAA" w:rsidRPr="00E30038" w:rsidRDefault="000B0DAA" w:rsidP="000B0DAA">
            <w:pPr>
              <w:keepNext/>
              <w:spacing w:line="240" w:lineRule="auto"/>
              <w:jc w:val="center"/>
            </w:pPr>
            <w:r w:rsidRPr="00E30038">
              <w:t>Cap + bevacizumab (n = 409)</w:t>
            </w:r>
          </w:p>
        </w:tc>
      </w:tr>
      <w:tr w:rsidR="000B0DAA" w:rsidRPr="00E30038" w14:paraId="02CDD83B" w14:textId="77777777" w:rsidTr="000B0DAA">
        <w:trPr>
          <w:trHeight w:val="300"/>
        </w:trPr>
        <w:tc>
          <w:tcPr>
            <w:tcW w:w="2140" w:type="dxa"/>
            <w:noWrap/>
            <w:vAlign w:val="bottom"/>
            <w:hideMark/>
          </w:tcPr>
          <w:p w14:paraId="6433609D" w14:textId="1DFC2D86" w:rsidR="000B0DAA" w:rsidRPr="00E30038" w:rsidRDefault="000B0DAA" w:rsidP="000B0DAA">
            <w:pPr>
              <w:spacing w:line="240" w:lineRule="auto"/>
            </w:pPr>
            <w:r w:rsidRPr="00E30038">
              <w:t>Median</w:t>
            </w:r>
            <w:r>
              <w:t>a de SLP</w:t>
            </w:r>
            <w:r w:rsidRPr="00E30038">
              <w:t xml:space="preserve"> (m</w:t>
            </w:r>
            <w:r>
              <w:t>eses</w:t>
            </w:r>
            <w:r w:rsidRPr="00E30038">
              <w:t xml:space="preserve">) </w:t>
            </w:r>
          </w:p>
        </w:tc>
        <w:tc>
          <w:tcPr>
            <w:tcW w:w="1561" w:type="dxa"/>
            <w:noWrap/>
            <w:vAlign w:val="center"/>
            <w:hideMark/>
          </w:tcPr>
          <w:p w14:paraId="220E51A9" w14:textId="1741C650" w:rsidR="000B0DAA" w:rsidRPr="00E30038" w:rsidRDefault="000B0DAA" w:rsidP="000B0DAA">
            <w:pPr>
              <w:spacing w:line="240" w:lineRule="auto"/>
              <w:jc w:val="center"/>
            </w:pPr>
            <w:r w:rsidRPr="00E30038">
              <w:t>5</w:t>
            </w:r>
            <w:r>
              <w:t>,</w:t>
            </w:r>
            <w:r w:rsidRPr="00E30038">
              <w:t>7</w:t>
            </w:r>
          </w:p>
        </w:tc>
        <w:tc>
          <w:tcPr>
            <w:tcW w:w="1834" w:type="dxa"/>
            <w:noWrap/>
            <w:vAlign w:val="center"/>
            <w:hideMark/>
          </w:tcPr>
          <w:p w14:paraId="1A5F8615" w14:textId="1EA12FA5" w:rsidR="000B0DAA" w:rsidRPr="00E30038" w:rsidRDefault="000B0DAA" w:rsidP="000B0DAA">
            <w:pPr>
              <w:spacing w:line="240" w:lineRule="auto"/>
              <w:jc w:val="center"/>
            </w:pPr>
            <w:r w:rsidRPr="00E30038">
              <w:t>8</w:t>
            </w:r>
            <w:r>
              <w:t>,</w:t>
            </w:r>
            <w:r w:rsidRPr="00E30038">
              <w:t>6</w:t>
            </w:r>
          </w:p>
        </w:tc>
        <w:tc>
          <w:tcPr>
            <w:tcW w:w="1849" w:type="dxa"/>
            <w:gridSpan w:val="2"/>
            <w:noWrap/>
            <w:vAlign w:val="center"/>
            <w:hideMark/>
          </w:tcPr>
          <w:p w14:paraId="5DA78442" w14:textId="0C6EEDBE" w:rsidR="000B0DAA" w:rsidRPr="00E30038" w:rsidRDefault="000B0DAA" w:rsidP="000B0DAA">
            <w:pPr>
              <w:spacing w:line="240" w:lineRule="auto"/>
              <w:jc w:val="center"/>
            </w:pPr>
            <w:r w:rsidRPr="00E30038">
              <w:t>6</w:t>
            </w:r>
            <w:r>
              <w:t>,</w:t>
            </w:r>
            <w:r w:rsidRPr="00E30038">
              <w:t>2</w:t>
            </w:r>
          </w:p>
        </w:tc>
        <w:tc>
          <w:tcPr>
            <w:tcW w:w="1845" w:type="dxa"/>
            <w:noWrap/>
            <w:vAlign w:val="center"/>
            <w:hideMark/>
          </w:tcPr>
          <w:p w14:paraId="7E89AD64" w14:textId="07EC59F1" w:rsidR="000B0DAA" w:rsidRPr="00E30038" w:rsidRDefault="000B0DAA" w:rsidP="000B0DAA">
            <w:pPr>
              <w:spacing w:line="240" w:lineRule="auto"/>
              <w:jc w:val="center"/>
            </w:pPr>
            <w:r>
              <w:t>9,</w:t>
            </w:r>
            <w:r w:rsidRPr="00E30038">
              <w:t>8</w:t>
            </w:r>
          </w:p>
        </w:tc>
      </w:tr>
      <w:tr w:rsidR="000B0DAA" w:rsidRPr="00E30038" w14:paraId="3C9DC06C" w14:textId="77777777" w:rsidTr="000B0DAA">
        <w:trPr>
          <w:trHeight w:val="300"/>
        </w:trPr>
        <w:tc>
          <w:tcPr>
            <w:tcW w:w="2140" w:type="dxa"/>
            <w:noWrap/>
            <w:vAlign w:val="bottom"/>
            <w:hideMark/>
          </w:tcPr>
          <w:p w14:paraId="7A786097" w14:textId="20DA28D5" w:rsidR="000B0DAA" w:rsidRPr="005F3B14" w:rsidRDefault="000B0DAA" w:rsidP="000B0DAA">
            <w:pPr>
              <w:spacing w:line="240" w:lineRule="auto"/>
              <w:rPr>
                <w:lang w:val="es-ES"/>
              </w:rPr>
            </w:pPr>
            <w:r w:rsidRPr="005F3B14">
              <w:rPr>
                <w:lang w:val="es-ES"/>
              </w:rPr>
              <w:t xml:space="preserve">Razón de riesgo frente brazo placebo (IC del 95%) </w:t>
            </w:r>
          </w:p>
        </w:tc>
        <w:tc>
          <w:tcPr>
            <w:tcW w:w="3395" w:type="dxa"/>
            <w:gridSpan w:val="2"/>
            <w:noWrap/>
            <w:hideMark/>
          </w:tcPr>
          <w:p w14:paraId="771E6F72" w14:textId="5669E674" w:rsidR="000B0DAA" w:rsidRPr="00E30038" w:rsidRDefault="000B0DAA" w:rsidP="000B0DAA">
            <w:pPr>
              <w:spacing w:line="240" w:lineRule="auto"/>
              <w:jc w:val="center"/>
            </w:pPr>
            <w:r w:rsidRPr="00E30038">
              <w:t>0</w:t>
            </w:r>
            <w:r>
              <w:t>,</w:t>
            </w:r>
            <w:r w:rsidRPr="00E30038">
              <w:t>69 (0</w:t>
            </w:r>
            <w:r>
              <w:t>,</w:t>
            </w:r>
            <w:r w:rsidRPr="00E30038">
              <w:t>56; 0</w:t>
            </w:r>
            <w:r>
              <w:t>,</w:t>
            </w:r>
            <w:r w:rsidRPr="00E30038">
              <w:t>84)</w:t>
            </w:r>
          </w:p>
        </w:tc>
        <w:tc>
          <w:tcPr>
            <w:tcW w:w="3694" w:type="dxa"/>
            <w:gridSpan w:val="3"/>
            <w:noWrap/>
            <w:hideMark/>
          </w:tcPr>
          <w:p w14:paraId="65A66C83" w14:textId="6C745126" w:rsidR="000B0DAA" w:rsidRPr="00E30038" w:rsidRDefault="000B0DAA" w:rsidP="000B0DAA">
            <w:pPr>
              <w:spacing w:line="240" w:lineRule="auto"/>
              <w:jc w:val="center"/>
            </w:pPr>
            <w:r w:rsidRPr="00E30038">
              <w:t>0</w:t>
            </w:r>
            <w:r>
              <w:t>,</w:t>
            </w:r>
            <w:r w:rsidRPr="00E30038">
              <w:t>68 (0</w:t>
            </w:r>
            <w:r>
              <w:t>,</w:t>
            </w:r>
            <w:r w:rsidRPr="00E30038">
              <w:t>54; 0</w:t>
            </w:r>
            <w:r>
              <w:t>,</w:t>
            </w:r>
            <w:r w:rsidRPr="00E30038">
              <w:t>86)</w:t>
            </w:r>
          </w:p>
        </w:tc>
      </w:tr>
      <w:tr w:rsidR="000B0DAA" w:rsidRPr="00E30038" w14:paraId="220945C9" w14:textId="77777777" w:rsidTr="000B0DAA">
        <w:trPr>
          <w:trHeight w:val="300"/>
        </w:trPr>
        <w:tc>
          <w:tcPr>
            <w:tcW w:w="2140" w:type="dxa"/>
            <w:noWrap/>
            <w:vAlign w:val="bottom"/>
            <w:hideMark/>
          </w:tcPr>
          <w:p w14:paraId="0AEBB91E" w14:textId="1D012FCA" w:rsidR="000B0DAA" w:rsidRPr="00E30038" w:rsidRDefault="000B0DAA" w:rsidP="000B0DAA">
            <w:pPr>
              <w:spacing w:line="240" w:lineRule="auto"/>
            </w:pPr>
            <w:r>
              <w:t>Valor de p</w:t>
            </w:r>
          </w:p>
        </w:tc>
        <w:tc>
          <w:tcPr>
            <w:tcW w:w="3395" w:type="dxa"/>
            <w:gridSpan w:val="2"/>
            <w:noWrap/>
            <w:vAlign w:val="bottom"/>
            <w:hideMark/>
          </w:tcPr>
          <w:p w14:paraId="10296B20" w14:textId="55070F5A" w:rsidR="000B0DAA" w:rsidRPr="00E30038" w:rsidRDefault="000B0DAA" w:rsidP="000B0DAA">
            <w:pPr>
              <w:spacing w:line="240" w:lineRule="auto"/>
              <w:jc w:val="center"/>
            </w:pPr>
            <w:r w:rsidRPr="00E30038">
              <w:t>0</w:t>
            </w:r>
            <w:r>
              <w:t>,</w:t>
            </w:r>
            <w:r w:rsidRPr="00E30038">
              <w:t>0002</w:t>
            </w:r>
          </w:p>
        </w:tc>
        <w:tc>
          <w:tcPr>
            <w:tcW w:w="3694" w:type="dxa"/>
            <w:gridSpan w:val="3"/>
            <w:noWrap/>
            <w:vAlign w:val="bottom"/>
            <w:hideMark/>
          </w:tcPr>
          <w:p w14:paraId="1FFF5915" w14:textId="7CC25364" w:rsidR="000B0DAA" w:rsidRPr="00E30038" w:rsidRDefault="000B0DAA" w:rsidP="000B0DAA">
            <w:pPr>
              <w:spacing w:line="240" w:lineRule="auto"/>
              <w:jc w:val="center"/>
            </w:pPr>
            <w:r w:rsidRPr="00E30038">
              <w:t>0</w:t>
            </w:r>
            <w:r>
              <w:t>,</w:t>
            </w:r>
            <w:r w:rsidRPr="00E30038">
              <w:t>0011</w:t>
            </w:r>
          </w:p>
        </w:tc>
      </w:tr>
      <w:tr w:rsidR="000B0DAA" w:rsidRPr="00714463" w14:paraId="62236485" w14:textId="77777777" w:rsidTr="000B0DAA">
        <w:trPr>
          <w:trHeight w:val="300"/>
        </w:trPr>
        <w:tc>
          <w:tcPr>
            <w:tcW w:w="9229" w:type="dxa"/>
            <w:gridSpan w:val="6"/>
            <w:noWrap/>
            <w:vAlign w:val="bottom"/>
            <w:hideMark/>
          </w:tcPr>
          <w:p w14:paraId="58C6EA9D" w14:textId="0F34DCEB" w:rsidR="000B0DAA" w:rsidRPr="005F3B14" w:rsidRDefault="000B0DAA" w:rsidP="000B0DAA">
            <w:pPr>
              <w:spacing w:line="240" w:lineRule="auto"/>
              <w:rPr>
                <w:lang w:val="es-ES"/>
              </w:rPr>
            </w:pPr>
            <w:r w:rsidRPr="005F3B14">
              <w:rPr>
                <w:lang w:val="es-ES"/>
              </w:rPr>
              <w:t xml:space="preserve">Tasa de respuesta (en pacientes con enfermedad </w:t>
            </w:r>
            <w:proofErr w:type="gramStart"/>
            <w:r w:rsidRPr="005F3B14">
              <w:rPr>
                <w:lang w:val="es-ES"/>
              </w:rPr>
              <w:t>diagnosticable)</w:t>
            </w:r>
            <w:r w:rsidRPr="005F3B14">
              <w:rPr>
                <w:vertAlign w:val="superscript"/>
                <w:lang w:val="es-ES"/>
              </w:rPr>
              <w:t>b</w:t>
            </w:r>
            <w:proofErr w:type="gramEnd"/>
          </w:p>
        </w:tc>
      </w:tr>
      <w:tr w:rsidR="000B0DAA" w:rsidRPr="00E30038" w14:paraId="59D2C0B1" w14:textId="77777777" w:rsidTr="000B0DAA">
        <w:trPr>
          <w:trHeight w:val="300"/>
        </w:trPr>
        <w:tc>
          <w:tcPr>
            <w:tcW w:w="2140" w:type="dxa"/>
            <w:noWrap/>
            <w:vAlign w:val="bottom"/>
            <w:hideMark/>
          </w:tcPr>
          <w:p w14:paraId="02D43A35" w14:textId="77777777" w:rsidR="000B0DAA" w:rsidRPr="005F3B14" w:rsidRDefault="000B0DAA" w:rsidP="000B0DAA">
            <w:pPr>
              <w:spacing w:line="240" w:lineRule="auto"/>
              <w:rPr>
                <w:lang w:val="es-ES"/>
              </w:rPr>
            </w:pPr>
          </w:p>
        </w:tc>
        <w:tc>
          <w:tcPr>
            <w:tcW w:w="3402" w:type="dxa"/>
            <w:gridSpan w:val="3"/>
            <w:noWrap/>
            <w:vAlign w:val="bottom"/>
            <w:hideMark/>
          </w:tcPr>
          <w:p w14:paraId="22C9A858" w14:textId="77777777" w:rsidR="000B0DAA" w:rsidRPr="00E30038" w:rsidRDefault="000B0DAA" w:rsidP="000B0DAA">
            <w:pPr>
              <w:spacing w:line="240" w:lineRule="auto"/>
              <w:jc w:val="center"/>
            </w:pPr>
            <w:r w:rsidRPr="00E30038">
              <w:t>Cap + Pl (n = 161)</w:t>
            </w:r>
          </w:p>
        </w:tc>
        <w:tc>
          <w:tcPr>
            <w:tcW w:w="3687" w:type="dxa"/>
            <w:gridSpan w:val="2"/>
            <w:noWrap/>
            <w:vAlign w:val="bottom"/>
            <w:hideMark/>
          </w:tcPr>
          <w:p w14:paraId="2D4C0E71" w14:textId="77777777" w:rsidR="000B0DAA" w:rsidRPr="00E30038" w:rsidRDefault="000B0DAA" w:rsidP="000B0DAA">
            <w:pPr>
              <w:spacing w:line="240" w:lineRule="auto"/>
              <w:jc w:val="center"/>
            </w:pPr>
            <w:r w:rsidRPr="00E30038">
              <w:t>Cap + bevacizumab (n = 325)</w:t>
            </w:r>
          </w:p>
        </w:tc>
      </w:tr>
      <w:tr w:rsidR="000B0DAA" w:rsidRPr="00E30038" w14:paraId="0C76F923" w14:textId="77777777" w:rsidTr="000B0DAA">
        <w:trPr>
          <w:trHeight w:val="300"/>
        </w:trPr>
        <w:tc>
          <w:tcPr>
            <w:tcW w:w="2140" w:type="dxa"/>
            <w:noWrap/>
            <w:vAlign w:val="bottom"/>
            <w:hideMark/>
          </w:tcPr>
          <w:p w14:paraId="0537369F" w14:textId="032D193C" w:rsidR="000B0DAA" w:rsidRPr="00E30038" w:rsidRDefault="000B0DAA" w:rsidP="000B0DAA">
            <w:pPr>
              <w:spacing w:line="240" w:lineRule="auto"/>
            </w:pPr>
            <w:r w:rsidRPr="00E30038">
              <w:t xml:space="preserve">% </w:t>
            </w:r>
            <w:proofErr w:type="spellStart"/>
            <w:r>
              <w:t>pacientes</w:t>
            </w:r>
            <w:proofErr w:type="spellEnd"/>
            <w:r>
              <w:t xml:space="preserve"> con </w:t>
            </w:r>
            <w:proofErr w:type="spellStart"/>
            <w:r>
              <w:t>respuesta</w:t>
            </w:r>
            <w:proofErr w:type="spellEnd"/>
            <w:r>
              <w:t xml:space="preserve"> </w:t>
            </w:r>
            <w:proofErr w:type="spellStart"/>
            <w:r>
              <w:t>objetiva</w:t>
            </w:r>
            <w:proofErr w:type="spellEnd"/>
          </w:p>
        </w:tc>
        <w:tc>
          <w:tcPr>
            <w:tcW w:w="3402" w:type="dxa"/>
            <w:gridSpan w:val="3"/>
            <w:noWrap/>
            <w:hideMark/>
          </w:tcPr>
          <w:p w14:paraId="32372FF4" w14:textId="240E7713" w:rsidR="000B0DAA" w:rsidRPr="00E30038" w:rsidRDefault="000B0DAA" w:rsidP="000B0DAA">
            <w:pPr>
              <w:spacing w:line="240" w:lineRule="auto"/>
              <w:jc w:val="center"/>
            </w:pPr>
            <w:r w:rsidRPr="00E30038">
              <w:t>23</w:t>
            </w:r>
            <w:r>
              <w:t>,</w:t>
            </w:r>
            <w:r w:rsidRPr="00E30038">
              <w:t>6</w:t>
            </w:r>
          </w:p>
        </w:tc>
        <w:tc>
          <w:tcPr>
            <w:tcW w:w="3687" w:type="dxa"/>
            <w:gridSpan w:val="2"/>
            <w:noWrap/>
            <w:hideMark/>
          </w:tcPr>
          <w:p w14:paraId="0A377458" w14:textId="7A3B2179" w:rsidR="000B0DAA" w:rsidRPr="00E30038" w:rsidRDefault="000B0DAA" w:rsidP="000B0DAA">
            <w:pPr>
              <w:spacing w:line="240" w:lineRule="auto"/>
              <w:jc w:val="center"/>
            </w:pPr>
            <w:r w:rsidRPr="00E30038">
              <w:t>3</w:t>
            </w:r>
            <w:r>
              <w:t>5,</w:t>
            </w:r>
            <w:r w:rsidRPr="00E30038">
              <w:t>4</w:t>
            </w:r>
          </w:p>
        </w:tc>
      </w:tr>
      <w:tr w:rsidR="000B0DAA" w:rsidRPr="00E30038" w14:paraId="17579A1A" w14:textId="77777777" w:rsidTr="000B0DAA">
        <w:trPr>
          <w:trHeight w:val="300"/>
        </w:trPr>
        <w:tc>
          <w:tcPr>
            <w:tcW w:w="2140" w:type="dxa"/>
            <w:noWrap/>
            <w:vAlign w:val="bottom"/>
            <w:hideMark/>
          </w:tcPr>
          <w:p w14:paraId="4B406AC9" w14:textId="361E40E8" w:rsidR="000B0DAA" w:rsidRPr="00E30038" w:rsidRDefault="000B0DAA" w:rsidP="000B0DAA">
            <w:pPr>
              <w:spacing w:line="240" w:lineRule="auto"/>
            </w:pPr>
            <w:r>
              <w:t>Valor de p</w:t>
            </w:r>
          </w:p>
        </w:tc>
        <w:tc>
          <w:tcPr>
            <w:tcW w:w="7089" w:type="dxa"/>
            <w:gridSpan w:val="5"/>
            <w:noWrap/>
            <w:vAlign w:val="bottom"/>
            <w:hideMark/>
          </w:tcPr>
          <w:p w14:paraId="014D8E45" w14:textId="7A0A2C98" w:rsidR="000B0DAA" w:rsidRPr="00E30038" w:rsidRDefault="000B0DAA" w:rsidP="000B0DAA">
            <w:pPr>
              <w:spacing w:line="240" w:lineRule="auto"/>
              <w:jc w:val="center"/>
            </w:pPr>
            <w:r w:rsidRPr="00E30038">
              <w:t>0</w:t>
            </w:r>
            <w:r>
              <w:t>,</w:t>
            </w:r>
            <w:r w:rsidRPr="00E30038">
              <w:t>0097</w:t>
            </w:r>
          </w:p>
        </w:tc>
      </w:tr>
      <w:tr w:rsidR="000B0DAA" w:rsidRPr="00E30038" w14:paraId="4E35B1EA" w14:textId="77777777" w:rsidTr="000B0DAA">
        <w:trPr>
          <w:trHeight w:val="300"/>
        </w:trPr>
        <w:tc>
          <w:tcPr>
            <w:tcW w:w="9229" w:type="dxa"/>
            <w:gridSpan w:val="6"/>
            <w:noWrap/>
            <w:vAlign w:val="bottom"/>
            <w:hideMark/>
          </w:tcPr>
          <w:p w14:paraId="16BF914B" w14:textId="16E06A64" w:rsidR="000B0DAA" w:rsidRPr="00E30038" w:rsidRDefault="000B0DAA" w:rsidP="000B0DAA">
            <w:pPr>
              <w:spacing w:line="240" w:lineRule="auto"/>
            </w:pPr>
            <w:proofErr w:type="spellStart"/>
            <w:r>
              <w:t>Supervivencia</w:t>
            </w:r>
            <w:proofErr w:type="spellEnd"/>
            <w:r>
              <w:t xml:space="preserve"> </w:t>
            </w:r>
            <w:proofErr w:type="spellStart"/>
            <w:r>
              <w:t>global</w:t>
            </w:r>
            <w:r w:rsidRPr="00E30038">
              <w:rPr>
                <w:vertAlign w:val="superscript"/>
              </w:rPr>
              <w:t>b</w:t>
            </w:r>
            <w:proofErr w:type="spellEnd"/>
          </w:p>
        </w:tc>
      </w:tr>
      <w:tr w:rsidR="000B0DAA" w:rsidRPr="00E30038" w14:paraId="24C1D713" w14:textId="77777777" w:rsidTr="000B0DAA">
        <w:trPr>
          <w:trHeight w:val="300"/>
        </w:trPr>
        <w:tc>
          <w:tcPr>
            <w:tcW w:w="2140" w:type="dxa"/>
            <w:noWrap/>
            <w:vAlign w:val="bottom"/>
            <w:hideMark/>
          </w:tcPr>
          <w:p w14:paraId="7CF74106" w14:textId="7DCAB0F2" w:rsidR="000B0DAA" w:rsidRPr="005F3B14" w:rsidRDefault="000B0DAA" w:rsidP="000B0DAA">
            <w:pPr>
              <w:spacing w:line="240" w:lineRule="auto"/>
              <w:rPr>
                <w:lang w:val="es-ES"/>
              </w:rPr>
            </w:pPr>
            <w:r w:rsidRPr="005F3B14">
              <w:rPr>
                <w:lang w:val="es-ES"/>
              </w:rPr>
              <w:t>Razón de riesgo (IC del 95%)</w:t>
            </w:r>
          </w:p>
        </w:tc>
        <w:tc>
          <w:tcPr>
            <w:tcW w:w="7089" w:type="dxa"/>
            <w:gridSpan w:val="5"/>
            <w:noWrap/>
            <w:vAlign w:val="bottom"/>
            <w:hideMark/>
          </w:tcPr>
          <w:p w14:paraId="348671A0" w14:textId="5BBDD4D8" w:rsidR="000B0DAA" w:rsidRPr="00E30038" w:rsidRDefault="000B0DAA" w:rsidP="000B0DAA">
            <w:pPr>
              <w:spacing w:line="240" w:lineRule="auto"/>
              <w:jc w:val="center"/>
            </w:pPr>
            <w:r w:rsidRPr="00E30038">
              <w:t>0</w:t>
            </w:r>
            <w:r>
              <w:t>,</w:t>
            </w:r>
            <w:r w:rsidRPr="00E30038">
              <w:t>88 (0</w:t>
            </w:r>
            <w:r>
              <w:t>,</w:t>
            </w:r>
            <w:r w:rsidRPr="00E30038">
              <w:t>69; 1</w:t>
            </w:r>
            <w:r>
              <w:t>,</w:t>
            </w:r>
            <w:r w:rsidRPr="00E30038">
              <w:t>13)</w:t>
            </w:r>
          </w:p>
        </w:tc>
      </w:tr>
      <w:tr w:rsidR="000B0DAA" w:rsidRPr="00E30038" w14:paraId="7B914CA4" w14:textId="77777777" w:rsidTr="000B0DAA">
        <w:trPr>
          <w:trHeight w:val="351"/>
        </w:trPr>
        <w:tc>
          <w:tcPr>
            <w:tcW w:w="2140" w:type="dxa"/>
            <w:noWrap/>
            <w:hideMark/>
          </w:tcPr>
          <w:p w14:paraId="3B64C679" w14:textId="2CAF7136" w:rsidR="000B0DAA" w:rsidRPr="00E30038" w:rsidRDefault="000B0DAA" w:rsidP="000B0DAA">
            <w:pPr>
              <w:spacing w:line="240" w:lineRule="auto"/>
            </w:pPr>
            <w:r>
              <w:t>Valor de p (</w:t>
            </w:r>
            <w:proofErr w:type="spellStart"/>
            <w:r>
              <w:t>exploratorio</w:t>
            </w:r>
            <w:proofErr w:type="spellEnd"/>
            <w:r>
              <w:t>)</w:t>
            </w:r>
            <w:r w:rsidRPr="00E30038">
              <w:t xml:space="preserve"> </w:t>
            </w:r>
          </w:p>
        </w:tc>
        <w:tc>
          <w:tcPr>
            <w:tcW w:w="7089" w:type="dxa"/>
            <w:gridSpan w:val="5"/>
            <w:noWrap/>
            <w:hideMark/>
          </w:tcPr>
          <w:p w14:paraId="241EF03E" w14:textId="2CC29457" w:rsidR="000B0DAA" w:rsidRPr="00E30038" w:rsidRDefault="000B0DAA" w:rsidP="000B0DAA">
            <w:pPr>
              <w:spacing w:line="240" w:lineRule="auto"/>
              <w:jc w:val="center"/>
            </w:pPr>
            <w:r>
              <w:t>0,</w:t>
            </w:r>
            <w:r w:rsidRPr="00E30038">
              <w:t>33</w:t>
            </w:r>
          </w:p>
          <w:p w14:paraId="51F33DA9" w14:textId="77777777" w:rsidR="000B0DAA" w:rsidRPr="00E30038" w:rsidRDefault="000B0DAA" w:rsidP="000B0DAA">
            <w:pPr>
              <w:spacing w:line="240" w:lineRule="auto"/>
            </w:pPr>
          </w:p>
        </w:tc>
      </w:tr>
    </w:tbl>
    <w:p w14:paraId="10361E07" w14:textId="145422E0" w:rsidR="000B0DAA" w:rsidRPr="007C09D3" w:rsidRDefault="000B0DAA" w:rsidP="000B0DAA">
      <w:pPr>
        <w:pStyle w:val="CM53"/>
        <w:keepNext/>
        <w:ind w:left="567" w:hanging="567"/>
        <w:rPr>
          <w:sz w:val="20"/>
          <w:szCs w:val="20"/>
          <w:lang w:val="es-ES"/>
        </w:rPr>
      </w:pPr>
      <w:r w:rsidRPr="007C09D3">
        <w:rPr>
          <w:sz w:val="20"/>
          <w:szCs w:val="20"/>
          <w:vertAlign w:val="superscript"/>
          <w:lang w:val="es-ES"/>
        </w:rPr>
        <w:t xml:space="preserve">a </w:t>
      </w:r>
      <w:r w:rsidRPr="007C09D3">
        <w:rPr>
          <w:sz w:val="20"/>
          <w:szCs w:val="20"/>
          <w:vertAlign w:val="superscript"/>
          <w:lang w:val="es-ES"/>
        </w:rPr>
        <w:tab/>
      </w:r>
      <w:r w:rsidRPr="006A4AAB">
        <w:rPr>
          <w:sz w:val="20"/>
          <w:szCs w:val="20"/>
          <w:lang w:val="es-ES"/>
        </w:rPr>
        <w:t>1</w:t>
      </w:r>
      <w:r w:rsidR="000C1091" w:rsidRPr="00FC0E82">
        <w:rPr>
          <w:sz w:val="20"/>
          <w:szCs w:val="20"/>
          <w:lang w:val="es-ES"/>
        </w:rPr>
        <w:t>.</w:t>
      </w:r>
      <w:r w:rsidRPr="00FC0E82">
        <w:rPr>
          <w:sz w:val="20"/>
          <w:szCs w:val="20"/>
          <w:lang w:val="es-ES"/>
        </w:rPr>
        <w:t>000 mg/m</w:t>
      </w:r>
      <w:r w:rsidRPr="007C09D3">
        <w:rPr>
          <w:sz w:val="20"/>
          <w:szCs w:val="20"/>
          <w:lang w:val="es-ES"/>
        </w:rPr>
        <w:t>2</w:t>
      </w:r>
      <w:r w:rsidRPr="006A4AAB">
        <w:rPr>
          <w:sz w:val="20"/>
          <w:szCs w:val="20"/>
          <w:lang w:val="es-ES"/>
        </w:rPr>
        <w:t xml:space="preserve"> </w:t>
      </w:r>
      <w:r w:rsidR="000C1091" w:rsidRPr="00FC0E82">
        <w:rPr>
          <w:sz w:val="20"/>
          <w:szCs w:val="20"/>
          <w:lang w:val="es-ES"/>
        </w:rPr>
        <w:t>administrados vía oral dos veces al día durante 14 </w:t>
      </w:r>
      <w:r w:rsidR="000C1091" w:rsidRPr="00832F03">
        <w:rPr>
          <w:sz w:val="20"/>
          <w:szCs w:val="20"/>
          <w:lang w:val="es-ES"/>
        </w:rPr>
        <w:t>días cada 3 </w:t>
      </w:r>
      <w:r w:rsidR="000C1091" w:rsidRPr="00754585">
        <w:rPr>
          <w:sz w:val="20"/>
          <w:szCs w:val="20"/>
          <w:lang w:val="es-ES"/>
        </w:rPr>
        <w:t>semanas</w:t>
      </w:r>
      <w:r w:rsidRPr="00754585">
        <w:rPr>
          <w:sz w:val="20"/>
          <w:szCs w:val="20"/>
          <w:lang w:val="es-ES"/>
        </w:rPr>
        <w:t>.</w:t>
      </w:r>
    </w:p>
    <w:p w14:paraId="072A9C22" w14:textId="4F77EEA7" w:rsidR="000B0DAA" w:rsidRPr="005F3B14" w:rsidRDefault="000B0DAA" w:rsidP="000B0DAA">
      <w:pPr>
        <w:pStyle w:val="CM53"/>
        <w:keepNext/>
        <w:ind w:left="567" w:hanging="567"/>
        <w:rPr>
          <w:sz w:val="20"/>
          <w:szCs w:val="20"/>
          <w:lang w:val="es-ES"/>
        </w:rPr>
      </w:pPr>
      <w:r w:rsidRPr="005F3B14">
        <w:rPr>
          <w:sz w:val="20"/>
          <w:szCs w:val="20"/>
          <w:vertAlign w:val="superscript"/>
          <w:lang w:val="es-ES"/>
        </w:rPr>
        <w:t>b</w:t>
      </w:r>
      <w:r w:rsidRPr="005F3B14">
        <w:rPr>
          <w:sz w:val="20"/>
          <w:szCs w:val="20"/>
          <w:lang w:val="es-ES"/>
        </w:rPr>
        <w:t xml:space="preserve"> </w:t>
      </w:r>
      <w:r w:rsidRPr="005F3B14">
        <w:rPr>
          <w:sz w:val="20"/>
          <w:szCs w:val="20"/>
          <w:lang w:val="es-ES"/>
        </w:rPr>
        <w:tab/>
      </w:r>
      <w:r w:rsidR="000C1091" w:rsidRPr="005F3B14">
        <w:rPr>
          <w:sz w:val="20"/>
          <w:szCs w:val="20"/>
          <w:lang w:val="es-ES"/>
        </w:rPr>
        <w:t>El análisis estratificado incluyó todos los acontecimientos de progresión y fallecimiento excepto aquellos donde la terapia fuera de protocolo (NPT) se inició antes de que se confirmara la progresión de la enfermedad; los datos de estos pacientes se censuraron en la última evaluación del tumor antes de comenzar el tratamiento fuera del protocolo.</w:t>
      </w:r>
    </w:p>
    <w:p w14:paraId="08B47090" w14:textId="77777777" w:rsidR="000B0DAA" w:rsidRPr="005F3B14" w:rsidRDefault="000B0DAA" w:rsidP="000B0DAA">
      <w:pPr>
        <w:pStyle w:val="Default"/>
        <w:keepNext/>
        <w:rPr>
          <w:sz w:val="22"/>
          <w:szCs w:val="22"/>
          <w:lang w:val="es-ES"/>
        </w:rPr>
      </w:pPr>
    </w:p>
    <w:p w14:paraId="44F98D9A" w14:textId="3179130C" w:rsidR="005756DB" w:rsidRPr="006070A6" w:rsidRDefault="006070A6" w:rsidP="000B0DAA">
      <w:pPr>
        <w:spacing w:after="0" w:line="240" w:lineRule="auto"/>
        <w:ind w:left="0" w:firstLine="0"/>
        <w:rPr>
          <w:color w:val="auto"/>
          <w:lang w:val="es-ES"/>
        </w:rPr>
      </w:pPr>
      <w:r w:rsidRPr="005F3B14">
        <w:rPr>
          <w:lang w:val="es-ES"/>
        </w:rPr>
        <w:t>Se realizó un análisis no estratificado de SLP (evaluado por el investigador) que no censuró para tratamiento fuera de protocolo antes de la progresión de la enfermedad. Los resultados de estos análisis fueron muy similares a los resultados del objetivo principal de SLP</w:t>
      </w:r>
      <w:r>
        <w:rPr>
          <w:lang w:val="es-ES"/>
        </w:rPr>
        <w:t>.</w:t>
      </w:r>
    </w:p>
    <w:p w14:paraId="0ACEEC5B" w14:textId="77777777" w:rsidR="00FB24C0" w:rsidRPr="006070A6" w:rsidRDefault="00FB24C0" w:rsidP="00FB24C0">
      <w:pPr>
        <w:spacing w:after="0" w:line="240" w:lineRule="auto"/>
        <w:ind w:left="0" w:firstLine="0"/>
        <w:rPr>
          <w:i/>
          <w:color w:val="auto"/>
          <w:lang w:val="es-ES"/>
        </w:rPr>
      </w:pPr>
    </w:p>
    <w:p w14:paraId="3F4E09B2" w14:textId="77777777" w:rsidR="00FB24C0" w:rsidRPr="00443040" w:rsidRDefault="00FB24C0" w:rsidP="00FB24C0">
      <w:pPr>
        <w:keepNext/>
        <w:spacing w:after="0" w:line="240" w:lineRule="auto"/>
        <w:ind w:left="0" w:firstLine="0"/>
        <w:rPr>
          <w:i/>
          <w:color w:val="auto"/>
          <w:lang w:val="es-ES"/>
        </w:rPr>
      </w:pPr>
      <w:r w:rsidRPr="00443040">
        <w:rPr>
          <w:i/>
          <w:color w:val="auto"/>
          <w:u w:val="single" w:color="000000"/>
          <w:lang w:val="es-ES"/>
        </w:rPr>
        <w:t>Cáncer de Pulmón No Microcítico (CPNM)</w:t>
      </w:r>
    </w:p>
    <w:p w14:paraId="2FD6C114" w14:textId="77777777" w:rsidR="00FB24C0" w:rsidRPr="00443040" w:rsidRDefault="00FB24C0" w:rsidP="00FB24C0">
      <w:pPr>
        <w:keepNext/>
        <w:spacing w:after="0" w:line="240" w:lineRule="auto"/>
        <w:ind w:left="0" w:firstLine="0"/>
        <w:rPr>
          <w:color w:val="auto"/>
          <w:lang w:val="es-ES"/>
        </w:rPr>
      </w:pPr>
    </w:p>
    <w:p w14:paraId="5CB9FB80" w14:textId="77777777" w:rsidR="00FB24C0" w:rsidRPr="00443040" w:rsidRDefault="00FB24C0" w:rsidP="005A16CA">
      <w:pPr>
        <w:keepNext/>
        <w:spacing w:after="0" w:line="240" w:lineRule="auto"/>
        <w:ind w:left="0" w:firstLine="0"/>
        <w:rPr>
          <w:i/>
          <w:color w:val="auto"/>
          <w:lang w:val="es-ES"/>
        </w:rPr>
      </w:pPr>
      <w:r w:rsidRPr="00443040">
        <w:rPr>
          <w:i/>
          <w:color w:val="auto"/>
          <w:lang w:val="es-ES"/>
        </w:rPr>
        <w:t>Primera línea de tratamiento para CPNM no escamoso en combinación con quimioterapia basada en platino</w:t>
      </w:r>
    </w:p>
    <w:p w14:paraId="65F2322B" w14:textId="77777777" w:rsidR="00FB24C0" w:rsidRPr="005A16CA" w:rsidRDefault="00FB24C0" w:rsidP="005A16CA">
      <w:pPr>
        <w:keepNext/>
        <w:spacing w:after="0" w:line="240" w:lineRule="auto"/>
        <w:ind w:left="0" w:firstLine="0"/>
        <w:rPr>
          <w:color w:val="auto"/>
          <w:lang w:val="es-ES"/>
        </w:rPr>
      </w:pPr>
    </w:p>
    <w:p w14:paraId="177B7F34" w14:textId="49D70BDC" w:rsidR="00FB24C0" w:rsidRPr="00443040" w:rsidRDefault="00FB24C0" w:rsidP="00FB24C0">
      <w:pPr>
        <w:spacing w:after="0" w:line="240" w:lineRule="auto"/>
        <w:ind w:left="0" w:firstLine="0"/>
        <w:rPr>
          <w:color w:val="auto"/>
          <w:lang w:val="es-ES"/>
        </w:rPr>
      </w:pPr>
      <w:r w:rsidRPr="00443040">
        <w:rPr>
          <w:color w:val="auto"/>
          <w:lang w:val="es-ES"/>
        </w:rPr>
        <w:t>En los ensayos E4599 y BO177</w:t>
      </w:r>
      <w:r w:rsidR="00756D7E">
        <w:rPr>
          <w:color w:val="auto"/>
          <w:lang w:val="es-ES"/>
        </w:rPr>
        <w:t>0</w:t>
      </w:r>
      <w:r w:rsidRPr="00443040">
        <w:rPr>
          <w:color w:val="auto"/>
          <w:lang w:val="es-ES"/>
        </w:rPr>
        <w:t xml:space="preserve">4 se investigaron la seguridad y eficacia de </w:t>
      </w:r>
      <w:r w:rsidR="0035787B" w:rsidRPr="001919A9">
        <w:rPr>
          <w:lang w:val="es-ES"/>
        </w:rPr>
        <w:t>bevacizumab</w:t>
      </w:r>
      <w:r w:rsidRPr="00443040">
        <w:rPr>
          <w:color w:val="auto"/>
          <w:lang w:val="es-ES"/>
        </w:rPr>
        <w:t xml:space="preserve"> asociado a quimioterapia basada en platino, en el tratamiento en primera línea de pacientes con cáncer de pulmón no microcítico (CPNM) con un tipo histológico sin predominio de células escamosas. En el ensayo E4599 se ha demostrado un beneficio en la supervivencia global con una dosis de bevacizumab de</w:t>
      </w:r>
      <w:r w:rsidR="00B750EA">
        <w:rPr>
          <w:color w:val="auto"/>
          <w:lang w:val="es-ES"/>
        </w:rPr>
        <w:t xml:space="preserve"> </w:t>
      </w:r>
      <w:r w:rsidRPr="00443040">
        <w:rPr>
          <w:color w:val="auto"/>
          <w:lang w:val="es-ES"/>
        </w:rPr>
        <w:t>15 mg/kg cada 3 semanas. El ensayo BO17704 ha demostrado que tanto la dosis de 15 mg/kg ca</w:t>
      </w:r>
      <w:r w:rsidR="00B750EA">
        <w:rPr>
          <w:color w:val="auto"/>
          <w:lang w:val="es-ES"/>
        </w:rPr>
        <w:t>da 3 </w:t>
      </w:r>
      <w:r w:rsidRPr="00443040">
        <w:rPr>
          <w:color w:val="auto"/>
          <w:lang w:val="es-ES"/>
        </w:rPr>
        <w:t>semanas como la de 7,5 mg/kg cada 3 semanas de bevacizumab aumentan la supervivencia libre de progresión y la tasa de respuesta.</w:t>
      </w:r>
    </w:p>
    <w:p w14:paraId="77CBB0B9" w14:textId="77777777" w:rsidR="00FB24C0" w:rsidRPr="00443040" w:rsidRDefault="00FB24C0" w:rsidP="00FB24C0">
      <w:pPr>
        <w:spacing w:after="0" w:line="240" w:lineRule="auto"/>
        <w:ind w:left="0" w:firstLine="0"/>
        <w:rPr>
          <w:color w:val="auto"/>
          <w:lang w:val="es-ES"/>
        </w:rPr>
      </w:pPr>
    </w:p>
    <w:p w14:paraId="5C47AA4F" w14:textId="77777777" w:rsidR="00FB24C0" w:rsidRPr="00B750EA" w:rsidRDefault="00FB24C0" w:rsidP="005A16CA">
      <w:pPr>
        <w:keepNext/>
        <w:spacing w:after="0" w:line="240" w:lineRule="auto"/>
        <w:ind w:left="0" w:firstLine="0"/>
        <w:rPr>
          <w:i/>
          <w:color w:val="auto"/>
          <w:lang w:val="es-ES"/>
        </w:rPr>
      </w:pPr>
      <w:r w:rsidRPr="00B750EA">
        <w:rPr>
          <w:i/>
          <w:color w:val="auto"/>
          <w:lang w:val="es-ES"/>
        </w:rPr>
        <w:t>E4599</w:t>
      </w:r>
    </w:p>
    <w:p w14:paraId="445D7157" w14:textId="59EECD9D" w:rsidR="00FB24C0" w:rsidRPr="00B750EA" w:rsidRDefault="00FB24C0" w:rsidP="00FB24C0">
      <w:pPr>
        <w:spacing w:after="0" w:line="240" w:lineRule="auto"/>
        <w:ind w:left="0" w:firstLine="0"/>
        <w:rPr>
          <w:color w:val="auto"/>
          <w:lang w:val="es-ES"/>
        </w:rPr>
      </w:pPr>
      <w:r w:rsidRPr="00B750EA">
        <w:rPr>
          <w:color w:val="auto"/>
          <w:lang w:val="es-ES"/>
        </w:rPr>
        <w:t xml:space="preserve">En el ensayo E4599 multicéntrico, abierto, aleatorizado y controlado con comparador activo se evaluó </w:t>
      </w:r>
      <w:r w:rsidR="00EC6F9D" w:rsidRPr="001919A9">
        <w:rPr>
          <w:lang w:val="es-ES"/>
        </w:rPr>
        <w:t>bevacizumab</w:t>
      </w:r>
      <w:r w:rsidRPr="00B750EA">
        <w:rPr>
          <w:color w:val="auto"/>
          <w:lang w:val="es-ES"/>
        </w:rPr>
        <w:t xml:space="preserve"> como tratamiento en primera línea de pacientes con CPNM localmente avanzado </w:t>
      </w:r>
      <w:r w:rsidRPr="00B750EA">
        <w:rPr>
          <w:color w:val="auto"/>
          <w:lang w:val="es-ES"/>
        </w:rPr>
        <w:lastRenderedPageBreak/>
        <w:t>(estadio III</w:t>
      </w:r>
      <w:r w:rsidR="00987B7D" w:rsidRPr="00987B7D">
        <w:rPr>
          <w:color w:val="auto"/>
          <w:lang w:val="es-ES"/>
        </w:rPr>
        <w:t>B</w:t>
      </w:r>
      <w:r w:rsidRPr="00B750EA">
        <w:rPr>
          <w:color w:val="auto"/>
          <w:lang w:val="es-ES"/>
        </w:rPr>
        <w:t xml:space="preserve"> con derrame pleural maligno), metastásico o recidivante con un tipo histológico sin predominio de células escamosas.</w:t>
      </w:r>
    </w:p>
    <w:p w14:paraId="4FD1EBE0" w14:textId="77777777" w:rsidR="00FB24C0" w:rsidRPr="00B750EA" w:rsidRDefault="00FB24C0" w:rsidP="00FB24C0">
      <w:pPr>
        <w:spacing w:after="0" w:line="240" w:lineRule="auto"/>
        <w:ind w:left="0" w:firstLine="0"/>
        <w:rPr>
          <w:color w:val="auto"/>
          <w:lang w:val="es-ES"/>
        </w:rPr>
      </w:pPr>
    </w:p>
    <w:p w14:paraId="4352BEFA" w14:textId="77777777" w:rsidR="00FB24C0" w:rsidRPr="00B750EA" w:rsidRDefault="00FB24C0" w:rsidP="00FB24C0">
      <w:pPr>
        <w:spacing w:after="0" w:line="240" w:lineRule="auto"/>
        <w:ind w:left="0" w:firstLine="0"/>
        <w:rPr>
          <w:color w:val="auto"/>
          <w:lang w:val="es-ES"/>
        </w:rPr>
      </w:pPr>
      <w:r w:rsidRPr="00B750EA">
        <w:rPr>
          <w:color w:val="auto"/>
          <w:lang w:val="es-ES"/>
        </w:rPr>
        <w:t xml:space="preserve">Los pacientes fueron aleatorizados para recibir quimioterapia basada en platino (PC: </w:t>
      </w:r>
      <w:proofErr w:type="spellStart"/>
      <w:r w:rsidRPr="00B750EA">
        <w:rPr>
          <w:color w:val="auto"/>
          <w:lang w:val="es-ES"/>
        </w:rPr>
        <w:t>paclitaxel</w:t>
      </w:r>
      <w:proofErr w:type="spellEnd"/>
      <w:r w:rsidRPr="00B750EA">
        <w:rPr>
          <w:color w:val="auto"/>
          <w:lang w:val="es-ES"/>
        </w:rPr>
        <w:t xml:space="preserve"> 200 mg/m</w:t>
      </w:r>
      <w:r w:rsidRPr="00B750EA">
        <w:rPr>
          <w:color w:val="auto"/>
          <w:vertAlign w:val="superscript"/>
          <w:lang w:val="es-ES"/>
        </w:rPr>
        <w:t>2</w:t>
      </w:r>
      <w:r w:rsidRPr="00B750EA">
        <w:rPr>
          <w:color w:val="auto"/>
          <w:lang w:val="es-ES"/>
        </w:rPr>
        <w:t>) y carboplatino AUC = 6,0; ambos mediante perfusión IV en el día 1 de cada ciclo de 3</w:t>
      </w:r>
      <w:r w:rsidR="005A16CA" w:rsidRPr="00B750EA">
        <w:rPr>
          <w:color w:val="auto"/>
          <w:lang w:val="es-ES"/>
        </w:rPr>
        <w:t> </w:t>
      </w:r>
      <w:r w:rsidRPr="00B750EA">
        <w:rPr>
          <w:color w:val="auto"/>
          <w:lang w:val="es-ES"/>
        </w:rPr>
        <w:t xml:space="preserve">semanas hasta 6 ciclos o PC en combinación con </w:t>
      </w:r>
      <w:r w:rsidR="00EC6F9D" w:rsidRPr="001919A9">
        <w:rPr>
          <w:lang w:val="es-ES"/>
        </w:rPr>
        <w:t>bevacizumab</w:t>
      </w:r>
      <w:r w:rsidRPr="00B750EA">
        <w:rPr>
          <w:color w:val="auto"/>
          <w:lang w:val="es-ES"/>
        </w:rPr>
        <w:t xml:space="preserve"> a una dosis de 15 mg/kg mediante perfusión IV el día 1 de cada ciclo de 3 semanas. Tras la finalización de los seis ciclos de quimioterapia con carboplatino-</w:t>
      </w:r>
      <w:proofErr w:type="spellStart"/>
      <w:r w:rsidRPr="00B750EA">
        <w:rPr>
          <w:color w:val="auto"/>
          <w:lang w:val="es-ES"/>
        </w:rPr>
        <w:t>paclitaxel</w:t>
      </w:r>
      <w:proofErr w:type="spellEnd"/>
      <w:r w:rsidRPr="00B750EA">
        <w:rPr>
          <w:color w:val="auto"/>
          <w:lang w:val="es-ES"/>
        </w:rPr>
        <w:t xml:space="preserve"> o tras la interrupción prematura de la quimioterapia, los pacientes en el brazo de </w:t>
      </w:r>
      <w:r w:rsidR="00EC6F9D" w:rsidRPr="001919A9">
        <w:rPr>
          <w:lang w:val="es-ES"/>
        </w:rPr>
        <w:t>bevacizumab</w:t>
      </w:r>
      <w:r w:rsidRPr="00B750EA">
        <w:rPr>
          <w:color w:val="auto"/>
          <w:lang w:val="es-ES"/>
        </w:rPr>
        <w:t xml:space="preserve"> + carboplatino-</w:t>
      </w:r>
      <w:proofErr w:type="spellStart"/>
      <w:r w:rsidRPr="00B750EA">
        <w:rPr>
          <w:color w:val="auto"/>
          <w:lang w:val="es-ES"/>
        </w:rPr>
        <w:t>paclitaxel</w:t>
      </w:r>
      <w:proofErr w:type="spellEnd"/>
      <w:r w:rsidRPr="00B750EA">
        <w:rPr>
          <w:color w:val="auto"/>
          <w:lang w:val="es-ES"/>
        </w:rPr>
        <w:t xml:space="preserve"> continuaron recibiendo </w:t>
      </w:r>
      <w:r w:rsidR="00EC6F9D" w:rsidRPr="001919A9">
        <w:rPr>
          <w:lang w:val="es-ES"/>
        </w:rPr>
        <w:t>bevacizumab</w:t>
      </w:r>
      <w:r w:rsidRPr="00B750EA">
        <w:rPr>
          <w:color w:val="auto"/>
          <w:lang w:val="es-ES"/>
        </w:rPr>
        <w:t xml:space="preserve"> en monoterapia cada 3 semanas hasta la progresión de la enfermedad. Se aleatorizaron 878 pacientes para los dos brazos.</w:t>
      </w:r>
    </w:p>
    <w:p w14:paraId="5875450D" w14:textId="77777777" w:rsidR="00FB24C0" w:rsidRPr="00B750EA" w:rsidRDefault="00FB24C0" w:rsidP="00FB24C0">
      <w:pPr>
        <w:spacing w:after="0" w:line="240" w:lineRule="auto"/>
        <w:ind w:left="0" w:firstLine="0"/>
        <w:rPr>
          <w:color w:val="auto"/>
          <w:lang w:val="es-ES"/>
        </w:rPr>
      </w:pPr>
    </w:p>
    <w:p w14:paraId="25E6E176" w14:textId="77777777" w:rsidR="00FB24C0" w:rsidRPr="00B750EA" w:rsidRDefault="00FB24C0" w:rsidP="00FB24C0">
      <w:pPr>
        <w:spacing w:after="0" w:line="240" w:lineRule="auto"/>
        <w:ind w:left="0" w:firstLine="0"/>
        <w:rPr>
          <w:color w:val="auto"/>
          <w:lang w:val="es-ES"/>
        </w:rPr>
      </w:pPr>
      <w:r w:rsidRPr="00B750EA">
        <w:rPr>
          <w:color w:val="auto"/>
          <w:lang w:val="es-ES"/>
        </w:rPr>
        <w:t xml:space="preserve">Durante el ensayo, de los pacientes que recibieron el tratamiento de estudio, el 32,2% (136/422) de los pacientes recibió entre 7-12 administraciones de </w:t>
      </w:r>
      <w:r w:rsidR="00EC6F9D" w:rsidRPr="001919A9">
        <w:rPr>
          <w:lang w:val="es-ES"/>
        </w:rPr>
        <w:t>bevacizumab</w:t>
      </w:r>
      <w:r w:rsidRPr="00B750EA">
        <w:rPr>
          <w:color w:val="auto"/>
          <w:lang w:val="es-ES"/>
        </w:rPr>
        <w:t xml:space="preserve"> y el 21,1% (89/422) de los pacientes recibió 13 o más administraciones de </w:t>
      </w:r>
      <w:r w:rsidR="00EC6F9D" w:rsidRPr="001919A9">
        <w:rPr>
          <w:lang w:val="es-ES"/>
        </w:rPr>
        <w:t>bevacizumab</w:t>
      </w:r>
      <w:r w:rsidRPr="00B750EA">
        <w:rPr>
          <w:color w:val="auto"/>
          <w:lang w:val="es-ES"/>
        </w:rPr>
        <w:t>.</w:t>
      </w:r>
    </w:p>
    <w:p w14:paraId="25642843" w14:textId="77777777" w:rsidR="00FB24C0" w:rsidRPr="00B750EA" w:rsidRDefault="00FB24C0" w:rsidP="00FB24C0">
      <w:pPr>
        <w:spacing w:after="0" w:line="240" w:lineRule="auto"/>
        <w:ind w:left="0" w:firstLine="0"/>
        <w:rPr>
          <w:color w:val="auto"/>
          <w:lang w:val="es-ES"/>
        </w:rPr>
      </w:pPr>
    </w:p>
    <w:p w14:paraId="0E695541" w14:textId="18717E35" w:rsidR="00FB24C0" w:rsidRPr="00B750EA" w:rsidRDefault="00322361" w:rsidP="00FB24C0">
      <w:pPr>
        <w:spacing w:after="0" w:line="240" w:lineRule="auto"/>
        <w:ind w:left="0" w:firstLine="0"/>
        <w:rPr>
          <w:color w:val="auto"/>
          <w:lang w:val="es-ES"/>
        </w:rPr>
      </w:pPr>
      <w:r>
        <w:rPr>
          <w:color w:val="auto"/>
          <w:lang w:val="es-ES"/>
        </w:rPr>
        <w:t>La variable</w:t>
      </w:r>
      <w:r w:rsidR="00FB24C0" w:rsidRPr="00B750EA">
        <w:rPr>
          <w:color w:val="auto"/>
          <w:lang w:val="es-ES"/>
        </w:rPr>
        <w:t xml:space="preserve"> principal fue la duración de supervivencia. En la </w:t>
      </w:r>
      <w:r w:rsidR="00471B84">
        <w:rPr>
          <w:color w:val="auto"/>
          <w:lang w:val="es-ES"/>
        </w:rPr>
        <w:t>t</w:t>
      </w:r>
      <w:r w:rsidR="00FB24C0" w:rsidRPr="00B750EA">
        <w:rPr>
          <w:color w:val="auto"/>
          <w:lang w:val="es-ES"/>
        </w:rPr>
        <w:t xml:space="preserve">abla </w:t>
      </w:r>
      <w:r w:rsidR="007E0AEE">
        <w:rPr>
          <w:color w:val="auto"/>
          <w:lang w:val="es-ES"/>
        </w:rPr>
        <w:t>12</w:t>
      </w:r>
      <w:r w:rsidR="00FB24C0" w:rsidRPr="00B750EA">
        <w:rPr>
          <w:color w:val="auto"/>
          <w:lang w:val="es-ES"/>
        </w:rPr>
        <w:t xml:space="preserve"> se presentan los resultados.</w:t>
      </w:r>
    </w:p>
    <w:p w14:paraId="79F859F4" w14:textId="77777777" w:rsidR="00FB24C0" w:rsidRPr="00B750EA" w:rsidRDefault="00FB24C0" w:rsidP="00FB24C0">
      <w:pPr>
        <w:spacing w:after="0" w:line="240" w:lineRule="auto"/>
        <w:ind w:left="0" w:firstLine="0"/>
        <w:rPr>
          <w:color w:val="auto"/>
          <w:lang w:val="es-ES"/>
        </w:rPr>
      </w:pPr>
    </w:p>
    <w:p w14:paraId="479FE073" w14:textId="328C8680" w:rsidR="00FB24C0" w:rsidRPr="00B750EA" w:rsidRDefault="00FB24C0" w:rsidP="00DA0EA6">
      <w:pPr>
        <w:keepNext/>
        <w:spacing w:after="0" w:line="240" w:lineRule="auto"/>
        <w:ind w:left="0" w:firstLine="0"/>
        <w:rPr>
          <w:b/>
          <w:color w:val="auto"/>
          <w:lang w:val="es-ES"/>
        </w:rPr>
      </w:pPr>
      <w:r w:rsidRPr="00B750EA">
        <w:rPr>
          <w:b/>
          <w:color w:val="auto"/>
          <w:lang w:val="es-ES"/>
        </w:rPr>
        <w:t xml:space="preserve">Tabla </w:t>
      </w:r>
      <w:r w:rsidR="007E0AEE">
        <w:rPr>
          <w:b/>
          <w:color w:val="auto"/>
          <w:lang w:val="es-ES"/>
        </w:rPr>
        <w:t>12</w:t>
      </w:r>
      <w:r w:rsidR="00DA0EA6" w:rsidRPr="00B750EA">
        <w:rPr>
          <w:b/>
          <w:color w:val="auto"/>
          <w:lang w:val="es-ES"/>
        </w:rPr>
        <w:t>.</w:t>
      </w:r>
      <w:r w:rsidRPr="00B750EA">
        <w:rPr>
          <w:b/>
          <w:color w:val="auto"/>
          <w:lang w:val="es-ES"/>
        </w:rPr>
        <w:t xml:space="preserve"> Resultados de eficacia del ensayo E4599</w:t>
      </w:r>
    </w:p>
    <w:p w14:paraId="5B726A87" w14:textId="77777777" w:rsidR="00FB24C0" w:rsidRPr="00B750EA" w:rsidRDefault="00FB24C0" w:rsidP="006A11D7">
      <w:pPr>
        <w:keepNext/>
        <w:spacing w:after="0" w:line="240" w:lineRule="auto"/>
        <w:ind w:left="0" w:firstLine="0"/>
        <w:rPr>
          <w:color w:val="auto"/>
          <w:lang w:val="es-ES"/>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410"/>
      </w:tblGrid>
      <w:tr w:rsidR="00353634" w:rsidRPr="002C10E1" w14:paraId="77C982FD" w14:textId="77777777" w:rsidTr="00A1792E">
        <w:trPr>
          <w:trHeight w:val="983"/>
          <w:tblHeader/>
        </w:trPr>
        <w:tc>
          <w:tcPr>
            <w:tcW w:w="3828" w:type="dxa"/>
            <w:noWrap/>
            <w:vAlign w:val="bottom"/>
          </w:tcPr>
          <w:p w14:paraId="4F6D9336" w14:textId="77777777" w:rsidR="00353634" w:rsidRPr="005D7BF1" w:rsidRDefault="00353634" w:rsidP="00DA0EA6">
            <w:pPr>
              <w:spacing w:line="240" w:lineRule="auto"/>
              <w:ind w:hanging="6"/>
              <w:rPr>
                <w:lang w:val="nb-NO"/>
              </w:rPr>
            </w:pPr>
          </w:p>
        </w:tc>
        <w:tc>
          <w:tcPr>
            <w:tcW w:w="2693" w:type="dxa"/>
            <w:noWrap/>
          </w:tcPr>
          <w:p w14:paraId="39B5541C" w14:textId="77777777" w:rsidR="00353634" w:rsidRPr="006409A4" w:rsidRDefault="00353634" w:rsidP="00DA0EA6">
            <w:pPr>
              <w:tabs>
                <w:tab w:val="left" w:pos="567"/>
              </w:tabs>
              <w:spacing w:line="240" w:lineRule="auto"/>
              <w:ind w:hanging="6"/>
              <w:jc w:val="center"/>
              <w:rPr>
                <w:b/>
                <w:lang w:val="es-ES"/>
              </w:rPr>
            </w:pPr>
            <w:r w:rsidRPr="006409A4">
              <w:rPr>
                <w:b/>
                <w:lang w:val="es-ES"/>
              </w:rPr>
              <w:t>Brazo 1</w:t>
            </w:r>
          </w:p>
          <w:p w14:paraId="7C6899AC" w14:textId="77777777" w:rsidR="00353634" w:rsidRPr="006409A4" w:rsidRDefault="00353634" w:rsidP="00DA0EA6">
            <w:pPr>
              <w:tabs>
                <w:tab w:val="left" w:pos="567"/>
              </w:tabs>
              <w:spacing w:line="240" w:lineRule="auto"/>
              <w:ind w:hanging="6"/>
              <w:jc w:val="center"/>
              <w:rPr>
                <w:b/>
                <w:lang w:val="es-ES"/>
              </w:rPr>
            </w:pPr>
            <w:r w:rsidRPr="006409A4">
              <w:rPr>
                <w:b/>
                <w:lang w:val="es-ES"/>
              </w:rPr>
              <w:t>Carboplatino/</w:t>
            </w:r>
          </w:p>
          <w:p w14:paraId="53DC6414" w14:textId="77777777" w:rsidR="00353634" w:rsidRPr="00DA0EA6" w:rsidRDefault="00353634" w:rsidP="00DA0EA6">
            <w:pPr>
              <w:spacing w:line="240" w:lineRule="auto"/>
              <w:ind w:hanging="6"/>
              <w:jc w:val="center"/>
              <w:rPr>
                <w:b/>
                <w:lang w:val="es-ES"/>
              </w:rPr>
            </w:pPr>
            <w:proofErr w:type="spellStart"/>
            <w:r w:rsidRPr="006409A4">
              <w:rPr>
                <w:b/>
                <w:lang w:val="es-ES"/>
              </w:rPr>
              <w:t>Paclitaxel</w:t>
            </w:r>
            <w:proofErr w:type="spellEnd"/>
          </w:p>
        </w:tc>
        <w:tc>
          <w:tcPr>
            <w:tcW w:w="2410" w:type="dxa"/>
            <w:noWrap/>
          </w:tcPr>
          <w:p w14:paraId="48F83233" w14:textId="77777777" w:rsidR="00353634" w:rsidRPr="006409A4" w:rsidRDefault="00353634" w:rsidP="00DA0EA6">
            <w:pPr>
              <w:tabs>
                <w:tab w:val="left" w:pos="567"/>
              </w:tabs>
              <w:spacing w:line="240" w:lineRule="auto"/>
              <w:ind w:hanging="6"/>
              <w:jc w:val="center"/>
              <w:rPr>
                <w:b/>
                <w:lang w:val="es-ES"/>
              </w:rPr>
            </w:pPr>
            <w:r w:rsidRPr="006409A4">
              <w:rPr>
                <w:b/>
                <w:lang w:val="es-ES"/>
              </w:rPr>
              <w:t>Brazo 2</w:t>
            </w:r>
          </w:p>
          <w:p w14:paraId="74AAADAF" w14:textId="77777777" w:rsidR="00353634" w:rsidRPr="006409A4" w:rsidRDefault="00353634" w:rsidP="00DA0EA6">
            <w:pPr>
              <w:tabs>
                <w:tab w:val="left" w:pos="567"/>
              </w:tabs>
              <w:spacing w:line="240" w:lineRule="auto"/>
              <w:ind w:hanging="6"/>
              <w:jc w:val="center"/>
              <w:rPr>
                <w:b/>
                <w:lang w:val="es-ES"/>
              </w:rPr>
            </w:pPr>
            <w:r w:rsidRPr="006409A4">
              <w:rPr>
                <w:b/>
                <w:lang w:val="es-ES"/>
              </w:rPr>
              <w:t xml:space="preserve">Carboplatino/ </w:t>
            </w:r>
            <w:proofErr w:type="spellStart"/>
            <w:r w:rsidRPr="006409A4">
              <w:rPr>
                <w:b/>
                <w:lang w:val="es-ES"/>
              </w:rPr>
              <w:t>Paclitaxel</w:t>
            </w:r>
            <w:proofErr w:type="spellEnd"/>
            <w:r w:rsidRPr="006409A4">
              <w:rPr>
                <w:b/>
                <w:lang w:val="es-ES"/>
              </w:rPr>
              <w:t xml:space="preserve"> + </w:t>
            </w:r>
            <w:r w:rsidR="00EC6F9D" w:rsidRPr="00D1096C">
              <w:rPr>
                <w:b/>
                <w:lang w:val="es-ES"/>
              </w:rPr>
              <w:t>bevacizumab</w:t>
            </w:r>
          </w:p>
          <w:p w14:paraId="52D606A3" w14:textId="77777777" w:rsidR="00353634" w:rsidRPr="00DA0EA6" w:rsidRDefault="00353634" w:rsidP="00DA0EA6">
            <w:pPr>
              <w:spacing w:line="240" w:lineRule="auto"/>
              <w:ind w:hanging="6"/>
              <w:jc w:val="center"/>
              <w:rPr>
                <w:b/>
                <w:lang w:val="es-ES"/>
              </w:rPr>
            </w:pPr>
            <w:r w:rsidRPr="006409A4">
              <w:rPr>
                <w:b/>
                <w:lang w:val="es-ES"/>
              </w:rPr>
              <w:t>15</w:t>
            </w:r>
            <w:r w:rsidR="0094370F">
              <w:rPr>
                <w:b/>
                <w:lang w:val="es-ES"/>
              </w:rPr>
              <w:t xml:space="preserve"> </w:t>
            </w:r>
            <w:r w:rsidRPr="006409A4">
              <w:rPr>
                <w:b/>
                <w:lang w:val="es-ES"/>
              </w:rPr>
              <w:t>mg/kg cada 3 semanas</w:t>
            </w:r>
          </w:p>
        </w:tc>
      </w:tr>
      <w:tr w:rsidR="00353634" w:rsidRPr="00E30038" w14:paraId="4381FBC3" w14:textId="77777777" w:rsidTr="006409A4">
        <w:trPr>
          <w:trHeight w:val="300"/>
        </w:trPr>
        <w:tc>
          <w:tcPr>
            <w:tcW w:w="3828" w:type="dxa"/>
            <w:noWrap/>
            <w:vAlign w:val="bottom"/>
          </w:tcPr>
          <w:p w14:paraId="08B313B5" w14:textId="77777777" w:rsidR="00353634" w:rsidRPr="00DA0EA6" w:rsidRDefault="00353634" w:rsidP="00DA0EA6">
            <w:pPr>
              <w:spacing w:line="240" w:lineRule="auto"/>
              <w:ind w:hanging="6"/>
              <w:rPr>
                <w:lang w:val="es-ES"/>
              </w:rPr>
            </w:pPr>
            <w:r w:rsidRPr="00B3484D">
              <w:rPr>
                <w:lang w:val="es-ES"/>
              </w:rPr>
              <w:t>Número de pacientes</w:t>
            </w:r>
          </w:p>
        </w:tc>
        <w:tc>
          <w:tcPr>
            <w:tcW w:w="2693" w:type="dxa"/>
            <w:noWrap/>
          </w:tcPr>
          <w:p w14:paraId="5907BA87" w14:textId="77777777" w:rsidR="00353634" w:rsidRPr="00DA0EA6" w:rsidRDefault="00353634" w:rsidP="00DA0EA6">
            <w:pPr>
              <w:spacing w:line="240" w:lineRule="auto"/>
              <w:ind w:hanging="6"/>
              <w:jc w:val="center"/>
              <w:rPr>
                <w:lang w:val="es-ES"/>
              </w:rPr>
            </w:pPr>
            <w:r w:rsidRPr="00B3484D">
              <w:rPr>
                <w:lang w:val="es-ES"/>
              </w:rPr>
              <w:t>444</w:t>
            </w:r>
          </w:p>
        </w:tc>
        <w:tc>
          <w:tcPr>
            <w:tcW w:w="2410" w:type="dxa"/>
            <w:noWrap/>
          </w:tcPr>
          <w:p w14:paraId="188BBA97" w14:textId="77777777" w:rsidR="00353634" w:rsidRPr="00E30038" w:rsidRDefault="00353634" w:rsidP="00DA0EA6">
            <w:pPr>
              <w:spacing w:line="240" w:lineRule="auto"/>
              <w:ind w:hanging="6"/>
              <w:jc w:val="center"/>
            </w:pPr>
            <w:r w:rsidRPr="00B3484D">
              <w:rPr>
                <w:lang w:val="es-ES"/>
              </w:rPr>
              <w:t>434</w:t>
            </w:r>
          </w:p>
        </w:tc>
      </w:tr>
      <w:tr w:rsidR="00353634" w:rsidRPr="00E30038" w14:paraId="72F47357" w14:textId="77777777" w:rsidTr="006409A4">
        <w:trPr>
          <w:trHeight w:val="300"/>
        </w:trPr>
        <w:tc>
          <w:tcPr>
            <w:tcW w:w="8931" w:type="dxa"/>
            <w:gridSpan w:val="3"/>
            <w:noWrap/>
            <w:vAlign w:val="bottom"/>
          </w:tcPr>
          <w:p w14:paraId="6CA43790" w14:textId="77777777" w:rsidR="00353634" w:rsidRPr="00E30038" w:rsidRDefault="00353634" w:rsidP="00DA0EA6">
            <w:pPr>
              <w:spacing w:line="240" w:lineRule="auto"/>
              <w:ind w:left="567" w:hanging="6"/>
            </w:pPr>
            <w:r w:rsidRPr="00B3484D">
              <w:rPr>
                <w:lang w:val="es-ES"/>
              </w:rPr>
              <w:t>Supervivencia global</w:t>
            </w:r>
          </w:p>
        </w:tc>
      </w:tr>
      <w:tr w:rsidR="00353634" w:rsidRPr="00E30038" w14:paraId="2791FCD1" w14:textId="77777777" w:rsidTr="006409A4">
        <w:trPr>
          <w:trHeight w:val="300"/>
        </w:trPr>
        <w:tc>
          <w:tcPr>
            <w:tcW w:w="3828" w:type="dxa"/>
            <w:noWrap/>
            <w:vAlign w:val="center"/>
          </w:tcPr>
          <w:p w14:paraId="26F9BD54" w14:textId="77777777" w:rsidR="00353634" w:rsidRPr="00E30038" w:rsidRDefault="00353634" w:rsidP="00DA0EA6">
            <w:pPr>
              <w:spacing w:line="240" w:lineRule="auto"/>
              <w:ind w:left="567" w:hanging="6"/>
            </w:pPr>
            <w:r w:rsidRPr="00B3484D">
              <w:rPr>
                <w:lang w:val="es-ES"/>
              </w:rPr>
              <w:t>Mediana del tiempo (meses)</w:t>
            </w:r>
          </w:p>
        </w:tc>
        <w:tc>
          <w:tcPr>
            <w:tcW w:w="2693" w:type="dxa"/>
            <w:noWrap/>
            <w:vAlign w:val="center"/>
          </w:tcPr>
          <w:p w14:paraId="55E10892" w14:textId="77777777" w:rsidR="00353634" w:rsidRPr="00E30038" w:rsidRDefault="00353634" w:rsidP="00DA0EA6">
            <w:pPr>
              <w:spacing w:line="240" w:lineRule="auto"/>
              <w:ind w:hanging="6"/>
              <w:jc w:val="center"/>
            </w:pPr>
            <w:r w:rsidRPr="00AA721B">
              <w:rPr>
                <w:lang w:val="es-ES"/>
              </w:rPr>
              <w:t>10,3</w:t>
            </w:r>
          </w:p>
        </w:tc>
        <w:tc>
          <w:tcPr>
            <w:tcW w:w="2410" w:type="dxa"/>
            <w:noWrap/>
            <w:vAlign w:val="center"/>
          </w:tcPr>
          <w:p w14:paraId="3512A6B3" w14:textId="77777777" w:rsidR="00353634" w:rsidRPr="00E30038" w:rsidRDefault="00353634" w:rsidP="00DA0EA6">
            <w:pPr>
              <w:spacing w:line="240" w:lineRule="auto"/>
              <w:ind w:hanging="6"/>
              <w:jc w:val="center"/>
            </w:pPr>
            <w:r w:rsidRPr="00443040">
              <w:rPr>
                <w:color w:val="auto"/>
                <w:lang w:val="es-ES"/>
              </w:rPr>
              <w:t>12,3</w:t>
            </w:r>
          </w:p>
        </w:tc>
      </w:tr>
      <w:tr w:rsidR="00353634" w:rsidRPr="00E30038" w14:paraId="71874F88" w14:textId="77777777" w:rsidTr="006409A4">
        <w:trPr>
          <w:trHeight w:val="422"/>
        </w:trPr>
        <w:tc>
          <w:tcPr>
            <w:tcW w:w="3828" w:type="dxa"/>
            <w:noWrap/>
          </w:tcPr>
          <w:p w14:paraId="269CA4F6" w14:textId="77777777" w:rsidR="00353634" w:rsidRPr="00E30038" w:rsidRDefault="00353634" w:rsidP="00DA0EA6">
            <w:pPr>
              <w:spacing w:line="240" w:lineRule="auto"/>
              <w:ind w:left="567" w:hanging="6"/>
            </w:pPr>
            <w:r w:rsidRPr="00443040">
              <w:rPr>
                <w:color w:val="auto"/>
                <w:lang w:val="es-ES"/>
              </w:rPr>
              <w:t>Razón de</w:t>
            </w:r>
            <w:r>
              <w:rPr>
                <w:color w:val="auto"/>
                <w:lang w:val="es-ES"/>
              </w:rPr>
              <w:t xml:space="preserve"> riesgo</w:t>
            </w:r>
          </w:p>
        </w:tc>
        <w:tc>
          <w:tcPr>
            <w:tcW w:w="5103" w:type="dxa"/>
            <w:gridSpan w:val="2"/>
            <w:noWrap/>
          </w:tcPr>
          <w:p w14:paraId="62712C55" w14:textId="0B49D5BF" w:rsidR="00353634" w:rsidRPr="00AA721B" w:rsidRDefault="00353634" w:rsidP="00DA0EA6">
            <w:pPr>
              <w:tabs>
                <w:tab w:val="left" w:pos="567"/>
              </w:tabs>
              <w:spacing w:line="240" w:lineRule="auto"/>
              <w:ind w:hanging="6"/>
              <w:jc w:val="center"/>
              <w:rPr>
                <w:lang w:val="es-ES"/>
              </w:rPr>
            </w:pPr>
            <w:r w:rsidRPr="00AA721B">
              <w:rPr>
                <w:lang w:val="es-ES"/>
              </w:rPr>
              <w:t>0,80 (p</w:t>
            </w:r>
            <w:r w:rsidR="003032FF" w:rsidRPr="00E30038">
              <w:t> </w:t>
            </w:r>
            <w:r w:rsidRPr="00AA721B">
              <w:rPr>
                <w:lang w:val="es-ES"/>
              </w:rPr>
              <w:t>=</w:t>
            </w:r>
            <w:r w:rsidR="003032FF" w:rsidRPr="00E30038">
              <w:t> </w:t>
            </w:r>
            <w:r w:rsidRPr="00AA721B">
              <w:rPr>
                <w:lang w:val="es-ES"/>
              </w:rPr>
              <w:t>0,003)</w:t>
            </w:r>
          </w:p>
          <w:p w14:paraId="2ABEB736" w14:textId="77777777" w:rsidR="00353634" w:rsidRPr="00E30038" w:rsidRDefault="00353634" w:rsidP="00DA0EA6">
            <w:pPr>
              <w:spacing w:line="240" w:lineRule="auto"/>
              <w:ind w:hanging="6"/>
              <w:jc w:val="center"/>
            </w:pPr>
            <w:r w:rsidRPr="00AA721B">
              <w:rPr>
                <w:lang w:val="es-ES"/>
              </w:rPr>
              <w:t>IC del 95% (0,69; 0,93)</w:t>
            </w:r>
          </w:p>
        </w:tc>
      </w:tr>
      <w:tr w:rsidR="00353634" w:rsidRPr="00E30038" w14:paraId="625A6BF0" w14:textId="77777777" w:rsidTr="006409A4">
        <w:trPr>
          <w:trHeight w:val="300"/>
        </w:trPr>
        <w:tc>
          <w:tcPr>
            <w:tcW w:w="8931" w:type="dxa"/>
            <w:gridSpan w:val="3"/>
            <w:noWrap/>
            <w:vAlign w:val="center"/>
          </w:tcPr>
          <w:p w14:paraId="6F030818" w14:textId="77777777" w:rsidR="00353634" w:rsidRPr="00E30038" w:rsidRDefault="00353634" w:rsidP="00DA0EA6">
            <w:pPr>
              <w:spacing w:line="240" w:lineRule="auto"/>
              <w:ind w:hanging="6"/>
            </w:pPr>
            <w:r w:rsidRPr="00B3484D">
              <w:rPr>
                <w:lang w:val="es-ES"/>
              </w:rPr>
              <w:t>Supervivencia libre de progresión</w:t>
            </w:r>
          </w:p>
        </w:tc>
      </w:tr>
      <w:tr w:rsidR="00353634" w:rsidRPr="00E30038" w14:paraId="4CF74441" w14:textId="77777777" w:rsidTr="006409A4">
        <w:trPr>
          <w:trHeight w:val="300"/>
        </w:trPr>
        <w:tc>
          <w:tcPr>
            <w:tcW w:w="3828" w:type="dxa"/>
            <w:noWrap/>
            <w:vAlign w:val="center"/>
          </w:tcPr>
          <w:p w14:paraId="41EBD3B1" w14:textId="77777777" w:rsidR="00353634" w:rsidRPr="00E30038" w:rsidRDefault="00353634" w:rsidP="00DA0EA6">
            <w:pPr>
              <w:spacing w:line="240" w:lineRule="auto"/>
              <w:ind w:left="567" w:hanging="6"/>
            </w:pPr>
            <w:r w:rsidRPr="00B3484D">
              <w:rPr>
                <w:lang w:val="es-ES"/>
              </w:rPr>
              <w:t>Mediana del tiempo (meses)</w:t>
            </w:r>
          </w:p>
        </w:tc>
        <w:tc>
          <w:tcPr>
            <w:tcW w:w="2693" w:type="dxa"/>
            <w:noWrap/>
            <w:vAlign w:val="center"/>
          </w:tcPr>
          <w:p w14:paraId="0F2510A9" w14:textId="77777777" w:rsidR="00353634" w:rsidRPr="00E30038" w:rsidRDefault="00353634" w:rsidP="00DA0EA6">
            <w:pPr>
              <w:spacing w:line="240" w:lineRule="auto"/>
              <w:ind w:hanging="6"/>
              <w:jc w:val="center"/>
            </w:pPr>
            <w:r w:rsidRPr="00443040">
              <w:rPr>
                <w:color w:val="auto"/>
                <w:lang w:val="es-ES"/>
              </w:rPr>
              <w:t>4,8</w:t>
            </w:r>
          </w:p>
        </w:tc>
        <w:tc>
          <w:tcPr>
            <w:tcW w:w="2410" w:type="dxa"/>
            <w:noWrap/>
            <w:vAlign w:val="center"/>
          </w:tcPr>
          <w:p w14:paraId="1BFCD154" w14:textId="77777777" w:rsidR="00353634" w:rsidRPr="00E30038" w:rsidRDefault="00353634" w:rsidP="00DA0EA6">
            <w:pPr>
              <w:spacing w:line="240" w:lineRule="auto"/>
              <w:ind w:hanging="6"/>
              <w:jc w:val="center"/>
            </w:pPr>
            <w:r w:rsidRPr="00443040">
              <w:rPr>
                <w:color w:val="auto"/>
                <w:lang w:val="es-ES"/>
              </w:rPr>
              <w:t>6,4</w:t>
            </w:r>
          </w:p>
        </w:tc>
      </w:tr>
      <w:tr w:rsidR="00353634" w:rsidRPr="00E30038" w14:paraId="313D4E61" w14:textId="77777777" w:rsidTr="006409A4">
        <w:trPr>
          <w:trHeight w:val="455"/>
        </w:trPr>
        <w:tc>
          <w:tcPr>
            <w:tcW w:w="3828" w:type="dxa"/>
            <w:noWrap/>
          </w:tcPr>
          <w:p w14:paraId="4502490E" w14:textId="77777777" w:rsidR="00353634" w:rsidRPr="00E30038" w:rsidRDefault="00353634" w:rsidP="00DA0EA6">
            <w:pPr>
              <w:spacing w:line="240" w:lineRule="auto"/>
              <w:ind w:left="567" w:hanging="6"/>
            </w:pPr>
            <w:r w:rsidRPr="00B3484D">
              <w:rPr>
                <w:lang w:val="es-ES"/>
              </w:rPr>
              <w:t>Razón de riesgo</w:t>
            </w:r>
          </w:p>
        </w:tc>
        <w:tc>
          <w:tcPr>
            <w:tcW w:w="5103" w:type="dxa"/>
            <w:gridSpan w:val="2"/>
            <w:noWrap/>
          </w:tcPr>
          <w:p w14:paraId="03B976F4" w14:textId="77777777" w:rsidR="00353634" w:rsidRPr="00AA721B" w:rsidRDefault="00353634" w:rsidP="00DA0EA6">
            <w:pPr>
              <w:tabs>
                <w:tab w:val="left" w:pos="567"/>
              </w:tabs>
              <w:spacing w:line="240" w:lineRule="auto"/>
              <w:ind w:hanging="6"/>
              <w:jc w:val="center"/>
              <w:rPr>
                <w:lang w:val="es-ES"/>
              </w:rPr>
            </w:pPr>
            <w:r w:rsidRPr="00AA721B">
              <w:rPr>
                <w:lang w:val="es-ES"/>
              </w:rPr>
              <w:t>0,65 (p</w:t>
            </w:r>
            <w:r w:rsidR="00A46A8A" w:rsidRPr="00E30038">
              <w:t> </w:t>
            </w:r>
            <w:r w:rsidRPr="00AA721B">
              <w:rPr>
                <w:lang w:val="es-ES"/>
              </w:rPr>
              <w:t>&lt;</w:t>
            </w:r>
            <w:r w:rsidR="00A46A8A" w:rsidRPr="00E30038">
              <w:t> </w:t>
            </w:r>
            <w:r w:rsidRPr="00AA721B">
              <w:rPr>
                <w:lang w:val="es-ES"/>
              </w:rPr>
              <w:t>0,0001)</w:t>
            </w:r>
          </w:p>
          <w:p w14:paraId="7D153273" w14:textId="77777777" w:rsidR="00353634" w:rsidRPr="00E30038" w:rsidRDefault="00353634" w:rsidP="00DA0EA6">
            <w:pPr>
              <w:spacing w:line="240" w:lineRule="auto"/>
              <w:ind w:hanging="6"/>
              <w:jc w:val="center"/>
            </w:pPr>
            <w:r w:rsidRPr="00AA721B">
              <w:rPr>
                <w:lang w:val="es-ES"/>
              </w:rPr>
              <w:t>IC del 95% (0,56; 0,76)</w:t>
            </w:r>
          </w:p>
        </w:tc>
      </w:tr>
      <w:tr w:rsidR="00353634" w:rsidRPr="00E30038" w14:paraId="1FF4A264" w14:textId="77777777" w:rsidTr="006409A4">
        <w:trPr>
          <w:trHeight w:val="310"/>
        </w:trPr>
        <w:tc>
          <w:tcPr>
            <w:tcW w:w="8931" w:type="dxa"/>
            <w:gridSpan w:val="3"/>
            <w:noWrap/>
          </w:tcPr>
          <w:p w14:paraId="17F4A899" w14:textId="77777777" w:rsidR="00353634" w:rsidRPr="00E30038" w:rsidRDefault="00353634" w:rsidP="00DA0EA6">
            <w:pPr>
              <w:spacing w:line="240" w:lineRule="auto"/>
              <w:ind w:hanging="6"/>
            </w:pPr>
            <w:r w:rsidRPr="00B3484D">
              <w:rPr>
                <w:lang w:val="es-ES"/>
              </w:rPr>
              <w:t>Tasa de respuesta global</w:t>
            </w:r>
          </w:p>
        </w:tc>
      </w:tr>
      <w:tr w:rsidR="00353634" w:rsidRPr="00E30038" w14:paraId="6A8C7D1A" w14:textId="77777777" w:rsidTr="006409A4">
        <w:trPr>
          <w:trHeight w:val="402"/>
        </w:trPr>
        <w:tc>
          <w:tcPr>
            <w:tcW w:w="3828" w:type="dxa"/>
            <w:noWrap/>
            <w:vAlign w:val="center"/>
          </w:tcPr>
          <w:p w14:paraId="0706A1A3" w14:textId="77777777" w:rsidR="00353634" w:rsidRPr="00E30038" w:rsidRDefault="00353634" w:rsidP="00DA0EA6">
            <w:pPr>
              <w:spacing w:line="240" w:lineRule="auto"/>
              <w:ind w:left="567" w:hanging="6"/>
            </w:pPr>
            <w:r w:rsidRPr="00B3484D">
              <w:rPr>
                <w:lang w:val="es-ES"/>
              </w:rPr>
              <w:t>Tasa (%)</w:t>
            </w:r>
          </w:p>
        </w:tc>
        <w:tc>
          <w:tcPr>
            <w:tcW w:w="2693" w:type="dxa"/>
            <w:noWrap/>
            <w:vAlign w:val="center"/>
          </w:tcPr>
          <w:p w14:paraId="24738C62" w14:textId="77777777" w:rsidR="00353634" w:rsidRPr="00E30038" w:rsidRDefault="00353634" w:rsidP="00DA0EA6">
            <w:pPr>
              <w:spacing w:line="240" w:lineRule="auto"/>
              <w:ind w:hanging="6"/>
              <w:jc w:val="center"/>
            </w:pPr>
            <w:r w:rsidRPr="00443040">
              <w:rPr>
                <w:color w:val="auto"/>
                <w:lang w:val="es-ES"/>
              </w:rPr>
              <w:t>12,9</w:t>
            </w:r>
          </w:p>
        </w:tc>
        <w:tc>
          <w:tcPr>
            <w:tcW w:w="2410" w:type="dxa"/>
            <w:noWrap/>
            <w:vAlign w:val="center"/>
          </w:tcPr>
          <w:p w14:paraId="7FDD5ED8" w14:textId="77777777" w:rsidR="00353634" w:rsidRPr="00E30038" w:rsidRDefault="00353634" w:rsidP="00A46A8A">
            <w:pPr>
              <w:spacing w:line="240" w:lineRule="auto"/>
              <w:ind w:hanging="6"/>
              <w:jc w:val="center"/>
            </w:pPr>
            <w:r w:rsidRPr="00AA721B">
              <w:rPr>
                <w:lang w:val="es-ES"/>
              </w:rPr>
              <w:t>29,0 (p</w:t>
            </w:r>
            <w:r w:rsidR="00A46A8A" w:rsidRPr="00E30038">
              <w:t> </w:t>
            </w:r>
            <w:r w:rsidRPr="00AA721B">
              <w:rPr>
                <w:lang w:val="es-ES"/>
              </w:rPr>
              <w:t>&lt;</w:t>
            </w:r>
            <w:r w:rsidR="00A46A8A" w:rsidRPr="00E30038">
              <w:t> </w:t>
            </w:r>
            <w:r w:rsidRPr="00AA721B">
              <w:rPr>
                <w:lang w:val="es-ES"/>
              </w:rPr>
              <w:t>0,0001)</w:t>
            </w:r>
          </w:p>
        </w:tc>
      </w:tr>
    </w:tbl>
    <w:p w14:paraId="2AA8395F" w14:textId="77777777" w:rsidR="00FB24C0" w:rsidRPr="00B750EA" w:rsidRDefault="00FB24C0" w:rsidP="00FB24C0">
      <w:pPr>
        <w:spacing w:after="0" w:line="240" w:lineRule="auto"/>
        <w:ind w:left="0" w:firstLine="0"/>
        <w:rPr>
          <w:color w:val="auto"/>
          <w:lang w:val="es-ES"/>
        </w:rPr>
      </w:pPr>
    </w:p>
    <w:p w14:paraId="12ADACB5" w14:textId="77777777" w:rsidR="00FB24C0" w:rsidRPr="00B750EA" w:rsidRDefault="00FB24C0" w:rsidP="00FB24C0">
      <w:pPr>
        <w:spacing w:after="0" w:line="240" w:lineRule="auto"/>
        <w:ind w:left="0" w:firstLine="0"/>
        <w:rPr>
          <w:color w:val="auto"/>
          <w:lang w:val="es-ES"/>
        </w:rPr>
      </w:pPr>
      <w:r w:rsidRPr="00B750EA">
        <w:rPr>
          <w:color w:val="auto"/>
          <w:lang w:val="es-ES"/>
        </w:rPr>
        <w:t xml:space="preserve">En un análisis exploratorio, el beneficio de </w:t>
      </w:r>
      <w:r w:rsidR="00EC6F9D" w:rsidRPr="001919A9">
        <w:rPr>
          <w:lang w:val="es-ES"/>
        </w:rPr>
        <w:t>bevacizumab</w:t>
      </w:r>
      <w:r w:rsidRPr="00B750EA">
        <w:rPr>
          <w:color w:val="auto"/>
          <w:lang w:val="es-ES"/>
        </w:rPr>
        <w:t xml:space="preserve"> en la supervivencia global fue menos pronunciado en el subgrupo de pacientes que no tenían histología de adenocarcinoma.</w:t>
      </w:r>
    </w:p>
    <w:p w14:paraId="2BC76243" w14:textId="77777777" w:rsidR="00FB24C0" w:rsidRPr="00B750EA" w:rsidRDefault="00FB24C0" w:rsidP="00FB24C0">
      <w:pPr>
        <w:spacing w:after="0" w:line="240" w:lineRule="auto"/>
        <w:ind w:left="0" w:firstLine="0"/>
        <w:rPr>
          <w:color w:val="auto"/>
          <w:lang w:val="es-ES"/>
        </w:rPr>
      </w:pPr>
    </w:p>
    <w:p w14:paraId="1B117B42" w14:textId="77777777" w:rsidR="00FB24C0" w:rsidRPr="00B750EA" w:rsidRDefault="00FB24C0" w:rsidP="00597371">
      <w:pPr>
        <w:keepNext/>
        <w:spacing w:after="0" w:line="240" w:lineRule="auto"/>
        <w:ind w:left="0" w:firstLine="0"/>
        <w:rPr>
          <w:i/>
          <w:color w:val="auto"/>
          <w:lang w:val="es-ES"/>
        </w:rPr>
      </w:pPr>
      <w:r w:rsidRPr="00B750EA">
        <w:rPr>
          <w:i/>
          <w:color w:val="auto"/>
          <w:lang w:val="es-ES"/>
        </w:rPr>
        <w:t>BO17704</w:t>
      </w:r>
    </w:p>
    <w:p w14:paraId="08B2616E" w14:textId="024C7664" w:rsidR="00FB24C0" w:rsidRPr="00B750EA" w:rsidRDefault="00FB24C0" w:rsidP="00FB24C0">
      <w:pPr>
        <w:spacing w:after="0" w:line="240" w:lineRule="auto"/>
        <w:ind w:left="0" w:firstLine="0"/>
        <w:rPr>
          <w:color w:val="auto"/>
          <w:lang w:val="es-ES"/>
        </w:rPr>
      </w:pPr>
      <w:r w:rsidRPr="00B750EA">
        <w:rPr>
          <w:color w:val="auto"/>
          <w:lang w:val="es-ES"/>
        </w:rPr>
        <w:t xml:space="preserve">En el ensayo BO17704 fase III aleatorizado, doble ciego de </w:t>
      </w:r>
      <w:r w:rsidR="00635DED" w:rsidRPr="001919A9">
        <w:rPr>
          <w:lang w:val="es-ES"/>
        </w:rPr>
        <w:t>bevacizumab</w:t>
      </w:r>
      <w:r w:rsidRPr="00B750EA">
        <w:rPr>
          <w:color w:val="auto"/>
          <w:lang w:val="es-ES"/>
        </w:rPr>
        <w:t xml:space="preserve"> asociado a cisplatino y </w:t>
      </w:r>
      <w:proofErr w:type="spellStart"/>
      <w:r w:rsidRPr="00B750EA">
        <w:rPr>
          <w:color w:val="auto"/>
          <w:lang w:val="es-ES"/>
        </w:rPr>
        <w:t>gemcitabina</w:t>
      </w:r>
      <w:proofErr w:type="spellEnd"/>
      <w:r w:rsidRPr="00B750EA">
        <w:rPr>
          <w:color w:val="auto"/>
          <w:lang w:val="es-ES"/>
        </w:rPr>
        <w:t xml:space="preserve"> controlado frente a placebo, cisplatino y </w:t>
      </w:r>
      <w:proofErr w:type="spellStart"/>
      <w:r w:rsidRPr="00B750EA">
        <w:rPr>
          <w:color w:val="auto"/>
          <w:lang w:val="es-ES"/>
        </w:rPr>
        <w:t>gemcitabina</w:t>
      </w:r>
      <w:proofErr w:type="spellEnd"/>
      <w:r w:rsidRPr="00B750EA">
        <w:rPr>
          <w:color w:val="auto"/>
          <w:lang w:val="es-ES"/>
        </w:rPr>
        <w:t xml:space="preserve"> se incluyeron pacientes con CPNM localmente avanzado (estadio III</w:t>
      </w:r>
      <w:r w:rsidR="00987B7D" w:rsidRPr="00B750EA">
        <w:rPr>
          <w:color w:val="auto"/>
          <w:lang w:val="es-ES"/>
        </w:rPr>
        <w:t>B</w:t>
      </w:r>
      <w:r w:rsidRPr="00B750EA">
        <w:rPr>
          <w:color w:val="auto"/>
          <w:lang w:val="es-ES"/>
        </w:rPr>
        <w:t xml:space="preserve"> con metástasis de ganglios linfáticos supraclaviculares o con derrame pericárdico o pleural maligno), metastásico o recidivante con un tipo histológico sin predominio de células escamosas, que no habían recibido quimioterapia previa. La variable principal de eficacia fue la supervivencia libre de progresión, las variables secundarias del ensayo incluyeron la duración de la supervivencia global.</w:t>
      </w:r>
    </w:p>
    <w:p w14:paraId="3E507341" w14:textId="77777777" w:rsidR="00FB24C0" w:rsidRPr="00B750EA" w:rsidRDefault="00FB24C0" w:rsidP="00FB24C0">
      <w:pPr>
        <w:spacing w:after="0" w:line="240" w:lineRule="auto"/>
        <w:ind w:left="0" w:firstLine="0"/>
        <w:rPr>
          <w:color w:val="auto"/>
          <w:lang w:val="es-ES"/>
        </w:rPr>
      </w:pPr>
    </w:p>
    <w:p w14:paraId="2F626A98" w14:textId="7206AABB" w:rsidR="00FB24C0" w:rsidRPr="00B750EA" w:rsidRDefault="00FB24C0" w:rsidP="00FB24C0">
      <w:pPr>
        <w:spacing w:after="0" w:line="240" w:lineRule="auto"/>
        <w:ind w:left="0" w:firstLine="0"/>
        <w:rPr>
          <w:color w:val="auto"/>
          <w:lang w:val="es-ES"/>
        </w:rPr>
      </w:pPr>
      <w:r w:rsidRPr="00B750EA">
        <w:rPr>
          <w:color w:val="auto"/>
          <w:lang w:val="es-ES"/>
        </w:rPr>
        <w:t>Los pacientes fueron aleatorizados para la quimioterapia basada en platino, perfusión intravenosa de</w:t>
      </w:r>
      <w:r w:rsidR="00597371" w:rsidRPr="00B750EA">
        <w:rPr>
          <w:color w:val="auto"/>
          <w:lang w:val="es-ES"/>
        </w:rPr>
        <w:t xml:space="preserve"> </w:t>
      </w:r>
      <w:r w:rsidRPr="00B750EA">
        <w:rPr>
          <w:color w:val="auto"/>
          <w:lang w:val="es-ES"/>
        </w:rPr>
        <w:t>80 mg/m</w:t>
      </w:r>
      <w:r w:rsidRPr="00B750EA">
        <w:rPr>
          <w:color w:val="auto"/>
          <w:vertAlign w:val="superscript"/>
          <w:lang w:val="es-ES"/>
        </w:rPr>
        <w:t>2</w:t>
      </w:r>
      <w:r w:rsidRPr="00B750EA">
        <w:rPr>
          <w:color w:val="auto"/>
          <w:lang w:val="es-ES"/>
        </w:rPr>
        <w:t xml:space="preserve"> de cisplatino en el día 1 y perfusión intravenosa de 1.250 mg/m</w:t>
      </w:r>
      <w:r w:rsidRPr="00B750EA">
        <w:rPr>
          <w:color w:val="auto"/>
          <w:vertAlign w:val="superscript"/>
          <w:lang w:val="es-ES"/>
        </w:rPr>
        <w:t>2</w:t>
      </w:r>
      <w:r w:rsidRPr="00B750EA">
        <w:rPr>
          <w:color w:val="auto"/>
          <w:lang w:val="es-ES"/>
        </w:rPr>
        <w:t xml:space="preserve"> de </w:t>
      </w:r>
      <w:proofErr w:type="spellStart"/>
      <w:r w:rsidRPr="00B750EA">
        <w:rPr>
          <w:color w:val="auto"/>
          <w:lang w:val="es-ES"/>
        </w:rPr>
        <w:t>gemcitabina</w:t>
      </w:r>
      <w:proofErr w:type="spellEnd"/>
      <w:r w:rsidRPr="00B750EA">
        <w:rPr>
          <w:color w:val="auto"/>
          <w:lang w:val="es-ES"/>
        </w:rPr>
        <w:t xml:space="preserve"> en los días</w:t>
      </w:r>
      <w:r w:rsidR="00597371" w:rsidRPr="00B750EA">
        <w:rPr>
          <w:color w:val="auto"/>
          <w:lang w:val="es-ES"/>
        </w:rPr>
        <w:t xml:space="preserve"> </w:t>
      </w:r>
      <w:r w:rsidRPr="00B750EA">
        <w:rPr>
          <w:color w:val="auto"/>
          <w:lang w:val="es-ES"/>
        </w:rPr>
        <w:t>1 y 8 de cada ciclo de 3 semanas hasta 6 ciclos (CG)</w:t>
      </w:r>
      <w:r w:rsidR="00B50435">
        <w:rPr>
          <w:color w:val="auto"/>
          <w:lang w:val="es-ES"/>
        </w:rPr>
        <w:t xml:space="preserve"> con placebo</w:t>
      </w:r>
      <w:r w:rsidRPr="00B750EA">
        <w:rPr>
          <w:color w:val="auto"/>
          <w:lang w:val="es-ES"/>
        </w:rPr>
        <w:t xml:space="preserve"> o CG en combinación con </w:t>
      </w:r>
      <w:r w:rsidR="00635DED" w:rsidRPr="001919A9">
        <w:rPr>
          <w:lang w:val="es-ES"/>
        </w:rPr>
        <w:t>bevacizumab</w:t>
      </w:r>
      <w:r w:rsidRPr="00B750EA">
        <w:rPr>
          <w:color w:val="auto"/>
          <w:lang w:val="es-ES"/>
        </w:rPr>
        <w:t xml:space="preserve"> a una dosis de</w:t>
      </w:r>
      <w:r w:rsidRPr="00443040">
        <w:rPr>
          <w:color w:val="auto"/>
          <w:lang w:val="es-ES"/>
        </w:rPr>
        <w:t xml:space="preserve"> </w:t>
      </w:r>
      <w:r w:rsidRPr="00B750EA">
        <w:rPr>
          <w:color w:val="auto"/>
          <w:lang w:val="es-ES"/>
        </w:rPr>
        <w:t xml:space="preserve">7,5 o 15 mg/kg mediante perfusión IV el día 1 de cada ciclo de 3 semanas. En los brazos que contenían </w:t>
      </w:r>
      <w:r w:rsidR="00635DED" w:rsidRPr="001919A9">
        <w:rPr>
          <w:lang w:val="es-ES"/>
        </w:rPr>
        <w:t>bevacizumab</w:t>
      </w:r>
      <w:r w:rsidRPr="00B750EA">
        <w:rPr>
          <w:color w:val="auto"/>
          <w:lang w:val="es-ES"/>
        </w:rPr>
        <w:t xml:space="preserve">, los pacientes podían recibir </w:t>
      </w:r>
      <w:r w:rsidR="00635DED" w:rsidRPr="001919A9">
        <w:rPr>
          <w:lang w:val="es-ES"/>
        </w:rPr>
        <w:t>bevacizumab</w:t>
      </w:r>
      <w:r w:rsidRPr="00B750EA">
        <w:rPr>
          <w:color w:val="auto"/>
          <w:lang w:val="es-ES"/>
        </w:rPr>
        <w:t xml:space="preserve"> en monoterapia </w:t>
      </w:r>
      <w:r w:rsidRPr="00B750EA">
        <w:rPr>
          <w:color w:val="auto"/>
          <w:lang w:val="es-ES"/>
        </w:rPr>
        <w:lastRenderedPageBreak/>
        <w:t>una vez cada 3 semanas hasta la progresión de la enfermedad o hasta que la toxicidad no fuera tolerable. Los resultados del ensayo muestran que el 94% (277 / 296) de los pacientes incluidos seguían recibiendo bevacizumab en monoterapia en el ciclo 7. Una alta proporción de pacientes (aproximadamente el 62%) continuaron recibiendo diferentes terapias anticancerosas no especificadas en el protocolo, lo cual podría tener impacto en el análisis de la supervivencia global.</w:t>
      </w:r>
    </w:p>
    <w:p w14:paraId="6DA004DC" w14:textId="77777777" w:rsidR="00FB24C0" w:rsidRPr="00B750EA" w:rsidRDefault="00FB24C0" w:rsidP="00FB24C0">
      <w:pPr>
        <w:spacing w:after="0" w:line="240" w:lineRule="auto"/>
        <w:ind w:left="0" w:firstLine="0"/>
        <w:rPr>
          <w:color w:val="auto"/>
          <w:lang w:val="es-ES"/>
        </w:rPr>
      </w:pPr>
    </w:p>
    <w:p w14:paraId="2EE75C3E" w14:textId="55037ECF" w:rsidR="00FB24C0" w:rsidRPr="00B750EA" w:rsidRDefault="00FB24C0" w:rsidP="00FB24C0">
      <w:pPr>
        <w:spacing w:after="0" w:line="240" w:lineRule="auto"/>
        <w:ind w:left="0" w:firstLine="0"/>
        <w:rPr>
          <w:color w:val="auto"/>
          <w:lang w:val="es-ES"/>
        </w:rPr>
      </w:pPr>
      <w:r w:rsidRPr="00B750EA">
        <w:rPr>
          <w:color w:val="auto"/>
          <w:lang w:val="es-ES"/>
        </w:rPr>
        <w:t xml:space="preserve">Los resultados de eficacia se presentan en la </w:t>
      </w:r>
      <w:r w:rsidR="00471B84">
        <w:rPr>
          <w:color w:val="auto"/>
          <w:lang w:val="es-ES"/>
        </w:rPr>
        <w:t>t</w:t>
      </w:r>
      <w:r w:rsidRPr="00B750EA">
        <w:rPr>
          <w:color w:val="auto"/>
          <w:lang w:val="es-ES"/>
        </w:rPr>
        <w:t xml:space="preserve">abla </w:t>
      </w:r>
      <w:r w:rsidR="00980D6A" w:rsidRPr="00B750EA">
        <w:rPr>
          <w:color w:val="auto"/>
          <w:lang w:val="es-ES"/>
        </w:rPr>
        <w:t>1</w:t>
      </w:r>
      <w:r w:rsidR="007E0AEE">
        <w:rPr>
          <w:color w:val="auto"/>
          <w:lang w:val="es-ES"/>
        </w:rPr>
        <w:t>3</w:t>
      </w:r>
      <w:r w:rsidRPr="00B750EA">
        <w:rPr>
          <w:color w:val="auto"/>
          <w:lang w:val="es-ES"/>
        </w:rPr>
        <w:t>.</w:t>
      </w:r>
    </w:p>
    <w:p w14:paraId="7CCA74C9" w14:textId="77777777" w:rsidR="00FB24C0" w:rsidRPr="00B750EA" w:rsidRDefault="00FB24C0" w:rsidP="00FB24C0">
      <w:pPr>
        <w:spacing w:after="0" w:line="240" w:lineRule="auto"/>
        <w:ind w:left="0" w:firstLine="0"/>
        <w:rPr>
          <w:color w:val="auto"/>
          <w:lang w:val="es-ES"/>
        </w:rPr>
      </w:pPr>
    </w:p>
    <w:p w14:paraId="7DEF410C" w14:textId="20A0143C" w:rsidR="00FB24C0" w:rsidRPr="00B750EA" w:rsidRDefault="00FB24C0" w:rsidP="00597371">
      <w:pPr>
        <w:keepNext/>
        <w:spacing w:after="0" w:line="240" w:lineRule="auto"/>
        <w:ind w:left="0" w:firstLine="0"/>
        <w:rPr>
          <w:b/>
          <w:color w:val="auto"/>
          <w:lang w:val="es-ES"/>
        </w:rPr>
      </w:pPr>
      <w:r w:rsidRPr="00B750EA">
        <w:rPr>
          <w:b/>
          <w:color w:val="auto"/>
          <w:lang w:val="es-ES"/>
        </w:rPr>
        <w:t xml:space="preserve">Tabla </w:t>
      </w:r>
      <w:r w:rsidR="00980D6A" w:rsidRPr="00B750EA">
        <w:rPr>
          <w:b/>
          <w:color w:val="auto"/>
          <w:lang w:val="es-ES"/>
        </w:rPr>
        <w:t>1</w:t>
      </w:r>
      <w:r w:rsidR="007E0AEE">
        <w:rPr>
          <w:b/>
          <w:color w:val="auto"/>
          <w:lang w:val="es-ES"/>
        </w:rPr>
        <w:t>3</w:t>
      </w:r>
      <w:r w:rsidR="0004035A" w:rsidRPr="00B750EA">
        <w:rPr>
          <w:b/>
          <w:color w:val="auto"/>
          <w:lang w:val="es-ES"/>
        </w:rPr>
        <w:t>.</w:t>
      </w:r>
      <w:r w:rsidRPr="00B750EA">
        <w:rPr>
          <w:b/>
          <w:color w:val="auto"/>
          <w:lang w:val="es-ES"/>
        </w:rPr>
        <w:t xml:space="preserve"> Resultados de eficacia del ensayo BO17704</w:t>
      </w:r>
    </w:p>
    <w:p w14:paraId="5E9F5747" w14:textId="77777777" w:rsidR="00FB24C0" w:rsidRPr="00B750EA" w:rsidRDefault="00FB24C0" w:rsidP="00597371">
      <w:pPr>
        <w:keepNext/>
        <w:spacing w:after="0" w:line="240" w:lineRule="auto"/>
        <w:ind w:left="0" w:firstLine="0"/>
        <w:rPr>
          <w:color w:val="auto"/>
          <w:lang w:val="es-ES"/>
        </w:rPr>
      </w:pPr>
    </w:p>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 w:type="dxa"/>
          <w:left w:w="56" w:type="dxa"/>
          <w:bottom w:w="52" w:type="dxa"/>
          <w:right w:w="3" w:type="dxa"/>
        </w:tblCellMar>
        <w:tblLook w:val="04A0" w:firstRow="1" w:lastRow="0" w:firstColumn="1" w:lastColumn="0" w:noHBand="0" w:noVBand="1"/>
      </w:tblPr>
      <w:tblGrid>
        <w:gridCol w:w="3266"/>
        <w:gridCol w:w="1701"/>
        <w:gridCol w:w="1814"/>
        <w:gridCol w:w="2150"/>
      </w:tblGrid>
      <w:tr w:rsidR="00D445BE" w:rsidRPr="002C10E1" w14:paraId="38B341A8" w14:textId="77777777" w:rsidTr="00C33F4C">
        <w:trPr>
          <w:trHeight w:val="710"/>
          <w:tblHeader/>
        </w:trPr>
        <w:tc>
          <w:tcPr>
            <w:tcW w:w="3266" w:type="dxa"/>
            <w:vAlign w:val="bottom"/>
          </w:tcPr>
          <w:p w14:paraId="21E42A9E" w14:textId="77777777" w:rsidR="00FB24C0" w:rsidRPr="00C33F4C" w:rsidRDefault="00FB24C0" w:rsidP="00C33F4C">
            <w:pPr>
              <w:spacing w:after="0" w:line="240" w:lineRule="auto"/>
              <w:ind w:left="0" w:firstLine="0"/>
              <w:rPr>
                <w:b/>
                <w:color w:val="auto"/>
                <w:lang w:val="es-ES"/>
              </w:rPr>
            </w:pPr>
          </w:p>
        </w:tc>
        <w:tc>
          <w:tcPr>
            <w:tcW w:w="1701" w:type="dxa"/>
          </w:tcPr>
          <w:p w14:paraId="4943B17C" w14:textId="77777777" w:rsidR="0054617D" w:rsidRPr="00C33F4C" w:rsidRDefault="00FB24C0" w:rsidP="00C33F4C">
            <w:pPr>
              <w:spacing w:after="0" w:line="240" w:lineRule="auto"/>
              <w:ind w:left="0" w:firstLine="0"/>
              <w:jc w:val="center"/>
              <w:rPr>
                <w:b/>
                <w:color w:val="auto"/>
                <w:lang w:val="es-ES"/>
              </w:rPr>
            </w:pPr>
            <w:r w:rsidRPr="00C33F4C">
              <w:rPr>
                <w:b/>
                <w:color w:val="auto"/>
                <w:lang w:val="es-ES"/>
              </w:rPr>
              <w:t>Cisplatino/</w:t>
            </w:r>
          </w:p>
          <w:p w14:paraId="44FCC3D4" w14:textId="77777777" w:rsidR="00FB24C0" w:rsidRPr="00C33F4C" w:rsidRDefault="00FB24C0" w:rsidP="00C33F4C">
            <w:pPr>
              <w:spacing w:after="0" w:line="240" w:lineRule="auto"/>
              <w:ind w:left="0" w:firstLine="0"/>
              <w:jc w:val="center"/>
              <w:rPr>
                <w:b/>
                <w:color w:val="auto"/>
                <w:lang w:val="es-ES"/>
              </w:rPr>
            </w:pPr>
            <w:proofErr w:type="spellStart"/>
            <w:r w:rsidRPr="00C33F4C">
              <w:rPr>
                <w:b/>
                <w:color w:val="auto"/>
                <w:lang w:val="es-ES"/>
              </w:rPr>
              <w:t>Gemcitabina</w:t>
            </w:r>
            <w:proofErr w:type="spellEnd"/>
            <w:r w:rsidRPr="00C33F4C">
              <w:rPr>
                <w:b/>
                <w:color w:val="auto"/>
                <w:lang w:val="es-ES"/>
              </w:rPr>
              <w:t xml:space="preserve"> + Placebo</w:t>
            </w:r>
          </w:p>
        </w:tc>
        <w:tc>
          <w:tcPr>
            <w:tcW w:w="1814" w:type="dxa"/>
          </w:tcPr>
          <w:p w14:paraId="2FF1776E" w14:textId="77777777" w:rsidR="0054617D" w:rsidRPr="00C33F4C" w:rsidRDefault="00FB24C0" w:rsidP="00C33F4C">
            <w:pPr>
              <w:spacing w:after="0" w:line="240" w:lineRule="auto"/>
              <w:ind w:left="0" w:firstLine="0"/>
              <w:jc w:val="center"/>
              <w:rPr>
                <w:b/>
                <w:color w:val="auto"/>
                <w:lang w:val="es-ES"/>
              </w:rPr>
            </w:pPr>
            <w:r w:rsidRPr="00C33F4C">
              <w:rPr>
                <w:b/>
                <w:color w:val="auto"/>
                <w:lang w:val="es-ES"/>
              </w:rPr>
              <w:t>Cisplatino/</w:t>
            </w:r>
          </w:p>
          <w:p w14:paraId="5D7F8183" w14:textId="77777777" w:rsidR="0054617D" w:rsidRPr="00C33F4C" w:rsidRDefault="00FB24C0" w:rsidP="00C33F4C">
            <w:pPr>
              <w:spacing w:after="0" w:line="240" w:lineRule="auto"/>
              <w:ind w:left="0" w:firstLine="0"/>
              <w:jc w:val="center"/>
              <w:rPr>
                <w:b/>
                <w:color w:val="auto"/>
                <w:lang w:val="es-ES"/>
              </w:rPr>
            </w:pPr>
            <w:proofErr w:type="spellStart"/>
            <w:r w:rsidRPr="00C33F4C">
              <w:rPr>
                <w:b/>
                <w:color w:val="auto"/>
                <w:lang w:val="es-ES"/>
              </w:rPr>
              <w:t>Gemcitabina</w:t>
            </w:r>
            <w:proofErr w:type="spellEnd"/>
            <w:r w:rsidR="0054617D" w:rsidRPr="00C33F4C">
              <w:rPr>
                <w:b/>
                <w:color w:val="auto"/>
                <w:lang w:val="es-ES"/>
              </w:rPr>
              <w:t xml:space="preserve"> </w:t>
            </w:r>
            <w:r w:rsidRPr="00C33F4C">
              <w:rPr>
                <w:b/>
                <w:color w:val="auto"/>
                <w:lang w:val="es-ES"/>
              </w:rPr>
              <w:t xml:space="preserve">+ </w:t>
            </w:r>
            <w:r w:rsidR="00635DED" w:rsidRPr="00C33F4C">
              <w:rPr>
                <w:b/>
                <w:lang w:val="es-ES"/>
              </w:rPr>
              <w:t>bevacizumab</w:t>
            </w:r>
          </w:p>
          <w:p w14:paraId="7F987486" w14:textId="77777777" w:rsidR="00FB24C0" w:rsidRPr="00C33F4C" w:rsidRDefault="00FB24C0" w:rsidP="00C33F4C">
            <w:pPr>
              <w:spacing w:after="0" w:line="240" w:lineRule="auto"/>
              <w:ind w:left="0" w:firstLine="0"/>
              <w:jc w:val="center"/>
              <w:rPr>
                <w:b/>
                <w:color w:val="auto"/>
                <w:lang w:val="es-ES"/>
              </w:rPr>
            </w:pPr>
            <w:r w:rsidRPr="00C33F4C">
              <w:rPr>
                <w:b/>
                <w:color w:val="auto"/>
                <w:lang w:val="es-ES"/>
              </w:rPr>
              <w:t>7</w:t>
            </w:r>
            <w:r w:rsidR="00901678" w:rsidRPr="00C33F4C">
              <w:rPr>
                <w:b/>
                <w:color w:val="auto"/>
                <w:lang w:val="es-ES"/>
              </w:rPr>
              <w:t>,</w:t>
            </w:r>
            <w:r w:rsidRPr="00C33F4C">
              <w:rPr>
                <w:b/>
                <w:color w:val="auto"/>
                <w:lang w:val="es-ES"/>
              </w:rPr>
              <w:t>5</w:t>
            </w:r>
            <w:r w:rsidR="0094370F" w:rsidRPr="00C33F4C">
              <w:rPr>
                <w:b/>
                <w:color w:val="auto"/>
                <w:lang w:val="es-ES"/>
              </w:rPr>
              <w:t xml:space="preserve"> </w:t>
            </w:r>
            <w:r w:rsidRPr="00C33F4C">
              <w:rPr>
                <w:b/>
                <w:color w:val="auto"/>
                <w:lang w:val="es-ES"/>
              </w:rPr>
              <w:t>mg/kg cada 3 semanas</w:t>
            </w:r>
          </w:p>
        </w:tc>
        <w:tc>
          <w:tcPr>
            <w:tcW w:w="2150" w:type="dxa"/>
          </w:tcPr>
          <w:p w14:paraId="16BB3523" w14:textId="77777777" w:rsidR="0054617D" w:rsidRPr="00C33F4C" w:rsidRDefault="00FB24C0" w:rsidP="00C33F4C">
            <w:pPr>
              <w:spacing w:after="0" w:line="240" w:lineRule="auto"/>
              <w:ind w:left="0" w:firstLine="0"/>
              <w:jc w:val="center"/>
              <w:rPr>
                <w:b/>
                <w:color w:val="auto"/>
                <w:lang w:val="es-ES"/>
              </w:rPr>
            </w:pPr>
            <w:r w:rsidRPr="00C33F4C">
              <w:rPr>
                <w:b/>
                <w:color w:val="auto"/>
                <w:lang w:val="es-ES"/>
              </w:rPr>
              <w:t>Cisplatino/</w:t>
            </w:r>
          </w:p>
          <w:p w14:paraId="26F24E51" w14:textId="77777777" w:rsidR="00FB24C0" w:rsidRPr="00C33F4C" w:rsidRDefault="00FB24C0" w:rsidP="00C33F4C">
            <w:pPr>
              <w:spacing w:after="0" w:line="240" w:lineRule="auto"/>
              <w:ind w:left="0" w:firstLine="0"/>
              <w:jc w:val="center"/>
              <w:rPr>
                <w:b/>
                <w:color w:val="auto"/>
                <w:lang w:val="es-ES"/>
              </w:rPr>
            </w:pPr>
            <w:proofErr w:type="spellStart"/>
            <w:r w:rsidRPr="00C33F4C">
              <w:rPr>
                <w:b/>
                <w:color w:val="auto"/>
                <w:lang w:val="es-ES"/>
              </w:rPr>
              <w:t>Gemcitabina</w:t>
            </w:r>
            <w:proofErr w:type="spellEnd"/>
            <w:r w:rsidR="0054617D" w:rsidRPr="00C33F4C">
              <w:rPr>
                <w:b/>
                <w:color w:val="auto"/>
                <w:lang w:val="es-ES"/>
              </w:rPr>
              <w:t xml:space="preserve"> </w:t>
            </w:r>
            <w:r w:rsidR="0094370F" w:rsidRPr="00C33F4C">
              <w:rPr>
                <w:b/>
                <w:color w:val="auto"/>
                <w:lang w:val="es-ES"/>
              </w:rPr>
              <w:t xml:space="preserve">+ </w:t>
            </w:r>
            <w:r w:rsidR="00635DED" w:rsidRPr="00C33F4C">
              <w:rPr>
                <w:b/>
                <w:lang w:val="es-ES"/>
              </w:rPr>
              <w:t>bevacizumab</w:t>
            </w:r>
            <w:r w:rsidR="0094370F" w:rsidRPr="00C33F4C">
              <w:rPr>
                <w:b/>
                <w:color w:val="auto"/>
                <w:lang w:val="es-ES"/>
              </w:rPr>
              <w:t xml:space="preserve"> 15 </w:t>
            </w:r>
            <w:r w:rsidRPr="00C33F4C">
              <w:rPr>
                <w:b/>
                <w:color w:val="auto"/>
                <w:lang w:val="es-ES"/>
              </w:rPr>
              <w:t>mg/kg cada 3 semanas</w:t>
            </w:r>
          </w:p>
        </w:tc>
      </w:tr>
      <w:tr w:rsidR="00D445BE" w:rsidRPr="00F63165" w14:paraId="72E16FD0" w14:textId="77777777" w:rsidTr="00C33F4C">
        <w:trPr>
          <w:trHeight w:val="234"/>
        </w:trPr>
        <w:tc>
          <w:tcPr>
            <w:tcW w:w="3266" w:type="dxa"/>
            <w:tcBorders>
              <w:bottom w:val="single" w:sz="4" w:space="0" w:color="auto"/>
            </w:tcBorders>
          </w:tcPr>
          <w:p w14:paraId="4FEAA7C4" w14:textId="77777777" w:rsidR="00FB24C0" w:rsidRPr="00C33F4C" w:rsidRDefault="00FB24C0" w:rsidP="00C33F4C">
            <w:pPr>
              <w:spacing w:after="0" w:line="240" w:lineRule="auto"/>
              <w:ind w:left="0" w:firstLine="0"/>
              <w:rPr>
                <w:color w:val="auto"/>
                <w:lang w:val="es-ES"/>
              </w:rPr>
            </w:pPr>
            <w:r w:rsidRPr="00C33F4C">
              <w:rPr>
                <w:color w:val="auto"/>
                <w:lang w:val="es-ES"/>
              </w:rPr>
              <w:t xml:space="preserve">Número de pacientes </w:t>
            </w:r>
          </w:p>
        </w:tc>
        <w:tc>
          <w:tcPr>
            <w:tcW w:w="1701" w:type="dxa"/>
            <w:tcBorders>
              <w:bottom w:val="single" w:sz="4" w:space="0" w:color="auto"/>
            </w:tcBorders>
            <w:vAlign w:val="bottom"/>
          </w:tcPr>
          <w:p w14:paraId="7832ECF5"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347</w:t>
            </w:r>
          </w:p>
        </w:tc>
        <w:tc>
          <w:tcPr>
            <w:tcW w:w="1814" w:type="dxa"/>
            <w:tcBorders>
              <w:bottom w:val="single" w:sz="4" w:space="0" w:color="auto"/>
            </w:tcBorders>
            <w:vAlign w:val="bottom"/>
          </w:tcPr>
          <w:p w14:paraId="54B95C47"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345</w:t>
            </w:r>
          </w:p>
        </w:tc>
        <w:tc>
          <w:tcPr>
            <w:tcW w:w="2150" w:type="dxa"/>
            <w:tcBorders>
              <w:bottom w:val="single" w:sz="4" w:space="0" w:color="auto"/>
            </w:tcBorders>
            <w:vAlign w:val="bottom"/>
          </w:tcPr>
          <w:p w14:paraId="6615F193"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351</w:t>
            </w:r>
          </w:p>
        </w:tc>
      </w:tr>
      <w:tr w:rsidR="00D445BE" w:rsidRPr="00F63165" w14:paraId="64DE1961" w14:textId="77777777" w:rsidTr="00C33F4C">
        <w:trPr>
          <w:trHeight w:val="337"/>
        </w:trPr>
        <w:tc>
          <w:tcPr>
            <w:tcW w:w="3266" w:type="dxa"/>
            <w:tcBorders>
              <w:bottom w:val="nil"/>
            </w:tcBorders>
          </w:tcPr>
          <w:p w14:paraId="4D8B6F7B" w14:textId="77777777" w:rsidR="00FB24C0" w:rsidRPr="00C33F4C" w:rsidRDefault="00FB24C0" w:rsidP="00C33F4C">
            <w:pPr>
              <w:spacing w:after="0" w:line="240" w:lineRule="auto"/>
              <w:ind w:left="0" w:firstLine="0"/>
              <w:rPr>
                <w:color w:val="auto"/>
                <w:lang w:val="es-ES"/>
              </w:rPr>
            </w:pPr>
            <w:r w:rsidRPr="00C33F4C">
              <w:rPr>
                <w:color w:val="auto"/>
                <w:lang w:val="es-ES"/>
              </w:rPr>
              <w:t>Supervivencia libre de progresión</w:t>
            </w:r>
          </w:p>
        </w:tc>
        <w:tc>
          <w:tcPr>
            <w:tcW w:w="1701" w:type="dxa"/>
            <w:tcBorders>
              <w:bottom w:val="nil"/>
            </w:tcBorders>
          </w:tcPr>
          <w:p w14:paraId="79409154" w14:textId="77777777" w:rsidR="00FB24C0" w:rsidRPr="00C33F4C" w:rsidRDefault="00FB24C0" w:rsidP="00C33F4C">
            <w:pPr>
              <w:spacing w:after="0" w:line="240" w:lineRule="auto"/>
              <w:ind w:left="0" w:firstLine="0"/>
              <w:jc w:val="center"/>
              <w:rPr>
                <w:color w:val="auto"/>
                <w:lang w:val="es-ES"/>
              </w:rPr>
            </w:pPr>
          </w:p>
        </w:tc>
        <w:tc>
          <w:tcPr>
            <w:tcW w:w="1814" w:type="dxa"/>
            <w:tcBorders>
              <w:bottom w:val="nil"/>
            </w:tcBorders>
          </w:tcPr>
          <w:p w14:paraId="3D1446F1" w14:textId="77777777" w:rsidR="00FB24C0" w:rsidRPr="00C33F4C" w:rsidRDefault="00FB24C0" w:rsidP="00C33F4C">
            <w:pPr>
              <w:spacing w:after="0" w:line="240" w:lineRule="auto"/>
              <w:ind w:left="0" w:firstLine="0"/>
              <w:jc w:val="center"/>
              <w:rPr>
                <w:color w:val="auto"/>
                <w:lang w:val="es-ES"/>
              </w:rPr>
            </w:pPr>
          </w:p>
        </w:tc>
        <w:tc>
          <w:tcPr>
            <w:tcW w:w="2150" w:type="dxa"/>
            <w:tcBorders>
              <w:bottom w:val="nil"/>
            </w:tcBorders>
          </w:tcPr>
          <w:p w14:paraId="4DF2561B" w14:textId="77777777" w:rsidR="00FB24C0" w:rsidRPr="00C33F4C" w:rsidRDefault="00FB24C0" w:rsidP="00C33F4C">
            <w:pPr>
              <w:spacing w:after="0" w:line="240" w:lineRule="auto"/>
              <w:ind w:left="0" w:firstLine="0"/>
              <w:jc w:val="center"/>
              <w:rPr>
                <w:color w:val="auto"/>
                <w:lang w:val="es-ES"/>
              </w:rPr>
            </w:pPr>
          </w:p>
        </w:tc>
      </w:tr>
      <w:tr w:rsidR="00D445BE" w:rsidRPr="00F63165" w14:paraId="6AC5C98F" w14:textId="77777777" w:rsidTr="00C33F4C">
        <w:trPr>
          <w:trHeight w:val="655"/>
        </w:trPr>
        <w:tc>
          <w:tcPr>
            <w:tcW w:w="3266" w:type="dxa"/>
            <w:tcBorders>
              <w:top w:val="nil"/>
              <w:bottom w:val="single" w:sz="4" w:space="0" w:color="auto"/>
            </w:tcBorders>
          </w:tcPr>
          <w:p w14:paraId="37809AB2" w14:textId="77777777" w:rsidR="0054617D" w:rsidRPr="00C33F4C" w:rsidRDefault="0054617D" w:rsidP="00C33F4C">
            <w:pPr>
              <w:spacing w:after="0" w:line="240" w:lineRule="auto"/>
              <w:ind w:left="0"/>
              <w:jc w:val="center"/>
              <w:rPr>
                <w:color w:val="auto"/>
                <w:lang w:val="es-ES"/>
              </w:rPr>
            </w:pPr>
            <w:r w:rsidRPr="00C33F4C">
              <w:rPr>
                <w:color w:val="auto"/>
                <w:lang w:val="es-ES"/>
              </w:rPr>
              <w:t>Mediana del tiempo (meses)</w:t>
            </w:r>
          </w:p>
        </w:tc>
        <w:tc>
          <w:tcPr>
            <w:tcW w:w="1701" w:type="dxa"/>
            <w:tcBorders>
              <w:top w:val="nil"/>
              <w:bottom w:val="single" w:sz="4" w:space="0" w:color="auto"/>
            </w:tcBorders>
          </w:tcPr>
          <w:p w14:paraId="5BBB6D30" w14:textId="77777777" w:rsidR="0054617D" w:rsidRPr="00C33F4C" w:rsidRDefault="0054617D" w:rsidP="00C33F4C">
            <w:pPr>
              <w:spacing w:after="0" w:line="240" w:lineRule="auto"/>
              <w:ind w:left="0"/>
              <w:jc w:val="center"/>
              <w:rPr>
                <w:color w:val="auto"/>
                <w:lang w:val="es-ES"/>
              </w:rPr>
            </w:pPr>
            <w:r w:rsidRPr="00C33F4C">
              <w:rPr>
                <w:color w:val="auto"/>
                <w:lang w:val="es-ES"/>
              </w:rPr>
              <w:t>6,1</w:t>
            </w:r>
          </w:p>
        </w:tc>
        <w:tc>
          <w:tcPr>
            <w:tcW w:w="1814" w:type="dxa"/>
            <w:tcBorders>
              <w:top w:val="nil"/>
              <w:bottom w:val="single" w:sz="4" w:space="0" w:color="auto"/>
            </w:tcBorders>
          </w:tcPr>
          <w:p w14:paraId="4058B210" w14:textId="77777777" w:rsidR="0054617D" w:rsidRPr="00C33F4C" w:rsidRDefault="0054617D" w:rsidP="00C33F4C">
            <w:pPr>
              <w:spacing w:after="0" w:line="240" w:lineRule="auto"/>
              <w:ind w:left="0" w:firstLine="0"/>
              <w:jc w:val="center"/>
              <w:rPr>
                <w:color w:val="auto"/>
                <w:lang w:val="es-ES"/>
              </w:rPr>
            </w:pPr>
            <w:r w:rsidRPr="00C33F4C">
              <w:rPr>
                <w:color w:val="auto"/>
                <w:lang w:val="es-ES"/>
              </w:rPr>
              <w:t>6,7</w:t>
            </w:r>
          </w:p>
          <w:p w14:paraId="25B3F1AC" w14:textId="2A99C732" w:rsidR="0054617D" w:rsidRPr="00C33F4C" w:rsidRDefault="0054617D" w:rsidP="00C33F4C">
            <w:pPr>
              <w:spacing w:after="0" w:line="240" w:lineRule="auto"/>
              <w:ind w:left="0"/>
              <w:jc w:val="center"/>
              <w:rPr>
                <w:color w:val="auto"/>
                <w:lang w:val="es-ES"/>
              </w:rPr>
            </w:pPr>
            <w:r w:rsidRPr="00C33F4C">
              <w:rPr>
                <w:color w:val="auto"/>
                <w:lang w:val="es-ES"/>
              </w:rPr>
              <w:t>(p</w:t>
            </w:r>
            <w:r w:rsidR="003032FF" w:rsidRPr="00E30038">
              <w:t> </w:t>
            </w:r>
            <w:r w:rsidRPr="00C33F4C">
              <w:rPr>
                <w:color w:val="auto"/>
                <w:lang w:val="es-ES"/>
              </w:rPr>
              <w:t>=</w:t>
            </w:r>
            <w:r w:rsidR="003032FF" w:rsidRPr="00E30038">
              <w:t> </w:t>
            </w:r>
            <w:r w:rsidRPr="00C33F4C">
              <w:rPr>
                <w:color w:val="auto"/>
                <w:lang w:val="es-ES"/>
              </w:rPr>
              <w:t>0,0026)</w:t>
            </w:r>
          </w:p>
        </w:tc>
        <w:tc>
          <w:tcPr>
            <w:tcW w:w="2150" w:type="dxa"/>
            <w:tcBorders>
              <w:top w:val="nil"/>
              <w:bottom w:val="single" w:sz="4" w:space="0" w:color="auto"/>
            </w:tcBorders>
          </w:tcPr>
          <w:p w14:paraId="034B0F82" w14:textId="77777777" w:rsidR="0054617D" w:rsidRPr="00C33F4C" w:rsidRDefault="0054617D" w:rsidP="00C33F4C">
            <w:pPr>
              <w:spacing w:after="0" w:line="240" w:lineRule="auto"/>
              <w:ind w:left="0" w:firstLine="0"/>
              <w:jc w:val="center"/>
              <w:rPr>
                <w:color w:val="auto"/>
                <w:lang w:val="es-ES"/>
              </w:rPr>
            </w:pPr>
            <w:r w:rsidRPr="00C33F4C">
              <w:rPr>
                <w:color w:val="auto"/>
                <w:lang w:val="es-ES"/>
              </w:rPr>
              <w:t>6,5</w:t>
            </w:r>
          </w:p>
          <w:p w14:paraId="719E8E4B" w14:textId="687B9597" w:rsidR="0054617D" w:rsidRPr="00C33F4C" w:rsidRDefault="0054617D" w:rsidP="00C33F4C">
            <w:pPr>
              <w:spacing w:after="0" w:line="240" w:lineRule="auto"/>
              <w:ind w:left="0"/>
              <w:jc w:val="center"/>
              <w:rPr>
                <w:color w:val="auto"/>
                <w:lang w:val="es-ES"/>
              </w:rPr>
            </w:pPr>
            <w:r w:rsidRPr="00C33F4C">
              <w:rPr>
                <w:color w:val="auto"/>
                <w:lang w:val="es-ES"/>
              </w:rPr>
              <w:t>(p</w:t>
            </w:r>
            <w:r w:rsidR="003032FF" w:rsidRPr="00E30038">
              <w:t> </w:t>
            </w:r>
            <w:r w:rsidRPr="00C33F4C">
              <w:rPr>
                <w:color w:val="auto"/>
                <w:lang w:val="es-ES"/>
              </w:rPr>
              <w:t>=</w:t>
            </w:r>
            <w:r w:rsidR="003032FF" w:rsidRPr="00E30038">
              <w:t> </w:t>
            </w:r>
            <w:r w:rsidRPr="00C33F4C">
              <w:rPr>
                <w:color w:val="auto"/>
                <w:lang w:val="es-ES"/>
              </w:rPr>
              <w:t>0,0301)</w:t>
            </w:r>
          </w:p>
        </w:tc>
      </w:tr>
      <w:tr w:rsidR="00D445BE" w:rsidRPr="00F63165" w14:paraId="7B1E8B50" w14:textId="77777777" w:rsidTr="00C33F4C">
        <w:trPr>
          <w:trHeight w:val="417"/>
        </w:trPr>
        <w:tc>
          <w:tcPr>
            <w:tcW w:w="3266" w:type="dxa"/>
            <w:tcBorders>
              <w:top w:val="single" w:sz="4" w:space="0" w:color="auto"/>
            </w:tcBorders>
          </w:tcPr>
          <w:p w14:paraId="40D25C86" w14:textId="77777777" w:rsidR="00FB24C0" w:rsidRPr="00C33F4C" w:rsidRDefault="00FB24C0" w:rsidP="00C33F4C">
            <w:pPr>
              <w:spacing w:after="0" w:line="240" w:lineRule="auto"/>
              <w:ind w:left="170" w:firstLine="0"/>
              <w:jc w:val="center"/>
              <w:rPr>
                <w:color w:val="auto"/>
                <w:lang w:val="es-ES"/>
              </w:rPr>
            </w:pPr>
            <w:r w:rsidRPr="00C33F4C">
              <w:rPr>
                <w:color w:val="auto"/>
                <w:lang w:val="es-ES"/>
              </w:rPr>
              <w:t>Razón de riesgo (Hazard Ratio)</w:t>
            </w:r>
          </w:p>
        </w:tc>
        <w:tc>
          <w:tcPr>
            <w:tcW w:w="1701" w:type="dxa"/>
            <w:tcBorders>
              <w:top w:val="single" w:sz="4" w:space="0" w:color="auto"/>
            </w:tcBorders>
          </w:tcPr>
          <w:p w14:paraId="613457F8" w14:textId="77777777" w:rsidR="00FB24C0" w:rsidRPr="00C33F4C" w:rsidRDefault="00FB24C0" w:rsidP="00C33F4C">
            <w:pPr>
              <w:spacing w:after="0" w:line="240" w:lineRule="auto"/>
              <w:ind w:left="0" w:firstLine="0"/>
              <w:jc w:val="center"/>
              <w:rPr>
                <w:color w:val="auto"/>
                <w:lang w:val="es-ES"/>
              </w:rPr>
            </w:pPr>
          </w:p>
        </w:tc>
        <w:tc>
          <w:tcPr>
            <w:tcW w:w="1814" w:type="dxa"/>
            <w:tcBorders>
              <w:top w:val="single" w:sz="4" w:space="0" w:color="auto"/>
            </w:tcBorders>
          </w:tcPr>
          <w:p w14:paraId="301FB663"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0,75</w:t>
            </w:r>
          </w:p>
          <w:p w14:paraId="4BA4C004"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[0,62; 0,91]</w:t>
            </w:r>
          </w:p>
        </w:tc>
        <w:tc>
          <w:tcPr>
            <w:tcW w:w="2150" w:type="dxa"/>
            <w:tcBorders>
              <w:top w:val="single" w:sz="4" w:space="0" w:color="auto"/>
            </w:tcBorders>
          </w:tcPr>
          <w:p w14:paraId="0A67414F"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0,82</w:t>
            </w:r>
          </w:p>
          <w:p w14:paraId="36411DBC"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[0,68; 0,98]</w:t>
            </w:r>
          </w:p>
        </w:tc>
      </w:tr>
      <w:tr w:rsidR="00D445BE" w:rsidRPr="00F63165" w14:paraId="6264881A" w14:textId="77777777" w:rsidTr="00C33F4C">
        <w:trPr>
          <w:trHeight w:val="501"/>
        </w:trPr>
        <w:tc>
          <w:tcPr>
            <w:tcW w:w="3266" w:type="dxa"/>
            <w:vAlign w:val="bottom"/>
          </w:tcPr>
          <w:p w14:paraId="5DD369FB" w14:textId="77777777" w:rsidR="00FB24C0" w:rsidRPr="00C33F4C" w:rsidRDefault="00FB24C0" w:rsidP="00C33F4C">
            <w:pPr>
              <w:spacing w:after="0" w:line="240" w:lineRule="auto"/>
              <w:ind w:left="0" w:firstLine="0"/>
              <w:rPr>
                <w:color w:val="auto"/>
                <w:lang w:val="es-ES"/>
              </w:rPr>
            </w:pPr>
            <w:r w:rsidRPr="00C33F4C">
              <w:rPr>
                <w:color w:val="auto"/>
                <w:lang w:val="es-ES"/>
              </w:rPr>
              <w:t xml:space="preserve">Tasa de mejor respuesta </w:t>
            </w:r>
            <w:proofErr w:type="spellStart"/>
            <w:r w:rsidRPr="00C33F4C">
              <w:rPr>
                <w:color w:val="auto"/>
                <w:lang w:val="es-ES"/>
              </w:rPr>
              <w:t>global</w:t>
            </w:r>
            <w:r w:rsidRPr="00C33F4C">
              <w:rPr>
                <w:color w:val="auto"/>
                <w:vertAlign w:val="superscript"/>
                <w:lang w:val="es-ES"/>
              </w:rPr>
              <w:t>a</w:t>
            </w:r>
            <w:proofErr w:type="spellEnd"/>
            <w:r w:rsidRPr="00C33F4C">
              <w:rPr>
                <w:color w:val="auto"/>
                <w:lang w:val="es-ES"/>
              </w:rPr>
              <w:t xml:space="preserve"> </w:t>
            </w:r>
          </w:p>
        </w:tc>
        <w:tc>
          <w:tcPr>
            <w:tcW w:w="1701" w:type="dxa"/>
          </w:tcPr>
          <w:p w14:paraId="1295AE02"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20,1%</w:t>
            </w:r>
          </w:p>
        </w:tc>
        <w:tc>
          <w:tcPr>
            <w:tcW w:w="1814" w:type="dxa"/>
          </w:tcPr>
          <w:p w14:paraId="134144D1" w14:textId="77777777" w:rsidR="001C4DDA" w:rsidRPr="00C33F4C" w:rsidRDefault="00FB24C0" w:rsidP="00C33F4C">
            <w:pPr>
              <w:spacing w:after="0" w:line="240" w:lineRule="auto"/>
              <w:ind w:left="0" w:firstLine="0"/>
              <w:jc w:val="center"/>
              <w:rPr>
                <w:color w:val="auto"/>
                <w:lang w:val="es-ES"/>
              </w:rPr>
            </w:pPr>
            <w:r w:rsidRPr="00C33F4C">
              <w:rPr>
                <w:color w:val="auto"/>
                <w:lang w:val="es-ES"/>
              </w:rPr>
              <w:t>34,1%</w:t>
            </w:r>
          </w:p>
          <w:p w14:paraId="49F9C158"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(p</w:t>
            </w:r>
            <w:r w:rsidR="00A46A8A" w:rsidRPr="00E30038">
              <w:t> </w:t>
            </w:r>
            <w:r w:rsidRPr="00C33F4C">
              <w:rPr>
                <w:color w:val="auto"/>
                <w:lang w:val="es-ES"/>
              </w:rPr>
              <w:t>&lt;</w:t>
            </w:r>
            <w:r w:rsidR="00A46A8A" w:rsidRPr="00E30038">
              <w:t> </w:t>
            </w:r>
            <w:r w:rsidRPr="00C33F4C">
              <w:rPr>
                <w:color w:val="auto"/>
                <w:lang w:val="es-ES"/>
              </w:rPr>
              <w:t>0,0001)</w:t>
            </w:r>
          </w:p>
        </w:tc>
        <w:tc>
          <w:tcPr>
            <w:tcW w:w="2150" w:type="dxa"/>
          </w:tcPr>
          <w:p w14:paraId="0D7B2862" w14:textId="77777777" w:rsidR="001C4DDA" w:rsidRPr="00C33F4C" w:rsidRDefault="001C4DDA" w:rsidP="00C33F4C">
            <w:pPr>
              <w:spacing w:after="0" w:line="240" w:lineRule="auto"/>
              <w:ind w:left="0" w:firstLine="0"/>
              <w:jc w:val="center"/>
              <w:rPr>
                <w:color w:val="auto"/>
                <w:lang w:val="es-ES"/>
              </w:rPr>
            </w:pPr>
            <w:r w:rsidRPr="00C33F4C">
              <w:rPr>
                <w:color w:val="auto"/>
                <w:lang w:val="es-ES"/>
              </w:rPr>
              <w:t>30,4%</w:t>
            </w:r>
          </w:p>
          <w:p w14:paraId="48C90228" w14:textId="6826A62F" w:rsidR="00FB24C0" w:rsidRPr="00C33F4C" w:rsidRDefault="00FB24C0" w:rsidP="00C33F4C">
            <w:pPr>
              <w:spacing w:after="0" w:line="240" w:lineRule="auto"/>
              <w:ind w:left="0" w:firstLine="0"/>
              <w:jc w:val="center"/>
              <w:rPr>
                <w:color w:val="auto"/>
                <w:lang w:val="es-ES"/>
              </w:rPr>
            </w:pPr>
            <w:r w:rsidRPr="00C33F4C">
              <w:rPr>
                <w:color w:val="auto"/>
                <w:lang w:val="es-ES"/>
              </w:rPr>
              <w:t>(p</w:t>
            </w:r>
            <w:r w:rsidR="003032FF" w:rsidRPr="00E30038">
              <w:t> </w:t>
            </w:r>
            <w:r w:rsidRPr="00C33F4C">
              <w:rPr>
                <w:color w:val="auto"/>
                <w:lang w:val="es-ES"/>
              </w:rPr>
              <w:t>=</w:t>
            </w:r>
            <w:r w:rsidR="003032FF" w:rsidRPr="00E30038">
              <w:t> </w:t>
            </w:r>
            <w:r w:rsidRPr="00C33F4C">
              <w:rPr>
                <w:color w:val="auto"/>
                <w:lang w:val="es-ES"/>
              </w:rPr>
              <w:t>0,0023)</w:t>
            </w:r>
          </w:p>
        </w:tc>
      </w:tr>
    </w:tbl>
    <w:p w14:paraId="45C649E7" w14:textId="77777777" w:rsidR="00FB24C0" w:rsidRPr="00443040" w:rsidRDefault="00FB24C0" w:rsidP="00FB24C0">
      <w:pPr>
        <w:spacing w:after="0" w:line="240" w:lineRule="auto"/>
        <w:ind w:left="567" w:hanging="567"/>
        <w:rPr>
          <w:color w:val="auto"/>
          <w:sz w:val="20"/>
          <w:lang w:val="es-ES"/>
        </w:rPr>
      </w:pPr>
      <w:r w:rsidRPr="00443040">
        <w:rPr>
          <w:color w:val="auto"/>
          <w:sz w:val="20"/>
          <w:vertAlign w:val="superscript"/>
          <w:lang w:val="es-ES"/>
        </w:rPr>
        <w:t>a</w:t>
      </w:r>
      <w:r w:rsidRPr="00443040">
        <w:rPr>
          <w:color w:val="auto"/>
          <w:sz w:val="20"/>
          <w:lang w:val="es-ES"/>
        </w:rPr>
        <w:tab/>
        <w:t>Pacientes con enfermedad diagnosticable al inicio</w:t>
      </w:r>
      <w:r w:rsidR="0004035A">
        <w:rPr>
          <w:color w:val="auto"/>
          <w:sz w:val="20"/>
          <w:lang w:val="es-ES"/>
        </w:rPr>
        <w:t>.</w:t>
      </w:r>
    </w:p>
    <w:p w14:paraId="630DF171" w14:textId="77777777" w:rsidR="00FB24C0" w:rsidRPr="00443040" w:rsidRDefault="00FB24C0" w:rsidP="00FB24C0">
      <w:pPr>
        <w:spacing w:after="0" w:line="240" w:lineRule="auto"/>
        <w:ind w:left="0" w:firstLine="0"/>
        <w:rPr>
          <w:color w:val="auto"/>
          <w:lang w:val="es-ES"/>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405"/>
        <w:gridCol w:w="2307"/>
        <w:gridCol w:w="2307"/>
        <w:gridCol w:w="1912"/>
      </w:tblGrid>
      <w:tr w:rsidR="00772C3C" w:rsidRPr="00E30038" w14:paraId="42A0C5B4" w14:textId="77777777" w:rsidTr="00772C3C">
        <w:trPr>
          <w:trHeight w:val="300"/>
        </w:trPr>
        <w:tc>
          <w:tcPr>
            <w:tcW w:w="8931" w:type="dxa"/>
            <w:gridSpan w:val="4"/>
            <w:noWrap/>
            <w:vAlign w:val="bottom"/>
          </w:tcPr>
          <w:p w14:paraId="28F463AE" w14:textId="77777777" w:rsidR="00772C3C" w:rsidRPr="00E30038" w:rsidRDefault="00772C3C" w:rsidP="00772C3C">
            <w:pPr>
              <w:spacing w:line="240" w:lineRule="auto"/>
            </w:pPr>
            <w:r w:rsidRPr="00C10887">
              <w:rPr>
                <w:lang w:val="es-ES"/>
              </w:rPr>
              <w:t>Supervivencia globa</w:t>
            </w:r>
            <w:r>
              <w:rPr>
                <w:lang w:val="es-ES"/>
              </w:rPr>
              <w:t>l</w:t>
            </w:r>
          </w:p>
        </w:tc>
      </w:tr>
      <w:tr w:rsidR="00772C3C" w:rsidRPr="00E30038" w14:paraId="5336539D" w14:textId="77777777" w:rsidTr="00772C3C">
        <w:trPr>
          <w:trHeight w:val="752"/>
        </w:trPr>
        <w:tc>
          <w:tcPr>
            <w:tcW w:w="2405" w:type="dxa"/>
            <w:tcBorders>
              <w:bottom w:val="nil"/>
              <w:right w:val="single" w:sz="4" w:space="0" w:color="auto"/>
            </w:tcBorders>
            <w:noWrap/>
          </w:tcPr>
          <w:p w14:paraId="2CCD6CC6" w14:textId="77777777" w:rsidR="00772C3C" w:rsidRPr="00E30038" w:rsidRDefault="00772C3C" w:rsidP="00772C3C">
            <w:pPr>
              <w:spacing w:line="240" w:lineRule="auto"/>
            </w:pPr>
            <w:r w:rsidRPr="00C10887">
              <w:rPr>
                <w:lang w:val="es-ES"/>
              </w:rPr>
              <w:t>Mediana (meses)</w:t>
            </w:r>
          </w:p>
        </w:tc>
        <w:tc>
          <w:tcPr>
            <w:tcW w:w="2307" w:type="dxa"/>
            <w:tcBorders>
              <w:left w:val="single" w:sz="4" w:space="0" w:color="auto"/>
              <w:bottom w:val="nil"/>
              <w:right w:val="single" w:sz="4" w:space="0" w:color="auto"/>
            </w:tcBorders>
            <w:noWrap/>
          </w:tcPr>
          <w:p w14:paraId="5FD2AE5C" w14:textId="77777777" w:rsidR="00772C3C" w:rsidRPr="00E30038" w:rsidRDefault="00772C3C" w:rsidP="00772C3C">
            <w:pPr>
              <w:spacing w:line="240" w:lineRule="auto"/>
              <w:jc w:val="center"/>
            </w:pPr>
            <w:r w:rsidRPr="00F63165">
              <w:rPr>
                <w:color w:val="auto"/>
                <w:lang w:val="es-ES"/>
              </w:rPr>
              <w:t>13,1</w:t>
            </w:r>
          </w:p>
        </w:tc>
        <w:tc>
          <w:tcPr>
            <w:tcW w:w="2307" w:type="dxa"/>
            <w:tcBorders>
              <w:left w:val="single" w:sz="4" w:space="0" w:color="auto"/>
              <w:bottom w:val="nil"/>
              <w:right w:val="single" w:sz="4" w:space="0" w:color="auto"/>
            </w:tcBorders>
            <w:noWrap/>
          </w:tcPr>
          <w:p w14:paraId="3077F5BC" w14:textId="77777777" w:rsidR="00772C3C" w:rsidRPr="003F04B1" w:rsidRDefault="00772C3C" w:rsidP="00772C3C">
            <w:pPr>
              <w:tabs>
                <w:tab w:val="left" w:pos="567"/>
              </w:tabs>
              <w:spacing w:line="240" w:lineRule="auto"/>
              <w:jc w:val="center"/>
              <w:rPr>
                <w:lang w:val="es-ES"/>
              </w:rPr>
            </w:pPr>
            <w:r w:rsidRPr="003F04B1">
              <w:rPr>
                <w:lang w:val="es-ES"/>
              </w:rPr>
              <w:t>13,6</w:t>
            </w:r>
          </w:p>
          <w:p w14:paraId="051AFFDF" w14:textId="2DC23B3B" w:rsidR="00772C3C" w:rsidRPr="00E30038" w:rsidRDefault="00772C3C" w:rsidP="003032FF">
            <w:pPr>
              <w:spacing w:line="240" w:lineRule="auto"/>
              <w:jc w:val="center"/>
            </w:pPr>
            <w:r w:rsidRPr="003F04B1">
              <w:rPr>
                <w:lang w:val="es-ES"/>
              </w:rPr>
              <w:t>(p</w:t>
            </w:r>
            <w:r w:rsidR="003032FF" w:rsidRPr="00E30038">
              <w:t> </w:t>
            </w:r>
            <w:r w:rsidRPr="003F04B1">
              <w:rPr>
                <w:lang w:val="es-ES"/>
              </w:rPr>
              <w:t>=</w:t>
            </w:r>
            <w:r w:rsidR="003032FF" w:rsidRPr="00E30038">
              <w:t> </w:t>
            </w:r>
            <w:r w:rsidRPr="003F04B1">
              <w:rPr>
                <w:lang w:val="es-ES"/>
              </w:rPr>
              <w:t>0,4203)</w:t>
            </w:r>
          </w:p>
        </w:tc>
        <w:tc>
          <w:tcPr>
            <w:tcW w:w="1912" w:type="dxa"/>
            <w:tcBorders>
              <w:left w:val="single" w:sz="4" w:space="0" w:color="auto"/>
              <w:bottom w:val="nil"/>
            </w:tcBorders>
            <w:noWrap/>
          </w:tcPr>
          <w:p w14:paraId="77D6C7EE" w14:textId="77777777" w:rsidR="00772C3C" w:rsidRPr="003F04B1" w:rsidRDefault="00772C3C" w:rsidP="00772C3C">
            <w:pPr>
              <w:tabs>
                <w:tab w:val="left" w:pos="567"/>
              </w:tabs>
              <w:spacing w:line="240" w:lineRule="auto"/>
              <w:jc w:val="center"/>
              <w:rPr>
                <w:lang w:val="es-ES"/>
              </w:rPr>
            </w:pPr>
            <w:r w:rsidRPr="003F04B1">
              <w:rPr>
                <w:lang w:val="es-ES"/>
              </w:rPr>
              <w:t>13,4</w:t>
            </w:r>
          </w:p>
          <w:p w14:paraId="05C0DEF7" w14:textId="0F671E54" w:rsidR="00772C3C" w:rsidRPr="00E30038" w:rsidRDefault="00772C3C" w:rsidP="003032FF">
            <w:pPr>
              <w:spacing w:line="240" w:lineRule="auto"/>
              <w:jc w:val="center"/>
            </w:pPr>
            <w:r w:rsidRPr="003F04B1">
              <w:rPr>
                <w:lang w:val="es-ES"/>
              </w:rPr>
              <w:t>(p</w:t>
            </w:r>
            <w:r w:rsidR="003032FF" w:rsidRPr="00E30038">
              <w:t> </w:t>
            </w:r>
            <w:r w:rsidRPr="003F04B1">
              <w:rPr>
                <w:lang w:val="es-ES"/>
              </w:rPr>
              <w:t>=</w:t>
            </w:r>
            <w:r w:rsidR="003032FF" w:rsidRPr="00E30038">
              <w:t> </w:t>
            </w:r>
            <w:r w:rsidRPr="003F04B1">
              <w:rPr>
                <w:lang w:val="es-ES"/>
              </w:rPr>
              <w:t>0,7613)</w:t>
            </w:r>
          </w:p>
        </w:tc>
      </w:tr>
      <w:tr w:rsidR="00772C3C" w:rsidRPr="00E30038" w14:paraId="03D2B7AD" w14:textId="77777777" w:rsidTr="00772C3C">
        <w:trPr>
          <w:trHeight w:val="531"/>
        </w:trPr>
        <w:tc>
          <w:tcPr>
            <w:tcW w:w="2405" w:type="dxa"/>
            <w:tcBorders>
              <w:top w:val="nil"/>
              <w:right w:val="single" w:sz="4" w:space="0" w:color="auto"/>
            </w:tcBorders>
            <w:noWrap/>
          </w:tcPr>
          <w:p w14:paraId="66329C7A" w14:textId="77777777" w:rsidR="00772C3C" w:rsidRPr="00A51019" w:rsidRDefault="00772C3C" w:rsidP="00684314">
            <w:pPr>
              <w:spacing w:after="0" w:line="240" w:lineRule="auto"/>
              <w:ind w:left="170" w:firstLine="0"/>
              <w:rPr>
                <w:lang w:val="es-ES"/>
              </w:rPr>
            </w:pPr>
            <w:r w:rsidRPr="00C10887">
              <w:rPr>
                <w:lang w:val="es-ES"/>
              </w:rPr>
              <w:t>Razón de riesgo (Hazard Ratio)</w:t>
            </w:r>
          </w:p>
        </w:tc>
        <w:tc>
          <w:tcPr>
            <w:tcW w:w="2307" w:type="dxa"/>
            <w:tcBorders>
              <w:top w:val="nil"/>
              <w:left w:val="single" w:sz="4" w:space="0" w:color="auto"/>
              <w:right w:val="single" w:sz="4" w:space="0" w:color="auto"/>
            </w:tcBorders>
            <w:noWrap/>
          </w:tcPr>
          <w:p w14:paraId="3EA9EA7C" w14:textId="77777777" w:rsidR="00772C3C" w:rsidRPr="00A51019" w:rsidRDefault="00772C3C" w:rsidP="004B62C8">
            <w:pPr>
              <w:spacing w:line="240" w:lineRule="auto"/>
              <w:jc w:val="center"/>
              <w:rPr>
                <w:lang w:val="es-ES"/>
              </w:rPr>
            </w:pPr>
          </w:p>
        </w:tc>
        <w:tc>
          <w:tcPr>
            <w:tcW w:w="2307" w:type="dxa"/>
            <w:tcBorders>
              <w:top w:val="nil"/>
              <w:left w:val="single" w:sz="4" w:space="0" w:color="auto"/>
              <w:right w:val="single" w:sz="4" w:space="0" w:color="auto"/>
            </w:tcBorders>
            <w:noWrap/>
          </w:tcPr>
          <w:p w14:paraId="17955BAF" w14:textId="77777777" w:rsidR="00772C3C" w:rsidRPr="003F04B1" w:rsidRDefault="0048610C" w:rsidP="00772C3C">
            <w:pPr>
              <w:tabs>
                <w:tab w:val="left" w:pos="567"/>
              </w:tabs>
              <w:spacing w:line="240" w:lineRule="auto"/>
              <w:jc w:val="center"/>
              <w:rPr>
                <w:lang w:val="es-ES"/>
              </w:rPr>
            </w:pPr>
            <w:r>
              <w:rPr>
                <w:lang w:val="es-ES"/>
              </w:rPr>
              <w:t>0</w:t>
            </w:r>
            <w:r w:rsidR="00772C3C" w:rsidRPr="003F04B1">
              <w:rPr>
                <w:lang w:val="es-ES"/>
              </w:rPr>
              <w:t>,93</w:t>
            </w:r>
          </w:p>
          <w:p w14:paraId="57EB0ABC" w14:textId="77777777" w:rsidR="00772C3C" w:rsidRPr="00E30038" w:rsidRDefault="00772C3C" w:rsidP="00772C3C">
            <w:pPr>
              <w:spacing w:line="240" w:lineRule="auto"/>
              <w:jc w:val="center"/>
            </w:pPr>
            <w:r w:rsidRPr="003F04B1">
              <w:rPr>
                <w:lang w:val="es-ES"/>
              </w:rPr>
              <w:t>[0,78; 1,11]</w:t>
            </w:r>
          </w:p>
        </w:tc>
        <w:tc>
          <w:tcPr>
            <w:tcW w:w="1912" w:type="dxa"/>
            <w:tcBorders>
              <w:top w:val="nil"/>
              <w:left w:val="single" w:sz="4" w:space="0" w:color="auto"/>
            </w:tcBorders>
            <w:noWrap/>
          </w:tcPr>
          <w:p w14:paraId="6F07B70B" w14:textId="77777777" w:rsidR="00772C3C" w:rsidRPr="003F04B1" w:rsidRDefault="00772C3C" w:rsidP="00772C3C">
            <w:pPr>
              <w:tabs>
                <w:tab w:val="left" w:pos="567"/>
              </w:tabs>
              <w:spacing w:line="240" w:lineRule="auto"/>
              <w:jc w:val="center"/>
              <w:rPr>
                <w:lang w:val="es-ES"/>
              </w:rPr>
            </w:pPr>
            <w:r w:rsidRPr="003F04B1">
              <w:rPr>
                <w:lang w:val="es-ES"/>
              </w:rPr>
              <w:t>1,03</w:t>
            </w:r>
          </w:p>
          <w:p w14:paraId="16061EA7" w14:textId="77777777" w:rsidR="00772C3C" w:rsidRPr="00E30038" w:rsidRDefault="00772C3C" w:rsidP="00772C3C">
            <w:pPr>
              <w:spacing w:line="240" w:lineRule="auto"/>
              <w:jc w:val="center"/>
            </w:pPr>
            <w:r w:rsidRPr="003F04B1">
              <w:rPr>
                <w:lang w:val="es-ES"/>
              </w:rPr>
              <w:t>[0,86, 1,23]</w:t>
            </w:r>
          </w:p>
        </w:tc>
      </w:tr>
    </w:tbl>
    <w:p w14:paraId="3EB517A0" w14:textId="77777777" w:rsidR="00FB24C0" w:rsidRDefault="00FB24C0" w:rsidP="00FB24C0">
      <w:pPr>
        <w:spacing w:after="0" w:line="240" w:lineRule="auto"/>
        <w:ind w:left="0" w:firstLine="0"/>
        <w:rPr>
          <w:color w:val="auto"/>
          <w:lang w:val="es-ES"/>
        </w:rPr>
      </w:pPr>
    </w:p>
    <w:p w14:paraId="797F17F8" w14:textId="28A5456B" w:rsidR="007E0AEE" w:rsidRPr="00C33F4C" w:rsidRDefault="007E0AEE" w:rsidP="007E0AEE">
      <w:pPr>
        <w:autoSpaceDE w:val="0"/>
        <w:autoSpaceDN w:val="0"/>
        <w:adjustRightInd w:val="0"/>
        <w:spacing w:after="0" w:line="240" w:lineRule="auto"/>
        <w:ind w:left="0" w:firstLine="0"/>
        <w:rPr>
          <w:rFonts w:eastAsia="Calibri"/>
          <w:i/>
          <w:iCs/>
          <w:lang w:val="es-ES" w:eastAsia="en-US"/>
        </w:rPr>
      </w:pPr>
      <w:r w:rsidRPr="00C33F4C">
        <w:rPr>
          <w:rFonts w:eastAsia="Calibri"/>
          <w:i/>
          <w:iCs/>
          <w:lang w:val="es-ES" w:eastAsia="en-US"/>
        </w:rPr>
        <w:t xml:space="preserve">Primera línea de tratamiento para CPNM no escamoso, con mutaciones activadoras en EGFR en combinación con </w:t>
      </w:r>
      <w:proofErr w:type="spellStart"/>
      <w:r w:rsidRPr="00C33F4C">
        <w:rPr>
          <w:rFonts w:eastAsia="Calibri"/>
          <w:i/>
          <w:iCs/>
          <w:lang w:val="es-ES" w:eastAsia="en-US"/>
        </w:rPr>
        <w:t>erlotinib</w:t>
      </w:r>
      <w:proofErr w:type="spellEnd"/>
    </w:p>
    <w:p w14:paraId="228A2474" w14:textId="77777777" w:rsidR="007E0AEE" w:rsidRPr="00C33F4C" w:rsidRDefault="007E0AEE" w:rsidP="007E0AEE">
      <w:pPr>
        <w:autoSpaceDE w:val="0"/>
        <w:autoSpaceDN w:val="0"/>
        <w:adjustRightInd w:val="0"/>
        <w:spacing w:after="0" w:line="240" w:lineRule="auto"/>
        <w:ind w:left="0" w:firstLine="0"/>
        <w:rPr>
          <w:rFonts w:eastAsia="Calibri"/>
          <w:lang w:val="es-ES" w:eastAsia="en-US"/>
        </w:rPr>
      </w:pPr>
    </w:p>
    <w:p w14:paraId="1BC78E4A" w14:textId="39C93372" w:rsidR="007E0AEE" w:rsidRPr="00C33F4C" w:rsidRDefault="007E0AEE" w:rsidP="007E0AEE">
      <w:pPr>
        <w:autoSpaceDE w:val="0"/>
        <w:autoSpaceDN w:val="0"/>
        <w:adjustRightInd w:val="0"/>
        <w:spacing w:after="0" w:line="240" w:lineRule="auto"/>
        <w:ind w:left="0" w:firstLine="0"/>
        <w:rPr>
          <w:rFonts w:eastAsia="Calibri"/>
          <w:lang w:val="es-ES" w:eastAsia="en-US"/>
        </w:rPr>
      </w:pPr>
      <w:r w:rsidRPr="00C33F4C">
        <w:rPr>
          <w:rFonts w:eastAsia="Calibri"/>
          <w:i/>
          <w:iCs/>
          <w:lang w:val="es-ES" w:eastAsia="en-US"/>
        </w:rPr>
        <w:t>JO25567</w:t>
      </w:r>
    </w:p>
    <w:p w14:paraId="51AA76D6" w14:textId="01896D92" w:rsidR="007E0AEE" w:rsidRPr="00C33F4C" w:rsidRDefault="007E0AEE" w:rsidP="007E0AEE">
      <w:pPr>
        <w:autoSpaceDE w:val="0"/>
        <w:autoSpaceDN w:val="0"/>
        <w:adjustRightInd w:val="0"/>
        <w:spacing w:after="0" w:line="240" w:lineRule="auto"/>
        <w:ind w:left="0" w:firstLine="0"/>
        <w:rPr>
          <w:rFonts w:eastAsia="Calibri"/>
          <w:lang w:val="es-ES" w:eastAsia="en-US"/>
        </w:rPr>
      </w:pPr>
      <w:r w:rsidRPr="00C33F4C">
        <w:rPr>
          <w:rFonts w:eastAsia="Calibri"/>
          <w:lang w:val="es-ES" w:eastAsia="en-US"/>
        </w:rPr>
        <w:t xml:space="preserve">En el estudio JO25567 fase II aleatorizado, abierto, multicéntrico llevado a cabo en Japón se evaluó la eficacia y seguridad de bevacizumab utilizado en combinación con </w:t>
      </w:r>
      <w:proofErr w:type="spellStart"/>
      <w:r w:rsidRPr="00C33F4C">
        <w:rPr>
          <w:rFonts w:eastAsia="Calibri"/>
          <w:lang w:val="es-ES" w:eastAsia="en-US"/>
        </w:rPr>
        <w:t>erlotinib</w:t>
      </w:r>
      <w:proofErr w:type="spellEnd"/>
      <w:r w:rsidRPr="00C33F4C">
        <w:rPr>
          <w:rFonts w:eastAsia="Calibri"/>
          <w:lang w:val="es-ES" w:eastAsia="en-US"/>
        </w:rPr>
        <w:t xml:space="preserve"> en pacientes con CPNM no escamoso con mutaciones activadoras en EGFR (deleción del exón 19 o mutación L858R del exón 21) que no han recibido tratamiento sistémico anterior para estadio IIIB/IV o enfermedad recurrente.</w:t>
      </w:r>
    </w:p>
    <w:p w14:paraId="5DE3E226" w14:textId="77777777" w:rsidR="007E0AEE" w:rsidRPr="00C33F4C" w:rsidRDefault="007E0AEE" w:rsidP="007E0AEE">
      <w:pPr>
        <w:autoSpaceDE w:val="0"/>
        <w:autoSpaceDN w:val="0"/>
        <w:adjustRightInd w:val="0"/>
        <w:spacing w:after="0" w:line="240" w:lineRule="auto"/>
        <w:ind w:left="0" w:firstLine="0"/>
        <w:rPr>
          <w:rFonts w:eastAsia="Calibri"/>
          <w:lang w:val="es-ES" w:eastAsia="en-US"/>
        </w:rPr>
      </w:pPr>
    </w:p>
    <w:p w14:paraId="139DD44D" w14:textId="5EDA14EB" w:rsidR="007E0AEE" w:rsidRPr="00C33F4C" w:rsidRDefault="007E0AEE" w:rsidP="007E0AEE">
      <w:pPr>
        <w:autoSpaceDE w:val="0"/>
        <w:autoSpaceDN w:val="0"/>
        <w:adjustRightInd w:val="0"/>
        <w:spacing w:after="0" w:line="240" w:lineRule="auto"/>
        <w:ind w:left="0" w:firstLine="0"/>
        <w:rPr>
          <w:rFonts w:eastAsia="Calibri"/>
          <w:lang w:val="es-ES" w:eastAsia="en-US"/>
        </w:rPr>
      </w:pPr>
      <w:r w:rsidRPr="00C33F4C">
        <w:rPr>
          <w:rFonts w:eastAsia="Calibri"/>
          <w:lang w:val="es-ES" w:eastAsia="en-US"/>
        </w:rPr>
        <w:t>La variable principal fue la supervivencia libre de progresión (SLP) basada en la evaluación de un revisor independiente. Las variables secundarias incluyeron supervivencia global, tasa de respuesta, tasa de control de la enfermedad, duración de la respuesta y seguridad.</w:t>
      </w:r>
    </w:p>
    <w:p w14:paraId="5211C8DD" w14:textId="77777777" w:rsidR="007E0AEE" w:rsidRPr="00C33F4C" w:rsidRDefault="007E0AEE" w:rsidP="007E0AEE">
      <w:pPr>
        <w:autoSpaceDE w:val="0"/>
        <w:autoSpaceDN w:val="0"/>
        <w:adjustRightInd w:val="0"/>
        <w:spacing w:after="0" w:line="240" w:lineRule="auto"/>
        <w:ind w:left="0" w:firstLine="0"/>
        <w:rPr>
          <w:rFonts w:eastAsia="Calibri"/>
          <w:lang w:val="es-ES" w:eastAsia="en-US"/>
        </w:rPr>
      </w:pPr>
    </w:p>
    <w:p w14:paraId="230AFA3B" w14:textId="383513EB" w:rsidR="007E0AEE" w:rsidRPr="00C33F4C" w:rsidRDefault="007E0AEE" w:rsidP="005F3B14">
      <w:pPr>
        <w:autoSpaceDE w:val="0"/>
        <w:autoSpaceDN w:val="0"/>
        <w:adjustRightInd w:val="0"/>
        <w:spacing w:after="0" w:line="240" w:lineRule="auto"/>
        <w:ind w:left="0" w:firstLine="0"/>
        <w:rPr>
          <w:rFonts w:eastAsia="Calibri"/>
          <w:lang w:val="es-ES" w:eastAsia="en-US"/>
        </w:rPr>
      </w:pPr>
      <w:r w:rsidRPr="00C33F4C">
        <w:rPr>
          <w:rFonts w:eastAsia="Calibri"/>
          <w:lang w:val="es-ES" w:eastAsia="en-US"/>
        </w:rPr>
        <w:t xml:space="preserve">El estado de la mutación EGFR se determinó para cada paciente previamente a su selección y se aleatorizaron 154 pacientes que recibieron tratamiento con </w:t>
      </w:r>
      <w:proofErr w:type="spellStart"/>
      <w:r w:rsidRPr="00C33F4C">
        <w:rPr>
          <w:rFonts w:eastAsia="Calibri"/>
          <w:lang w:val="es-ES" w:eastAsia="en-US"/>
        </w:rPr>
        <w:t>erlotinib</w:t>
      </w:r>
      <w:proofErr w:type="spellEnd"/>
      <w:r w:rsidRPr="00C33F4C">
        <w:rPr>
          <w:rFonts w:eastAsia="Calibri"/>
          <w:lang w:val="es-ES" w:eastAsia="en-US"/>
        </w:rPr>
        <w:t xml:space="preserve"> + bevacizumab (150 mg diarios de </w:t>
      </w:r>
      <w:proofErr w:type="spellStart"/>
      <w:r w:rsidRPr="00C33F4C">
        <w:rPr>
          <w:rFonts w:eastAsia="Calibri"/>
          <w:lang w:val="es-ES" w:eastAsia="en-US"/>
        </w:rPr>
        <w:t>erlotinib</w:t>
      </w:r>
      <w:proofErr w:type="spellEnd"/>
      <w:r w:rsidRPr="00C33F4C">
        <w:rPr>
          <w:rFonts w:eastAsia="Calibri"/>
          <w:lang w:val="es-ES" w:eastAsia="en-US"/>
        </w:rPr>
        <w:t xml:space="preserve"> vía oral + bevacizumab </w:t>
      </w:r>
      <w:r w:rsidRPr="00C33F4C">
        <w:rPr>
          <w:rFonts w:ascii="Symbol" w:eastAsia="Calibri" w:hAnsi="Symbol" w:cs="Symbol"/>
          <w:lang w:val="es-ES" w:eastAsia="en-US"/>
        </w:rPr>
        <w:t></w:t>
      </w:r>
      <w:r w:rsidRPr="00C33F4C">
        <w:rPr>
          <w:rFonts w:eastAsia="Calibri"/>
          <w:lang w:val="es-ES" w:eastAsia="en-US"/>
        </w:rPr>
        <w:t>15 mg/kg IV cada 3 semanas</w:t>
      </w:r>
      <w:r w:rsidRPr="00C33F4C">
        <w:rPr>
          <w:rFonts w:ascii="Symbol" w:eastAsia="Calibri" w:hAnsi="Symbol" w:cs="Symbol"/>
          <w:lang w:val="es-ES" w:eastAsia="en-US"/>
        </w:rPr>
        <w:t></w:t>
      </w:r>
      <w:r w:rsidRPr="00C33F4C">
        <w:rPr>
          <w:rFonts w:eastAsia="Calibri"/>
          <w:lang w:val="es-ES" w:eastAsia="en-US"/>
        </w:rPr>
        <w:t xml:space="preserve">) o </w:t>
      </w:r>
      <w:proofErr w:type="spellStart"/>
      <w:r w:rsidRPr="00C33F4C">
        <w:rPr>
          <w:rFonts w:eastAsia="Calibri"/>
          <w:lang w:val="es-ES" w:eastAsia="en-US"/>
        </w:rPr>
        <w:t>erlotinib</w:t>
      </w:r>
      <w:proofErr w:type="spellEnd"/>
      <w:r w:rsidRPr="00C33F4C">
        <w:rPr>
          <w:rFonts w:eastAsia="Calibri"/>
          <w:lang w:val="es-ES" w:eastAsia="en-US"/>
        </w:rPr>
        <w:t xml:space="preserve"> en </w:t>
      </w:r>
      <w:r w:rsidR="00C64096" w:rsidRPr="00C33F4C">
        <w:rPr>
          <w:rFonts w:eastAsia="Calibri"/>
          <w:lang w:val="es-ES" w:eastAsia="en-US"/>
        </w:rPr>
        <w:t>monoterapia</w:t>
      </w:r>
      <w:r w:rsidRPr="00C33F4C">
        <w:rPr>
          <w:rFonts w:eastAsia="Calibri"/>
          <w:lang w:val="es-ES" w:eastAsia="en-US"/>
        </w:rPr>
        <w:t xml:space="preserve"> (150 mg diarios vía oral) hasta la progresión de la enfermedad (PE) o toxicidad inaceptable. En ausencia de PE, la interrupción de uno de los componentes del tratamiento en el brazo </w:t>
      </w:r>
      <w:proofErr w:type="spellStart"/>
      <w:r w:rsidRPr="00C33F4C">
        <w:rPr>
          <w:rFonts w:eastAsia="Calibri"/>
          <w:lang w:val="es-ES" w:eastAsia="en-US"/>
        </w:rPr>
        <w:t>erlotinib</w:t>
      </w:r>
      <w:proofErr w:type="spellEnd"/>
      <w:r w:rsidRPr="00C33F4C">
        <w:rPr>
          <w:rFonts w:eastAsia="Calibri"/>
          <w:lang w:val="es-ES" w:eastAsia="en-US"/>
        </w:rPr>
        <w:t xml:space="preserve"> + bevacizumab no dio lugar a la interrupción del otro componente del tratamiento como se especifica en el protocolo del estudio.</w:t>
      </w:r>
    </w:p>
    <w:p w14:paraId="64C9C836" w14:textId="77777777" w:rsidR="007E0AEE" w:rsidRPr="00C33F4C" w:rsidRDefault="007E0AEE" w:rsidP="005F3B14">
      <w:pPr>
        <w:autoSpaceDE w:val="0"/>
        <w:autoSpaceDN w:val="0"/>
        <w:adjustRightInd w:val="0"/>
        <w:spacing w:after="0" w:line="240" w:lineRule="auto"/>
        <w:ind w:left="0" w:firstLine="0"/>
        <w:rPr>
          <w:rFonts w:eastAsia="Calibri"/>
          <w:lang w:val="es-ES" w:eastAsia="en-US"/>
        </w:rPr>
      </w:pPr>
    </w:p>
    <w:p w14:paraId="6E740FF4" w14:textId="213589C6" w:rsidR="007E0AEE" w:rsidRPr="00C33F4C" w:rsidRDefault="007E0AEE" w:rsidP="007E0AEE">
      <w:pPr>
        <w:spacing w:after="0" w:line="240" w:lineRule="auto"/>
        <w:ind w:left="0" w:firstLine="0"/>
        <w:rPr>
          <w:rFonts w:eastAsia="Calibri"/>
          <w:lang w:val="es-ES" w:eastAsia="en-US"/>
        </w:rPr>
      </w:pPr>
      <w:r w:rsidRPr="00C33F4C">
        <w:rPr>
          <w:rFonts w:eastAsia="Calibri"/>
          <w:lang w:val="es-ES" w:eastAsia="en-US"/>
        </w:rPr>
        <w:t>Los resultados de eficacia del estudio se muestran en la tabla 14.</w:t>
      </w:r>
    </w:p>
    <w:p w14:paraId="70F16CAE" w14:textId="77777777" w:rsidR="007E0AEE" w:rsidRPr="00C33F4C" w:rsidRDefault="007E0AEE" w:rsidP="007E0AEE">
      <w:pPr>
        <w:spacing w:after="0" w:line="240" w:lineRule="auto"/>
        <w:ind w:left="0" w:firstLine="0"/>
        <w:rPr>
          <w:rFonts w:eastAsia="Calibri"/>
          <w:lang w:val="es-ES" w:eastAsia="en-US"/>
        </w:rPr>
      </w:pPr>
    </w:p>
    <w:p w14:paraId="28DC46E0" w14:textId="6AC5BE26" w:rsidR="007E0AEE" w:rsidRPr="005F3B14" w:rsidRDefault="007E0AEE" w:rsidP="007E0AEE">
      <w:pPr>
        <w:pStyle w:val="Default"/>
        <w:keepNext/>
        <w:widowControl/>
        <w:rPr>
          <w:rFonts w:eastAsia="Calibri"/>
          <w:b/>
          <w:bCs/>
          <w:sz w:val="22"/>
          <w:szCs w:val="22"/>
          <w:lang w:val="es-ES" w:eastAsia="en-US"/>
        </w:rPr>
      </w:pPr>
      <w:r w:rsidRPr="005F3B14">
        <w:rPr>
          <w:rFonts w:eastAsia="Calibri"/>
          <w:b/>
          <w:bCs/>
          <w:sz w:val="22"/>
          <w:szCs w:val="22"/>
          <w:lang w:val="es-ES" w:eastAsia="en-US"/>
        </w:rPr>
        <w:t>Tabla 14. Resultados de eficacia del estudio JO25567</w:t>
      </w:r>
    </w:p>
    <w:p w14:paraId="2597C80F" w14:textId="77777777" w:rsidR="007E0AEE" w:rsidRPr="005F3B14" w:rsidRDefault="007E0AEE" w:rsidP="007E0AEE">
      <w:pPr>
        <w:pStyle w:val="Default"/>
        <w:keepNext/>
        <w:widowControl/>
        <w:rPr>
          <w:rFonts w:eastAsia="Calibri"/>
          <w:b/>
          <w:bCs/>
          <w:sz w:val="22"/>
          <w:szCs w:val="22"/>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095"/>
        <w:gridCol w:w="3095"/>
      </w:tblGrid>
      <w:tr w:rsidR="007E0AEE" w:rsidRPr="00E53CAB" w14:paraId="3A6D7523" w14:textId="77777777" w:rsidTr="005F3B14">
        <w:trPr>
          <w:tblHeader/>
        </w:trPr>
        <w:tc>
          <w:tcPr>
            <w:tcW w:w="3094" w:type="dxa"/>
          </w:tcPr>
          <w:p w14:paraId="4AE2A245" w14:textId="77777777" w:rsidR="007E0AEE" w:rsidRPr="005F3B14" w:rsidRDefault="007E0AEE" w:rsidP="005F3B14">
            <w:pPr>
              <w:pStyle w:val="Default"/>
              <w:keepNext/>
              <w:widowControl/>
              <w:rPr>
                <w:rFonts w:eastAsia="Calibri"/>
                <w:b/>
                <w:bCs/>
                <w:sz w:val="22"/>
                <w:szCs w:val="22"/>
                <w:lang w:val="es-ES" w:eastAsia="en-US"/>
              </w:rPr>
            </w:pPr>
          </w:p>
        </w:tc>
        <w:tc>
          <w:tcPr>
            <w:tcW w:w="3095" w:type="dxa"/>
          </w:tcPr>
          <w:p w14:paraId="7377FB18" w14:textId="77777777" w:rsidR="007E0AEE" w:rsidRPr="00321413" w:rsidRDefault="007E0AEE" w:rsidP="005F3B14">
            <w:pPr>
              <w:keepNext/>
              <w:autoSpaceDE w:val="0"/>
              <w:autoSpaceDN w:val="0"/>
              <w:adjustRightInd w:val="0"/>
              <w:spacing w:line="240" w:lineRule="auto"/>
              <w:jc w:val="center"/>
              <w:rPr>
                <w:rFonts w:eastAsia="Calibri"/>
                <w:b/>
                <w:bCs/>
              </w:rPr>
            </w:pPr>
            <w:r w:rsidRPr="00321413">
              <w:rPr>
                <w:rFonts w:eastAsia="Calibri"/>
                <w:b/>
                <w:bCs/>
              </w:rPr>
              <w:t>Erlotinib</w:t>
            </w:r>
          </w:p>
          <w:p w14:paraId="5CE8B33D" w14:textId="77777777" w:rsidR="007E0AEE" w:rsidRPr="00525FBB" w:rsidRDefault="007E0AEE" w:rsidP="005F3B14">
            <w:pPr>
              <w:keepNext/>
              <w:autoSpaceDE w:val="0"/>
              <w:autoSpaceDN w:val="0"/>
              <w:adjustRightInd w:val="0"/>
              <w:jc w:val="center"/>
              <w:rPr>
                <w:rFonts w:eastAsia="Calibri"/>
                <w:b/>
                <w:bCs/>
                <w:sz w:val="13"/>
                <w:szCs w:val="13"/>
              </w:rPr>
            </w:pPr>
            <w:r w:rsidRPr="00321413">
              <w:rPr>
                <w:rFonts w:eastAsia="Calibri"/>
                <w:b/>
                <w:bCs/>
              </w:rPr>
              <w:t>N</w:t>
            </w:r>
            <w:r>
              <w:rPr>
                <w:rFonts w:eastAsia="Calibri"/>
                <w:b/>
                <w:bCs/>
              </w:rPr>
              <w:t> </w:t>
            </w:r>
            <w:r w:rsidRPr="00321413">
              <w:rPr>
                <w:rFonts w:eastAsia="Calibri"/>
                <w:b/>
                <w:bCs/>
              </w:rPr>
              <w:t>=</w:t>
            </w:r>
            <w:r>
              <w:rPr>
                <w:rFonts w:eastAsia="Calibri"/>
                <w:b/>
                <w:bCs/>
              </w:rPr>
              <w:t> </w:t>
            </w:r>
            <w:r w:rsidRPr="00321413">
              <w:rPr>
                <w:rFonts w:eastAsia="Calibri"/>
                <w:b/>
                <w:bCs/>
              </w:rPr>
              <w:t>77</w:t>
            </w:r>
            <w:r w:rsidRPr="00321413">
              <w:rPr>
                <w:rFonts w:eastAsia="Calibri"/>
                <w:b/>
                <w:bCs/>
                <w:vertAlign w:val="superscript"/>
              </w:rPr>
              <w:t>#</w:t>
            </w:r>
          </w:p>
        </w:tc>
        <w:tc>
          <w:tcPr>
            <w:tcW w:w="3095" w:type="dxa"/>
          </w:tcPr>
          <w:p w14:paraId="66311E2C" w14:textId="77777777" w:rsidR="007E0AEE" w:rsidRPr="00321413" w:rsidRDefault="007E0AEE" w:rsidP="005F3B14">
            <w:pPr>
              <w:keepNext/>
              <w:autoSpaceDE w:val="0"/>
              <w:autoSpaceDN w:val="0"/>
              <w:adjustRightInd w:val="0"/>
              <w:spacing w:line="240" w:lineRule="auto"/>
              <w:jc w:val="center"/>
              <w:rPr>
                <w:rFonts w:eastAsia="Calibri"/>
                <w:b/>
                <w:bCs/>
              </w:rPr>
            </w:pPr>
            <w:r w:rsidRPr="00321413">
              <w:rPr>
                <w:rFonts w:eastAsia="Calibri"/>
                <w:b/>
                <w:bCs/>
              </w:rPr>
              <w:t>Erlotinib + bevacizumab</w:t>
            </w:r>
          </w:p>
          <w:p w14:paraId="055F7739" w14:textId="77777777" w:rsidR="007E0AEE" w:rsidRPr="00525FBB" w:rsidRDefault="007E0AEE" w:rsidP="005F3B14">
            <w:pPr>
              <w:pStyle w:val="Default"/>
              <w:keepNext/>
              <w:widowControl/>
              <w:jc w:val="center"/>
              <w:rPr>
                <w:rFonts w:eastAsia="Calibri"/>
                <w:b/>
                <w:bCs/>
                <w:sz w:val="22"/>
                <w:szCs w:val="22"/>
                <w:lang w:eastAsia="en-US"/>
              </w:rPr>
            </w:pPr>
            <w:r w:rsidRPr="00321413">
              <w:rPr>
                <w:rFonts w:eastAsia="Calibri"/>
                <w:b/>
                <w:bCs/>
                <w:sz w:val="22"/>
                <w:szCs w:val="22"/>
                <w:lang w:eastAsia="en-US"/>
              </w:rPr>
              <w:t>N</w:t>
            </w:r>
            <w:r>
              <w:rPr>
                <w:rFonts w:eastAsia="Calibri"/>
                <w:b/>
                <w:bCs/>
                <w:sz w:val="22"/>
                <w:szCs w:val="22"/>
                <w:lang w:eastAsia="en-US"/>
              </w:rPr>
              <w:t> </w:t>
            </w:r>
            <w:r w:rsidRPr="00321413">
              <w:rPr>
                <w:rFonts w:eastAsia="Calibri"/>
                <w:b/>
                <w:bCs/>
                <w:sz w:val="22"/>
                <w:szCs w:val="22"/>
                <w:lang w:eastAsia="en-US"/>
              </w:rPr>
              <w:t>=</w:t>
            </w:r>
            <w:r>
              <w:rPr>
                <w:rFonts w:eastAsia="Calibri"/>
                <w:b/>
                <w:bCs/>
                <w:sz w:val="22"/>
                <w:szCs w:val="22"/>
                <w:lang w:eastAsia="en-US"/>
              </w:rPr>
              <w:t> </w:t>
            </w:r>
            <w:r w:rsidRPr="00321413">
              <w:rPr>
                <w:rFonts w:eastAsia="Calibri"/>
                <w:b/>
                <w:bCs/>
                <w:sz w:val="22"/>
                <w:szCs w:val="22"/>
                <w:lang w:eastAsia="en-US"/>
              </w:rPr>
              <w:t>75</w:t>
            </w:r>
            <w:r w:rsidRPr="00321413">
              <w:rPr>
                <w:rFonts w:eastAsia="Calibri"/>
                <w:b/>
                <w:bCs/>
                <w:sz w:val="22"/>
                <w:szCs w:val="22"/>
                <w:vertAlign w:val="superscript"/>
                <w:lang w:eastAsia="en-US"/>
              </w:rPr>
              <w:t>#</w:t>
            </w:r>
          </w:p>
        </w:tc>
      </w:tr>
      <w:tr w:rsidR="007E0AEE" w:rsidRPr="00E53CAB" w14:paraId="1EE8B925" w14:textId="77777777" w:rsidTr="005F3B14">
        <w:tc>
          <w:tcPr>
            <w:tcW w:w="3094" w:type="dxa"/>
          </w:tcPr>
          <w:p w14:paraId="143398BC" w14:textId="08BD2256" w:rsidR="007E0AEE" w:rsidRPr="00321413" w:rsidRDefault="00AD7520" w:rsidP="00AD7520">
            <w:pPr>
              <w:pStyle w:val="Default"/>
              <w:widowControl/>
              <w:rPr>
                <w:rFonts w:eastAsia="Calibri"/>
                <w:bCs/>
                <w:sz w:val="22"/>
                <w:szCs w:val="22"/>
                <w:lang w:eastAsia="en-US"/>
              </w:rPr>
            </w:pPr>
            <w:r>
              <w:rPr>
                <w:rFonts w:eastAsia="Calibri"/>
                <w:bCs/>
                <w:sz w:val="22"/>
                <w:szCs w:val="22"/>
                <w:lang w:eastAsia="en-US"/>
              </w:rPr>
              <w:t>SLP</w:t>
            </w:r>
            <w:r w:rsidR="007E0AEE" w:rsidRPr="00321413">
              <w:rPr>
                <w:rFonts w:eastAsia="Calibri"/>
                <w:bCs/>
                <w:sz w:val="22"/>
                <w:szCs w:val="22"/>
                <w:lang w:eastAsia="en-US"/>
              </w:rPr>
              <w:t>^ (m</w:t>
            </w:r>
            <w:r>
              <w:rPr>
                <w:rFonts w:eastAsia="Calibri"/>
                <w:bCs/>
                <w:sz w:val="22"/>
                <w:szCs w:val="22"/>
                <w:lang w:eastAsia="en-US"/>
              </w:rPr>
              <w:t>eses</w:t>
            </w:r>
            <w:r w:rsidR="007E0AEE" w:rsidRPr="00321413">
              <w:rPr>
                <w:rFonts w:eastAsia="Calibri"/>
                <w:bCs/>
                <w:sz w:val="22"/>
                <w:szCs w:val="22"/>
                <w:lang w:eastAsia="en-US"/>
              </w:rPr>
              <w:t>)</w:t>
            </w:r>
          </w:p>
        </w:tc>
        <w:tc>
          <w:tcPr>
            <w:tcW w:w="3095" w:type="dxa"/>
          </w:tcPr>
          <w:p w14:paraId="1A770FAF" w14:textId="77777777" w:rsidR="007E0AEE" w:rsidRPr="00FD2F24" w:rsidRDefault="007E0AEE" w:rsidP="005F3B14">
            <w:pPr>
              <w:pStyle w:val="Default"/>
              <w:keepNext/>
              <w:widowControl/>
              <w:jc w:val="center"/>
              <w:rPr>
                <w:rFonts w:eastAsia="Calibri"/>
                <w:b/>
                <w:bCs/>
                <w:sz w:val="22"/>
                <w:szCs w:val="22"/>
                <w:lang w:eastAsia="en-US"/>
              </w:rPr>
            </w:pPr>
          </w:p>
        </w:tc>
        <w:tc>
          <w:tcPr>
            <w:tcW w:w="3095" w:type="dxa"/>
          </w:tcPr>
          <w:p w14:paraId="64A16691" w14:textId="77777777" w:rsidR="007E0AEE" w:rsidRPr="00FD2F24" w:rsidRDefault="007E0AEE" w:rsidP="005F3B14">
            <w:pPr>
              <w:pStyle w:val="Default"/>
              <w:keepNext/>
              <w:widowControl/>
              <w:jc w:val="center"/>
              <w:rPr>
                <w:rFonts w:eastAsia="Calibri"/>
                <w:b/>
                <w:bCs/>
                <w:sz w:val="22"/>
                <w:szCs w:val="22"/>
                <w:lang w:eastAsia="en-US"/>
              </w:rPr>
            </w:pPr>
          </w:p>
        </w:tc>
      </w:tr>
      <w:tr w:rsidR="007E0AEE" w:rsidRPr="00E53CAB" w14:paraId="39E229E7" w14:textId="77777777" w:rsidTr="005F3B14">
        <w:tc>
          <w:tcPr>
            <w:tcW w:w="3094" w:type="dxa"/>
          </w:tcPr>
          <w:p w14:paraId="61138C91" w14:textId="1A99C3B5" w:rsidR="007E0AEE" w:rsidRPr="00AC3F05" w:rsidRDefault="007E0AEE" w:rsidP="005F3B14">
            <w:pPr>
              <w:pStyle w:val="Default"/>
              <w:widowControl/>
              <w:ind w:left="567"/>
              <w:rPr>
                <w:rFonts w:eastAsia="Calibri"/>
                <w:bCs/>
                <w:sz w:val="22"/>
                <w:szCs w:val="22"/>
                <w:lang w:eastAsia="en-US"/>
              </w:rPr>
            </w:pPr>
            <w:r w:rsidRPr="00AC3F05">
              <w:rPr>
                <w:rFonts w:eastAsia="Calibri"/>
                <w:bCs/>
                <w:sz w:val="22"/>
                <w:szCs w:val="22"/>
                <w:lang w:eastAsia="en-US"/>
              </w:rPr>
              <w:t>Median</w:t>
            </w:r>
            <w:r w:rsidR="00AD7520">
              <w:rPr>
                <w:rFonts w:eastAsia="Calibri"/>
                <w:bCs/>
                <w:sz w:val="22"/>
                <w:szCs w:val="22"/>
                <w:lang w:eastAsia="en-US"/>
              </w:rPr>
              <w:t>a</w:t>
            </w:r>
          </w:p>
        </w:tc>
        <w:tc>
          <w:tcPr>
            <w:tcW w:w="3095" w:type="dxa"/>
          </w:tcPr>
          <w:p w14:paraId="4604857F" w14:textId="3C1900CC" w:rsidR="007E0AEE" w:rsidRPr="00FD2F24" w:rsidRDefault="007E0AEE" w:rsidP="00AD7520">
            <w:pPr>
              <w:pStyle w:val="Default"/>
              <w:keepNext/>
              <w:widowControl/>
              <w:jc w:val="center"/>
              <w:rPr>
                <w:rFonts w:eastAsia="Calibri"/>
                <w:bCs/>
                <w:sz w:val="22"/>
                <w:szCs w:val="22"/>
                <w:lang w:eastAsia="en-US"/>
              </w:rPr>
            </w:pPr>
            <w:r w:rsidRPr="00FD2F24">
              <w:rPr>
                <w:rFonts w:eastAsia="Calibri"/>
                <w:bCs/>
                <w:sz w:val="22"/>
                <w:szCs w:val="22"/>
                <w:lang w:eastAsia="en-US"/>
              </w:rPr>
              <w:t>9</w:t>
            </w:r>
            <w:r w:rsidR="00AD7520">
              <w:rPr>
                <w:rFonts w:eastAsia="Calibri"/>
                <w:bCs/>
                <w:sz w:val="22"/>
                <w:szCs w:val="22"/>
                <w:lang w:eastAsia="en-US"/>
              </w:rPr>
              <w:t>,</w:t>
            </w:r>
            <w:r w:rsidRPr="00FD2F24">
              <w:rPr>
                <w:rFonts w:eastAsia="Calibri"/>
                <w:bCs/>
                <w:sz w:val="22"/>
                <w:szCs w:val="22"/>
                <w:lang w:eastAsia="en-US"/>
              </w:rPr>
              <w:t>7</w:t>
            </w:r>
          </w:p>
        </w:tc>
        <w:tc>
          <w:tcPr>
            <w:tcW w:w="3095" w:type="dxa"/>
          </w:tcPr>
          <w:p w14:paraId="3682256A" w14:textId="0FBC637D" w:rsidR="007E0AEE" w:rsidRPr="00FD2F24" w:rsidRDefault="007E0AEE" w:rsidP="005F3B14">
            <w:pPr>
              <w:pStyle w:val="Default"/>
              <w:keepNext/>
              <w:widowControl/>
              <w:jc w:val="center"/>
              <w:rPr>
                <w:rFonts w:eastAsia="Calibri"/>
                <w:bCs/>
                <w:sz w:val="22"/>
                <w:szCs w:val="22"/>
                <w:lang w:eastAsia="en-US"/>
              </w:rPr>
            </w:pPr>
            <w:r w:rsidRPr="00FD2F24">
              <w:rPr>
                <w:rFonts w:eastAsia="Calibri"/>
                <w:bCs/>
                <w:sz w:val="22"/>
                <w:szCs w:val="22"/>
                <w:lang w:eastAsia="en-US"/>
              </w:rPr>
              <w:t>1</w:t>
            </w:r>
            <w:r w:rsidR="00AD7520">
              <w:rPr>
                <w:rFonts w:eastAsia="Calibri"/>
                <w:bCs/>
                <w:sz w:val="22"/>
                <w:szCs w:val="22"/>
                <w:lang w:eastAsia="en-US"/>
              </w:rPr>
              <w:t>6,</w:t>
            </w:r>
            <w:r w:rsidRPr="00FD2F24">
              <w:rPr>
                <w:rFonts w:eastAsia="Calibri"/>
                <w:bCs/>
                <w:sz w:val="22"/>
                <w:szCs w:val="22"/>
                <w:lang w:eastAsia="en-US"/>
              </w:rPr>
              <w:t>0</w:t>
            </w:r>
          </w:p>
        </w:tc>
      </w:tr>
      <w:tr w:rsidR="007E0AEE" w:rsidRPr="00E53CAB" w14:paraId="1FAA3D03" w14:textId="77777777" w:rsidTr="005F3B14">
        <w:tc>
          <w:tcPr>
            <w:tcW w:w="3094" w:type="dxa"/>
          </w:tcPr>
          <w:p w14:paraId="346E46F4" w14:textId="1A722C8A" w:rsidR="007E0AEE" w:rsidRPr="00AC3F05" w:rsidRDefault="007E0AEE" w:rsidP="00AD7520">
            <w:pPr>
              <w:pStyle w:val="Default"/>
              <w:widowControl/>
              <w:ind w:left="567"/>
              <w:rPr>
                <w:rFonts w:eastAsia="Calibri"/>
                <w:bCs/>
                <w:sz w:val="22"/>
                <w:szCs w:val="22"/>
                <w:lang w:eastAsia="en-US"/>
              </w:rPr>
            </w:pPr>
            <w:r w:rsidRPr="00AC3F05">
              <w:rPr>
                <w:rFonts w:eastAsia="Calibri"/>
                <w:bCs/>
                <w:sz w:val="22"/>
                <w:szCs w:val="22"/>
                <w:lang w:eastAsia="en-US"/>
              </w:rPr>
              <w:t>HR (</w:t>
            </w:r>
            <w:r w:rsidR="00AD7520">
              <w:rPr>
                <w:rFonts w:eastAsia="Calibri"/>
                <w:bCs/>
                <w:sz w:val="22"/>
                <w:szCs w:val="22"/>
                <w:lang w:eastAsia="en-US"/>
              </w:rPr>
              <w:t xml:space="preserve">IC del </w:t>
            </w:r>
            <w:r w:rsidRPr="00AC3F05">
              <w:rPr>
                <w:rFonts w:eastAsia="Calibri"/>
                <w:bCs/>
                <w:sz w:val="22"/>
                <w:szCs w:val="22"/>
                <w:lang w:eastAsia="en-US"/>
              </w:rPr>
              <w:t>95%)</w:t>
            </w:r>
          </w:p>
        </w:tc>
        <w:tc>
          <w:tcPr>
            <w:tcW w:w="6190" w:type="dxa"/>
            <w:gridSpan w:val="2"/>
          </w:tcPr>
          <w:p w14:paraId="05A4D5C9" w14:textId="0B3889BE" w:rsidR="007E0AEE" w:rsidRPr="00FD2F24" w:rsidRDefault="007E0AEE" w:rsidP="00AD7520">
            <w:pPr>
              <w:pStyle w:val="Default"/>
              <w:keepNext/>
              <w:widowControl/>
              <w:jc w:val="center"/>
              <w:rPr>
                <w:rFonts w:eastAsia="Calibri"/>
                <w:bCs/>
                <w:sz w:val="22"/>
                <w:szCs w:val="22"/>
                <w:lang w:eastAsia="en-US"/>
              </w:rPr>
            </w:pPr>
            <w:r w:rsidRPr="00FD2F24">
              <w:rPr>
                <w:rFonts w:eastAsia="Calibri"/>
                <w:bCs/>
                <w:sz w:val="22"/>
                <w:szCs w:val="22"/>
                <w:lang w:eastAsia="en-US"/>
              </w:rPr>
              <w:t>0</w:t>
            </w:r>
            <w:r w:rsidR="00AD7520">
              <w:rPr>
                <w:rFonts w:eastAsia="Calibri"/>
                <w:bCs/>
                <w:sz w:val="22"/>
                <w:szCs w:val="22"/>
                <w:lang w:eastAsia="en-US"/>
              </w:rPr>
              <w:t>,54 (0,</w:t>
            </w:r>
            <w:r w:rsidRPr="00FD2F24">
              <w:rPr>
                <w:rFonts w:eastAsia="Calibri"/>
                <w:bCs/>
                <w:sz w:val="22"/>
                <w:szCs w:val="22"/>
                <w:lang w:eastAsia="en-US"/>
              </w:rPr>
              <w:t>36; 0</w:t>
            </w:r>
            <w:r w:rsidR="00AD7520">
              <w:rPr>
                <w:rFonts w:eastAsia="Calibri"/>
                <w:bCs/>
                <w:sz w:val="22"/>
                <w:szCs w:val="22"/>
                <w:lang w:eastAsia="en-US"/>
              </w:rPr>
              <w:t>,</w:t>
            </w:r>
            <w:r w:rsidRPr="00FD2F24">
              <w:rPr>
                <w:rFonts w:eastAsia="Calibri"/>
                <w:bCs/>
                <w:sz w:val="22"/>
                <w:szCs w:val="22"/>
                <w:lang w:eastAsia="en-US"/>
              </w:rPr>
              <w:t>79)</w:t>
            </w:r>
          </w:p>
        </w:tc>
      </w:tr>
      <w:tr w:rsidR="007E0AEE" w:rsidRPr="00E53CAB" w14:paraId="75443ED4" w14:textId="77777777" w:rsidTr="005F3B14">
        <w:tc>
          <w:tcPr>
            <w:tcW w:w="3094" w:type="dxa"/>
          </w:tcPr>
          <w:p w14:paraId="60F37062" w14:textId="249B24B5" w:rsidR="007E0AEE" w:rsidRPr="00AC3F05" w:rsidRDefault="00AD7520" w:rsidP="005F3B14">
            <w:pPr>
              <w:pStyle w:val="Default"/>
              <w:widowControl/>
              <w:ind w:left="567"/>
              <w:rPr>
                <w:rFonts w:eastAsia="Calibri"/>
                <w:bCs/>
                <w:sz w:val="22"/>
                <w:szCs w:val="22"/>
                <w:lang w:eastAsia="en-US"/>
              </w:rPr>
            </w:pPr>
            <w:r>
              <w:rPr>
                <w:rFonts w:eastAsia="Calibri"/>
                <w:bCs/>
                <w:sz w:val="22"/>
                <w:szCs w:val="22"/>
                <w:lang w:eastAsia="en-US"/>
              </w:rPr>
              <w:t>Valor de p</w:t>
            </w:r>
          </w:p>
        </w:tc>
        <w:tc>
          <w:tcPr>
            <w:tcW w:w="6190" w:type="dxa"/>
            <w:gridSpan w:val="2"/>
          </w:tcPr>
          <w:p w14:paraId="762B46B3" w14:textId="7710DF21" w:rsidR="007E0AEE" w:rsidRPr="00FD2F24" w:rsidRDefault="007E0AEE" w:rsidP="00AD7520">
            <w:pPr>
              <w:pStyle w:val="Default"/>
              <w:keepNext/>
              <w:widowControl/>
              <w:jc w:val="center"/>
              <w:rPr>
                <w:rFonts w:eastAsia="Calibri"/>
                <w:bCs/>
                <w:sz w:val="22"/>
                <w:szCs w:val="22"/>
                <w:lang w:eastAsia="en-US"/>
              </w:rPr>
            </w:pPr>
            <w:r w:rsidRPr="00FD2F24">
              <w:rPr>
                <w:rFonts w:eastAsia="Calibri"/>
                <w:bCs/>
                <w:sz w:val="22"/>
                <w:szCs w:val="22"/>
                <w:lang w:eastAsia="en-US"/>
              </w:rPr>
              <w:t>0</w:t>
            </w:r>
            <w:r w:rsidR="00AD7520">
              <w:rPr>
                <w:rFonts w:eastAsia="Calibri"/>
                <w:bCs/>
                <w:sz w:val="22"/>
                <w:szCs w:val="22"/>
                <w:lang w:eastAsia="en-US"/>
              </w:rPr>
              <w:t>,</w:t>
            </w:r>
            <w:r w:rsidRPr="00FD2F24">
              <w:rPr>
                <w:rFonts w:eastAsia="Calibri"/>
                <w:bCs/>
                <w:sz w:val="22"/>
                <w:szCs w:val="22"/>
                <w:lang w:eastAsia="en-US"/>
              </w:rPr>
              <w:t>0015</w:t>
            </w:r>
          </w:p>
        </w:tc>
      </w:tr>
      <w:tr w:rsidR="007E0AEE" w:rsidRPr="00E53CAB" w14:paraId="3DA41B27" w14:textId="77777777" w:rsidTr="005F3B14">
        <w:tc>
          <w:tcPr>
            <w:tcW w:w="3094" w:type="dxa"/>
          </w:tcPr>
          <w:p w14:paraId="562B4A51" w14:textId="5E20A4AA" w:rsidR="007E0AEE" w:rsidRPr="00321413" w:rsidRDefault="00AD7520" w:rsidP="005F3B14">
            <w:pPr>
              <w:pStyle w:val="Default"/>
              <w:keepNext/>
              <w:widowControl/>
              <w:rPr>
                <w:rFonts w:eastAsia="Calibri"/>
                <w:bCs/>
                <w:sz w:val="22"/>
                <w:szCs w:val="22"/>
                <w:lang w:eastAsia="en-US"/>
              </w:rPr>
            </w:pPr>
            <w:r>
              <w:rPr>
                <w:rFonts w:eastAsia="Calibri"/>
                <w:bCs/>
                <w:sz w:val="22"/>
                <w:szCs w:val="22"/>
                <w:lang w:eastAsia="en-US"/>
              </w:rPr>
              <w:t xml:space="preserve">Tasa de </w:t>
            </w:r>
            <w:proofErr w:type="spellStart"/>
            <w:r>
              <w:rPr>
                <w:rFonts w:eastAsia="Calibri"/>
                <w:bCs/>
                <w:sz w:val="22"/>
                <w:szCs w:val="22"/>
                <w:lang w:eastAsia="en-US"/>
              </w:rPr>
              <w:t>respuesta</w:t>
            </w:r>
            <w:proofErr w:type="spellEnd"/>
            <w:r>
              <w:rPr>
                <w:rFonts w:eastAsia="Calibri"/>
                <w:bCs/>
                <w:sz w:val="22"/>
                <w:szCs w:val="22"/>
                <w:lang w:eastAsia="en-US"/>
              </w:rPr>
              <w:t xml:space="preserve"> global</w:t>
            </w:r>
          </w:p>
        </w:tc>
        <w:tc>
          <w:tcPr>
            <w:tcW w:w="3095" w:type="dxa"/>
          </w:tcPr>
          <w:p w14:paraId="55CEF6A4" w14:textId="77777777" w:rsidR="007E0AEE" w:rsidRPr="00FD2F24" w:rsidRDefault="007E0AEE" w:rsidP="005F3B14">
            <w:pPr>
              <w:pStyle w:val="Default"/>
              <w:keepNext/>
              <w:widowControl/>
              <w:jc w:val="center"/>
              <w:rPr>
                <w:rFonts w:eastAsia="Calibri"/>
                <w:b/>
                <w:bCs/>
                <w:sz w:val="22"/>
                <w:szCs w:val="22"/>
                <w:lang w:eastAsia="en-US"/>
              </w:rPr>
            </w:pPr>
          </w:p>
        </w:tc>
        <w:tc>
          <w:tcPr>
            <w:tcW w:w="3095" w:type="dxa"/>
          </w:tcPr>
          <w:p w14:paraId="7FD8DD06" w14:textId="77777777" w:rsidR="007E0AEE" w:rsidRPr="00FD2F24" w:rsidRDefault="007E0AEE" w:rsidP="005F3B14">
            <w:pPr>
              <w:pStyle w:val="Default"/>
              <w:keepNext/>
              <w:widowControl/>
              <w:jc w:val="center"/>
              <w:rPr>
                <w:rFonts w:eastAsia="Calibri"/>
                <w:b/>
                <w:bCs/>
                <w:sz w:val="22"/>
                <w:szCs w:val="22"/>
                <w:lang w:eastAsia="en-US"/>
              </w:rPr>
            </w:pPr>
          </w:p>
        </w:tc>
      </w:tr>
      <w:tr w:rsidR="007E0AEE" w:rsidRPr="00E53CAB" w14:paraId="55589647" w14:textId="77777777" w:rsidTr="005F3B14">
        <w:tc>
          <w:tcPr>
            <w:tcW w:w="3094" w:type="dxa"/>
          </w:tcPr>
          <w:p w14:paraId="5BB27744" w14:textId="6E2CCF4B" w:rsidR="007E0AEE" w:rsidRPr="00AC3F05" w:rsidRDefault="00AD7520" w:rsidP="00AD7520">
            <w:pPr>
              <w:pStyle w:val="Default"/>
              <w:keepNext/>
              <w:widowControl/>
              <w:ind w:left="567"/>
              <w:rPr>
                <w:rFonts w:eastAsia="Calibri"/>
                <w:bCs/>
                <w:sz w:val="22"/>
                <w:szCs w:val="22"/>
                <w:lang w:eastAsia="en-US"/>
              </w:rPr>
            </w:pPr>
            <w:r>
              <w:rPr>
                <w:rFonts w:eastAsia="Calibri"/>
                <w:bCs/>
                <w:sz w:val="22"/>
                <w:szCs w:val="22"/>
                <w:lang w:eastAsia="en-US"/>
              </w:rPr>
              <w:t xml:space="preserve">Tasa </w:t>
            </w:r>
            <w:r w:rsidR="007E0AEE" w:rsidRPr="00AC3F05">
              <w:rPr>
                <w:rFonts w:eastAsia="Calibri"/>
                <w:bCs/>
                <w:sz w:val="22"/>
                <w:szCs w:val="22"/>
                <w:lang w:eastAsia="en-US"/>
              </w:rPr>
              <w:t>(n)</w:t>
            </w:r>
          </w:p>
        </w:tc>
        <w:tc>
          <w:tcPr>
            <w:tcW w:w="3095" w:type="dxa"/>
          </w:tcPr>
          <w:p w14:paraId="68964C35" w14:textId="2E0FEB5B" w:rsidR="007E0AEE" w:rsidRPr="00FD2F24" w:rsidRDefault="007E0AEE" w:rsidP="00AD7520">
            <w:pPr>
              <w:pStyle w:val="Default"/>
              <w:keepNext/>
              <w:widowControl/>
              <w:jc w:val="center"/>
              <w:rPr>
                <w:rFonts w:eastAsia="Calibri"/>
                <w:bCs/>
                <w:sz w:val="22"/>
                <w:szCs w:val="22"/>
                <w:lang w:eastAsia="en-US"/>
              </w:rPr>
            </w:pPr>
            <w:r w:rsidRPr="00FD2F24">
              <w:rPr>
                <w:rFonts w:eastAsia="Calibri"/>
                <w:bCs/>
                <w:sz w:val="22"/>
                <w:szCs w:val="22"/>
                <w:lang w:eastAsia="en-US"/>
              </w:rPr>
              <w:t>63</w:t>
            </w:r>
            <w:r w:rsidR="00AD7520">
              <w:rPr>
                <w:rFonts w:eastAsia="Calibri"/>
                <w:bCs/>
                <w:sz w:val="22"/>
                <w:szCs w:val="22"/>
                <w:lang w:eastAsia="en-US"/>
              </w:rPr>
              <w:t>,</w:t>
            </w:r>
            <w:r w:rsidRPr="00FD2F24">
              <w:rPr>
                <w:rFonts w:eastAsia="Calibri"/>
                <w:bCs/>
                <w:sz w:val="22"/>
                <w:szCs w:val="22"/>
                <w:lang w:eastAsia="en-US"/>
              </w:rPr>
              <w:t>6% (49)</w:t>
            </w:r>
          </w:p>
        </w:tc>
        <w:tc>
          <w:tcPr>
            <w:tcW w:w="3095" w:type="dxa"/>
          </w:tcPr>
          <w:p w14:paraId="68F68BA8" w14:textId="5E06ACA2" w:rsidR="007E0AEE" w:rsidRPr="00FD2F24" w:rsidRDefault="007E0AEE" w:rsidP="00AD7520">
            <w:pPr>
              <w:pStyle w:val="Default"/>
              <w:keepNext/>
              <w:widowControl/>
              <w:jc w:val="center"/>
              <w:rPr>
                <w:rFonts w:eastAsia="Calibri"/>
                <w:bCs/>
                <w:sz w:val="22"/>
                <w:szCs w:val="22"/>
                <w:lang w:eastAsia="en-US"/>
              </w:rPr>
            </w:pPr>
            <w:r w:rsidRPr="00FD2F24">
              <w:rPr>
                <w:rFonts w:eastAsia="Calibri"/>
                <w:bCs/>
                <w:sz w:val="22"/>
                <w:szCs w:val="22"/>
                <w:lang w:eastAsia="en-US"/>
              </w:rPr>
              <w:t>69</w:t>
            </w:r>
            <w:r w:rsidR="00AD7520">
              <w:rPr>
                <w:rFonts w:eastAsia="Calibri"/>
                <w:bCs/>
                <w:sz w:val="22"/>
                <w:szCs w:val="22"/>
                <w:lang w:eastAsia="en-US"/>
              </w:rPr>
              <w:t>,</w:t>
            </w:r>
            <w:r w:rsidRPr="00FD2F24">
              <w:rPr>
                <w:rFonts w:eastAsia="Calibri"/>
                <w:bCs/>
                <w:sz w:val="22"/>
                <w:szCs w:val="22"/>
                <w:lang w:eastAsia="en-US"/>
              </w:rPr>
              <w:t>3% (52)</w:t>
            </w:r>
          </w:p>
        </w:tc>
      </w:tr>
      <w:tr w:rsidR="007E0AEE" w:rsidRPr="00E53CAB" w14:paraId="4693AD5D" w14:textId="77777777" w:rsidTr="005F3B14">
        <w:tc>
          <w:tcPr>
            <w:tcW w:w="3094" w:type="dxa"/>
          </w:tcPr>
          <w:p w14:paraId="428A115D" w14:textId="6BE5AF40" w:rsidR="007E0AEE" w:rsidRPr="00AC3F05" w:rsidRDefault="00AD7520" w:rsidP="005F3B14">
            <w:pPr>
              <w:pStyle w:val="Default"/>
              <w:keepNext/>
              <w:widowControl/>
              <w:ind w:left="567"/>
              <w:rPr>
                <w:rFonts w:eastAsia="Calibri"/>
                <w:bCs/>
                <w:sz w:val="22"/>
                <w:szCs w:val="22"/>
                <w:lang w:eastAsia="en-US"/>
              </w:rPr>
            </w:pPr>
            <w:r>
              <w:rPr>
                <w:rFonts w:eastAsia="Calibri"/>
                <w:bCs/>
                <w:sz w:val="22"/>
                <w:szCs w:val="22"/>
                <w:lang w:eastAsia="en-US"/>
              </w:rPr>
              <w:t>Valor de p</w:t>
            </w:r>
          </w:p>
        </w:tc>
        <w:tc>
          <w:tcPr>
            <w:tcW w:w="6190" w:type="dxa"/>
            <w:gridSpan w:val="2"/>
          </w:tcPr>
          <w:p w14:paraId="45C8E205" w14:textId="0A9C5010" w:rsidR="007E0AEE" w:rsidRPr="00FD2F24" w:rsidRDefault="007E0AEE" w:rsidP="00AD7520">
            <w:pPr>
              <w:pStyle w:val="Default"/>
              <w:keepNext/>
              <w:widowControl/>
              <w:jc w:val="center"/>
              <w:rPr>
                <w:rFonts w:eastAsia="Calibri"/>
                <w:bCs/>
                <w:sz w:val="22"/>
                <w:szCs w:val="22"/>
                <w:lang w:eastAsia="en-US"/>
              </w:rPr>
            </w:pPr>
            <w:r w:rsidRPr="00FD2F24">
              <w:rPr>
                <w:rFonts w:eastAsia="Calibri"/>
                <w:bCs/>
                <w:sz w:val="22"/>
                <w:szCs w:val="22"/>
                <w:lang w:eastAsia="en-US"/>
              </w:rPr>
              <w:t>0</w:t>
            </w:r>
            <w:r w:rsidR="00AD7520">
              <w:rPr>
                <w:rFonts w:eastAsia="Calibri"/>
                <w:bCs/>
                <w:sz w:val="22"/>
                <w:szCs w:val="22"/>
                <w:lang w:eastAsia="en-US"/>
              </w:rPr>
              <w:t>,</w:t>
            </w:r>
            <w:r w:rsidRPr="00FD2F24">
              <w:rPr>
                <w:rFonts w:eastAsia="Calibri"/>
                <w:bCs/>
                <w:sz w:val="22"/>
                <w:szCs w:val="22"/>
                <w:lang w:eastAsia="en-US"/>
              </w:rPr>
              <w:t>4951</w:t>
            </w:r>
          </w:p>
        </w:tc>
      </w:tr>
      <w:tr w:rsidR="007E0AEE" w:rsidRPr="00E53CAB" w14:paraId="086BE7DD" w14:textId="77777777" w:rsidTr="005F3B14">
        <w:tc>
          <w:tcPr>
            <w:tcW w:w="3094" w:type="dxa"/>
          </w:tcPr>
          <w:p w14:paraId="2A6E9091" w14:textId="68ABE0C0" w:rsidR="007E0AEE" w:rsidRPr="00321413" w:rsidRDefault="00AD7520" w:rsidP="00AD7520">
            <w:pPr>
              <w:pStyle w:val="Default"/>
              <w:widowControl/>
              <w:rPr>
                <w:rFonts w:eastAsia="Calibri"/>
                <w:bCs/>
                <w:sz w:val="22"/>
                <w:szCs w:val="22"/>
                <w:lang w:eastAsia="en-US"/>
              </w:rPr>
            </w:pPr>
            <w:proofErr w:type="spellStart"/>
            <w:r>
              <w:rPr>
                <w:rFonts w:eastAsia="Calibri"/>
                <w:bCs/>
                <w:sz w:val="22"/>
                <w:szCs w:val="22"/>
                <w:lang w:eastAsia="en-US"/>
              </w:rPr>
              <w:t>Supervivencia</w:t>
            </w:r>
            <w:proofErr w:type="spellEnd"/>
            <w:r>
              <w:rPr>
                <w:rFonts w:eastAsia="Calibri"/>
                <w:bCs/>
                <w:sz w:val="22"/>
                <w:szCs w:val="22"/>
                <w:lang w:eastAsia="en-US"/>
              </w:rPr>
              <w:t xml:space="preserve"> global</w:t>
            </w:r>
            <w:r w:rsidR="007E0AEE" w:rsidRPr="00321413">
              <w:rPr>
                <w:rFonts w:eastAsia="Calibri"/>
                <w:bCs/>
                <w:sz w:val="22"/>
                <w:szCs w:val="22"/>
                <w:lang w:eastAsia="en-US"/>
              </w:rPr>
              <w:t>* (m</w:t>
            </w:r>
            <w:r>
              <w:rPr>
                <w:rFonts w:eastAsia="Calibri"/>
                <w:bCs/>
                <w:sz w:val="22"/>
                <w:szCs w:val="22"/>
                <w:lang w:eastAsia="en-US"/>
              </w:rPr>
              <w:t>eses</w:t>
            </w:r>
            <w:r w:rsidR="007E0AEE" w:rsidRPr="00321413">
              <w:rPr>
                <w:rFonts w:eastAsia="Calibri"/>
                <w:bCs/>
                <w:sz w:val="22"/>
                <w:szCs w:val="22"/>
                <w:lang w:eastAsia="en-US"/>
              </w:rPr>
              <w:t>)</w:t>
            </w:r>
          </w:p>
        </w:tc>
        <w:tc>
          <w:tcPr>
            <w:tcW w:w="3095" w:type="dxa"/>
          </w:tcPr>
          <w:p w14:paraId="6EACE4F6" w14:textId="77777777" w:rsidR="007E0AEE" w:rsidRPr="00FD2F24" w:rsidRDefault="007E0AEE" w:rsidP="005F3B14">
            <w:pPr>
              <w:pStyle w:val="Default"/>
              <w:widowControl/>
              <w:jc w:val="center"/>
              <w:rPr>
                <w:rFonts w:eastAsia="Calibri"/>
                <w:b/>
                <w:bCs/>
                <w:sz w:val="22"/>
                <w:szCs w:val="22"/>
                <w:lang w:eastAsia="en-US"/>
              </w:rPr>
            </w:pPr>
          </w:p>
        </w:tc>
        <w:tc>
          <w:tcPr>
            <w:tcW w:w="3095" w:type="dxa"/>
          </w:tcPr>
          <w:p w14:paraId="79D8ACD9" w14:textId="77777777" w:rsidR="007E0AEE" w:rsidRPr="00FD2F24" w:rsidRDefault="007E0AEE" w:rsidP="005F3B14">
            <w:pPr>
              <w:pStyle w:val="Default"/>
              <w:widowControl/>
              <w:jc w:val="center"/>
              <w:rPr>
                <w:rFonts w:eastAsia="Calibri"/>
                <w:b/>
                <w:bCs/>
                <w:sz w:val="22"/>
                <w:szCs w:val="22"/>
                <w:lang w:eastAsia="en-US"/>
              </w:rPr>
            </w:pPr>
          </w:p>
        </w:tc>
      </w:tr>
      <w:tr w:rsidR="007E0AEE" w:rsidRPr="00E53CAB" w14:paraId="42BD6A44" w14:textId="77777777" w:rsidTr="005F3B14">
        <w:tc>
          <w:tcPr>
            <w:tcW w:w="3094" w:type="dxa"/>
          </w:tcPr>
          <w:p w14:paraId="2EAAB379" w14:textId="24DA019D" w:rsidR="007E0AEE" w:rsidRPr="00AC3F05" w:rsidRDefault="007E0AEE" w:rsidP="005F3B14">
            <w:pPr>
              <w:pStyle w:val="Default"/>
              <w:widowControl/>
              <w:ind w:left="567"/>
              <w:rPr>
                <w:rFonts w:eastAsia="Calibri"/>
                <w:bCs/>
                <w:sz w:val="22"/>
                <w:szCs w:val="22"/>
                <w:lang w:eastAsia="en-US"/>
              </w:rPr>
            </w:pPr>
            <w:r w:rsidRPr="00AC3F05">
              <w:rPr>
                <w:rFonts w:eastAsia="Calibri"/>
                <w:bCs/>
                <w:sz w:val="22"/>
                <w:szCs w:val="22"/>
                <w:lang w:eastAsia="en-US"/>
              </w:rPr>
              <w:t>Median</w:t>
            </w:r>
            <w:r w:rsidR="00AD7520">
              <w:rPr>
                <w:rFonts w:eastAsia="Calibri"/>
                <w:bCs/>
                <w:sz w:val="22"/>
                <w:szCs w:val="22"/>
                <w:lang w:eastAsia="en-US"/>
              </w:rPr>
              <w:t>a</w:t>
            </w:r>
          </w:p>
        </w:tc>
        <w:tc>
          <w:tcPr>
            <w:tcW w:w="3095" w:type="dxa"/>
          </w:tcPr>
          <w:p w14:paraId="65B3E68C" w14:textId="06489F45" w:rsidR="007E0AEE" w:rsidRPr="00955FE7" w:rsidRDefault="007E0AEE" w:rsidP="00AD7520">
            <w:pPr>
              <w:pStyle w:val="Default"/>
              <w:widowControl/>
              <w:jc w:val="center"/>
              <w:rPr>
                <w:rFonts w:eastAsia="Calibri"/>
                <w:bCs/>
                <w:sz w:val="22"/>
                <w:szCs w:val="22"/>
                <w:lang w:eastAsia="en-US"/>
              </w:rPr>
            </w:pPr>
            <w:r w:rsidRPr="00955FE7">
              <w:rPr>
                <w:rFonts w:eastAsia="Calibri"/>
                <w:bCs/>
                <w:sz w:val="22"/>
                <w:szCs w:val="22"/>
                <w:lang w:eastAsia="en-US"/>
              </w:rPr>
              <w:t>47</w:t>
            </w:r>
            <w:r w:rsidR="00AD7520">
              <w:rPr>
                <w:rFonts w:eastAsia="Calibri"/>
                <w:bCs/>
                <w:sz w:val="22"/>
                <w:szCs w:val="22"/>
                <w:lang w:eastAsia="en-US"/>
              </w:rPr>
              <w:t>,</w:t>
            </w:r>
            <w:r w:rsidRPr="00955FE7">
              <w:rPr>
                <w:rFonts w:eastAsia="Calibri"/>
                <w:bCs/>
                <w:sz w:val="22"/>
                <w:szCs w:val="22"/>
                <w:lang w:eastAsia="en-US"/>
              </w:rPr>
              <w:t>4</w:t>
            </w:r>
          </w:p>
        </w:tc>
        <w:tc>
          <w:tcPr>
            <w:tcW w:w="3095" w:type="dxa"/>
          </w:tcPr>
          <w:p w14:paraId="41A06E8A" w14:textId="2B7BCA79" w:rsidR="007E0AEE" w:rsidRPr="00C64096" w:rsidRDefault="007E0AEE" w:rsidP="00AD7520">
            <w:pPr>
              <w:pStyle w:val="Default"/>
              <w:widowControl/>
              <w:jc w:val="center"/>
              <w:rPr>
                <w:rFonts w:eastAsia="Calibri"/>
                <w:bCs/>
                <w:sz w:val="22"/>
                <w:szCs w:val="22"/>
                <w:lang w:eastAsia="en-US"/>
              </w:rPr>
            </w:pPr>
            <w:r w:rsidRPr="00B0616C">
              <w:rPr>
                <w:rFonts w:eastAsia="Calibri"/>
                <w:bCs/>
                <w:sz w:val="22"/>
                <w:szCs w:val="22"/>
                <w:lang w:eastAsia="en-US"/>
              </w:rPr>
              <w:t>47</w:t>
            </w:r>
            <w:r w:rsidR="00AD7520" w:rsidRPr="00B0616C">
              <w:rPr>
                <w:rFonts w:eastAsia="Calibri"/>
                <w:bCs/>
                <w:sz w:val="22"/>
                <w:szCs w:val="22"/>
                <w:lang w:eastAsia="en-US"/>
              </w:rPr>
              <w:t>,</w:t>
            </w:r>
            <w:r w:rsidRPr="00C64096">
              <w:rPr>
                <w:rFonts w:eastAsia="Calibri"/>
                <w:bCs/>
                <w:sz w:val="22"/>
                <w:szCs w:val="22"/>
                <w:lang w:eastAsia="en-US"/>
              </w:rPr>
              <w:t>0</w:t>
            </w:r>
          </w:p>
        </w:tc>
      </w:tr>
      <w:tr w:rsidR="007E0AEE" w:rsidRPr="00E53CAB" w14:paraId="4B1FD449" w14:textId="77777777" w:rsidTr="005F3B14">
        <w:tc>
          <w:tcPr>
            <w:tcW w:w="3094" w:type="dxa"/>
          </w:tcPr>
          <w:p w14:paraId="77A28D23" w14:textId="301D9766" w:rsidR="007E0AEE" w:rsidRPr="00AC3F05" w:rsidRDefault="007E0AEE" w:rsidP="00AD7520">
            <w:pPr>
              <w:pStyle w:val="Default"/>
              <w:widowControl/>
              <w:ind w:left="567"/>
              <w:rPr>
                <w:rFonts w:eastAsia="Calibri"/>
                <w:bCs/>
                <w:sz w:val="22"/>
                <w:szCs w:val="22"/>
                <w:lang w:eastAsia="en-US"/>
              </w:rPr>
            </w:pPr>
            <w:r w:rsidRPr="00AC3F05">
              <w:rPr>
                <w:rFonts w:eastAsia="Calibri"/>
                <w:bCs/>
                <w:sz w:val="22"/>
                <w:szCs w:val="22"/>
                <w:lang w:eastAsia="en-US"/>
              </w:rPr>
              <w:t>HR (</w:t>
            </w:r>
            <w:r w:rsidR="00AD7520">
              <w:rPr>
                <w:rFonts w:eastAsia="Calibri"/>
                <w:bCs/>
                <w:sz w:val="22"/>
                <w:szCs w:val="22"/>
                <w:lang w:eastAsia="en-US"/>
              </w:rPr>
              <w:t>IC del 95%</w:t>
            </w:r>
            <w:r w:rsidRPr="00AC3F05">
              <w:rPr>
                <w:rFonts w:eastAsia="Calibri"/>
                <w:bCs/>
                <w:sz w:val="22"/>
                <w:szCs w:val="22"/>
                <w:lang w:eastAsia="en-US"/>
              </w:rPr>
              <w:t>)</w:t>
            </w:r>
          </w:p>
        </w:tc>
        <w:tc>
          <w:tcPr>
            <w:tcW w:w="6190" w:type="dxa"/>
            <w:gridSpan w:val="2"/>
          </w:tcPr>
          <w:p w14:paraId="320D8122" w14:textId="45151FA9" w:rsidR="007E0AEE" w:rsidRPr="00955FE7" w:rsidRDefault="007E0AEE" w:rsidP="00AD7520">
            <w:pPr>
              <w:pStyle w:val="Default"/>
              <w:widowControl/>
              <w:jc w:val="center"/>
              <w:rPr>
                <w:rFonts w:eastAsia="Calibri"/>
                <w:bCs/>
                <w:sz w:val="22"/>
                <w:szCs w:val="22"/>
                <w:lang w:eastAsia="en-US"/>
              </w:rPr>
            </w:pPr>
            <w:r w:rsidRPr="00955FE7">
              <w:rPr>
                <w:rFonts w:eastAsia="Calibri"/>
                <w:bCs/>
                <w:sz w:val="22"/>
                <w:szCs w:val="22"/>
                <w:lang w:eastAsia="en-US"/>
              </w:rPr>
              <w:t>0</w:t>
            </w:r>
            <w:r w:rsidR="00AD7520">
              <w:rPr>
                <w:rFonts w:eastAsia="Calibri"/>
                <w:bCs/>
                <w:sz w:val="22"/>
                <w:szCs w:val="22"/>
                <w:lang w:eastAsia="en-US"/>
              </w:rPr>
              <w:t>,</w:t>
            </w:r>
            <w:r w:rsidRPr="00955FE7">
              <w:rPr>
                <w:rFonts w:eastAsia="Calibri"/>
                <w:bCs/>
                <w:sz w:val="22"/>
                <w:szCs w:val="22"/>
                <w:lang w:eastAsia="en-US"/>
              </w:rPr>
              <w:t>81 (0</w:t>
            </w:r>
            <w:r w:rsidR="00AD7520">
              <w:rPr>
                <w:rFonts w:eastAsia="Calibri"/>
                <w:bCs/>
                <w:sz w:val="22"/>
                <w:szCs w:val="22"/>
                <w:lang w:eastAsia="en-US"/>
              </w:rPr>
              <w:t>,</w:t>
            </w:r>
            <w:r w:rsidRPr="00955FE7">
              <w:rPr>
                <w:rFonts w:eastAsia="Calibri"/>
                <w:bCs/>
                <w:sz w:val="22"/>
                <w:szCs w:val="22"/>
                <w:lang w:eastAsia="en-US"/>
              </w:rPr>
              <w:t>53; 1</w:t>
            </w:r>
            <w:r w:rsidR="00AD7520">
              <w:rPr>
                <w:rFonts w:eastAsia="Calibri"/>
                <w:bCs/>
                <w:sz w:val="22"/>
                <w:szCs w:val="22"/>
                <w:lang w:eastAsia="en-US"/>
              </w:rPr>
              <w:t>,</w:t>
            </w:r>
            <w:r w:rsidRPr="00955FE7">
              <w:rPr>
                <w:rFonts w:eastAsia="Calibri"/>
                <w:bCs/>
                <w:sz w:val="22"/>
                <w:szCs w:val="22"/>
                <w:lang w:eastAsia="en-US"/>
              </w:rPr>
              <w:t>23)</w:t>
            </w:r>
          </w:p>
        </w:tc>
      </w:tr>
      <w:tr w:rsidR="007E0AEE" w:rsidRPr="00E53CAB" w14:paraId="1952DD59" w14:textId="77777777" w:rsidTr="005F3B14">
        <w:tc>
          <w:tcPr>
            <w:tcW w:w="3094" w:type="dxa"/>
          </w:tcPr>
          <w:p w14:paraId="1F1FD3AE" w14:textId="25CC88A7" w:rsidR="007E0AEE" w:rsidRPr="00AC3F05" w:rsidRDefault="00AD7520" w:rsidP="005F3B14">
            <w:pPr>
              <w:pStyle w:val="Default"/>
              <w:widowControl/>
              <w:ind w:left="567"/>
              <w:rPr>
                <w:rFonts w:eastAsia="Calibri"/>
                <w:bCs/>
                <w:sz w:val="22"/>
                <w:szCs w:val="22"/>
                <w:lang w:eastAsia="en-US"/>
              </w:rPr>
            </w:pPr>
            <w:r>
              <w:rPr>
                <w:rFonts w:eastAsia="Calibri"/>
                <w:bCs/>
                <w:sz w:val="22"/>
                <w:szCs w:val="22"/>
                <w:lang w:eastAsia="en-US"/>
              </w:rPr>
              <w:t>Valor de p</w:t>
            </w:r>
          </w:p>
        </w:tc>
        <w:tc>
          <w:tcPr>
            <w:tcW w:w="6190" w:type="dxa"/>
            <w:gridSpan w:val="2"/>
          </w:tcPr>
          <w:p w14:paraId="230887EA" w14:textId="5FA2AC8A" w:rsidR="007E0AEE" w:rsidRPr="00955FE7" w:rsidRDefault="007E0AEE" w:rsidP="00AD7520">
            <w:pPr>
              <w:pStyle w:val="Default"/>
              <w:widowControl/>
              <w:jc w:val="center"/>
              <w:rPr>
                <w:rFonts w:eastAsia="Calibri"/>
                <w:bCs/>
                <w:sz w:val="22"/>
                <w:szCs w:val="22"/>
                <w:lang w:eastAsia="en-US"/>
              </w:rPr>
            </w:pPr>
            <w:r w:rsidRPr="00955FE7">
              <w:rPr>
                <w:rFonts w:eastAsia="Calibri"/>
                <w:bCs/>
                <w:sz w:val="22"/>
                <w:szCs w:val="22"/>
                <w:lang w:eastAsia="en-US"/>
              </w:rPr>
              <w:t>0</w:t>
            </w:r>
            <w:r w:rsidR="00AD7520">
              <w:rPr>
                <w:rFonts w:eastAsia="Calibri"/>
                <w:bCs/>
                <w:sz w:val="22"/>
                <w:szCs w:val="22"/>
                <w:lang w:eastAsia="en-US"/>
              </w:rPr>
              <w:t>,</w:t>
            </w:r>
            <w:r w:rsidRPr="00955FE7">
              <w:rPr>
                <w:rFonts w:eastAsia="Calibri"/>
                <w:bCs/>
                <w:sz w:val="22"/>
                <w:szCs w:val="22"/>
                <w:lang w:eastAsia="en-US"/>
              </w:rPr>
              <w:t>3267</w:t>
            </w:r>
          </w:p>
        </w:tc>
      </w:tr>
    </w:tbl>
    <w:p w14:paraId="1B0261CC" w14:textId="502C2B3B" w:rsidR="007E0AEE" w:rsidRPr="005F3B14" w:rsidRDefault="007E0AEE" w:rsidP="007E0AEE">
      <w:pPr>
        <w:pStyle w:val="Default"/>
        <w:widowControl/>
        <w:ind w:left="567" w:hanging="567"/>
        <w:rPr>
          <w:rFonts w:eastAsia="Calibri"/>
          <w:bCs/>
          <w:sz w:val="20"/>
          <w:szCs w:val="22"/>
          <w:lang w:val="es-ES" w:eastAsia="en-US"/>
        </w:rPr>
      </w:pPr>
      <w:r w:rsidRPr="005F3B14">
        <w:rPr>
          <w:rFonts w:eastAsia="Calibri"/>
          <w:bCs/>
          <w:sz w:val="20"/>
          <w:szCs w:val="22"/>
          <w:vertAlign w:val="superscript"/>
          <w:lang w:val="es-ES" w:eastAsia="en-US"/>
        </w:rPr>
        <w:t>#</w:t>
      </w:r>
      <w:r w:rsidRPr="005F3B14">
        <w:rPr>
          <w:rFonts w:eastAsia="Calibri"/>
          <w:bCs/>
          <w:sz w:val="20"/>
          <w:szCs w:val="22"/>
          <w:lang w:val="es-ES" w:eastAsia="en-US"/>
        </w:rPr>
        <w:t xml:space="preserve"> </w:t>
      </w:r>
      <w:r w:rsidRPr="005F3B14">
        <w:rPr>
          <w:rFonts w:eastAsia="Calibri"/>
          <w:bCs/>
          <w:sz w:val="20"/>
          <w:szCs w:val="22"/>
          <w:lang w:val="es-ES" w:eastAsia="en-US"/>
        </w:rPr>
        <w:tab/>
      </w:r>
      <w:r w:rsidR="00AD7520" w:rsidRPr="005F3B14">
        <w:rPr>
          <w:rFonts w:eastAsia="Calibri"/>
          <w:bCs/>
          <w:sz w:val="20"/>
          <w:szCs w:val="22"/>
          <w:lang w:val="es-ES" w:eastAsia="en-US"/>
        </w:rPr>
        <w:t>Se aleatorizó un total de 1</w:t>
      </w:r>
      <w:r w:rsidRPr="005F3B14">
        <w:rPr>
          <w:rFonts w:eastAsia="Calibri"/>
          <w:bCs/>
          <w:sz w:val="20"/>
          <w:szCs w:val="22"/>
          <w:lang w:val="es-ES" w:eastAsia="en-US"/>
        </w:rPr>
        <w:t>54 pa</w:t>
      </w:r>
      <w:r w:rsidR="00AD7520" w:rsidRPr="005F3B14">
        <w:rPr>
          <w:rFonts w:eastAsia="Calibri"/>
          <w:bCs/>
          <w:sz w:val="20"/>
          <w:szCs w:val="22"/>
          <w:lang w:val="es-ES" w:eastAsia="en-US"/>
        </w:rPr>
        <w:t>cientes</w:t>
      </w:r>
      <w:r w:rsidRPr="005F3B14">
        <w:rPr>
          <w:rFonts w:eastAsia="Calibri"/>
          <w:bCs/>
          <w:sz w:val="20"/>
          <w:szCs w:val="22"/>
          <w:lang w:val="es-ES" w:eastAsia="en-US"/>
        </w:rPr>
        <w:t xml:space="preserve"> </w:t>
      </w:r>
      <w:r w:rsidR="00AD7520" w:rsidRPr="005F3B14">
        <w:rPr>
          <w:sz w:val="20"/>
          <w:szCs w:val="20"/>
          <w:lang w:val="es-ES"/>
        </w:rPr>
        <w:t>(Estado Funcional ECOG 0 o 1). Sin embargo, dos de los pacientes aleatorizados interrumpieron el estudio antes de recibir algún tratamiento.</w:t>
      </w:r>
    </w:p>
    <w:p w14:paraId="456E8702" w14:textId="094675D0" w:rsidR="007E0AEE" w:rsidRPr="005F3B14" w:rsidRDefault="007E0AEE" w:rsidP="007E0AEE">
      <w:pPr>
        <w:pStyle w:val="Default"/>
        <w:widowControl/>
        <w:ind w:left="567" w:hanging="567"/>
        <w:rPr>
          <w:rFonts w:eastAsia="Calibri"/>
          <w:bCs/>
          <w:sz w:val="20"/>
          <w:szCs w:val="22"/>
          <w:lang w:val="es-ES" w:eastAsia="en-US"/>
        </w:rPr>
      </w:pPr>
      <w:r w:rsidRPr="005F3B14">
        <w:rPr>
          <w:rFonts w:eastAsia="Calibri"/>
          <w:bCs/>
          <w:sz w:val="20"/>
          <w:szCs w:val="22"/>
          <w:lang w:val="es-ES" w:eastAsia="en-US"/>
        </w:rPr>
        <w:t xml:space="preserve">^ </w:t>
      </w:r>
      <w:r w:rsidRPr="005F3B14">
        <w:rPr>
          <w:rFonts w:eastAsia="Calibri"/>
          <w:bCs/>
          <w:sz w:val="20"/>
          <w:szCs w:val="22"/>
          <w:lang w:val="es-ES" w:eastAsia="en-US"/>
        </w:rPr>
        <w:tab/>
      </w:r>
      <w:r w:rsidR="00AD7520" w:rsidRPr="005F3B14">
        <w:rPr>
          <w:sz w:val="20"/>
          <w:szCs w:val="20"/>
          <w:lang w:val="es-ES"/>
        </w:rPr>
        <w:t>Revisión independiente ciega (análisis primario definido por protocolo)</w:t>
      </w:r>
      <w:r w:rsidRPr="005F3B14">
        <w:rPr>
          <w:rFonts w:eastAsia="Calibri"/>
          <w:bCs/>
          <w:sz w:val="20"/>
          <w:szCs w:val="22"/>
          <w:lang w:val="es-ES" w:eastAsia="en-US"/>
        </w:rPr>
        <w:t>.</w:t>
      </w:r>
    </w:p>
    <w:p w14:paraId="36263A33" w14:textId="6749FB35" w:rsidR="007E0AEE" w:rsidRDefault="007E0AEE" w:rsidP="005F3B14">
      <w:pPr>
        <w:pStyle w:val="Default"/>
        <w:widowControl/>
        <w:ind w:left="567" w:hanging="567"/>
        <w:rPr>
          <w:sz w:val="20"/>
          <w:szCs w:val="20"/>
          <w:lang w:val="es-ES"/>
        </w:rPr>
      </w:pPr>
      <w:r w:rsidRPr="005F3B14">
        <w:rPr>
          <w:rFonts w:eastAsia="Calibri"/>
          <w:bCs/>
          <w:sz w:val="20"/>
          <w:szCs w:val="22"/>
          <w:lang w:val="es-ES" w:eastAsia="en-US"/>
        </w:rPr>
        <w:t xml:space="preserve">* </w:t>
      </w:r>
      <w:r w:rsidRPr="005F3B14">
        <w:rPr>
          <w:rFonts w:eastAsia="Calibri"/>
          <w:bCs/>
          <w:sz w:val="20"/>
          <w:szCs w:val="22"/>
          <w:lang w:val="es-ES" w:eastAsia="en-US"/>
        </w:rPr>
        <w:tab/>
      </w:r>
      <w:r w:rsidR="00AD7520" w:rsidRPr="005F3B14">
        <w:rPr>
          <w:sz w:val="20"/>
          <w:szCs w:val="20"/>
          <w:lang w:val="es-ES"/>
        </w:rPr>
        <w:t xml:space="preserve">Análisis exploratorio; </w:t>
      </w:r>
      <w:r w:rsidR="00EA7473" w:rsidRPr="00EA7473">
        <w:rPr>
          <w:sz w:val="20"/>
          <w:szCs w:val="20"/>
          <w:lang w:val="es-ES"/>
        </w:rPr>
        <w:t>e</w:t>
      </w:r>
      <w:r w:rsidR="00AD7520" w:rsidRPr="00EA7473">
        <w:rPr>
          <w:sz w:val="20"/>
          <w:szCs w:val="20"/>
          <w:lang w:val="es-ES"/>
        </w:rPr>
        <w:t>n</w:t>
      </w:r>
      <w:r w:rsidR="00AD7520" w:rsidRPr="005F3B14">
        <w:rPr>
          <w:sz w:val="20"/>
          <w:szCs w:val="20"/>
          <w:lang w:val="es-ES"/>
        </w:rPr>
        <w:t xml:space="preserve"> el análisis final de SG actualizado con fecha de corte 31 de octubre de 2017, el 59% de los pacientes habían fallecido.</w:t>
      </w:r>
    </w:p>
    <w:p w14:paraId="23DC4F34" w14:textId="77777777" w:rsidR="00AD7520" w:rsidRPr="005F3B14" w:rsidRDefault="00AD7520" w:rsidP="005F3B14">
      <w:pPr>
        <w:pStyle w:val="Default"/>
        <w:widowControl/>
        <w:ind w:left="567" w:hanging="567"/>
        <w:rPr>
          <w:rFonts w:eastAsia="Calibri"/>
          <w:bCs/>
          <w:sz w:val="20"/>
          <w:szCs w:val="22"/>
          <w:lang w:val="es-ES" w:eastAsia="en-US"/>
        </w:rPr>
      </w:pPr>
    </w:p>
    <w:p w14:paraId="351994A1" w14:textId="4F7352FF" w:rsidR="007E0AEE" w:rsidRPr="005F3B14" w:rsidRDefault="00AD7520" w:rsidP="005F3B14">
      <w:pPr>
        <w:pStyle w:val="Default"/>
        <w:widowControl/>
        <w:rPr>
          <w:rFonts w:eastAsia="Calibri"/>
          <w:bCs/>
          <w:sz w:val="20"/>
          <w:lang w:val="es-ES" w:eastAsia="en-US"/>
        </w:rPr>
      </w:pPr>
      <w:r w:rsidRPr="005F3B14">
        <w:rPr>
          <w:sz w:val="20"/>
          <w:szCs w:val="20"/>
          <w:lang w:val="es-ES"/>
        </w:rPr>
        <w:t>IC, intervalo de confianza, HR Hazard ratio no estratificado del análisis de regresión de Cox; NA, no alcanzado.</w:t>
      </w:r>
    </w:p>
    <w:p w14:paraId="3B372F4B" w14:textId="77777777" w:rsidR="007E0AEE" w:rsidRPr="00AD7520" w:rsidRDefault="007E0AEE" w:rsidP="00FB24C0">
      <w:pPr>
        <w:spacing w:after="0" w:line="240" w:lineRule="auto"/>
        <w:ind w:left="0" w:firstLine="0"/>
        <w:rPr>
          <w:color w:val="auto"/>
          <w:lang w:val="es-ES"/>
        </w:rPr>
      </w:pPr>
    </w:p>
    <w:p w14:paraId="5557DAE2" w14:textId="77777777" w:rsidR="00FB24C0" w:rsidRPr="006D57F0" w:rsidRDefault="00FB24C0" w:rsidP="00FB24C0">
      <w:pPr>
        <w:keepNext/>
        <w:spacing w:after="0" w:line="240" w:lineRule="auto"/>
        <w:ind w:left="0" w:firstLine="0"/>
        <w:rPr>
          <w:i/>
          <w:color w:val="auto"/>
          <w:lang w:val="es-ES"/>
        </w:rPr>
      </w:pPr>
      <w:r w:rsidRPr="006D57F0">
        <w:rPr>
          <w:i/>
          <w:color w:val="auto"/>
          <w:u w:val="single" w:color="000000"/>
          <w:lang w:val="es-ES"/>
        </w:rPr>
        <w:t>Cáncer de células renales avanzado y/o metastásico (</w:t>
      </w:r>
      <w:proofErr w:type="spellStart"/>
      <w:r w:rsidRPr="006D57F0">
        <w:rPr>
          <w:i/>
          <w:color w:val="auto"/>
          <w:u w:val="single" w:color="000000"/>
          <w:lang w:val="es-ES"/>
        </w:rPr>
        <w:t>CRm</w:t>
      </w:r>
      <w:proofErr w:type="spellEnd"/>
      <w:r w:rsidRPr="006D57F0">
        <w:rPr>
          <w:i/>
          <w:color w:val="auto"/>
          <w:u w:val="single" w:color="000000"/>
          <w:lang w:val="es-ES"/>
        </w:rPr>
        <w:t>)</w:t>
      </w:r>
    </w:p>
    <w:p w14:paraId="2674F82E" w14:textId="77777777" w:rsidR="00FB24C0" w:rsidRPr="006D57F0" w:rsidRDefault="00FB24C0" w:rsidP="00FB24C0">
      <w:pPr>
        <w:keepNext/>
        <w:spacing w:after="0" w:line="240" w:lineRule="auto"/>
        <w:ind w:left="0" w:firstLine="0"/>
        <w:rPr>
          <w:color w:val="auto"/>
          <w:lang w:val="es-ES"/>
        </w:rPr>
      </w:pPr>
    </w:p>
    <w:p w14:paraId="7061BBA6" w14:textId="77777777" w:rsidR="00FB24C0" w:rsidRPr="006D57F0" w:rsidRDefault="00635DED" w:rsidP="00192387">
      <w:pPr>
        <w:keepNext/>
        <w:spacing w:after="0" w:line="240" w:lineRule="auto"/>
        <w:ind w:left="0" w:firstLine="0"/>
        <w:rPr>
          <w:i/>
          <w:color w:val="auto"/>
          <w:lang w:val="es-ES"/>
        </w:rPr>
      </w:pPr>
      <w:r w:rsidRPr="00D1096C">
        <w:rPr>
          <w:i/>
          <w:lang w:val="es-ES"/>
        </w:rPr>
        <w:t>Bevacizumab</w:t>
      </w:r>
      <w:r w:rsidR="00FB24C0" w:rsidRPr="006D57F0">
        <w:rPr>
          <w:i/>
          <w:color w:val="auto"/>
          <w:lang w:val="es-ES"/>
        </w:rPr>
        <w:t xml:space="preserve"> en combinación con interferón alfa-2a para el tratamiento en primera línea del cáncer de células renales avanzado y/o metastásico (BO17705)</w:t>
      </w:r>
    </w:p>
    <w:p w14:paraId="7068BF52" w14:textId="77777777" w:rsidR="00FB24C0" w:rsidRPr="006D57F0" w:rsidRDefault="00FB24C0" w:rsidP="00192387">
      <w:pPr>
        <w:keepNext/>
        <w:spacing w:after="0" w:line="240" w:lineRule="auto"/>
        <w:ind w:left="0" w:firstLine="0"/>
        <w:rPr>
          <w:color w:val="auto"/>
          <w:lang w:val="es-ES"/>
        </w:rPr>
      </w:pPr>
    </w:p>
    <w:p w14:paraId="7D809BE7" w14:textId="6C1B0022" w:rsidR="00FB24C0" w:rsidRPr="006D57F0" w:rsidRDefault="00FB24C0" w:rsidP="00DD1599">
      <w:pPr>
        <w:spacing w:after="0" w:line="240" w:lineRule="auto"/>
        <w:ind w:left="0" w:firstLine="0"/>
        <w:rPr>
          <w:color w:val="auto"/>
          <w:lang w:val="es-ES"/>
        </w:rPr>
      </w:pPr>
      <w:r w:rsidRPr="006D57F0">
        <w:rPr>
          <w:color w:val="auto"/>
          <w:lang w:val="es-ES"/>
        </w:rPr>
        <w:t xml:space="preserve">Se realizó un ensayo clínico fase III aleatorizado, doble ciego, en el que se evaluó la eficacia y la seguridad de </w:t>
      </w:r>
      <w:r w:rsidR="00340C21" w:rsidRPr="001919A9">
        <w:rPr>
          <w:lang w:val="es-ES"/>
        </w:rPr>
        <w:t>bevacizumab</w:t>
      </w:r>
      <w:r w:rsidRPr="006D57F0">
        <w:rPr>
          <w:color w:val="auto"/>
          <w:lang w:val="es-ES"/>
        </w:rPr>
        <w:t xml:space="preserve"> en combinación con interferón (IFN) alfa-2a frente a IFN alfa-2a en monoterapia como tratamiento en primera línea del </w:t>
      </w:r>
      <w:proofErr w:type="spellStart"/>
      <w:r w:rsidRPr="006D57F0">
        <w:rPr>
          <w:color w:val="auto"/>
          <w:lang w:val="es-ES"/>
        </w:rPr>
        <w:t>CRm</w:t>
      </w:r>
      <w:proofErr w:type="spellEnd"/>
      <w:r w:rsidRPr="006D57F0">
        <w:rPr>
          <w:color w:val="auto"/>
          <w:lang w:val="es-ES"/>
        </w:rPr>
        <w:t xml:space="preserve">. Los 649 pacientes aleatorizados (641 tratados) tenían un estado funcional de </w:t>
      </w:r>
      <w:proofErr w:type="spellStart"/>
      <w:r w:rsidRPr="006D57F0">
        <w:rPr>
          <w:color w:val="auto"/>
          <w:lang w:val="es-ES"/>
        </w:rPr>
        <w:t>Karnofsky</w:t>
      </w:r>
      <w:proofErr w:type="spellEnd"/>
      <w:r w:rsidRPr="006D57F0">
        <w:rPr>
          <w:color w:val="auto"/>
          <w:lang w:val="es-ES"/>
        </w:rPr>
        <w:t xml:space="preserve"> (KPS) ≥ 70%, no tenían metástasis en el sistema nervioso central y tenían una adecuada función orgánica. Los pacientes fueron </w:t>
      </w:r>
      <w:proofErr w:type="spellStart"/>
      <w:r w:rsidRPr="006D57F0">
        <w:rPr>
          <w:color w:val="auto"/>
          <w:lang w:val="es-ES"/>
        </w:rPr>
        <w:t>nefrectomizados</w:t>
      </w:r>
      <w:proofErr w:type="spellEnd"/>
      <w:r w:rsidRPr="006D57F0">
        <w:rPr>
          <w:color w:val="auto"/>
          <w:lang w:val="es-ES"/>
        </w:rPr>
        <w:t xml:space="preserve"> por carcinoma primario de células renales. Se administró 10 mg/kg de </w:t>
      </w:r>
      <w:r w:rsidR="00FF4D91" w:rsidRPr="001919A9">
        <w:rPr>
          <w:lang w:val="es-ES"/>
        </w:rPr>
        <w:t>bevacizumab</w:t>
      </w:r>
      <w:r w:rsidRPr="006D57F0">
        <w:rPr>
          <w:color w:val="auto"/>
          <w:lang w:val="es-ES"/>
        </w:rPr>
        <w:t xml:space="preserve"> cada 2 semanas hasta progresión de la enfermedad. Se administró IFN alfa-2a durante 52 semanas o hasta progresión de la enfermedad a una</w:t>
      </w:r>
      <w:r w:rsidR="00192387" w:rsidRPr="006D57F0">
        <w:rPr>
          <w:color w:val="auto"/>
          <w:lang w:val="es-ES"/>
        </w:rPr>
        <w:t xml:space="preserve"> dosis inicial recomendada de 9 </w:t>
      </w:r>
      <w:r w:rsidRPr="006D57F0">
        <w:rPr>
          <w:color w:val="auto"/>
          <w:lang w:val="es-ES"/>
        </w:rPr>
        <w:t>MUI tres veces por semana, permitiend</w:t>
      </w:r>
      <w:r w:rsidR="00192387" w:rsidRPr="006D57F0">
        <w:rPr>
          <w:color w:val="auto"/>
          <w:lang w:val="es-ES"/>
        </w:rPr>
        <w:t>o una reducción de la dosis a 3 </w:t>
      </w:r>
      <w:r w:rsidRPr="006D57F0">
        <w:rPr>
          <w:color w:val="auto"/>
          <w:lang w:val="es-ES"/>
        </w:rPr>
        <w:t>MUI tres veces por semana en 2</w:t>
      </w:r>
      <w:r w:rsidR="00DD1599">
        <w:rPr>
          <w:color w:val="auto"/>
          <w:lang w:val="es-ES"/>
        </w:rPr>
        <w:t> </w:t>
      </w:r>
      <w:r w:rsidRPr="006D57F0">
        <w:rPr>
          <w:color w:val="auto"/>
          <w:lang w:val="es-ES"/>
        </w:rPr>
        <w:t xml:space="preserve">etapas. Los pacientes fueron distribuidos según las características demográficas y la puntuación </w:t>
      </w:r>
      <w:proofErr w:type="spellStart"/>
      <w:r w:rsidRPr="006D57F0">
        <w:rPr>
          <w:color w:val="auto"/>
          <w:lang w:val="es-ES"/>
        </w:rPr>
        <w:t>Motzer</w:t>
      </w:r>
      <w:proofErr w:type="spellEnd"/>
      <w:r w:rsidRPr="006D57F0">
        <w:rPr>
          <w:color w:val="auto"/>
          <w:lang w:val="es-ES"/>
        </w:rPr>
        <w:t xml:space="preserve"> y los brazos de tratamiento demostraron estar bien equilibrados según los factores pronóstico.</w:t>
      </w:r>
    </w:p>
    <w:p w14:paraId="49E9FB82" w14:textId="77777777" w:rsidR="00FB24C0" w:rsidRPr="006D57F0" w:rsidRDefault="00FB24C0" w:rsidP="00FB24C0">
      <w:pPr>
        <w:spacing w:after="0" w:line="240" w:lineRule="auto"/>
        <w:ind w:left="0" w:firstLine="0"/>
        <w:rPr>
          <w:color w:val="auto"/>
          <w:lang w:val="es-ES"/>
        </w:rPr>
      </w:pPr>
    </w:p>
    <w:p w14:paraId="3062772E" w14:textId="748878BF" w:rsidR="00FB24C0" w:rsidRPr="006D57F0" w:rsidRDefault="00322361" w:rsidP="00FB24C0">
      <w:pPr>
        <w:spacing w:after="0" w:line="240" w:lineRule="auto"/>
        <w:ind w:left="0" w:firstLine="0"/>
        <w:rPr>
          <w:color w:val="auto"/>
          <w:lang w:val="es-ES"/>
        </w:rPr>
      </w:pPr>
      <w:r>
        <w:rPr>
          <w:color w:val="auto"/>
          <w:lang w:val="es-ES"/>
        </w:rPr>
        <w:t>La variable</w:t>
      </w:r>
      <w:r w:rsidR="00FB24C0" w:rsidRPr="006D57F0">
        <w:rPr>
          <w:color w:val="auto"/>
          <w:lang w:val="es-ES"/>
        </w:rPr>
        <w:t xml:space="preserve"> principal fue la supervivencia global, y dentro de l</w:t>
      </w:r>
      <w:r>
        <w:rPr>
          <w:color w:val="auto"/>
          <w:lang w:val="es-ES"/>
        </w:rPr>
        <w:t>a</w:t>
      </w:r>
      <w:r w:rsidR="00FB24C0" w:rsidRPr="006D57F0">
        <w:rPr>
          <w:color w:val="auto"/>
          <w:lang w:val="es-ES"/>
        </w:rPr>
        <w:t xml:space="preserve">s </w:t>
      </w:r>
      <w:r>
        <w:rPr>
          <w:color w:val="auto"/>
          <w:lang w:val="es-ES"/>
        </w:rPr>
        <w:t>variables</w:t>
      </w:r>
      <w:r w:rsidRPr="006D57F0">
        <w:rPr>
          <w:color w:val="auto"/>
          <w:lang w:val="es-ES"/>
        </w:rPr>
        <w:t xml:space="preserve"> </w:t>
      </w:r>
      <w:r w:rsidR="00FB24C0" w:rsidRPr="006D57F0">
        <w:rPr>
          <w:color w:val="auto"/>
          <w:lang w:val="es-ES"/>
        </w:rPr>
        <w:t>secundari</w:t>
      </w:r>
      <w:r>
        <w:rPr>
          <w:color w:val="auto"/>
          <w:lang w:val="es-ES"/>
        </w:rPr>
        <w:t>a</w:t>
      </w:r>
      <w:r w:rsidR="00FB24C0" w:rsidRPr="006D57F0">
        <w:rPr>
          <w:color w:val="auto"/>
          <w:lang w:val="es-ES"/>
        </w:rPr>
        <w:t xml:space="preserve">s del ensayo se incluía la supervivencia libre de progresión. La adición de </w:t>
      </w:r>
      <w:proofErr w:type="spellStart"/>
      <w:r w:rsidR="00FF4D91" w:rsidRPr="001919A9">
        <w:rPr>
          <w:lang w:val="es-ES"/>
        </w:rPr>
        <w:t>bevacizumab</w:t>
      </w:r>
      <w:r w:rsidR="00FB24C0" w:rsidRPr="006D57F0">
        <w:rPr>
          <w:color w:val="auto"/>
          <w:lang w:val="es-ES"/>
        </w:rPr>
        <w:t>al</w:t>
      </w:r>
      <w:proofErr w:type="spellEnd"/>
      <w:r w:rsidR="00FB24C0" w:rsidRPr="006D57F0">
        <w:rPr>
          <w:color w:val="auto"/>
          <w:lang w:val="es-ES"/>
        </w:rPr>
        <w:t xml:space="preserve"> IFN alfa-2a aumentó significativamente la SLP y la tasa de respuesta tumoral objetiva. Estos resultados se confirmaron a través de una revisión radiológica independiente. Sin embargo, el aumento de 2 meses en la supervivencia global </w:t>
      </w:r>
      <w:proofErr w:type="gramStart"/>
      <w:r w:rsidR="00FB24C0" w:rsidRPr="006D57F0">
        <w:rPr>
          <w:color w:val="auto"/>
          <w:lang w:val="es-ES"/>
        </w:rPr>
        <w:t>(</w:t>
      </w:r>
      <w:r>
        <w:rPr>
          <w:color w:val="auto"/>
          <w:lang w:val="es-ES"/>
        </w:rPr>
        <w:t xml:space="preserve"> variable</w:t>
      </w:r>
      <w:proofErr w:type="gramEnd"/>
      <w:r w:rsidR="00FB24C0" w:rsidRPr="006D57F0">
        <w:rPr>
          <w:color w:val="auto"/>
          <w:lang w:val="es-ES"/>
        </w:rPr>
        <w:t xml:space="preserve"> principal) no fue significativo (HR = 0,91). Una alta proporción de pacientes (aproximadamente 63% IFN/placebo y 55% </w:t>
      </w:r>
      <w:r w:rsidR="00FF4D91" w:rsidRPr="001919A9">
        <w:rPr>
          <w:lang w:val="es-ES"/>
        </w:rPr>
        <w:t>bevacizumab</w:t>
      </w:r>
      <w:r w:rsidR="00FB24C0" w:rsidRPr="006D57F0">
        <w:rPr>
          <w:color w:val="auto"/>
          <w:lang w:val="es-ES"/>
        </w:rPr>
        <w:t>/IFN) recibieron tras el ensayo, diferentes tratamientos anticancerosos no especificados, incluyendo agentes antineoplásicos, y que podrían haber impactado en el análisis de la supervivencia global.</w:t>
      </w:r>
    </w:p>
    <w:p w14:paraId="4C82E817" w14:textId="77777777" w:rsidR="00FB24C0" w:rsidRPr="006D57F0" w:rsidRDefault="00FB24C0" w:rsidP="00FB24C0">
      <w:pPr>
        <w:spacing w:after="0" w:line="240" w:lineRule="auto"/>
        <w:ind w:left="0" w:firstLine="0"/>
        <w:rPr>
          <w:color w:val="auto"/>
          <w:lang w:val="es-ES"/>
        </w:rPr>
      </w:pPr>
    </w:p>
    <w:p w14:paraId="550EA607" w14:textId="0224B6F3" w:rsidR="00FB24C0" w:rsidRPr="006D57F0" w:rsidRDefault="00FB24C0" w:rsidP="00624B43">
      <w:pPr>
        <w:keepNext/>
        <w:keepLines/>
        <w:spacing w:after="0" w:line="240" w:lineRule="auto"/>
        <w:ind w:left="0" w:firstLine="0"/>
        <w:rPr>
          <w:color w:val="auto"/>
          <w:lang w:val="es-ES"/>
        </w:rPr>
      </w:pPr>
      <w:r w:rsidRPr="006D57F0">
        <w:rPr>
          <w:color w:val="auto"/>
          <w:lang w:val="es-ES"/>
        </w:rPr>
        <w:lastRenderedPageBreak/>
        <w:t xml:space="preserve">Los resultados de eficacia se presentan en la </w:t>
      </w:r>
      <w:r w:rsidR="00471B84">
        <w:rPr>
          <w:color w:val="auto"/>
          <w:lang w:val="es-ES"/>
        </w:rPr>
        <w:t>t</w:t>
      </w:r>
      <w:r w:rsidRPr="006D57F0">
        <w:rPr>
          <w:color w:val="auto"/>
          <w:lang w:val="es-ES"/>
        </w:rPr>
        <w:t xml:space="preserve">abla </w:t>
      </w:r>
      <w:r w:rsidR="00980D6A">
        <w:rPr>
          <w:color w:val="auto"/>
          <w:lang w:val="es-ES"/>
        </w:rPr>
        <w:t>1</w:t>
      </w:r>
      <w:r w:rsidR="0022123D">
        <w:rPr>
          <w:color w:val="auto"/>
          <w:lang w:val="es-ES"/>
        </w:rPr>
        <w:t>5</w:t>
      </w:r>
      <w:r w:rsidRPr="006D57F0">
        <w:rPr>
          <w:color w:val="auto"/>
          <w:lang w:val="es-ES"/>
        </w:rPr>
        <w:t>.</w:t>
      </w:r>
    </w:p>
    <w:p w14:paraId="2E04350F" w14:textId="77777777" w:rsidR="00FB24C0" w:rsidRPr="006D57F0" w:rsidRDefault="00FB24C0" w:rsidP="00624B43">
      <w:pPr>
        <w:keepNext/>
        <w:keepLines/>
        <w:spacing w:after="0" w:line="240" w:lineRule="auto"/>
        <w:ind w:left="0" w:firstLine="0"/>
        <w:rPr>
          <w:color w:val="auto"/>
          <w:lang w:val="es-ES"/>
        </w:rPr>
      </w:pPr>
    </w:p>
    <w:p w14:paraId="7274441B" w14:textId="0472D8E7" w:rsidR="00FB24C0" w:rsidRPr="00192387" w:rsidRDefault="00FB24C0" w:rsidP="00624B43">
      <w:pPr>
        <w:pStyle w:val="CM50"/>
        <w:keepNext/>
        <w:keepLines/>
        <w:widowControl/>
        <w:rPr>
          <w:rFonts w:eastAsia="Calibri"/>
          <w:b/>
          <w:bCs/>
          <w:sz w:val="22"/>
          <w:szCs w:val="22"/>
          <w:lang w:val="es-ES" w:eastAsia="en-US"/>
        </w:rPr>
      </w:pPr>
      <w:r w:rsidRPr="00192387">
        <w:rPr>
          <w:rFonts w:eastAsia="Calibri"/>
          <w:b/>
          <w:bCs/>
          <w:sz w:val="22"/>
          <w:szCs w:val="22"/>
          <w:lang w:val="es-ES" w:eastAsia="en-US"/>
        </w:rPr>
        <w:t xml:space="preserve">Tabla </w:t>
      </w:r>
      <w:r w:rsidR="00980D6A" w:rsidRPr="00192387">
        <w:rPr>
          <w:rFonts w:eastAsia="Calibri"/>
          <w:b/>
          <w:bCs/>
          <w:sz w:val="22"/>
          <w:szCs w:val="22"/>
          <w:lang w:val="es-ES" w:eastAsia="en-US"/>
        </w:rPr>
        <w:t>1</w:t>
      </w:r>
      <w:r w:rsidR="0022123D">
        <w:rPr>
          <w:rFonts w:eastAsia="Calibri"/>
          <w:b/>
          <w:bCs/>
          <w:sz w:val="22"/>
          <w:szCs w:val="22"/>
          <w:lang w:val="es-ES" w:eastAsia="en-US"/>
        </w:rPr>
        <w:t>5</w:t>
      </w:r>
      <w:r w:rsidR="00192387" w:rsidRPr="00192387">
        <w:rPr>
          <w:rFonts w:eastAsia="Calibri"/>
          <w:b/>
          <w:bCs/>
          <w:sz w:val="22"/>
          <w:szCs w:val="22"/>
          <w:lang w:val="es-ES" w:eastAsia="en-US"/>
        </w:rPr>
        <w:t>.</w:t>
      </w:r>
      <w:r w:rsidRPr="00192387">
        <w:rPr>
          <w:rFonts w:eastAsia="Calibri"/>
          <w:b/>
          <w:bCs/>
          <w:sz w:val="22"/>
          <w:szCs w:val="22"/>
          <w:lang w:val="es-ES" w:eastAsia="en-US"/>
        </w:rPr>
        <w:t xml:space="preserve"> Resultados de eficacia del ensayo BO17705</w:t>
      </w:r>
    </w:p>
    <w:p w14:paraId="7165C0D5" w14:textId="77777777" w:rsidR="00FB24C0" w:rsidRPr="00192387" w:rsidRDefault="00FB24C0" w:rsidP="00192387">
      <w:pPr>
        <w:pStyle w:val="CM50"/>
        <w:keepNext/>
        <w:widowControl/>
        <w:rPr>
          <w:rFonts w:eastAsia="Calibri"/>
          <w:bCs/>
          <w:sz w:val="22"/>
          <w:szCs w:val="22"/>
          <w:lang w:val="es-ES" w:eastAsia="en-US"/>
        </w:rPr>
      </w:pPr>
    </w:p>
    <w:tbl>
      <w:tblPr>
        <w:tblW w:w="89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2386"/>
        <w:gridCol w:w="2135"/>
      </w:tblGrid>
      <w:tr w:rsidR="00E54EE5" w:rsidRPr="00192387" w14:paraId="727C798A" w14:textId="77777777" w:rsidTr="006D57F0">
        <w:trPr>
          <w:trHeight w:val="300"/>
          <w:tblHeader/>
        </w:trPr>
        <w:tc>
          <w:tcPr>
            <w:tcW w:w="4466" w:type="dxa"/>
            <w:vMerge w:val="restart"/>
            <w:noWrap/>
            <w:vAlign w:val="bottom"/>
          </w:tcPr>
          <w:p w14:paraId="67A3A37D" w14:textId="77777777" w:rsidR="00E54EE5" w:rsidRPr="005D7BF1" w:rsidRDefault="00E54EE5" w:rsidP="00A1792E">
            <w:pPr>
              <w:keepNext/>
              <w:spacing w:line="240" w:lineRule="auto"/>
              <w:ind w:left="12" w:hanging="6"/>
              <w:rPr>
                <w:b/>
                <w:lang w:val="nb-NO"/>
              </w:rPr>
            </w:pPr>
          </w:p>
        </w:tc>
        <w:tc>
          <w:tcPr>
            <w:tcW w:w="4521" w:type="dxa"/>
            <w:gridSpan w:val="2"/>
            <w:noWrap/>
          </w:tcPr>
          <w:p w14:paraId="0BC3D2D9" w14:textId="77777777" w:rsidR="00E54EE5" w:rsidRPr="00192387" w:rsidRDefault="00E54EE5" w:rsidP="00A1792E">
            <w:pPr>
              <w:keepNext/>
              <w:spacing w:line="240" w:lineRule="auto"/>
              <w:ind w:left="12" w:hanging="6"/>
              <w:jc w:val="center"/>
              <w:rPr>
                <w:b/>
                <w:lang w:val="es-ES"/>
              </w:rPr>
            </w:pPr>
            <w:r w:rsidRPr="00192387">
              <w:rPr>
                <w:b/>
                <w:lang w:val="es-ES"/>
              </w:rPr>
              <w:t>BO17705</w:t>
            </w:r>
          </w:p>
        </w:tc>
      </w:tr>
      <w:tr w:rsidR="00E54EE5" w:rsidRPr="00192387" w14:paraId="708C75E9" w14:textId="77777777" w:rsidTr="006D57F0">
        <w:trPr>
          <w:trHeight w:val="300"/>
          <w:tblHeader/>
        </w:trPr>
        <w:tc>
          <w:tcPr>
            <w:tcW w:w="4466" w:type="dxa"/>
            <w:vMerge/>
            <w:noWrap/>
          </w:tcPr>
          <w:p w14:paraId="2C4F9181" w14:textId="77777777" w:rsidR="00E54EE5" w:rsidRPr="00192387" w:rsidRDefault="00E54EE5" w:rsidP="00A1792E">
            <w:pPr>
              <w:keepNext/>
              <w:spacing w:line="240" w:lineRule="auto"/>
              <w:ind w:left="12" w:hanging="6"/>
              <w:jc w:val="center"/>
              <w:rPr>
                <w:b/>
                <w:lang w:val="es-ES"/>
              </w:rPr>
            </w:pPr>
          </w:p>
        </w:tc>
        <w:tc>
          <w:tcPr>
            <w:tcW w:w="2386" w:type="dxa"/>
            <w:noWrap/>
          </w:tcPr>
          <w:p w14:paraId="038DCAC6" w14:textId="77777777" w:rsidR="00E54EE5" w:rsidRPr="00192387" w:rsidRDefault="00E54EE5" w:rsidP="00A1792E">
            <w:pPr>
              <w:keepNext/>
              <w:spacing w:line="240" w:lineRule="auto"/>
              <w:ind w:left="12" w:hanging="6"/>
              <w:jc w:val="center"/>
              <w:rPr>
                <w:b/>
                <w:lang w:val="es-ES"/>
              </w:rPr>
            </w:pPr>
            <w:r w:rsidRPr="00FA2F0B">
              <w:rPr>
                <w:b/>
                <w:lang w:val="es-ES"/>
              </w:rPr>
              <w:t xml:space="preserve">Placebo + </w:t>
            </w:r>
            <w:proofErr w:type="spellStart"/>
            <w:r w:rsidRPr="00FA2F0B">
              <w:rPr>
                <w:b/>
                <w:lang w:val="es-ES"/>
              </w:rPr>
              <w:t>IFN</w:t>
            </w:r>
            <w:r w:rsidRPr="00FA2F0B">
              <w:rPr>
                <w:b/>
                <w:vertAlign w:val="superscript"/>
                <w:lang w:val="es-ES"/>
              </w:rPr>
              <w:t>a</w:t>
            </w:r>
            <w:proofErr w:type="spellEnd"/>
          </w:p>
        </w:tc>
        <w:tc>
          <w:tcPr>
            <w:tcW w:w="2135" w:type="dxa"/>
            <w:noWrap/>
          </w:tcPr>
          <w:p w14:paraId="71A8B74A" w14:textId="77777777" w:rsidR="00E54EE5" w:rsidRPr="00192387" w:rsidRDefault="00E54EE5" w:rsidP="00A1792E">
            <w:pPr>
              <w:keepNext/>
              <w:spacing w:line="240" w:lineRule="auto"/>
              <w:ind w:left="12" w:hanging="6"/>
              <w:jc w:val="center"/>
              <w:rPr>
                <w:b/>
                <w:lang w:val="es-ES"/>
              </w:rPr>
            </w:pPr>
            <w:proofErr w:type="spellStart"/>
            <w:r w:rsidRPr="00FA2F0B">
              <w:rPr>
                <w:b/>
                <w:lang w:val="es-ES"/>
              </w:rPr>
              <w:t>Bv</w:t>
            </w:r>
            <w:r w:rsidRPr="00FA2F0B">
              <w:rPr>
                <w:b/>
                <w:vertAlign w:val="superscript"/>
                <w:lang w:val="es-ES"/>
              </w:rPr>
              <w:t>b</w:t>
            </w:r>
            <w:proofErr w:type="spellEnd"/>
            <w:r w:rsidRPr="00FA2F0B">
              <w:rPr>
                <w:b/>
                <w:lang w:val="es-ES"/>
              </w:rPr>
              <w:t xml:space="preserve"> + </w:t>
            </w:r>
            <w:proofErr w:type="spellStart"/>
            <w:r w:rsidRPr="00FA2F0B">
              <w:rPr>
                <w:b/>
                <w:lang w:val="es-ES"/>
              </w:rPr>
              <w:t>IFN</w:t>
            </w:r>
            <w:r w:rsidRPr="00FA2F0B">
              <w:rPr>
                <w:b/>
                <w:vertAlign w:val="superscript"/>
                <w:lang w:val="es-ES"/>
              </w:rPr>
              <w:t>a</w:t>
            </w:r>
            <w:proofErr w:type="spellEnd"/>
          </w:p>
        </w:tc>
      </w:tr>
      <w:tr w:rsidR="00E54EE5" w:rsidRPr="00192387" w14:paraId="24F4D429" w14:textId="77777777" w:rsidTr="006D57F0">
        <w:trPr>
          <w:trHeight w:val="300"/>
        </w:trPr>
        <w:tc>
          <w:tcPr>
            <w:tcW w:w="4466" w:type="dxa"/>
            <w:noWrap/>
            <w:vAlign w:val="center"/>
          </w:tcPr>
          <w:p w14:paraId="5794585D" w14:textId="77777777" w:rsidR="00E54EE5" w:rsidRPr="00192387" w:rsidRDefault="00E54EE5" w:rsidP="00A1792E">
            <w:pPr>
              <w:keepNext/>
              <w:spacing w:line="240" w:lineRule="auto"/>
              <w:ind w:left="12" w:hanging="6"/>
              <w:rPr>
                <w:lang w:val="es-ES"/>
              </w:rPr>
            </w:pPr>
            <w:r w:rsidRPr="00535551">
              <w:rPr>
                <w:lang w:val="es-ES"/>
              </w:rPr>
              <w:t>Número de pacientes</w:t>
            </w:r>
          </w:p>
        </w:tc>
        <w:tc>
          <w:tcPr>
            <w:tcW w:w="2386" w:type="dxa"/>
            <w:noWrap/>
            <w:vAlign w:val="center"/>
          </w:tcPr>
          <w:p w14:paraId="710ED733" w14:textId="77777777" w:rsidR="00E54EE5" w:rsidRPr="00192387" w:rsidRDefault="00E54EE5" w:rsidP="00A1792E">
            <w:pPr>
              <w:keepNext/>
              <w:spacing w:line="240" w:lineRule="auto"/>
              <w:ind w:left="12" w:hanging="6"/>
              <w:jc w:val="center"/>
              <w:rPr>
                <w:lang w:val="es-ES"/>
              </w:rPr>
            </w:pPr>
            <w:r w:rsidRPr="00B947E4">
              <w:rPr>
                <w:color w:val="auto"/>
                <w:lang w:val="es-ES"/>
              </w:rPr>
              <w:t>322</w:t>
            </w:r>
          </w:p>
        </w:tc>
        <w:tc>
          <w:tcPr>
            <w:tcW w:w="2135" w:type="dxa"/>
            <w:noWrap/>
            <w:vAlign w:val="center"/>
          </w:tcPr>
          <w:p w14:paraId="6162C38D" w14:textId="77777777" w:rsidR="00E54EE5" w:rsidRPr="00192387" w:rsidRDefault="00E54EE5" w:rsidP="00A1792E">
            <w:pPr>
              <w:keepNext/>
              <w:spacing w:line="240" w:lineRule="auto"/>
              <w:ind w:left="12" w:hanging="6"/>
              <w:jc w:val="center"/>
              <w:rPr>
                <w:lang w:val="es-ES"/>
              </w:rPr>
            </w:pPr>
            <w:r w:rsidRPr="00535551">
              <w:rPr>
                <w:lang w:val="es-ES"/>
              </w:rPr>
              <w:t>327</w:t>
            </w:r>
          </w:p>
        </w:tc>
      </w:tr>
      <w:tr w:rsidR="00E54EE5" w:rsidRPr="00192387" w14:paraId="504FCC17" w14:textId="77777777" w:rsidTr="006D57F0">
        <w:trPr>
          <w:trHeight w:val="180"/>
        </w:trPr>
        <w:tc>
          <w:tcPr>
            <w:tcW w:w="4466" w:type="dxa"/>
            <w:noWrap/>
          </w:tcPr>
          <w:p w14:paraId="5F7BFDDD" w14:textId="77777777" w:rsidR="00E54EE5" w:rsidRPr="00192387" w:rsidRDefault="00E54EE5" w:rsidP="00A1792E">
            <w:pPr>
              <w:keepNext/>
              <w:spacing w:line="240" w:lineRule="auto"/>
              <w:ind w:left="12" w:hanging="6"/>
              <w:rPr>
                <w:lang w:val="es-ES"/>
              </w:rPr>
            </w:pPr>
            <w:r w:rsidRPr="00535551">
              <w:rPr>
                <w:lang w:val="es-ES"/>
              </w:rPr>
              <w:t>Supervivencia libre de progresión</w:t>
            </w:r>
          </w:p>
        </w:tc>
        <w:tc>
          <w:tcPr>
            <w:tcW w:w="2386" w:type="dxa"/>
            <w:noWrap/>
          </w:tcPr>
          <w:p w14:paraId="32C6E060" w14:textId="77777777" w:rsidR="00E54EE5" w:rsidRPr="00192387" w:rsidRDefault="00E54EE5" w:rsidP="00A1792E">
            <w:pPr>
              <w:keepNext/>
              <w:spacing w:line="240" w:lineRule="auto"/>
              <w:ind w:left="12" w:hanging="6"/>
              <w:jc w:val="center"/>
              <w:rPr>
                <w:lang w:val="es-ES"/>
              </w:rPr>
            </w:pPr>
          </w:p>
        </w:tc>
        <w:tc>
          <w:tcPr>
            <w:tcW w:w="2135" w:type="dxa"/>
            <w:noWrap/>
          </w:tcPr>
          <w:p w14:paraId="129A9B98" w14:textId="77777777" w:rsidR="00E54EE5" w:rsidRPr="00192387" w:rsidRDefault="00E54EE5" w:rsidP="00A1792E">
            <w:pPr>
              <w:keepNext/>
              <w:spacing w:line="240" w:lineRule="auto"/>
              <w:ind w:left="12" w:hanging="6"/>
              <w:jc w:val="center"/>
              <w:rPr>
                <w:lang w:val="es-ES"/>
              </w:rPr>
            </w:pPr>
          </w:p>
        </w:tc>
      </w:tr>
      <w:tr w:rsidR="00E54EE5" w:rsidRPr="00E30038" w14:paraId="5EF982D3" w14:textId="77777777" w:rsidTr="006D57F0">
        <w:trPr>
          <w:trHeight w:val="410"/>
        </w:trPr>
        <w:tc>
          <w:tcPr>
            <w:tcW w:w="4466" w:type="dxa"/>
            <w:noWrap/>
          </w:tcPr>
          <w:p w14:paraId="20557F33" w14:textId="77777777" w:rsidR="00E54EE5" w:rsidRPr="00E30038" w:rsidRDefault="00E54EE5" w:rsidP="006972A1">
            <w:pPr>
              <w:spacing w:line="240" w:lineRule="auto"/>
              <w:ind w:left="567"/>
            </w:pPr>
            <w:r w:rsidRPr="00B947E4">
              <w:rPr>
                <w:color w:val="auto"/>
                <w:lang w:val="es-ES"/>
              </w:rPr>
              <w:t>Mediana de tiempo (meses)</w:t>
            </w:r>
          </w:p>
        </w:tc>
        <w:tc>
          <w:tcPr>
            <w:tcW w:w="2386" w:type="dxa"/>
            <w:noWrap/>
          </w:tcPr>
          <w:p w14:paraId="0AFD9023" w14:textId="77777777" w:rsidR="00E54EE5" w:rsidRPr="00E30038" w:rsidRDefault="00E54EE5" w:rsidP="006972A1">
            <w:pPr>
              <w:keepNext/>
              <w:spacing w:line="240" w:lineRule="auto"/>
              <w:jc w:val="center"/>
            </w:pPr>
            <w:r w:rsidRPr="00535551">
              <w:t>5,4</w:t>
            </w:r>
          </w:p>
        </w:tc>
        <w:tc>
          <w:tcPr>
            <w:tcW w:w="2135" w:type="dxa"/>
            <w:noWrap/>
          </w:tcPr>
          <w:p w14:paraId="3C8F4291" w14:textId="77777777" w:rsidR="00E54EE5" w:rsidRPr="00E30038" w:rsidRDefault="00E54EE5" w:rsidP="006972A1">
            <w:pPr>
              <w:keepNext/>
              <w:spacing w:line="240" w:lineRule="auto"/>
              <w:jc w:val="center"/>
            </w:pPr>
            <w:r w:rsidRPr="00535551">
              <w:t>10,2</w:t>
            </w:r>
          </w:p>
        </w:tc>
      </w:tr>
      <w:tr w:rsidR="00E54EE5" w:rsidRPr="00E30038" w14:paraId="4CAF448C" w14:textId="77777777" w:rsidTr="006D57F0">
        <w:trPr>
          <w:trHeight w:val="161"/>
        </w:trPr>
        <w:tc>
          <w:tcPr>
            <w:tcW w:w="4466" w:type="dxa"/>
            <w:noWrap/>
          </w:tcPr>
          <w:p w14:paraId="251CC3CD" w14:textId="77777777" w:rsidR="00E54EE5" w:rsidRPr="00A51019" w:rsidRDefault="00E54EE5" w:rsidP="006972A1">
            <w:pPr>
              <w:spacing w:line="240" w:lineRule="auto"/>
              <w:ind w:left="567"/>
              <w:rPr>
                <w:lang w:val="es-ES"/>
              </w:rPr>
            </w:pPr>
            <w:r w:rsidRPr="00535551">
              <w:rPr>
                <w:lang w:val="es-ES"/>
              </w:rPr>
              <w:t>Razón de riesgo (Hazard Ratio)</w:t>
            </w:r>
          </w:p>
        </w:tc>
        <w:tc>
          <w:tcPr>
            <w:tcW w:w="4521" w:type="dxa"/>
            <w:gridSpan w:val="2"/>
            <w:noWrap/>
          </w:tcPr>
          <w:p w14:paraId="5B905F92" w14:textId="77777777" w:rsidR="00E54EE5" w:rsidRPr="00E30038" w:rsidRDefault="00E54EE5" w:rsidP="006972A1">
            <w:pPr>
              <w:keepNext/>
              <w:spacing w:line="240" w:lineRule="auto"/>
              <w:jc w:val="center"/>
            </w:pPr>
            <w:r w:rsidRPr="00535551">
              <w:t>0,63</w:t>
            </w:r>
          </w:p>
        </w:tc>
      </w:tr>
      <w:tr w:rsidR="00E54EE5" w:rsidRPr="00E30038" w14:paraId="4FDBF9F8" w14:textId="77777777" w:rsidTr="006D57F0">
        <w:trPr>
          <w:trHeight w:val="515"/>
        </w:trPr>
        <w:tc>
          <w:tcPr>
            <w:tcW w:w="4466" w:type="dxa"/>
            <w:noWrap/>
          </w:tcPr>
          <w:p w14:paraId="7AE586E6" w14:textId="77777777" w:rsidR="00E54EE5" w:rsidRPr="00535551" w:rsidRDefault="00E54EE5" w:rsidP="006972A1">
            <w:pPr>
              <w:spacing w:line="240" w:lineRule="auto"/>
              <w:ind w:left="567"/>
              <w:rPr>
                <w:color w:val="auto"/>
                <w:lang w:val="es-ES"/>
              </w:rPr>
            </w:pPr>
            <w:r w:rsidRPr="00535551">
              <w:rPr>
                <w:color w:val="auto"/>
                <w:lang w:val="es-ES"/>
              </w:rPr>
              <w:t>IC del 95%</w:t>
            </w:r>
          </w:p>
        </w:tc>
        <w:tc>
          <w:tcPr>
            <w:tcW w:w="4521" w:type="dxa"/>
            <w:gridSpan w:val="2"/>
            <w:noWrap/>
          </w:tcPr>
          <w:p w14:paraId="52750FCD" w14:textId="77777777" w:rsidR="00E54EE5" w:rsidRPr="00535551" w:rsidRDefault="00E54EE5" w:rsidP="006972A1">
            <w:pPr>
              <w:spacing w:line="240" w:lineRule="auto"/>
              <w:jc w:val="center"/>
            </w:pPr>
            <w:r w:rsidRPr="00535551">
              <w:t>0,52; 0,75</w:t>
            </w:r>
          </w:p>
          <w:p w14:paraId="6FEC1B30" w14:textId="77777777" w:rsidR="00E54EE5" w:rsidRPr="00E30038" w:rsidRDefault="00E54EE5" w:rsidP="00A46A8A">
            <w:pPr>
              <w:spacing w:line="240" w:lineRule="auto"/>
              <w:jc w:val="center"/>
            </w:pPr>
            <w:r w:rsidRPr="00535551">
              <w:t>(</w:t>
            </w:r>
            <w:proofErr w:type="spellStart"/>
            <w:r w:rsidRPr="00535551">
              <w:t>valor</w:t>
            </w:r>
            <w:proofErr w:type="spellEnd"/>
            <w:r w:rsidRPr="00535551">
              <w:t xml:space="preserve"> de p</w:t>
            </w:r>
            <w:r w:rsidR="00A46A8A" w:rsidRPr="00E30038">
              <w:t> </w:t>
            </w:r>
            <w:r w:rsidRPr="00535551">
              <w:t>&lt;</w:t>
            </w:r>
            <w:r w:rsidR="00A46A8A" w:rsidRPr="00E30038">
              <w:t> </w:t>
            </w:r>
            <w:r w:rsidRPr="00535551">
              <w:t>0,0001)</w:t>
            </w:r>
          </w:p>
        </w:tc>
      </w:tr>
      <w:tr w:rsidR="00E54EE5" w:rsidRPr="00714463" w14:paraId="56609127" w14:textId="77777777" w:rsidTr="006D57F0">
        <w:trPr>
          <w:trHeight w:val="529"/>
        </w:trPr>
        <w:tc>
          <w:tcPr>
            <w:tcW w:w="4466" w:type="dxa"/>
            <w:noWrap/>
          </w:tcPr>
          <w:p w14:paraId="451190E9" w14:textId="77777777" w:rsidR="00E54EE5" w:rsidRPr="00535551" w:rsidRDefault="00E54EE5" w:rsidP="006972A1">
            <w:pPr>
              <w:spacing w:after="0" w:line="240" w:lineRule="auto"/>
              <w:ind w:left="0"/>
              <w:rPr>
                <w:color w:val="auto"/>
                <w:lang w:val="es-ES"/>
              </w:rPr>
            </w:pPr>
            <w:r w:rsidRPr="00535551">
              <w:rPr>
                <w:color w:val="auto"/>
                <w:lang w:val="es-ES"/>
              </w:rPr>
              <w:t>Tasa de respuesta objetiva (%) en Pacientes con enfermedad medible</w:t>
            </w:r>
          </w:p>
        </w:tc>
        <w:tc>
          <w:tcPr>
            <w:tcW w:w="2386" w:type="dxa"/>
            <w:noWrap/>
          </w:tcPr>
          <w:p w14:paraId="4DF1111C" w14:textId="77777777" w:rsidR="00E54EE5" w:rsidRPr="00A51019" w:rsidRDefault="00E54EE5" w:rsidP="006972A1">
            <w:pPr>
              <w:keepNext/>
              <w:spacing w:line="240" w:lineRule="auto"/>
              <w:jc w:val="center"/>
              <w:rPr>
                <w:lang w:val="es-ES"/>
              </w:rPr>
            </w:pPr>
          </w:p>
        </w:tc>
        <w:tc>
          <w:tcPr>
            <w:tcW w:w="2135" w:type="dxa"/>
            <w:noWrap/>
          </w:tcPr>
          <w:p w14:paraId="342A508A" w14:textId="77777777" w:rsidR="00E54EE5" w:rsidRPr="00A51019" w:rsidRDefault="00E54EE5" w:rsidP="006972A1">
            <w:pPr>
              <w:keepNext/>
              <w:spacing w:line="240" w:lineRule="auto"/>
              <w:jc w:val="center"/>
              <w:rPr>
                <w:lang w:val="es-ES"/>
              </w:rPr>
            </w:pPr>
          </w:p>
        </w:tc>
      </w:tr>
      <w:tr w:rsidR="00E54EE5" w:rsidRPr="00E30038" w14:paraId="7AC90167" w14:textId="77777777" w:rsidTr="006D57F0">
        <w:trPr>
          <w:trHeight w:val="299"/>
        </w:trPr>
        <w:tc>
          <w:tcPr>
            <w:tcW w:w="4466" w:type="dxa"/>
            <w:noWrap/>
          </w:tcPr>
          <w:p w14:paraId="51AD68E6" w14:textId="77777777" w:rsidR="00E54EE5" w:rsidRPr="00535551" w:rsidRDefault="00E54EE5" w:rsidP="006972A1">
            <w:pPr>
              <w:spacing w:line="240" w:lineRule="auto"/>
              <w:ind w:left="567"/>
              <w:rPr>
                <w:color w:val="auto"/>
                <w:lang w:val="es-ES"/>
              </w:rPr>
            </w:pPr>
            <w:r w:rsidRPr="00535551">
              <w:rPr>
                <w:color w:val="auto"/>
                <w:lang w:val="es-ES"/>
              </w:rPr>
              <w:t>n</w:t>
            </w:r>
          </w:p>
        </w:tc>
        <w:tc>
          <w:tcPr>
            <w:tcW w:w="2386" w:type="dxa"/>
            <w:noWrap/>
          </w:tcPr>
          <w:p w14:paraId="049E1055" w14:textId="77777777" w:rsidR="00E54EE5" w:rsidRPr="00E30038" w:rsidRDefault="00E54EE5" w:rsidP="006972A1">
            <w:pPr>
              <w:keepNext/>
              <w:spacing w:line="240" w:lineRule="auto"/>
              <w:jc w:val="center"/>
            </w:pPr>
            <w:r w:rsidRPr="00535551">
              <w:t>289</w:t>
            </w:r>
          </w:p>
        </w:tc>
        <w:tc>
          <w:tcPr>
            <w:tcW w:w="2135" w:type="dxa"/>
            <w:noWrap/>
          </w:tcPr>
          <w:p w14:paraId="3EE53903" w14:textId="77777777" w:rsidR="00E54EE5" w:rsidRPr="00E30038" w:rsidRDefault="00E54EE5" w:rsidP="006972A1">
            <w:pPr>
              <w:keepNext/>
              <w:spacing w:line="240" w:lineRule="auto"/>
              <w:jc w:val="center"/>
            </w:pPr>
            <w:r w:rsidRPr="00535551">
              <w:t>306</w:t>
            </w:r>
          </w:p>
        </w:tc>
      </w:tr>
      <w:tr w:rsidR="00E54EE5" w:rsidRPr="00E30038" w14:paraId="02D62A50" w14:textId="77777777" w:rsidTr="006D57F0">
        <w:trPr>
          <w:trHeight w:val="314"/>
        </w:trPr>
        <w:tc>
          <w:tcPr>
            <w:tcW w:w="4466" w:type="dxa"/>
            <w:noWrap/>
          </w:tcPr>
          <w:p w14:paraId="0C47BA0B" w14:textId="77777777" w:rsidR="00E54EE5" w:rsidRPr="00535551" w:rsidRDefault="00E54EE5" w:rsidP="006972A1">
            <w:pPr>
              <w:spacing w:line="240" w:lineRule="auto"/>
              <w:ind w:left="567"/>
              <w:rPr>
                <w:color w:val="auto"/>
                <w:lang w:val="es-ES"/>
              </w:rPr>
            </w:pPr>
            <w:r w:rsidRPr="00535551">
              <w:rPr>
                <w:color w:val="auto"/>
                <w:lang w:val="es-ES"/>
              </w:rPr>
              <w:t>Tasa de respuesta</w:t>
            </w:r>
          </w:p>
        </w:tc>
        <w:tc>
          <w:tcPr>
            <w:tcW w:w="2386" w:type="dxa"/>
            <w:noWrap/>
          </w:tcPr>
          <w:p w14:paraId="36B8E195" w14:textId="77777777" w:rsidR="00E54EE5" w:rsidRPr="00E30038" w:rsidRDefault="00E54EE5" w:rsidP="006972A1">
            <w:pPr>
              <w:keepNext/>
              <w:spacing w:line="240" w:lineRule="auto"/>
              <w:jc w:val="center"/>
            </w:pPr>
            <w:r w:rsidRPr="00535551">
              <w:t>12,8%</w:t>
            </w:r>
          </w:p>
        </w:tc>
        <w:tc>
          <w:tcPr>
            <w:tcW w:w="2135" w:type="dxa"/>
            <w:noWrap/>
          </w:tcPr>
          <w:p w14:paraId="6DB2E3B3" w14:textId="77777777" w:rsidR="00E54EE5" w:rsidRPr="00E30038" w:rsidRDefault="00E54EE5" w:rsidP="006972A1">
            <w:pPr>
              <w:keepNext/>
              <w:spacing w:line="240" w:lineRule="auto"/>
              <w:jc w:val="center"/>
            </w:pPr>
            <w:r w:rsidRPr="00535551">
              <w:t>31,4%</w:t>
            </w:r>
          </w:p>
        </w:tc>
      </w:tr>
      <w:tr w:rsidR="00E54EE5" w:rsidRPr="00E30038" w14:paraId="3244D158" w14:textId="77777777" w:rsidTr="006D57F0">
        <w:trPr>
          <w:trHeight w:val="300"/>
        </w:trPr>
        <w:tc>
          <w:tcPr>
            <w:tcW w:w="4466" w:type="dxa"/>
            <w:noWrap/>
          </w:tcPr>
          <w:p w14:paraId="6D220245" w14:textId="77777777" w:rsidR="00E54EE5" w:rsidRPr="00E30038" w:rsidRDefault="00E54EE5" w:rsidP="004B62C8">
            <w:pPr>
              <w:spacing w:line="240" w:lineRule="auto"/>
            </w:pPr>
          </w:p>
        </w:tc>
        <w:tc>
          <w:tcPr>
            <w:tcW w:w="4521" w:type="dxa"/>
            <w:gridSpan w:val="2"/>
            <w:noWrap/>
          </w:tcPr>
          <w:p w14:paraId="4CBE0EA6" w14:textId="77777777" w:rsidR="00E54EE5" w:rsidRPr="00E30038" w:rsidRDefault="00E54EE5" w:rsidP="00A46A8A">
            <w:pPr>
              <w:keepNext/>
              <w:spacing w:line="240" w:lineRule="auto"/>
              <w:jc w:val="center"/>
            </w:pPr>
            <w:r w:rsidRPr="00535551">
              <w:t>(</w:t>
            </w:r>
            <w:proofErr w:type="spellStart"/>
            <w:r w:rsidRPr="00535551">
              <w:t>valor</w:t>
            </w:r>
            <w:proofErr w:type="spellEnd"/>
            <w:r w:rsidRPr="00535551">
              <w:t xml:space="preserve"> de p</w:t>
            </w:r>
            <w:r w:rsidR="00A46A8A" w:rsidRPr="00E30038">
              <w:t> </w:t>
            </w:r>
            <w:r w:rsidRPr="00535551">
              <w:t>&lt;</w:t>
            </w:r>
            <w:r w:rsidR="00A46A8A" w:rsidRPr="00E30038">
              <w:t> </w:t>
            </w:r>
            <w:r w:rsidRPr="00535551">
              <w:t>0,0001)</w:t>
            </w:r>
          </w:p>
        </w:tc>
      </w:tr>
    </w:tbl>
    <w:p w14:paraId="151FEB0C" w14:textId="77777777" w:rsidR="00FB24C0" w:rsidRPr="00443040" w:rsidRDefault="00FB24C0" w:rsidP="00FB24C0">
      <w:pPr>
        <w:spacing w:after="0" w:line="240" w:lineRule="auto"/>
        <w:ind w:left="567" w:hanging="567"/>
        <w:rPr>
          <w:color w:val="auto"/>
          <w:sz w:val="20"/>
          <w:lang w:val="es-ES"/>
        </w:rPr>
      </w:pPr>
      <w:r w:rsidRPr="00443040">
        <w:rPr>
          <w:color w:val="auto"/>
          <w:sz w:val="20"/>
          <w:vertAlign w:val="superscript"/>
          <w:lang w:val="es-ES"/>
        </w:rPr>
        <w:t>a</w:t>
      </w:r>
      <w:r w:rsidR="00192387">
        <w:rPr>
          <w:color w:val="auto"/>
          <w:sz w:val="20"/>
          <w:lang w:val="es-ES"/>
        </w:rPr>
        <w:tab/>
        <w:t>Interferón alfa-2a 9 </w:t>
      </w:r>
      <w:r w:rsidRPr="00443040">
        <w:rPr>
          <w:color w:val="auto"/>
          <w:sz w:val="20"/>
          <w:lang w:val="es-ES"/>
        </w:rPr>
        <w:t>MUI 3 veces por semana</w:t>
      </w:r>
      <w:r w:rsidR="00192387">
        <w:rPr>
          <w:color w:val="auto"/>
          <w:sz w:val="20"/>
          <w:lang w:val="es-ES"/>
        </w:rPr>
        <w:t>.</w:t>
      </w:r>
    </w:p>
    <w:p w14:paraId="0488E92E" w14:textId="77777777" w:rsidR="00FB24C0" w:rsidRPr="00443040" w:rsidRDefault="00FB24C0" w:rsidP="00FB24C0">
      <w:pPr>
        <w:spacing w:after="0" w:line="240" w:lineRule="auto"/>
        <w:ind w:left="567" w:hanging="567"/>
        <w:rPr>
          <w:color w:val="auto"/>
          <w:sz w:val="20"/>
          <w:lang w:val="es-ES"/>
        </w:rPr>
      </w:pPr>
      <w:r w:rsidRPr="00443040">
        <w:rPr>
          <w:color w:val="auto"/>
          <w:sz w:val="20"/>
          <w:vertAlign w:val="superscript"/>
          <w:lang w:val="es-ES"/>
        </w:rPr>
        <w:t>b</w:t>
      </w:r>
      <w:r w:rsidRPr="00443040">
        <w:rPr>
          <w:color w:val="auto"/>
          <w:sz w:val="20"/>
          <w:lang w:val="es-ES"/>
        </w:rPr>
        <w:tab/>
        <w:t>Bevacizumab 10 mg/kg cada 2 semanas</w:t>
      </w:r>
      <w:r w:rsidR="00192387">
        <w:rPr>
          <w:color w:val="auto"/>
          <w:sz w:val="20"/>
          <w:lang w:val="es-ES"/>
        </w:rPr>
        <w:t>.</w:t>
      </w:r>
    </w:p>
    <w:p w14:paraId="13663792" w14:textId="77777777" w:rsidR="00FB24C0" w:rsidRPr="00443040" w:rsidRDefault="00FB24C0" w:rsidP="006D57F0">
      <w:pPr>
        <w:spacing w:after="0" w:line="240" w:lineRule="auto"/>
        <w:ind w:left="0" w:firstLine="0"/>
        <w:rPr>
          <w:color w:val="auto"/>
          <w:lang w:val="es-ES"/>
        </w:rPr>
      </w:pPr>
    </w:p>
    <w:tbl>
      <w:tblPr>
        <w:tblW w:w="8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2376"/>
        <w:gridCol w:w="2125"/>
      </w:tblGrid>
      <w:tr w:rsidR="00E54EE5" w:rsidRPr="00E30038" w14:paraId="4E2E6E54" w14:textId="77777777" w:rsidTr="006D57F0">
        <w:trPr>
          <w:trHeight w:val="303"/>
        </w:trPr>
        <w:tc>
          <w:tcPr>
            <w:tcW w:w="4446" w:type="dxa"/>
            <w:noWrap/>
          </w:tcPr>
          <w:p w14:paraId="536E95CF" w14:textId="77777777" w:rsidR="00E54EE5" w:rsidRPr="00E30038" w:rsidRDefault="00E54EE5" w:rsidP="00533916">
            <w:pPr>
              <w:spacing w:after="0" w:line="240" w:lineRule="auto"/>
              <w:ind w:left="0" w:firstLine="0"/>
            </w:pPr>
            <w:proofErr w:type="spellStart"/>
            <w:r w:rsidRPr="00535551">
              <w:t>Supervivencia</w:t>
            </w:r>
            <w:proofErr w:type="spellEnd"/>
            <w:r w:rsidRPr="00535551">
              <w:t xml:space="preserve"> global</w:t>
            </w:r>
          </w:p>
        </w:tc>
        <w:tc>
          <w:tcPr>
            <w:tcW w:w="4501" w:type="dxa"/>
            <w:gridSpan w:val="2"/>
            <w:noWrap/>
            <w:vAlign w:val="bottom"/>
          </w:tcPr>
          <w:p w14:paraId="547601C3" w14:textId="77777777" w:rsidR="00E54EE5" w:rsidRPr="00E30038" w:rsidRDefault="00E54EE5" w:rsidP="00EB4BFF">
            <w:pPr>
              <w:spacing w:after="0" w:line="240" w:lineRule="auto"/>
              <w:ind w:left="0" w:firstLine="0"/>
            </w:pPr>
          </w:p>
        </w:tc>
      </w:tr>
      <w:tr w:rsidR="00E54EE5" w:rsidRPr="00E30038" w14:paraId="489D5943" w14:textId="77777777" w:rsidTr="006D57F0">
        <w:trPr>
          <w:trHeight w:val="303"/>
        </w:trPr>
        <w:tc>
          <w:tcPr>
            <w:tcW w:w="4446" w:type="dxa"/>
            <w:noWrap/>
          </w:tcPr>
          <w:p w14:paraId="664B7A35" w14:textId="77777777" w:rsidR="00E54EE5" w:rsidRPr="00E30038" w:rsidRDefault="00E54EE5" w:rsidP="00533916">
            <w:pPr>
              <w:spacing w:line="240" w:lineRule="auto"/>
              <w:ind w:left="567"/>
            </w:pPr>
            <w:r w:rsidRPr="00535551">
              <w:t>Mediana (meses)</w:t>
            </w:r>
          </w:p>
        </w:tc>
        <w:tc>
          <w:tcPr>
            <w:tcW w:w="2376" w:type="dxa"/>
            <w:noWrap/>
            <w:vAlign w:val="center"/>
          </w:tcPr>
          <w:p w14:paraId="789C4075" w14:textId="77777777" w:rsidR="00E54EE5" w:rsidRPr="00E30038" w:rsidRDefault="00E54EE5" w:rsidP="00533916">
            <w:pPr>
              <w:spacing w:after="0" w:line="240" w:lineRule="auto"/>
              <w:ind w:left="0" w:firstLine="0"/>
              <w:jc w:val="center"/>
            </w:pPr>
            <w:r w:rsidRPr="00535551">
              <w:t>21,3</w:t>
            </w:r>
          </w:p>
        </w:tc>
        <w:tc>
          <w:tcPr>
            <w:tcW w:w="2125" w:type="dxa"/>
            <w:noWrap/>
            <w:vAlign w:val="center"/>
          </w:tcPr>
          <w:p w14:paraId="1D61B65A" w14:textId="77777777" w:rsidR="00E54EE5" w:rsidRPr="00E30038" w:rsidRDefault="00E54EE5" w:rsidP="00533916">
            <w:pPr>
              <w:spacing w:after="0" w:line="240" w:lineRule="auto"/>
              <w:ind w:left="0" w:firstLine="0"/>
              <w:jc w:val="center"/>
            </w:pPr>
            <w:r w:rsidRPr="00535551">
              <w:t>23,3</w:t>
            </w:r>
          </w:p>
        </w:tc>
      </w:tr>
      <w:tr w:rsidR="00E54EE5" w:rsidRPr="00E30038" w14:paraId="456C51E4" w14:textId="77777777" w:rsidTr="006D57F0">
        <w:trPr>
          <w:trHeight w:val="843"/>
        </w:trPr>
        <w:tc>
          <w:tcPr>
            <w:tcW w:w="4446" w:type="dxa"/>
            <w:noWrap/>
          </w:tcPr>
          <w:p w14:paraId="57762C84" w14:textId="77777777" w:rsidR="00E54EE5" w:rsidRPr="00535551" w:rsidRDefault="00E54EE5" w:rsidP="00533916">
            <w:pPr>
              <w:spacing w:line="240" w:lineRule="auto"/>
              <w:ind w:left="567"/>
              <w:rPr>
                <w:color w:val="auto"/>
                <w:lang w:val="es-ES"/>
              </w:rPr>
            </w:pPr>
            <w:r w:rsidRPr="00535551">
              <w:rPr>
                <w:color w:val="auto"/>
                <w:lang w:val="es-ES"/>
              </w:rPr>
              <w:t>Razón de riesgo (Hazard Ratio)</w:t>
            </w:r>
            <w:r w:rsidR="00EB4BFF">
              <w:rPr>
                <w:color w:val="auto"/>
                <w:lang w:val="es-ES"/>
              </w:rPr>
              <w:t xml:space="preserve"> </w:t>
            </w:r>
            <w:r w:rsidRPr="00535551">
              <w:rPr>
                <w:color w:val="auto"/>
                <w:lang w:val="es-ES"/>
              </w:rPr>
              <w:t>IC del 95%</w:t>
            </w:r>
          </w:p>
        </w:tc>
        <w:tc>
          <w:tcPr>
            <w:tcW w:w="4501" w:type="dxa"/>
            <w:gridSpan w:val="2"/>
            <w:noWrap/>
          </w:tcPr>
          <w:p w14:paraId="6B96A13D" w14:textId="77777777" w:rsidR="00E54EE5" w:rsidRPr="00535551" w:rsidRDefault="00E54EE5" w:rsidP="00533916">
            <w:pPr>
              <w:spacing w:after="0" w:line="240" w:lineRule="auto"/>
              <w:ind w:left="0" w:firstLine="0"/>
              <w:jc w:val="center"/>
            </w:pPr>
            <w:r w:rsidRPr="00535551">
              <w:t>0,91</w:t>
            </w:r>
          </w:p>
          <w:p w14:paraId="0CB48079" w14:textId="77777777" w:rsidR="00E54EE5" w:rsidRPr="00535551" w:rsidRDefault="00E54EE5" w:rsidP="00533916">
            <w:pPr>
              <w:spacing w:after="0" w:line="240" w:lineRule="auto"/>
              <w:ind w:left="0" w:firstLine="0"/>
              <w:jc w:val="center"/>
            </w:pPr>
            <w:r w:rsidRPr="00535551">
              <w:t>0,76, 1,10</w:t>
            </w:r>
          </w:p>
          <w:p w14:paraId="03B1573C" w14:textId="77777777" w:rsidR="00E54EE5" w:rsidRPr="00E30038" w:rsidRDefault="00E54EE5" w:rsidP="00A46A8A">
            <w:pPr>
              <w:spacing w:after="0" w:line="240" w:lineRule="auto"/>
              <w:ind w:left="0" w:firstLine="0"/>
              <w:jc w:val="center"/>
            </w:pPr>
            <w:r w:rsidRPr="00535551">
              <w:t>(</w:t>
            </w:r>
            <w:proofErr w:type="spellStart"/>
            <w:r w:rsidRPr="00535551">
              <w:t>valor</w:t>
            </w:r>
            <w:proofErr w:type="spellEnd"/>
            <w:r w:rsidRPr="00535551">
              <w:t xml:space="preserve"> de p</w:t>
            </w:r>
            <w:r w:rsidR="00A46A8A" w:rsidRPr="00E30038">
              <w:t> </w:t>
            </w:r>
            <w:r w:rsidRPr="00535551">
              <w:t>=</w:t>
            </w:r>
            <w:r w:rsidR="00A46A8A" w:rsidRPr="00E30038">
              <w:t> </w:t>
            </w:r>
            <w:r w:rsidRPr="00535551">
              <w:t>0,3360)</w:t>
            </w:r>
          </w:p>
        </w:tc>
      </w:tr>
    </w:tbl>
    <w:p w14:paraId="678E8166" w14:textId="77777777" w:rsidR="00FB24C0" w:rsidRPr="007D0721" w:rsidRDefault="00FB24C0" w:rsidP="00FB24C0">
      <w:pPr>
        <w:spacing w:after="0" w:line="240" w:lineRule="auto"/>
        <w:ind w:left="0" w:firstLine="0"/>
        <w:rPr>
          <w:color w:val="auto"/>
          <w:lang w:val="es-ES"/>
        </w:rPr>
      </w:pPr>
    </w:p>
    <w:p w14:paraId="610723A2" w14:textId="77777777" w:rsidR="00FB24C0" w:rsidRPr="007D0721" w:rsidRDefault="00FB24C0" w:rsidP="00FB24C0">
      <w:pPr>
        <w:spacing w:after="0" w:line="240" w:lineRule="auto"/>
        <w:ind w:left="0" w:firstLine="0"/>
        <w:rPr>
          <w:color w:val="auto"/>
          <w:lang w:val="es-ES"/>
        </w:rPr>
      </w:pPr>
      <w:r w:rsidRPr="007D0721">
        <w:rPr>
          <w:color w:val="auto"/>
          <w:lang w:val="es-ES"/>
        </w:rPr>
        <w:t xml:space="preserve">Utilizando un modelo de regresión de Cox multivariante exploratorio retrospectivo se observó que los siguientes factores pronósticos basales estaban fuertemente asociados con la supervivencia independiente del tratamiento: género, recuento de células blancas, plaquetas, pérdida de peso corporal en los 6 meses anteriores a entrar en el ensayo, número de localizaciones metastásicas, suma del diámetro mayor de las lesiones diana, puntuación de </w:t>
      </w:r>
      <w:proofErr w:type="spellStart"/>
      <w:r w:rsidRPr="007D0721">
        <w:rPr>
          <w:color w:val="auto"/>
          <w:lang w:val="es-ES"/>
        </w:rPr>
        <w:t>Motzer</w:t>
      </w:r>
      <w:proofErr w:type="spellEnd"/>
      <w:r w:rsidRPr="007D0721">
        <w:rPr>
          <w:color w:val="auto"/>
          <w:lang w:val="es-ES"/>
        </w:rPr>
        <w:t xml:space="preserve">. Cuando se realizó el ajuste de estos factores basales, el resultado fue un tratamiento con un índice de riesgo de 0,78 (IC del 95% [0,63; 0,96], p = 0,0219), indicando una reducción del riesgo de muerte del 22% para los pacientes del brazo </w:t>
      </w:r>
      <w:r w:rsidR="00FF4D91" w:rsidRPr="001919A9">
        <w:rPr>
          <w:lang w:val="es-ES"/>
        </w:rPr>
        <w:t>bevacizumab</w:t>
      </w:r>
      <w:r w:rsidRPr="007D0721">
        <w:rPr>
          <w:color w:val="auto"/>
          <w:lang w:val="es-ES"/>
        </w:rPr>
        <w:t xml:space="preserve"> + IFN alfa 2a en comparación con los del brazo IFN alfa 2a.</w:t>
      </w:r>
    </w:p>
    <w:p w14:paraId="69EEE82C" w14:textId="77777777" w:rsidR="00FB24C0" w:rsidRPr="007D0721" w:rsidRDefault="00FB24C0" w:rsidP="00FB24C0">
      <w:pPr>
        <w:spacing w:after="0" w:line="240" w:lineRule="auto"/>
        <w:ind w:left="0" w:firstLine="0"/>
        <w:rPr>
          <w:color w:val="auto"/>
          <w:lang w:val="es-ES"/>
        </w:rPr>
      </w:pPr>
    </w:p>
    <w:p w14:paraId="0D4DD686" w14:textId="77777777" w:rsidR="00FB24C0" w:rsidRDefault="00FB24C0" w:rsidP="00FB24C0">
      <w:pPr>
        <w:spacing w:after="0" w:line="240" w:lineRule="auto"/>
        <w:ind w:left="0" w:firstLine="0"/>
        <w:rPr>
          <w:color w:val="auto"/>
          <w:lang w:val="es-ES"/>
        </w:rPr>
      </w:pPr>
      <w:r w:rsidRPr="007D0721">
        <w:rPr>
          <w:color w:val="auto"/>
          <w:lang w:val="es-ES"/>
        </w:rPr>
        <w:t xml:space="preserve">En 97 pacientes en el brazo de IFN alfa-2a y en 131 pacientes en el brazo de </w:t>
      </w:r>
      <w:r w:rsidR="009E472C" w:rsidRPr="001919A9">
        <w:rPr>
          <w:lang w:val="es-ES"/>
        </w:rPr>
        <w:t>bevacizumab</w:t>
      </w:r>
      <w:r w:rsidRPr="007D0721">
        <w:rPr>
          <w:color w:val="auto"/>
          <w:lang w:val="es-ES"/>
        </w:rPr>
        <w:t xml:space="preserve"> se redujo la dosis de IFN alfa-2a de 9</w:t>
      </w:r>
      <w:r w:rsidR="0068494D">
        <w:rPr>
          <w:color w:val="auto"/>
          <w:lang w:val="es-ES"/>
        </w:rPr>
        <w:t> </w:t>
      </w:r>
      <w:r w:rsidRPr="007D0721">
        <w:rPr>
          <w:color w:val="auto"/>
          <w:lang w:val="es-ES"/>
        </w:rPr>
        <w:t>MUI hasta 6 o 3</w:t>
      </w:r>
      <w:r w:rsidR="00192387" w:rsidRPr="007D0721">
        <w:rPr>
          <w:color w:val="auto"/>
          <w:lang w:val="es-ES"/>
        </w:rPr>
        <w:t> </w:t>
      </w:r>
      <w:r w:rsidRPr="007D0721">
        <w:rPr>
          <w:color w:val="auto"/>
          <w:lang w:val="es-ES"/>
        </w:rPr>
        <w:t xml:space="preserve">MUI tres veces por semana, según lo especificado en el protocolo. En base a los resultados de la tasa de supervivencia libre de progresión (SLP libre de eventos) a lo largo del tiempo, la reducción de dosis de IFN alfa-2a no afectó a la eficacia de la combinación de </w:t>
      </w:r>
      <w:r w:rsidR="00980D6A">
        <w:rPr>
          <w:color w:val="auto"/>
          <w:lang w:val="es-ES"/>
        </w:rPr>
        <w:t>b</w:t>
      </w:r>
      <w:r w:rsidR="00863B46">
        <w:rPr>
          <w:color w:val="auto"/>
          <w:lang w:val="es-ES"/>
        </w:rPr>
        <w:t>evacizumab</w:t>
      </w:r>
      <w:r w:rsidRPr="007D0721">
        <w:rPr>
          <w:color w:val="auto"/>
          <w:lang w:val="es-ES"/>
        </w:rPr>
        <w:t xml:space="preserve"> e IFN alfa-2a, tal y como se demostró por un</w:t>
      </w:r>
      <w:r w:rsidR="00192387" w:rsidRPr="007D0721">
        <w:rPr>
          <w:color w:val="auto"/>
          <w:lang w:val="es-ES"/>
        </w:rPr>
        <w:t xml:space="preserve"> análisis de subgrupos. Los 131 </w:t>
      </w:r>
      <w:r w:rsidRPr="007D0721">
        <w:rPr>
          <w:color w:val="auto"/>
          <w:lang w:val="es-ES"/>
        </w:rPr>
        <w:t>pacientes en el brazo de bevacizumab + IFN alfa-2a que redujeron y mantuvieron la dosis de IFN alfa</w:t>
      </w:r>
      <w:r w:rsidR="00192387" w:rsidRPr="007D0721">
        <w:rPr>
          <w:color w:val="auto"/>
          <w:lang w:val="es-ES"/>
        </w:rPr>
        <w:noBreakHyphen/>
      </w:r>
      <w:r w:rsidRPr="007D0721">
        <w:rPr>
          <w:color w:val="auto"/>
          <w:lang w:val="es-ES"/>
        </w:rPr>
        <w:t>2a a 6 o 3</w:t>
      </w:r>
      <w:r w:rsidR="00192387" w:rsidRPr="007D0721">
        <w:rPr>
          <w:color w:val="auto"/>
          <w:lang w:val="es-ES"/>
        </w:rPr>
        <w:t> </w:t>
      </w:r>
      <w:r w:rsidRPr="007D0721">
        <w:rPr>
          <w:color w:val="auto"/>
          <w:lang w:val="es-ES"/>
        </w:rPr>
        <w:t>MUI durante el ensayo, presentaron resultados de la tasa de supervivencia libre de progresión (SLP libre de eventos) a los 6, 12 y 18 meses del 73, 52 y 21%, respectivamente, en comparación con el 61, 43 y 17% de la población total de los pacie</w:t>
      </w:r>
      <w:r w:rsidR="00192387" w:rsidRPr="007D0721">
        <w:rPr>
          <w:color w:val="auto"/>
          <w:lang w:val="es-ES"/>
        </w:rPr>
        <w:t>ntes que recibieron bevacizumab </w:t>
      </w:r>
      <w:r w:rsidRPr="007D0721">
        <w:rPr>
          <w:color w:val="auto"/>
          <w:lang w:val="es-ES"/>
        </w:rPr>
        <w:t>+</w:t>
      </w:r>
      <w:r w:rsidR="00192387" w:rsidRPr="007D0721">
        <w:rPr>
          <w:color w:val="auto"/>
          <w:lang w:val="es-ES"/>
        </w:rPr>
        <w:t> </w:t>
      </w:r>
      <w:r w:rsidRPr="007D0721">
        <w:rPr>
          <w:color w:val="auto"/>
          <w:lang w:val="es-ES"/>
        </w:rPr>
        <w:t>IFN alfa-2a.</w:t>
      </w:r>
    </w:p>
    <w:p w14:paraId="6744886C" w14:textId="77777777" w:rsidR="0022123D" w:rsidRDefault="0022123D" w:rsidP="00FB24C0">
      <w:pPr>
        <w:spacing w:after="0" w:line="240" w:lineRule="auto"/>
        <w:ind w:left="0" w:firstLine="0"/>
        <w:rPr>
          <w:color w:val="auto"/>
          <w:lang w:val="es-ES"/>
        </w:rPr>
      </w:pPr>
    </w:p>
    <w:p w14:paraId="624A052C" w14:textId="172D3A91" w:rsidR="0022123D" w:rsidRPr="00C33F4C" w:rsidRDefault="0022123D" w:rsidP="0022123D">
      <w:pPr>
        <w:autoSpaceDE w:val="0"/>
        <w:autoSpaceDN w:val="0"/>
        <w:adjustRightInd w:val="0"/>
        <w:spacing w:after="0" w:line="240" w:lineRule="auto"/>
        <w:ind w:left="0" w:firstLine="0"/>
        <w:rPr>
          <w:rFonts w:eastAsia="Calibri"/>
          <w:lang w:val="es-ES" w:eastAsia="en-US"/>
        </w:rPr>
      </w:pPr>
      <w:r w:rsidRPr="00C33F4C">
        <w:rPr>
          <w:rFonts w:eastAsia="Calibri"/>
          <w:i/>
          <w:iCs/>
          <w:lang w:val="es-ES" w:eastAsia="en-US"/>
        </w:rPr>
        <w:t>AVF2938</w:t>
      </w:r>
    </w:p>
    <w:p w14:paraId="38034511" w14:textId="51B5E5AE" w:rsidR="0022123D" w:rsidRPr="007D0721" w:rsidRDefault="0022123D" w:rsidP="005F3B14">
      <w:pPr>
        <w:autoSpaceDE w:val="0"/>
        <w:autoSpaceDN w:val="0"/>
        <w:adjustRightInd w:val="0"/>
        <w:spacing w:after="0" w:line="240" w:lineRule="auto"/>
        <w:ind w:left="0" w:firstLine="0"/>
        <w:rPr>
          <w:color w:val="auto"/>
          <w:lang w:val="es-ES"/>
        </w:rPr>
      </w:pPr>
      <w:r w:rsidRPr="00C33F4C">
        <w:rPr>
          <w:rFonts w:eastAsia="Calibri"/>
          <w:lang w:val="es-ES" w:eastAsia="en-US"/>
        </w:rPr>
        <w:t xml:space="preserve">Se realizó un ensayo clínico fase II, aleatorizado, doble ciego, en el que se investigó bevacizumab 10 mg/kg en un esquema de 2 semanas frente a la misma dosis de bevacizumab en combinación con 150 mg de </w:t>
      </w:r>
      <w:proofErr w:type="spellStart"/>
      <w:r w:rsidRPr="00C33F4C">
        <w:rPr>
          <w:rFonts w:eastAsia="Calibri"/>
          <w:lang w:val="es-ES" w:eastAsia="en-US"/>
        </w:rPr>
        <w:t>erlotinib</w:t>
      </w:r>
      <w:proofErr w:type="spellEnd"/>
      <w:r w:rsidRPr="00C33F4C">
        <w:rPr>
          <w:rFonts w:eastAsia="Calibri"/>
          <w:lang w:val="es-ES" w:eastAsia="en-US"/>
        </w:rPr>
        <w:t xml:space="preserve"> diarios, en pacientes con Carcinoma Renal de células claras con metástasis. En este ensayo, un total de 104 pacientes fueron aleatorizados para recibir tratamiento, 53 con bevacizumab 10 mg/kg cada 2 semanas + placebo y 51 con bevacizumab 10 mg/kg cada 2 semanas en combinación con </w:t>
      </w:r>
      <w:proofErr w:type="spellStart"/>
      <w:r w:rsidRPr="00C33F4C">
        <w:rPr>
          <w:rFonts w:eastAsia="Calibri"/>
          <w:lang w:val="es-ES" w:eastAsia="en-US"/>
        </w:rPr>
        <w:t>erlotinib</w:t>
      </w:r>
      <w:proofErr w:type="spellEnd"/>
      <w:r w:rsidRPr="00C33F4C">
        <w:rPr>
          <w:rFonts w:eastAsia="Calibri"/>
          <w:lang w:val="es-ES" w:eastAsia="en-US"/>
        </w:rPr>
        <w:t xml:space="preserve"> 150 mg diariamente. El análisis objetivo de la variable principal de eficacia no mostró diferencia entre el brazo de bevacizumab + placebo y el brazo de bevacizumab + </w:t>
      </w:r>
      <w:proofErr w:type="spellStart"/>
      <w:r w:rsidRPr="00C33F4C">
        <w:rPr>
          <w:rFonts w:eastAsia="Calibri"/>
          <w:lang w:val="es-ES" w:eastAsia="en-US"/>
        </w:rPr>
        <w:t>erlotinib</w:t>
      </w:r>
      <w:proofErr w:type="spellEnd"/>
      <w:r w:rsidRPr="00C33F4C">
        <w:rPr>
          <w:rFonts w:eastAsia="Calibri"/>
          <w:lang w:val="es-ES" w:eastAsia="en-US"/>
        </w:rPr>
        <w:t xml:space="preserve"> </w:t>
      </w:r>
      <w:r w:rsidRPr="00C33F4C">
        <w:rPr>
          <w:rFonts w:eastAsia="Calibri"/>
          <w:lang w:val="es-ES" w:eastAsia="en-US"/>
        </w:rPr>
        <w:lastRenderedPageBreak/>
        <w:t xml:space="preserve">(mediana de SLP 8,5 frente a 9,9 meses). Siete pacientes en cada brazo mostraron una respuesta objetiva. La adición de </w:t>
      </w:r>
      <w:proofErr w:type="spellStart"/>
      <w:r w:rsidRPr="00C33F4C">
        <w:rPr>
          <w:rFonts w:eastAsia="Calibri"/>
          <w:lang w:val="es-ES" w:eastAsia="en-US"/>
        </w:rPr>
        <w:t>erlotinib</w:t>
      </w:r>
      <w:proofErr w:type="spellEnd"/>
      <w:r w:rsidRPr="00C33F4C">
        <w:rPr>
          <w:rFonts w:eastAsia="Calibri"/>
          <w:lang w:val="es-ES" w:eastAsia="en-US"/>
        </w:rPr>
        <w:t xml:space="preserve"> a bevacizumab no mostró una mejoría en la supervivencia global (SG) (razón de riesgo = 1,764; p = 0,1789), duración de la respuesta objetiva (6,7 frente a 9,1 meses) o el tiempo hasta la progresión de los síntomas (razón de riesgo = 1,172; p = 0,5076).</w:t>
      </w:r>
    </w:p>
    <w:p w14:paraId="190F1F4A" w14:textId="77777777" w:rsidR="00FB24C0" w:rsidRPr="007D0721" w:rsidRDefault="00FB24C0" w:rsidP="00FB24C0">
      <w:pPr>
        <w:spacing w:after="0" w:line="240" w:lineRule="auto"/>
        <w:ind w:left="0" w:firstLine="0"/>
        <w:rPr>
          <w:color w:val="auto"/>
          <w:lang w:val="es-ES"/>
        </w:rPr>
      </w:pPr>
    </w:p>
    <w:p w14:paraId="74300A82" w14:textId="77777777" w:rsidR="00FB24C0" w:rsidRPr="007D0721" w:rsidRDefault="00FB24C0" w:rsidP="00192387">
      <w:pPr>
        <w:keepNext/>
        <w:spacing w:after="0" w:line="240" w:lineRule="auto"/>
        <w:ind w:left="0" w:firstLine="0"/>
        <w:rPr>
          <w:i/>
          <w:color w:val="auto"/>
          <w:lang w:val="es-ES"/>
        </w:rPr>
      </w:pPr>
      <w:r w:rsidRPr="007D0721">
        <w:rPr>
          <w:i/>
          <w:color w:val="auto"/>
          <w:lang w:val="es-ES"/>
        </w:rPr>
        <w:t>AVF0890</w:t>
      </w:r>
    </w:p>
    <w:p w14:paraId="72101901" w14:textId="6CAC3D0B" w:rsidR="00FB24C0" w:rsidRPr="007D0721" w:rsidRDefault="00FB24C0" w:rsidP="00FB24C0">
      <w:pPr>
        <w:spacing w:after="0" w:line="240" w:lineRule="auto"/>
        <w:ind w:left="0" w:firstLine="0"/>
        <w:rPr>
          <w:color w:val="auto"/>
          <w:lang w:val="es-ES"/>
        </w:rPr>
      </w:pPr>
      <w:r w:rsidRPr="007D0721">
        <w:rPr>
          <w:color w:val="auto"/>
          <w:lang w:val="es-ES"/>
        </w:rPr>
        <w:t>Se realizó un ensayo clínico fase II aleatorizado para comparar la eficacia y seguridad de bevacizumab frente a placebo. Se aleatorizaron un total de 116 pacientes para recibir bevacizumab 3 mg/kg cada 2 semanas (n</w:t>
      </w:r>
      <w:r w:rsidR="003032FF" w:rsidRPr="00D1096C">
        <w:rPr>
          <w:lang w:val="es-ES"/>
        </w:rPr>
        <w:t> </w:t>
      </w:r>
      <w:r w:rsidRPr="007D0721">
        <w:rPr>
          <w:color w:val="auto"/>
          <w:lang w:val="es-ES"/>
        </w:rPr>
        <w:t>=</w:t>
      </w:r>
      <w:r w:rsidR="003032FF" w:rsidRPr="00D1096C">
        <w:rPr>
          <w:lang w:val="es-ES"/>
        </w:rPr>
        <w:t> </w:t>
      </w:r>
      <w:r w:rsidRPr="007D0721">
        <w:rPr>
          <w:color w:val="auto"/>
          <w:lang w:val="es-ES"/>
        </w:rPr>
        <w:t>39), 10 mg/kg cada 2 semanas; (n</w:t>
      </w:r>
      <w:r w:rsidR="00BE505A" w:rsidRPr="00D1096C">
        <w:rPr>
          <w:lang w:val="es-ES"/>
        </w:rPr>
        <w:t> </w:t>
      </w:r>
      <w:r w:rsidRPr="007D0721">
        <w:rPr>
          <w:color w:val="auto"/>
          <w:lang w:val="es-ES"/>
        </w:rPr>
        <w:t>=</w:t>
      </w:r>
      <w:r w:rsidR="00BE505A" w:rsidRPr="00D1096C">
        <w:rPr>
          <w:lang w:val="es-ES"/>
        </w:rPr>
        <w:t> </w:t>
      </w:r>
      <w:r w:rsidRPr="007D0721">
        <w:rPr>
          <w:color w:val="auto"/>
          <w:lang w:val="es-ES"/>
        </w:rPr>
        <w:t>37), o placebo (n</w:t>
      </w:r>
      <w:r w:rsidR="00BE505A" w:rsidRPr="00D1096C">
        <w:rPr>
          <w:lang w:val="es-ES"/>
        </w:rPr>
        <w:t> </w:t>
      </w:r>
      <w:r w:rsidRPr="007D0721">
        <w:rPr>
          <w:color w:val="auto"/>
          <w:lang w:val="es-ES"/>
        </w:rPr>
        <w:t>=</w:t>
      </w:r>
      <w:r w:rsidR="00BE505A" w:rsidRPr="00D1096C">
        <w:rPr>
          <w:lang w:val="es-ES"/>
        </w:rPr>
        <w:t> </w:t>
      </w:r>
      <w:r w:rsidRPr="007D0721">
        <w:rPr>
          <w:color w:val="auto"/>
          <w:lang w:val="es-ES"/>
        </w:rPr>
        <w:t>40). Un análisis provisional demostró que había un incremento significativo del tiempo hasta la progresión de la enfermedad en el grupo de 10 mg/kg en comparación con el grupo placebo (razón de riesgo</w:t>
      </w:r>
      <w:r w:rsidR="00BE505A" w:rsidRPr="00D1096C">
        <w:rPr>
          <w:lang w:val="es-ES"/>
        </w:rPr>
        <w:t> </w:t>
      </w:r>
      <w:r w:rsidRPr="007D0721">
        <w:rPr>
          <w:color w:val="auto"/>
          <w:lang w:val="es-ES"/>
        </w:rPr>
        <w:t>=</w:t>
      </w:r>
      <w:r w:rsidR="00D1096C" w:rsidRPr="00D1096C">
        <w:rPr>
          <w:lang w:val="es-ES"/>
        </w:rPr>
        <w:t> </w:t>
      </w:r>
      <w:r w:rsidR="00D1096C" w:rsidRPr="007D0721">
        <w:rPr>
          <w:color w:val="auto"/>
          <w:lang w:val="es-ES"/>
        </w:rPr>
        <w:t>2,55</w:t>
      </w:r>
      <w:r w:rsidRPr="007D0721">
        <w:rPr>
          <w:color w:val="auto"/>
          <w:lang w:val="es-ES"/>
        </w:rPr>
        <w:t>; p</w:t>
      </w:r>
      <w:r w:rsidR="00BE505A" w:rsidRPr="00D1096C">
        <w:rPr>
          <w:lang w:val="es-ES"/>
        </w:rPr>
        <w:t> </w:t>
      </w:r>
      <w:r w:rsidRPr="007D0721">
        <w:rPr>
          <w:color w:val="auto"/>
          <w:lang w:val="es-ES"/>
        </w:rPr>
        <w:t>&lt; 0,001). Hubo una pequeña diferencia, al límite de la significación estadística, entre el tiempo hasta la progresión de la enfermedad en el grupo de 3 mg/kg y en el grupo placebo (razón de riesgo = 1,26; p</w:t>
      </w:r>
      <w:r w:rsidR="00BE505A" w:rsidRPr="00D1096C">
        <w:rPr>
          <w:lang w:val="es-ES"/>
        </w:rPr>
        <w:t> </w:t>
      </w:r>
      <w:r w:rsidRPr="007D0721">
        <w:rPr>
          <w:color w:val="auto"/>
          <w:lang w:val="es-ES"/>
        </w:rPr>
        <w:t>=</w:t>
      </w:r>
      <w:r w:rsidR="00BE505A" w:rsidRPr="00D1096C">
        <w:rPr>
          <w:lang w:val="es-ES"/>
        </w:rPr>
        <w:t> </w:t>
      </w:r>
      <w:r w:rsidRPr="007D0721">
        <w:rPr>
          <w:color w:val="auto"/>
          <w:lang w:val="es-ES"/>
        </w:rPr>
        <w:t xml:space="preserve">0,053). Cuatro pacientes mostraron una respuesta objetiva (parcial), y todos estos habían recibido la dosis de 10 mg/kg de bevacizumab; la tasa de respuesta </w:t>
      </w:r>
      <w:r w:rsidR="00767C67" w:rsidRPr="00767C67">
        <w:rPr>
          <w:color w:val="auto"/>
          <w:lang w:val="es-ES"/>
        </w:rPr>
        <w:t>objetiva</w:t>
      </w:r>
      <w:r w:rsidRPr="007D0721">
        <w:rPr>
          <w:color w:val="auto"/>
          <w:lang w:val="es-ES"/>
        </w:rPr>
        <w:t xml:space="preserve"> (</w:t>
      </w:r>
      <w:r w:rsidR="00767C67" w:rsidRPr="007D0721">
        <w:rPr>
          <w:color w:val="auto"/>
          <w:lang w:val="es-ES"/>
        </w:rPr>
        <w:t>TR</w:t>
      </w:r>
      <w:r w:rsidR="00767C67">
        <w:rPr>
          <w:color w:val="auto"/>
          <w:lang w:val="es-ES"/>
        </w:rPr>
        <w:t>O</w:t>
      </w:r>
      <w:r w:rsidRPr="007D0721">
        <w:rPr>
          <w:color w:val="auto"/>
          <w:lang w:val="es-ES"/>
        </w:rPr>
        <w:t>) para la dosis de 10 mg/kg fue del 10%.</w:t>
      </w:r>
    </w:p>
    <w:p w14:paraId="6E9C3E43" w14:textId="77777777" w:rsidR="00FB24C0" w:rsidRPr="007D0721" w:rsidRDefault="00FB24C0" w:rsidP="00FB24C0">
      <w:pPr>
        <w:spacing w:after="0" w:line="240" w:lineRule="auto"/>
        <w:ind w:left="0" w:firstLine="0"/>
        <w:rPr>
          <w:color w:val="auto"/>
          <w:lang w:val="es-ES"/>
        </w:rPr>
      </w:pPr>
    </w:p>
    <w:p w14:paraId="7B0D76C3" w14:textId="77777777" w:rsidR="00FB24C0" w:rsidRPr="007D0721" w:rsidRDefault="00FB24C0" w:rsidP="00FB24C0">
      <w:pPr>
        <w:keepNext/>
        <w:spacing w:after="0" w:line="240" w:lineRule="auto"/>
        <w:ind w:left="0" w:firstLine="0"/>
        <w:rPr>
          <w:i/>
          <w:color w:val="auto"/>
          <w:lang w:val="es-ES"/>
        </w:rPr>
      </w:pPr>
      <w:r w:rsidRPr="007D0721">
        <w:rPr>
          <w:i/>
          <w:color w:val="auto"/>
          <w:u w:val="single" w:color="000000"/>
          <w:lang w:val="es-ES"/>
        </w:rPr>
        <w:t>Cáncer de ovario epitelial, trompa de Falopio, o peritoneal primario</w:t>
      </w:r>
    </w:p>
    <w:p w14:paraId="4E9222BB" w14:textId="77777777" w:rsidR="00FB24C0" w:rsidRPr="007D0721" w:rsidRDefault="00FB24C0" w:rsidP="00FB24C0">
      <w:pPr>
        <w:keepNext/>
        <w:spacing w:after="0" w:line="240" w:lineRule="auto"/>
        <w:ind w:left="0" w:firstLine="0"/>
        <w:rPr>
          <w:i/>
          <w:color w:val="auto"/>
          <w:lang w:val="es-ES"/>
        </w:rPr>
      </w:pPr>
    </w:p>
    <w:p w14:paraId="574B3E91" w14:textId="77777777" w:rsidR="00FB24C0" w:rsidRPr="007D0721" w:rsidRDefault="00FB24C0" w:rsidP="00192387">
      <w:pPr>
        <w:keepNext/>
        <w:spacing w:after="0" w:line="240" w:lineRule="auto"/>
        <w:ind w:left="0" w:firstLine="0"/>
        <w:rPr>
          <w:i/>
          <w:color w:val="auto"/>
          <w:lang w:val="es-ES"/>
        </w:rPr>
      </w:pPr>
      <w:r w:rsidRPr="007D0721">
        <w:rPr>
          <w:i/>
          <w:color w:val="auto"/>
          <w:lang w:val="es-ES"/>
        </w:rPr>
        <w:t>Tratamiento en primera línea de cáncer de ovario</w:t>
      </w:r>
    </w:p>
    <w:p w14:paraId="7CAC2A52" w14:textId="77777777" w:rsidR="00FB24C0" w:rsidRPr="007D0721" w:rsidRDefault="00FB24C0" w:rsidP="00192387">
      <w:pPr>
        <w:keepNext/>
        <w:spacing w:after="0" w:line="240" w:lineRule="auto"/>
        <w:ind w:left="0" w:firstLine="0"/>
        <w:rPr>
          <w:i/>
          <w:color w:val="auto"/>
          <w:lang w:val="es-ES"/>
        </w:rPr>
      </w:pPr>
    </w:p>
    <w:p w14:paraId="73E09056" w14:textId="77777777" w:rsidR="00FB24C0" w:rsidRPr="007D0721" w:rsidRDefault="00FB24C0" w:rsidP="00FB24C0">
      <w:pPr>
        <w:spacing w:after="0" w:line="240" w:lineRule="auto"/>
        <w:ind w:left="0" w:firstLine="0"/>
        <w:rPr>
          <w:color w:val="auto"/>
          <w:lang w:val="es-ES"/>
        </w:rPr>
      </w:pPr>
      <w:r w:rsidRPr="007D0721">
        <w:rPr>
          <w:color w:val="auto"/>
          <w:lang w:val="es-ES"/>
        </w:rPr>
        <w:t xml:space="preserve">Se ha estudiado la seguridad y la eficacia de </w:t>
      </w:r>
      <w:r w:rsidR="00BD33A2">
        <w:rPr>
          <w:color w:val="auto"/>
          <w:lang w:val="es-ES"/>
        </w:rPr>
        <w:t>b</w:t>
      </w:r>
      <w:r w:rsidR="00863B46">
        <w:rPr>
          <w:color w:val="auto"/>
          <w:lang w:val="es-ES"/>
        </w:rPr>
        <w:t>evacizumab</w:t>
      </w:r>
      <w:r w:rsidRPr="007D0721">
        <w:rPr>
          <w:color w:val="auto"/>
          <w:lang w:val="es-ES"/>
        </w:rPr>
        <w:t xml:space="preserve"> en el tratamiento de primera línea en pacientes con cáncer de ovario epitelial, trompa de Falopio, o peritoneal primario en dos ensayos fase III (GOG</w:t>
      </w:r>
      <w:r w:rsidR="0081169F">
        <w:rPr>
          <w:color w:val="auto"/>
          <w:lang w:val="es-ES"/>
        </w:rPr>
        <w:noBreakHyphen/>
      </w:r>
      <w:r w:rsidRPr="007D0721">
        <w:rPr>
          <w:color w:val="auto"/>
          <w:lang w:val="es-ES"/>
        </w:rPr>
        <w:t xml:space="preserve">0218 y BO17707) diseñados para evaluar el efecto de </w:t>
      </w:r>
      <w:r w:rsidR="00BD33A2">
        <w:rPr>
          <w:color w:val="auto"/>
          <w:lang w:val="es-ES"/>
        </w:rPr>
        <w:t>b</w:t>
      </w:r>
      <w:r w:rsidR="00863B46">
        <w:rPr>
          <w:color w:val="auto"/>
          <w:lang w:val="es-ES"/>
        </w:rPr>
        <w:t>evacizumab</w:t>
      </w:r>
      <w:r w:rsidRPr="007D0721">
        <w:rPr>
          <w:color w:val="auto"/>
          <w:lang w:val="es-ES"/>
        </w:rPr>
        <w:t xml:space="preserve"> en combinación con carboplatino y </w:t>
      </w:r>
      <w:proofErr w:type="spellStart"/>
      <w:r w:rsidRPr="007D0721">
        <w:rPr>
          <w:color w:val="auto"/>
          <w:lang w:val="es-ES"/>
        </w:rPr>
        <w:t>paclitaxel</w:t>
      </w:r>
      <w:proofErr w:type="spellEnd"/>
      <w:r w:rsidRPr="007D0721">
        <w:rPr>
          <w:color w:val="auto"/>
          <w:lang w:val="es-ES"/>
        </w:rPr>
        <w:t xml:space="preserve"> en comparación con un régimen de quimioterapia sola.</w:t>
      </w:r>
    </w:p>
    <w:p w14:paraId="090E1986" w14:textId="77777777" w:rsidR="00FB24C0" w:rsidRPr="007D0721" w:rsidRDefault="00FB24C0" w:rsidP="00FB24C0">
      <w:pPr>
        <w:spacing w:after="0" w:line="240" w:lineRule="auto"/>
        <w:ind w:left="0" w:firstLine="0"/>
        <w:rPr>
          <w:color w:val="auto"/>
          <w:lang w:val="es-ES"/>
        </w:rPr>
      </w:pPr>
    </w:p>
    <w:p w14:paraId="7CF5DAE7" w14:textId="77777777" w:rsidR="00FB24C0" w:rsidRPr="007D0721" w:rsidRDefault="00FB24C0" w:rsidP="00192387">
      <w:pPr>
        <w:keepNext/>
        <w:spacing w:after="0" w:line="240" w:lineRule="auto"/>
        <w:ind w:left="0" w:firstLine="0"/>
        <w:rPr>
          <w:i/>
          <w:color w:val="auto"/>
          <w:lang w:val="es-ES"/>
        </w:rPr>
      </w:pPr>
      <w:r w:rsidRPr="007D0721">
        <w:rPr>
          <w:i/>
          <w:color w:val="auto"/>
          <w:lang w:val="es-ES"/>
        </w:rPr>
        <w:t>GOG-0218</w:t>
      </w:r>
    </w:p>
    <w:p w14:paraId="7EDBDD14" w14:textId="77777777" w:rsidR="00FB24C0" w:rsidRPr="007D0721" w:rsidRDefault="00FB24C0" w:rsidP="00FB24C0">
      <w:pPr>
        <w:spacing w:after="0" w:line="240" w:lineRule="auto"/>
        <w:ind w:left="0" w:firstLine="0"/>
        <w:rPr>
          <w:color w:val="auto"/>
          <w:lang w:val="es-ES"/>
        </w:rPr>
      </w:pPr>
      <w:r w:rsidRPr="007D0721">
        <w:rPr>
          <w:color w:val="auto"/>
          <w:lang w:val="es-ES"/>
        </w:rPr>
        <w:t xml:space="preserve">El ensayo GOG-0218 fue un estudio fase III, multicéntrico, aleatorizado, doble ciego, controlado con placebo y de tres brazos, que evaluó el efecto de la adición de </w:t>
      </w:r>
      <w:r w:rsidR="00BD33A2">
        <w:rPr>
          <w:color w:val="auto"/>
          <w:lang w:val="es-ES"/>
        </w:rPr>
        <w:t>b</w:t>
      </w:r>
      <w:r w:rsidR="00863B46">
        <w:rPr>
          <w:color w:val="auto"/>
          <w:lang w:val="es-ES"/>
        </w:rPr>
        <w:t>evacizumab</w:t>
      </w:r>
      <w:r w:rsidRPr="007D0721">
        <w:rPr>
          <w:color w:val="auto"/>
          <w:lang w:val="es-ES"/>
        </w:rPr>
        <w:t xml:space="preserve"> a un régimen de quimioterapia aprobado (carboplatino y </w:t>
      </w:r>
      <w:proofErr w:type="spellStart"/>
      <w:r w:rsidRPr="007D0721">
        <w:rPr>
          <w:color w:val="auto"/>
          <w:lang w:val="es-ES"/>
        </w:rPr>
        <w:t>paclitaxel</w:t>
      </w:r>
      <w:proofErr w:type="spellEnd"/>
      <w:r w:rsidRPr="007D0721">
        <w:rPr>
          <w:color w:val="auto"/>
          <w:lang w:val="es-ES"/>
        </w:rPr>
        <w:t>) en pacientes con cáncer avanzado (estadios IIIB, IIIC y IV según la versión de 1988 de clasificación FIGO) de ovario epitelial, trompa de Falopio, o peritoneal primario.</w:t>
      </w:r>
    </w:p>
    <w:p w14:paraId="53BD508F" w14:textId="77777777" w:rsidR="00FB24C0" w:rsidRPr="007D0721" w:rsidRDefault="00FB24C0" w:rsidP="00FB24C0">
      <w:pPr>
        <w:spacing w:after="0" w:line="240" w:lineRule="auto"/>
        <w:ind w:left="0" w:firstLine="0"/>
        <w:rPr>
          <w:color w:val="auto"/>
          <w:lang w:val="es-ES"/>
        </w:rPr>
      </w:pPr>
    </w:p>
    <w:p w14:paraId="20C86760" w14:textId="77777777" w:rsidR="00FB24C0" w:rsidRPr="007D0721" w:rsidRDefault="00FB24C0" w:rsidP="00FB24C0">
      <w:pPr>
        <w:spacing w:after="0" w:line="240" w:lineRule="auto"/>
        <w:ind w:left="0" w:firstLine="0"/>
        <w:rPr>
          <w:color w:val="auto"/>
          <w:lang w:val="es-ES"/>
        </w:rPr>
      </w:pPr>
      <w:r w:rsidRPr="007D0721">
        <w:rPr>
          <w:color w:val="auto"/>
          <w:lang w:val="es-ES"/>
        </w:rPr>
        <w:t>Se excluyeron del ensayo aquellos pacientes que habían recibido tratamiento previo con bevacizumab o tratamiento sistémico para el cáncer de ovario (p.ej., quimioterapia, tratamiento con anticuerpos monoclonales, tratamiento con inhibidores de la tirosina quinasa, o tratamiento hormonal) o radioterapia previa en el abdomen o pelvis.</w:t>
      </w:r>
    </w:p>
    <w:p w14:paraId="43329728" w14:textId="77777777" w:rsidR="00FB24C0" w:rsidRPr="007D0721" w:rsidRDefault="00FB24C0" w:rsidP="00FB24C0">
      <w:pPr>
        <w:spacing w:after="0" w:line="240" w:lineRule="auto"/>
        <w:ind w:left="0" w:firstLine="0"/>
        <w:rPr>
          <w:color w:val="auto"/>
          <w:lang w:val="es-ES"/>
        </w:rPr>
      </w:pPr>
    </w:p>
    <w:p w14:paraId="06DDA5BD" w14:textId="77777777" w:rsidR="00FB24C0" w:rsidRPr="007D0721" w:rsidRDefault="00FB24C0" w:rsidP="00192387">
      <w:pPr>
        <w:keepNext/>
        <w:spacing w:after="0" w:line="240" w:lineRule="auto"/>
        <w:ind w:left="0" w:firstLine="0"/>
        <w:rPr>
          <w:color w:val="auto"/>
          <w:lang w:val="es-ES"/>
        </w:rPr>
      </w:pPr>
      <w:r w:rsidRPr="007D0721">
        <w:rPr>
          <w:color w:val="auto"/>
          <w:lang w:val="es-ES"/>
        </w:rPr>
        <w:t>Se aleatorizaron en proporciones iguales un total de 1.873 pacientes en los siguientes tres brazos:</w:t>
      </w:r>
    </w:p>
    <w:p w14:paraId="002BECBA" w14:textId="77777777" w:rsidR="00FB24C0" w:rsidRPr="007D0721" w:rsidRDefault="00FB24C0" w:rsidP="00192387">
      <w:pPr>
        <w:keepNext/>
        <w:spacing w:after="0" w:line="240" w:lineRule="auto"/>
        <w:ind w:left="0" w:firstLine="0"/>
        <w:rPr>
          <w:color w:val="auto"/>
          <w:lang w:val="es-ES"/>
        </w:rPr>
      </w:pPr>
    </w:p>
    <w:p w14:paraId="30253D5D" w14:textId="77777777" w:rsidR="00FB24C0" w:rsidRPr="006125E6" w:rsidRDefault="00FB24C0" w:rsidP="00192387">
      <w:pPr>
        <w:keepNext/>
        <w:numPr>
          <w:ilvl w:val="0"/>
          <w:numId w:val="8"/>
        </w:numPr>
        <w:spacing w:after="0" w:line="240" w:lineRule="auto"/>
        <w:ind w:left="567" w:hanging="567"/>
        <w:rPr>
          <w:color w:val="auto"/>
          <w:lang w:val="es-ES"/>
        </w:rPr>
      </w:pPr>
      <w:r w:rsidRPr="006125E6">
        <w:rPr>
          <w:color w:val="auto"/>
          <w:lang w:val="es-ES"/>
        </w:rPr>
        <w:t xml:space="preserve">Brazo CPP: Cinco ciclos de placebo (comenzando en el ciclo 2) en combinación con carboplatino (AUC 6) y </w:t>
      </w:r>
      <w:proofErr w:type="spellStart"/>
      <w:r w:rsidRPr="006125E6">
        <w:rPr>
          <w:color w:val="auto"/>
          <w:lang w:val="es-ES"/>
        </w:rPr>
        <w:t>paclitaxel</w:t>
      </w:r>
      <w:proofErr w:type="spellEnd"/>
      <w:r w:rsidRPr="006125E6">
        <w:rPr>
          <w:color w:val="auto"/>
          <w:lang w:val="es-ES"/>
        </w:rPr>
        <w:t xml:space="preserve"> (175 mg/m</w:t>
      </w:r>
      <w:r w:rsidR="006125E6" w:rsidRPr="006125E6">
        <w:rPr>
          <w:color w:val="auto"/>
          <w:vertAlign w:val="superscript"/>
          <w:lang w:val="es-ES"/>
        </w:rPr>
        <w:t>2</w:t>
      </w:r>
      <w:r w:rsidRPr="006125E6">
        <w:rPr>
          <w:color w:val="auto"/>
          <w:lang w:val="es-ES"/>
        </w:rPr>
        <w:t>) durante 6 ciclos seguido de placebo solo, hasta un total de 15 meses de tratamiento.</w:t>
      </w:r>
    </w:p>
    <w:p w14:paraId="1FAFEF8E" w14:textId="77777777" w:rsidR="00FB24C0" w:rsidRPr="006125E6" w:rsidRDefault="00FB24C0" w:rsidP="00192387">
      <w:pPr>
        <w:keepNext/>
        <w:numPr>
          <w:ilvl w:val="0"/>
          <w:numId w:val="8"/>
        </w:numPr>
        <w:spacing w:after="0" w:line="240" w:lineRule="auto"/>
        <w:ind w:left="567" w:hanging="567"/>
        <w:rPr>
          <w:color w:val="auto"/>
          <w:lang w:val="es-ES"/>
        </w:rPr>
      </w:pPr>
      <w:r w:rsidRPr="006125E6">
        <w:rPr>
          <w:color w:val="auto"/>
          <w:lang w:val="es-ES"/>
        </w:rPr>
        <w:t xml:space="preserve">Brazo CPB15: </w:t>
      </w:r>
      <w:r w:rsidR="006125E6">
        <w:rPr>
          <w:color w:val="auto"/>
          <w:lang w:val="es-ES"/>
        </w:rPr>
        <w:t xml:space="preserve">Cinco ciclos de </w:t>
      </w:r>
      <w:r w:rsidR="00BD33A2">
        <w:rPr>
          <w:color w:val="auto"/>
          <w:lang w:val="es-ES"/>
        </w:rPr>
        <w:t>b</w:t>
      </w:r>
      <w:r w:rsidR="00863B46">
        <w:rPr>
          <w:color w:val="auto"/>
          <w:lang w:val="es-ES"/>
        </w:rPr>
        <w:t>evacizumab</w:t>
      </w:r>
      <w:r w:rsidR="006125E6">
        <w:rPr>
          <w:color w:val="auto"/>
          <w:lang w:val="es-ES"/>
        </w:rPr>
        <w:t xml:space="preserve"> (15 mg/</w:t>
      </w:r>
      <w:r w:rsidRPr="006125E6">
        <w:rPr>
          <w:color w:val="auto"/>
          <w:lang w:val="es-ES"/>
        </w:rPr>
        <w:t xml:space="preserve">kg cada tres semanas, comenzando en el ciclo 2) en combinación con carboplatino (AUC 6) y </w:t>
      </w:r>
      <w:proofErr w:type="spellStart"/>
      <w:r w:rsidRPr="006125E6">
        <w:rPr>
          <w:color w:val="auto"/>
          <w:lang w:val="es-ES"/>
        </w:rPr>
        <w:t>paclitaxel</w:t>
      </w:r>
      <w:proofErr w:type="spellEnd"/>
      <w:r w:rsidRPr="006125E6">
        <w:rPr>
          <w:color w:val="auto"/>
          <w:lang w:val="es-ES"/>
        </w:rPr>
        <w:t xml:space="preserve"> (175 mg/m</w:t>
      </w:r>
      <w:r w:rsidR="006125E6" w:rsidRPr="006125E6">
        <w:rPr>
          <w:color w:val="auto"/>
          <w:vertAlign w:val="superscript"/>
          <w:lang w:val="es-ES"/>
        </w:rPr>
        <w:t>2</w:t>
      </w:r>
      <w:r w:rsidRPr="006125E6">
        <w:rPr>
          <w:color w:val="auto"/>
          <w:lang w:val="es-ES"/>
        </w:rPr>
        <w:t>) durante 6 ciclos seguido de placebo solo, hasta un total de 15 meses de tratamiento.</w:t>
      </w:r>
    </w:p>
    <w:p w14:paraId="3B85E97C" w14:textId="77777777" w:rsidR="00FB24C0" w:rsidRPr="006125E6" w:rsidRDefault="00FB24C0" w:rsidP="00192387">
      <w:pPr>
        <w:keepNext/>
        <w:numPr>
          <w:ilvl w:val="0"/>
          <w:numId w:val="8"/>
        </w:numPr>
        <w:spacing w:after="0" w:line="240" w:lineRule="auto"/>
        <w:ind w:left="567" w:hanging="567"/>
        <w:rPr>
          <w:color w:val="auto"/>
          <w:lang w:val="es-ES"/>
        </w:rPr>
      </w:pPr>
      <w:r w:rsidRPr="006125E6">
        <w:rPr>
          <w:color w:val="auto"/>
          <w:lang w:val="es-ES"/>
        </w:rPr>
        <w:t xml:space="preserve">Brazo CPB15+: Cinco ciclos de </w:t>
      </w:r>
      <w:r w:rsidR="00BD33A2">
        <w:rPr>
          <w:color w:val="auto"/>
          <w:lang w:val="es-ES"/>
        </w:rPr>
        <w:t>b</w:t>
      </w:r>
      <w:r w:rsidR="00863B46">
        <w:rPr>
          <w:color w:val="auto"/>
          <w:lang w:val="es-ES"/>
        </w:rPr>
        <w:t>evacizumab</w:t>
      </w:r>
      <w:r w:rsidRPr="006125E6">
        <w:rPr>
          <w:color w:val="auto"/>
          <w:lang w:val="es-ES"/>
        </w:rPr>
        <w:t xml:space="preserve"> (15 mg/kg cada tres </w:t>
      </w:r>
      <w:r w:rsidR="00192387" w:rsidRPr="006125E6">
        <w:rPr>
          <w:color w:val="auto"/>
          <w:lang w:val="es-ES"/>
        </w:rPr>
        <w:t>semanas, comenzando en el ciclo </w:t>
      </w:r>
      <w:r w:rsidRPr="006125E6">
        <w:rPr>
          <w:color w:val="auto"/>
          <w:lang w:val="es-ES"/>
        </w:rPr>
        <w:t xml:space="preserve">2) en combinación con carboplatino (AUC 6) y </w:t>
      </w:r>
      <w:proofErr w:type="spellStart"/>
      <w:r w:rsidRPr="006125E6">
        <w:rPr>
          <w:color w:val="auto"/>
          <w:lang w:val="es-ES"/>
        </w:rPr>
        <w:t>paclitaxel</w:t>
      </w:r>
      <w:proofErr w:type="spellEnd"/>
      <w:r w:rsidRPr="006125E6">
        <w:rPr>
          <w:color w:val="auto"/>
          <w:lang w:val="es-ES"/>
        </w:rPr>
        <w:t xml:space="preserve"> (175 mg/m</w:t>
      </w:r>
      <w:r w:rsidR="006125E6" w:rsidRPr="006125E6">
        <w:rPr>
          <w:color w:val="auto"/>
          <w:vertAlign w:val="superscript"/>
          <w:lang w:val="es-ES"/>
        </w:rPr>
        <w:t>2</w:t>
      </w:r>
      <w:r w:rsidRPr="006125E6">
        <w:rPr>
          <w:color w:val="auto"/>
          <w:lang w:val="es-ES"/>
        </w:rPr>
        <w:t xml:space="preserve">) durante 6 ciclos seguido del uso continuado de </w:t>
      </w:r>
      <w:r w:rsidR="00BD33A2">
        <w:rPr>
          <w:color w:val="auto"/>
          <w:lang w:val="es-ES"/>
        </w:rPr>
        <w:t>b</w:t>
      </w:r>
      <w:r w:rsidR="00863B46">
        <w:rPr>
          <w:color w:val="auto"/>
          <w:lang w:val="es-ES"/>
        </w:rPr>
        <w:t>evacizumab</w:t>
      </w:r>
      <w:r w:rsidRPr="006125E6">
        <w:rPr>
          <w:color w:val="auto"/>
          <w:lang w:val="es-ES"/>
        </w:rPr>
        <w:t xml:space="preserve"> como monoterapia (15 mg/kg cada tres semanas), hasta un total de 15 meses de tratamiento.</w:t>
      </w:r>
    </w:p>
    <w:p w14:paraId="1B5B1E27" w14:textId="77777777" w:rsidR="00FB24C0" w:rsidRPr="00443040" w:rsidRDefault="00FB24C0" w:rsidP="00FB24C0">
      <w:pPr>
        <w:spacing w:after="0" w:line="240" w:lineRule="auto"/>
        <w:ind w:left="0" w:firstLine="0"/>
        <w:rPr>
          <w:color w:val="auto"/>
          <w:lang w:val="es-ES"/>
        </w:rPr>
      </w:pPr>
    </w:p>
    <w:p w14:paraId="11A08B6C" w14:textId="77777777" w:rsidR="00FB24C0" w:rsidRPr="00CE2F2E" w:rsidRDefault="00FB24C0" w:rsidP="00FB24C0">
      <w:pPr>
        <w:spacing w:after="0" w:line="240" w:lineRule="auto"/>
        <w:ind w:left="0" w:firstLine="0"/>
        <w:rPr>
          <w:color w:val="auto"/>
          <w:lang w:val="es-ES"/>
        </w:rPr>
      </w:pPr>
      <w:r w:rsidRPr="00443040">
        <w:rPr>
          <w:color w:val="auto"/>
          <w:lang w:val="es-ES"/>
        </w:rPr>
        <w:t>La mayoría de los pacientes incluidos en el estudio fueron de raza blanca (87% en los tres brazos); la mediana de edad fue de 60 años en los brazos CPP y CPB15 y de 59 años en el brazo CPB15+; y el 29</w:t>
      </w:r>
      <w:r w:rsidR="00EE5415">
        <w:rPr>
          <w:color w:val="auto"/>
          <w:lang w:val="es-ES"/>
        </w:rPr>
        <w:t>%</w:t>
      </w:r>
      <w:r w:rsidRPr="00443040">
        <w:rPr>
          <w:color w:val="auto"/>
          <w:lang w:val="es-ES"/>
        </w:rPr>
        <w:t xml:space="preserve"> de los pacientes en los brazos CPP o CPB15 y el 26% de los pacientes en el brazo CPB15+ tenían más de 65 años. En general, aproximadamente el 50% de los pacientes tenían al comienzo una puntuación de GOG PS 0, el 43% tenían una puntuación de GOG PS de 1, y el 7% una puntuación de GOG PS de 2. La mayoría de los pacientes tenían cáncer de ovario epitelial (82% en los brazos CPP y CPB15, 85% en el brazo CPB15+), seguido de cáncer peritoneal primario (16% en el brazo CPP, 15% </w:t>
      </w:r>
      <w:r w:rsidRPr="00443040">
        <w:rPr>
          <w:color w:val="auto"/>
          <w:lang w:val="es-ES"/>
        </w:rPr>
        <w:lastRenderedPageBreak/>
        <w:t xml:space="preserve">en el brazo CPB15, 13% en el brazo CPB15+) y cáncer de trompa de Falopio (1% en el brazo CPP, 3% en el brazo CPB15, 2% en el brazo CPB15+). La mayoría de los pacientes tenían una histología de </w:t>
      </w:r>
      <w:r w:rsidRPr="00CE2F2E">
        <w:rPr>
          <w:color w:val="auto"/>
          <w:lang w:val="es-ES"/>
        </w:rPr>
        <w:t xml:space="preserve">adenocarcinoma seroso (85% en los brazos CPP y CPB15, 86% en el brazo CPB15+). En general, aproximadamente el 34% de los pacientes tenían un estadio FIGO III con enfermedad residual macroscópica tras una </w:t>
      </w:r>
      <w:proofErr w:type="spellStart"/>
      <w:r w:rsidRPr="00CE2F2E">
        <w:rPr>
          <w:color w:val="auto"/>
          <w:lang w:val="es-ES"/>
        </w:rPr>
        <w:t>citorreducción</w:t>
      </w:r>
      <w:proofErr w:type="spellEnd"/>
      <w:r w:rsidRPr="00CE2F2E">
        <w:rPr>
          <w:color w:val="auto"/>
          <w:lang w:val="es-ES"/>
        </w:rPr>
        <w:t xml:space="preserve"> óptima con enfermedad residual macroscópica, el 40% un estadio III con una </w:t>
      </w:r>
      <w:proofErr w:type="spellStart"/>
      <w:r w:rsidRPr="00CE2F2E">
        <w:rPr>
          <w:color w:val="auto"/>
          <w:lang w:val="es-ES"/>
        </w:rPr>
        <w:t>citorreducción</w:t>
      </w:r>
      <w:proofErr w:type="spellEnd"/>
      <w:r w:rsidRPr="00CE2F2E">
        <w:rPr>
          <w:color w:val="auto"/>
          <w:lang w:val="es-ES"/>
        </w:rPr>
        <w:t xml:space="preserve"> sub-óptima, y el 26% pacientes un estadio IV.</w:t>
      </w:r>
    </w:p>
    <w:p w14:paraId="57116C20" w14:textId="77777777" w:rsidR="00FB24C0" w:rsidRPr="00CE2F2E" w:rsidRDefault="00FB24C0" w:rsidP="00FB24C0">
      <w:pPr>
        <w:spacing w:after="0" w:line="240" w:lineRule="auto"/>
        <w:ind w:left="0" w:firstLine="0"/>
        <w:rPr>
          <w:color w:val="auto"/>
          <w:lang w:val="es-ES"/>
        </w:rPr>
      </w:pPr>
    </w:p>
    <w:p w14:paraId="526DE2D0" w14:textId="77777777" w:rsidR="00FB24C0" w:rsidRPr="00CE2F2E" w:rsidRDefault="00FB24C0" w:rsidP="00FB24C0">
      <w:pPr>
        <w:spacing w:after="0" w:line="240" w:lineRule="auto"/>
        <w:ind w:left="0" w:firstLine="0"/>
        <w:rPr>
          <w:rFonts w:eastAsia="Arial"/>
          <w:color w:val="auto"/>
          <w:lang w:val="es-ES"/>
        </w:rPr>
      </w:pPr>
      <w:r w:rsidRPr="00CE2F2E">
        <w:rPr>
          <w:color w:val="auto"/>
          <w:lang w:val="es-ES"/>
        </w:rPr>
        <w:t>La variable principal fue la SLP evaluada por el investigador como progresión de la enfermedad y en base a las exploraciones radiológicas o a los niveles de CA-125, o al deterioro sintomático por protocolo. Además, se realizó un análisis preespecificado de los datos censurando para los eventos de progresión por CA-125, así como una revisión independiente de la SLP determinada por las exploraciones radiológicas.</w:t>
      </w:r>
    </w:p>
    <w:p w14:paraId="5CA32193" w14:textId="77777777" w:rsidR="00FB24C0" w:rsidRPr="00CE2F2E" w:rsidRDefault="00FB24C0" w:rsidP="00FB24C0">
      <w:pPr>
        <w:spacing w:after="0" w:line="240" w:lineRule="auto"/>
        <w:ind w:left="0" w:firstLine="0"/>
        <w:rPr>
          <w:color w:val="auto"/>
          <w:lang w:val="es-ES"/>
        </w:rPr>
      </w:pPr>
    </w:p>
    <w:p w14:paraId="794BE056" w14:textId="5AA55F98" w:rsidR="00FB24C0" w:rsidRPr="00CE2F2E" w:rsidRDefault="00FB24C0" w:rsidP="00FB24C0">
      <w:pPr>
        <w:spacing w:after="0" w:line="240" w:lineRule="auto"/>
        <w:ind w:left="0" w:firstLine="0"/>
        <w:rPr>
          <w:color w:val="auto"/>
          <w:lang w:val="es-ES"/>
        </w:rPr>
      </w:pPr>
      <w:r w:rsidRPr="00CE2F2E">
        <w:rPr>
          <w:color w:val="auto"/>
          <w:lang w:val="es-ES"/>
        </w:rPr>
        <w:t xml:space="preserve">El ensayo alcanzó su variable principal de mejoría en la SLP. Los pacientes que recibieron bevacizumab con una dosis de 15 mg/kg cada tres semanas en combinación con quimioterapia y que continuaron recibiendo bevacizumab en monoterapia (CPB15+) tuvieron una mejoría </w:t>
      </w:r>
      <w:proofErr w:type="gramStart"/>
      <w:r w:rsidRPr="00CE2F2E">
        <w:rPr>
          <w:color w:val="auto"/>
          <w:lang w:val="es-ES"/>
        </w:rPr>
        <w:t>clínicamente y estadísticamente</w:t>
      </w:r>
      <w:proofErr w:type="gramEnd"/>
      <w:r w:rsidRPr="00CE2F2E">
        <w:rPr>
          <w:color w:val="auto"/>
          <w:lang w:val="es-ES"/>
        </w:rPr>
        <w:t xml:space="preserve"> significativa </w:t>
      </w:r>
      <w:r w:rsidRPr="00251B88">
        <w:rPr>
          <w:color w:val="auto"/>
          <w:lang w:val="es-ES"/>
        </w:rPr>
        <w:t xml:space="preserve">de la SLP en comparación con los pacientes tratados sólo con quimioterapia (carboplatino y </w:t>
      </w:r>
      <w:proofErr w:type="spellStart"/>
      <w:r w:rsidRPr="00251B88">
        <w:rPr>
          <w:color w:val="auto"/>
          <w:lang w:val="es-ES"/>
        </w:rPr>
        <w:t>pa</w:t>
      </w:r>
      <w:r w:rsidR="00445D58">
        <w:rPr>
          <w:color w:val="auto"/>
          <w:lang w:val="es-ES"/>
        </w:rPr>
        <w:t>cl</w:t>
      </w:r>
      <w:r w:rsidRPr="00251B88">
        <w:rPr>
          <w:color w:val="auto"/>
          <w:lang w:val="es-ES"/>
        </w:rPr>
        <w:t>itaxel</w:t>
      </w:r>
      <w:proofErr w:type="spellEnd"/>
      <w:r w:rsidRPr="00251B88">
        <w:rPr>
          <w:color w:val="auto"/>
          <w:lang w:val="es-ES"/>
        </w:rPr>
        <w:t>) en el tratamiento de primera línea.</w:t>
      </w:r>
    </w:p>
    <w:p w14:paraId="6EEA3E92" w14:textId="77777777" w:rsidR="00FB24C0" w:rsidRPr="00CE2F2E" w:rsidRDefault="00FB24C0" w:rsidP="00FB24C0">
      <w:pPr>
        <w:spacing w:after="0" w:line="240" w:lineRule="auto"/>
        <w:ind w:left="0" w:firstLine="0"/>
        <w:rPr>
          <w:color w:val="auto"/>
          <w:lang w:val="es-ES"/>
        </w:rPr>
      </w:pPr>
    </w:p>
    <w:p w14:paraId="2B6F66A5" w14:textId="22F5D13E" w:rsidR="00FB24C0" w:rsidRPr="00523B65" w:rsidRDefault="00FB24C0" w:rsidP="00FB24C0">
      <w:pPr>
        <w:spacing w:after="0" w:line="240" w:lineRule="auto"/>
        <w:ind w:left="0" w:firstLine="0"/>
        <w:rPr>
          <w:color w:val="auto"/>
          <w:lang w:val="es-ES"/>
        </w:rPr>
      </w:pPr>
      <w:r w:rsidRPr="00CE2F2E">
        <w:rPr>
          <w:color w:val="auto"/>
          <w:lang w:val="es-ES"/>
        </w:rPr>
        <w:t>En los pacientes que sólo recibieron bevacizumab en combinación con quimioterapia y que no continuaron recibiendo bevacizumab en monote</w:t>
      </w:r>
      <w:r w:rsidRPr="00251B88">
        <w:rPr>
          <w:color w:val="auto"/>
          <w:lang w:val="es-ES"/>
        </w:rPr>
        <w:t>rapia (CPB15), no se observó una mejoría clínicamente significativ</w:t>
      </w:r>
      <w:r w:rsidR="00523B65" w:rsidRPr="00251B88">
        <w:rPr>
          <w:color w:val="auto"/>
          <w:lang w:val="es-ES"/>
        </w:rPr>
        <w:t>a de SLP</w:t>
      </w:r>
      <w:r w:rsidR="00523B65" w:rsidRPr="00251B88">
        <w:rPr>
          <w:rStyle w:val="CommentReference"/>
          <w:lang w:val="es-ES"/>
        </w:rPr>
        <w:t>.</w:t>
      </w:r>
    </w:p>
    <w:p w14:paraId="6BC1884D" w14:textId="77777777" w:rsidR="00FB24C0" w:rsidRPr="00CE2F2E" w:rsidRDefault="00FB24C0" w:rsidP="00FB24C0">
      <w:pPr>
        <w:spacing w:after="0" w:line="240" w:lineRule="auto"/>
        <w:ind w:left="0" w:firstLine="0"/>
        <w:rPr>
          <w:color w:val="auto"/>
          <w:lang w:val="es-ES"/>
        </w:rPr>
      </w:pPr>
    </w:p>
    <w:p w14:paraId="7A96F34C" w14:textId="15513C43" w:rsidR="00FB24C0" w:rsidRPr="00CE2F2E" w:rsidRDefault="00FB24C0" w:rsidP="00FB24C0">
      <w:pPr>
        <w:spacing w:after="0" w:line="240" w:lineRule="auto"/>
        <w:ind w:left="0" w:firstLine="0"/>
        <w:rPr>
          <w:color w:val="auto"/>
          <w:lang w:val="es-ES"/>
        </w:rPr>
      </w:pPr>
      <w:r w:rsidRPr="00CE2F2E">
        <w:rPr>
          <w:color w:val="auto"/>
          <w:lang w:val="es-ES"/>
        </w:rPr>
        <w:t xml:space="preserve">Los resultados de este ensayo se presentan en la </w:t>
      </w:r>
      <w:r w:rsidR="00471B84">
        <w:rPr>
          <w:color w:val="auto"/>
          <w:lang w:val="es-ES"/>
        </w:rPr>
        <w:t>t</w:t>
      </w:r>
      <w:r w:rsidRPr="00CE2F2E">
        <w:rPr>
          <w:color w:val="auto"/>
          <w:lang w:val="es-ES"/>
        </w:rPr>
        <w:t>abla 1</w:t>
      </w:r>
      <w:r w:rsidR="0071031C">
        <w:rPr>
          <w:color w:val="auto"/>
          <w:lang w:val="es-ES"/>
        </w:rPr>
        <w:t>6</w:t>
      </w:r>
      <w:r w:rsidRPr="00CE2F2E">
        <w:rPr>
          <w:color w:val="auto"/>
          <w:lang w:val="es-ES"/>
        </w:rPr>
        <w:t>.</w:t>
      </w:r>
    </w:p>
    <w:p w14:paraId="0C00983C" w14:textId="77777777" w:rsidR="00FB24C0" w:rsidRPr="00CE2F2E" w:rsidRDefault="00FB24C0" w:rsidP="00FB24C0">
      <w:pPr>
        <w:spacing w:after="0" w:line="240" w:lineRule="auto"/>
        <w:ind w:left="0" w:firstLine="0"/>
        <w:rPr>
          <w:color w:val="auto"/>
          <w:lang w:val="es-ES"/>
        </w:rPr>
      </w:pPr>
    </w:p>
    <w:p w14:paraId="0DDCDF63" w14:textId="7177538A" w:rsidR="00FB24C0" w:rsidRPr="00CE2F2E" w:rsidRDefault="00FB24C0" w:rsidP="00192387">
      <w:pPr>
        <w:keepNext/>
        <w:spacing w:after="0" w:line="240" w:lineRule="auto"/>
        <w:ind w:left="0" w:firstLine="0"/>
        <w:rPr>
          <w:b/>
          <w:color w:val="auto"/>
          <w:lang w:val="es-ES"/>
        </w:rPr>
      </w:pPr>
      <w:r w:rsidRPr="00CE2F2E">
        <w:rPr>
          <w:b/>
          <w:color w:val="auto"/>
          <w:lang w:val="es-ES"/>
        </w:rPr>
        <w:t xml:space="preserve">Tabla </w:t>
      </w:r>
      <w:r w:rsidR="004943CA" w:rsidRPr="00CE2F2E">
        <w:rPr>
          <w:b/>
          <w:color w:val="auto"/>
          <w:lang w:val="es-ES"/>
        </w:rPr>
        <w:t>1</w:t>
      </w:r>
      <w:r w:rsidR="0071031C">
        <w:rPr>
          <w:b/>
          <w:color w:val="auto"/>
          <w:lang w:val="es-ES"/>
        </w:rPr>
        <w:t>6</w:t>
      </w:r>
      <w:r w:rsidR="00192387" w:rsidRPr="00CE2F2E">
        <w:rPr>
          <w:b/>
          <w:color w:val="auto"/>
          <w:lang w:val="es-ES"/>
        </w:rPr>
        <w:t>.</w:t>
      </w:r>
      <w:r w:rsidRPr="00CE2F2E">
        <w:rPr>
          <w:b/>
          <w:color w:val="auto"/>
          <w:lang w:val="es-ES"/>
        </w:rPr>
        <w:t xml:space="preserve"> Resultados de eficacia del ensayo GOG-0218</w:t>
      </w:r>
    </w:p>
    <w:p w14:paraId="6D72852C" w14:textId="77777777" w:rsidR="00FB24C0" w:rsidRPr="00CE2F2E" w:rsidRDefault="00FB24C0" w:rsidP="00192387">
      <w:pPr>
        <w:keepNext/>
        <w:spacing w:after="0" w:line="240" w:lineRule="auto"/>
        <w:ind w:left="0" w:firstLine="0"/>
        <w:rPr>
          <w:color w:val="auto"/>
          <w:lang w:val="es-ES"/>
        </w:rPr>
      </w:pPr>
    </w:p>
    <w:tbl>
      <w:tblPr>
        <w:tblW w:w="89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1651"/>
        <w:gridCol w:w="1790"/>
        <w:gridCol w:w="2620"/>
      </w:tblGrid>
      <w:tr w:rsidR="009A5818" w:rsidRPr="00192387" w14:paraId="0B151F48" w14:textId="77777777" w:rsidTr="00CE2F2E">
        <w:trPr>
          <w:trHeight w:val="296"/>
        </w:trPr>
        <w:tc>
          <w:tcPr>
            <w:tcW w:w="8967" w:type="dxa"/>
            <w:gridSpan w:val="4"/>
            <w:noWrap/>
            <w:vAlign w:val="bottom"/>
          </w:tcPr>
          <w:p w14:paraId="5D6BC944" w14:textId="77777777" w:rsidR="009A5818" w:rsidRPr="00256B51" w:rsidRDefault="009A5818" w:rsidP="00A30325">
            <w:pPr>
              <w:spacing w:after="0" w:line="240" w:lineRule="auto"/>
              <w:ind w:left="0" w:firstLine="0"/>
              <w:rPr>
                <w:color w:val="auto"/>
                <w:lang w:val="es-ES"/>
              </w:rPr>
            </w:pPr>
            <w:bookmarkStart w:id="3" w:name="_Hlk491274460"/>
            <w:r w:rsidRPr="00256B51">
              <w:rPr>
                <w:color w:val="auto"/>
                <w:lang w:val="es-ES"/>
              </w:rPr>
              <w:t>Supervivencia libre de progresión</w:t>
            </w:r>
            <w:r w:rsidRPr="00256B51">
              <w:rPr>
                <w:color w:val="auto"/>
                <w:vertAlign w:val="superscript"/>
                <w:lang w:val="es-ES"/>
              </w:rPr>
              <w:t>1</w:t>
            </w:r>
          </w:p>
        </w:tc>
      </w:tr>
      <w:tr w:rsidR="009A5818" w:rsidRPr="00192387" w14:paraId="63EE5462" w14:textId="77777777" w:rsidTr="00CE2F2E">
        <w:trPr>
          <w:trHeight w:val="434"/>
        </w:trPr>
        <w:tc>
          <w:tcPr>
            <w:tcW w:w="2906" w:type="dxa"/>
            <w:noWrap/>
          </w:tcPr>
          <w:p w14:paraId="445DBE02" w14:textId="77777777" w:rsidR="009A5818" w:rsidRPr="00192387" w:rsidRDefault="009A5818" w:rsidP="009A5818">
            <w:pPr>
              <w:spacing w:after="0" w:line="240" w:lineRule="auto"/>
              <w:ind w:left="0" w:firstLine="0"/>
              <w:rPr>
                <w:lang w:val="es-ES"/>
              </w:rPr>
            </w:pPr>
          </w:p>
        </w:tc>
        <w:tc>
          <w:tcPr>
            <w:tcW w:w="1651" w:type="dxa"/>
            <w:noWrap/>
          </w:tcPr>
          <w:p w14:paraId="5B4F3D0C" w14:textId="77777777" w:rsidR="009A5818" w:rsidRPr="00192387" w:rsidRDefault="009A5818" w:rsidP="00A30325">
            <w:pPr>
              <w:spacing w:after="0" w:line="240" w:lineRule="auto"/>
              <w:ind w:left="0" w:firstLine="0"/>
              <w:jc w:val="center"/>
              <w:rPr>
                <w:lang w:val="es-ES"/>
              </w:rPr>
            </w:pPr>
            <w:r w:rsidRPr="00192387">
              <w:rPr>
                <w:lang w:val="es-ES"/>
              </w:rPr>
              <w:t>CPP</w:t>
            </w:r>
          </w:p>
          <w:p w14:paraId="09E5EBE6" w14:textId="77777777" w:rsidR="009A5818" w:rsidRPr="00192387" w:rsidRDefault="009A5818" w:rsidP="00A46A8A">
            <w:pPr>
              <w:spacing w:after="0" w:line="240" w:lineRule="auto"/>
              <w:ind w:left="0" w:firstLine="0"/>
              <w:jc w:val="center"/>
              <w:rPr>
                <w:lang w:val="es-ES"/>
              </w:rPr>
            </w:pPr>
            <w:r w:rsidRPr="00192387">
              <w:rPr>
                <w:lang w:val="es-ES"/>
              </w:rPr>
              <w:t>(n</w:t>
            </w:r>
            <w:r w:rsidR="00A46A8A" w:rsidRPr="00E30038">
              <w:t> </w:t>
            </w:r>
            <w:r w:rsidRPr="00192387">
              <w:rPr>
                <w:lang w:val="es-ES"/>
              </w:rPr>
              <w:t>=</w:t>
            </w:r>
            <w:r w:rsidR="00A46A8A" w:rsidRPr="00E30038">
              <w:t> </w:t>
            </w:r>
            <w:r w:rsidRPr="00192387">
              <w:rPr>
                <w:lang w:val="es-ES"/>
              </w:rPr>
              <w:t>625)</w:t>
            </w:r>
          </w:p>
        </w:tc>
        <w:tc>
          <w:tcPr>
            <w:tcW w:w="1790" w:type="dxa"/>
            <w:noWrap/>
          </w:tcPr>
          <w:p w14:paraId="549797AB" w14:textId="77777777" w:rsidR="009A5818" w:rsidRPr="00192387" w:rsidRDefault="009A5818" w:rsidP="00A30325">
            <w:pPr>
              <w:spacing w:after="0" w:line="240" w:lineRule="auto"/>
              <w:ind w:left="0" w:firstLine="0"/>
              <w:jc w:val="center"/>
              <w:rPr>
                <w:lang w:val="es-ES"/>
              </w:rPr>
            </w:pPr>
            <w:r w:rsidRPr="00192387">
              <w:rPr>
                <w:lang w:val="es-ES"/>
              </w:rPr>
              <w:t>CPB15</w:t>
            </w:r>
          </w:p>
          <w:p w14:paraId="56A24F0A" w14:textId="77777777" w:rsidR="009A5818" w:rsidRPr="00192387" w:rsidRDefault="009A5818" w:rsidP="00A46A8A">
            <w:pPr>
              <w:spacing w:after="0" w:line="240" w:lineRule="auto"/>
              <w:ind w:left="0" w:firstLine="0"/>
              <w:jc w:val="center"/>
              <w:rPr>
                <w:lang w:val="es-ES"/>
              </w:rPr>
            </w:pPr>
            <w:r w:rsidRPr="00192387">
              <w:rPr>
                <w:lang w:val="es-ES"/>
              </w:rPr>
              <w:t>(n</w:t>
            </w:r>
            <w:r w:rsidR="00A46A8A" w:rsidRPr="00E30038">
              <w:t> </w:t>
            </w:r>
            <w:r w:rsidRPr="00192387">
              <w:rPr>
                <w:lang w:val="es-ES"/>
              </w:rPr>
              <w:t>=</w:t>
            </w:r>
            <w:r w:rsidR="00A46A8A" w:rsidRPr="00E30038">
              <w:t> </w:t>
            </w:r>
            <w:r w:rsidRPr="00192387">
              <w:rPr>
                <w:lang w:val="es-ES"/>
              </w:rPr>
              <w:t>625)</w:t>
            </w:r>
          </w:p>
        </w:tc>
        <w:tc>
          <w:tcPr>
            <w:tcW w:w="2620" w:type="dxa"/>
            <w:noWrap/>
          </w:tcPr>
          <w:p w14:paraId="2BBF1D42" w14:textId="77777777" w:rsidR="009A5818" w:rsidRPr="00192387" w:rsidRDefault="009A5818" w:rsidP="00A30325">
            <w:pPr>
              <w:spacing w:after="0" w:line="240" w:lineRule="auto"/>
              <w:ind w:left="0" w:firstLine="0"/>
              <w:jc w:val="center"/>
              <w:rPr>
                <w:lang w:val="es-ES"/>
              </w:rPr>
            </w:pPr>
            <w:r w:rsidRPr="00192387">
              <w:rPr>
                <w:lang w:val="es-ES"/>
              </w:rPr>
              <w:t>CPB15+</w:t>
            </w:r>
          </w:p>
          <w:p w14:paraId="5DD232A9" w14:textId="77777777" w:rsidR="009A5818" w:rsidRPr="00192387" w:rsidRDefault="009A5818" w:rsidP="00A46A8A">
            <w:pPr>
              <w:spacing w:after="0" w:line="240" w:lineRule="auto"/>
              <w:ind w:left="0" w:firstLine="0"/>
              <w:jc w:val="center"/>
              <w:rPr>
                <w:lang w:val="es-ES"/>
              </w:rPr>
            </w:pPr>
            <w:r w:rsidRPr="00192387">
              <w:rPr>
                <w:lang w:val="es-ES"/>
              </w:rPr>
              <w:t>(n</w:t>
            </w:r>
            <w:r w:rsidR="00A46A8A" w:rsidRPr="00E30038">
              <w:t> </w:t>
            </w:r>
            <w:r w:rsidRPr="00192387">
              <w:rPr>
                <w:lang w:val="es-ES"/>
              </w:rPr>
              <w:t>=</w:t>
            </w:r>
            <w:r w:rsidR="00A46A8A" w:rsidRPr="00E30038">
              <w:t> </w:t>
            </w:r>
            <w:r w:rsidRPr="00192387">
              <w:rPr>
                <w:lang w:val="es-ES"/>
              </w:rPr>
              <w:t>623)</w:t>
            </w:r>
          </w:p>
        </w:tc>
      </w:tr>
      <w:tr w:rsidR="009A5818" w:rsidRPr="00192387" w14:paraId="30ACD91C" w14:textId="77777777" w:rsidTr="00CE2F2E">
        <w:trPr>
          <w:trHeight w:val="230"/>
        </w:trPr>
        <w:tc>
          <w:tcPr>
            <w:tcW w:w="2906" w:type="dxa"/>
            <w:noWrap/>
          </w:tcPr>
          <w:p w14:paraId="49282F62" w14:textId="77777777" w:rsidR="009A5818" w:rsidRPr="00192387" w:rsidRDefault="009A5818" w:rsidP="00A30325">
            <w:pPr>
              <w:spacing w:after="0" w:line="240" w:lineRule="auto"/>
              <w:ind w:left="567" w:firstLine="0"/>
              <w:rPr>
                <w:lang w:val="es-ES"/>
              </w:rPr>
            </w:pPr>
            <w:r w:rsidRPr="00192387">
              <w:rPr>
                <w:lang w:val="es-ES"/>
              </w:rPr>
              <w:t>Mediana SLP (meses)</w:t>
            </w:r>
          </w:p>
        </w:tc>
        <w:tc>
          <w:tcPr>
            <w:tcW w:w="1651" w:type="dxa"/>
            <w:noWrap/>
          </w:tcPr>
          <w:p w14:paraId="25AE9F24" w14:textId="77777777" w:rsidR="009A5818" w:rsidRPr="00192387" w:rsidRDefault="009A5818" w:rsidP="00A30325">
            <w:pPr>
              <w:spacing w:after="0" w:line="240" w:lineRule="auto"/>
              <w:ind w:left="0" w:firstLine="0"/>
              <w:jc w:val="center"/>
              <w:rPr>
                <w:lang w:val="es-ES"/>
              </w:rPr>
            </w:pPr>
            <w:r w:rsidRPr="00443040">
              <w:rPr>
                <w:color w:val="auto"/>
                <w:lang w:val="es-ES"/>
              </w:rPr>
              <w:t>10,6</w:t>
            </w:r>
          </w:p>
        </w:tc>
        <w:tc>
          <w:tcPr>
            <w:tcW w:w="1790" w:type="dxa"/>
            <w:noWrap/>
          </w:tcPr>
          <w:p w14:paraId="371BE811" w14:textId="77777777" w:rsidR="009A5818" w:rsidRPr="00192387" w:rsidRDefault="009A5818" w:rsidP="00A30325">
            <w:pPr>
              <w:spacing w:after="0" w:line="240" w:lineRule="auto"/>
              <w:ind w:left="0" w:firstLine="0"/>
              <w:jc w:val="center"/>
              <w:rPr>
                <w:lang w:val="es-ES"/>
              </w:rPr>
            </w:pPr>
            <w:r w:rsidRPr="00192387">
              <w:rPr>
                <w:lang w:val="es-ES"/>
              </w:rPr>
              <w:t>11,6</w:t>
            </w:r>
          </w:p>
        </w:tc>
        <w:tc>
          <w:tcPr>
            <w:tcW w:w="2620" w:type="dxa"/>
            <w:noWrap/>
          </w:tcPr>
          <w:p w14:paraId="44A2B2A9" w14:textId="77777777" w:rsidR="009A5818" w:rsidRPr="00192387" w:rsidRDefault="009A5818" w:rsidP="00A30325">
            <w:pPr>
              <w:spacing w:after="0" w:line="240" w:lineRule="auto"/>
              <w:ind w:left="0" w:firstLine="0"/>
              <w:jc w:val="center"/>
              <w:rPr>
                <w:lang w:val="es-ES"/>
              </w:rPr>
            </w:pPr>
            <w:r w:rsidRPr="00192387">
              <w:rPr>
                <w:lang w:val="es-ES"/>
              </w:rPr>
              <w:t>14,7</w:t>
            </w:r>
          </w:p>
        </w:tc>
      </w:tr>
      <w:tr w:rsidR="009A5818" w:rsidRPr="00021D6F" w14:paraId="4A52EB25" w14:textId="77777777" w:rsidTr="00CE2F2E">
        <w:trPr>
          <w:trHeight w:val="443"/>
        </w:trPr>
        <w:tc>
          <w:tcPr>
            <w:tcW w:w="2906" w:type="dxa"/>
            <w:noWrap/>
          </w:tcPr>
          <w:p w14:paraId="7211C73C" w14:textId="77777777" w:rsidR="009A5818" w:rsidRPr="00021D6F" w:rsidRDefault="009E3815" w:rsidP="00A30325">
            <w:pPr>
              <w:spacing w:after="0" w:line="240" w:lineRule="auto"/>
              <w:ind w:left="567" w:firstLine="0"/>
              <w:rPr>
                <w:lang w:val="nb-NO"/>
              </w:rPr>
            </w:pPr>
            <w:r>
              <w:rPr>
                <w:lang w:val="es-ES"/>
              </w:rPr>
              <w:t>Razón de riesgo (IC del 95%</w:t>
            </w:r>
            <w:r w:rsidR="009A5818">
              <w:rPr>
                <w:lang w:val="es-ES"/>
              </w:rPr>
              <w:t>)</w:t>
            </w:r>
            <w:r w:rsidR="009A5818" w:rsidRPr="00443040">
              <w:rPr>
                <w:color w:val="auto"/>
                <w:vertAlign w:val="superscript"/>
                <w:lang w:val="es-ES"/>
              </w:rPr>
              <w:t>2</w:t>
            </w:r>
          </w:p>
        </w:tc>
        <w:tc>
          <w:tcPr>
            <w:tcW w:w="1651" w:type="dxa"/>
            <w:noWrap/>
          </w:tcPr>
          <w:p w14:paraId="2F152E40" w14:textId="77777777" w:rsidR="009A5818" w:rsidRPr="00021D6F" w:rsidRDefault="009A5818" w:rsidP="009A5818">
            <w:pPr>
              <w:spacing w:after="0" w:line="240" w:lineRule="auto"/>
              <w:ind w:left="0" w:firstLine="0"/>
              <w:jc w:val="center"/>
              <w:rPr>
                <w:lang w:val="nb-NO"/>
              </w:rPr>
            </w:pPr>
          </w:p>
        </w:tc>
        <w:tc>
          <w:tcPr>
            <w:tcW w:w="1790" w:type="dxa"/>
            <w:noWrap/>
          </w:tcPr>
          <w:p w14:paraId="5A9C24FD" w14:textId="77777777" w:rsidR="009A5818" w:rsidRPr="00021D6F" w:rsidRDefault="009A5818" w:rsidP="00A30325">
            <w:pPr>
              <w:spacing w:after="0" w:line="240" w:lineRule="auto"/>
              <w:ind w:left="0" w:firstLine="0"/>
              <w:jc w:val="center"/>
              <w:rPr>
                <w:lang w:val="nb-NO"/>
              </w:rPr>
            </w:pPr>
            <w:r w:rsidRPr="00021D6F">
              <w:rPr>
                <w:lang w:val="nb-NO"/>
              </w:rPr>
              <w:t>0,89</w:t>
            </w:r>
          </w:p>
          <w:p w14:paraId="3343F2A6" w14:textId="77777777" w:rsidR="009A5818" w:rsidRPr="00021D6F" w:rsidRDefault="009A5818" w:rsidP="00A30325">
            <w:pPr>
              <w:spacing w:after="0" w:line="240" w:lineRule="auto"/>
              <w:ind w:left="0" w:firstLine="0"/>
              <w:jc w:val="center"/>
              <w:rPr>
                <w:lang w:val="nb-NO"/>
              </w:rPr>
            </w:pPr>
            <w:r w:rsidRPr="00021D6F">
              <w:rPr>
                <w:lang w:val="nb-NO"/>
              </w:rPr>
              <w:t>(0,78; 1,02)</w:t>
            </w:r>
          </w:p>
        </w:tc>
        <w:tc>
          <w:tcPr>
            <w:tcW w:w="2620" w:type="dxa"/>
            <w:noWrap/>
          </w:tcPr>
          <w:p w14:paraId="50C0A3FE" w14:textId="77777777" w:rsidR="009A5818" w:rsidRPr="00021D6F" w:rsidRDefault="009A5818" w:rsidP="00A30325">
            <w:pPr>
              <w:spacing w:after="0" w:line="240" w:lineRule="auto"/>
              <w:ind w:left="0" w:firstLine="0"/>
              <w:jc w:val="center"/>
              <w:rPr>
                <w:lang w:val="nb-NO"/>
              </w:rPr>
            </w:pPr>
            <w:r w:rsidRPr="00021D6F">
              <w:rPr>
                <w:lang w:val="nb-NO"/>
              </w:rPr>
              <w:t>0,70</w:t>
            </w:r>
          </w:p>
          <w:p w14:paraId="09603160" w14:textId="77777777" w:rsidR="009A5818" w:rsidRPr="00021D6F" w:rsidRDefault="009A5818" w:rsidP="00A30325">
            <w:pPr>
              <w:spacing w:after="0" w:line="240" w:lineRule="auto"/>
              <w:ind w:left="0" w:firstLine="0"/>
              <w:jc w:val="center"/>
              <w:rPr>
                <w:lang w:val="nb-NO"/>
              </w:rPr>
            </w:pPr>
            <w:r w:rsidRPr="00021D6F">
              <w:rPr>
                <w:lang w:val="nb-NO"/>
              </w:rPr>
              <w:t>(0,61; 0,81)</w:t>
            </w:r>
          </w:p>
        </w:tc>
      </w:tr>
      <w:tr w:rsidR="009A5818" w:rsidRPr="00021D6F" w14:paraId="55C5B5AB" w14:textId="77777777" w:rsidTr="00CE2F2E">
        <w:trPr>
          <w:trHeight w:val="219"/>
        </w:trPr>
        <w:tc>
          <w:tcPr>
            <w:tcW w:w="2906" w:type="dxa"/>
            <w:noWrap/>
          </w:tcPr>
          <w:p w14:paraId="6A13B7EA" w14:textId="77777777" w:rsidR="009A5818" w:rsidRPr="00021D6F" w:rsidRDefault="009A5818" w:rsidP="00A30325">
            <w:pPr>
              <w:spacing w:after="0" w:line="240" w:lineRule="auto"/>
              <w:ind w:left="567" w:firstLine="0"/>
              <w:rPr>
                <w:lang w:val="nb-NO"/>
              </w:rPr>
            </w:pPr>
            <w:r>
              <w:rPr>
                <w:lang w:val="es-ES"/>
              </w:rPr>
              <w:t>Valor de p</w:t>
            </w:r>
            <w:r w:rsidRPr="00021D6F">
              <w:rPr>
                <w:vertAlign w:val="superscript"/>
                <w:lang w:val="es-ES"/>
              </w:rPr>
              <w:t>3, 4</w:t>
            </w:r>
          </w:p>
        </w:tc>
        <w:tc>
          <w:tcPr>
            <w:tcW w:w="1651" w:type="dxa"/>
            <w:noWrap/>
          </w:tcPr>
          <w:p w14:paraId="1183852C" w14:textId="77777777" w:rsidR="009A5818" w:rsidRPr="00021D6F" w:rsidRDefault="009A5818" w:rsidP="009A5818">
            <w:pPr>
              <w:spacing w:after="0" w:line="240" w:lineRule="auto"/>
              <w:ind w:left="0" w:firstLine="0"/>
              <w:jc w:val="center"/>
              <w:rPr>
                <w:lang w:val="nb-NO"/>
              </w:rPr>
            </w:pPr>
          </w:p>
        </w:tc>
        <w:tc>
          <w:tcPr>
            <w:tcW w:w="1790" w:type="dxa"/>
            <w:noWrap/>
          </w:tcPr>
          <w:p w14:paraId="7D989171" w14:textId="77777777" w:rsidR="009A5818" w:rsidRPr="00021D6F" w:rsidRDefault="009A5818" w:rsidP="00A30325">
            <w:pPr>
              <w:spacing w:after="0" w:line="240" w:lineRule="auto"/>
              <w:ind w:left="0" w:firstLine="0"/>
              <w:jc w:val="center"/>
              <w:rPr>
                <w:lang w:val="nb-NO"/>
              </w:rPr>
            </w:pPr>
            <w:r w:rsidRPr="00021D6F">
              <w:rPr>
                <w:lang w:val="nb-NO"/>
              </w:rPr>
              <w:t>0,0437</w:t>
            </w:r>
          </w:p>
        </w:tc>
        <w:tc>
          <w:tcPr>
            <w:tcW w:w="2620" w:type="dxa"/>
            <w:noWrap/>
          </w:tcPr>
          <w:p w14:paraId="61109F8C" w14:textId="77777777" w:rsidR="009A5818" w:rsidRPr="00021D6F" w:rsidRDefault="009A5818" w:rsidP="00A30325">
            <w:pPr>
              <w:spacing w:after="0" w:line="240" w:lineRule="auto"/>
              <w:ind w:left="0" w:firstLine="0"/>
              <w:jc w:val="center"/>
              <w:rPr>
                <w:lang w:val="nb-NO"/>
              </w:rPr>
            </w:pPr>
            <w:r w:rsidRPr="00021D6F">
              <w:rPr>
                <w:lang w:val="nb-NO"/>
              </w:rPr>
              <w:t>&lt; 0,0001</w:t>
            </w:r>
          </w:p>
        </w:tc>
      </w:tr>
      <w:tr w:rsidR="009A5818" w:rsidRPr="00021D6F" w14:paraId="0A8A43B0" w14:textId="77777777" w:rsidTr="00CE2F2E">
        <w:trPr>
          <w:trHeight w:val="296"/>
        </w:trPr>
        <w:tc>
          <w:tcPr>
            <w:tcW w:w="8967" w:type="dxa"/>
            <w:gridSpan w:val="4"/>
            <w:noWrap/>
            <w:vAlign w:val="bottom"/>
          </w:tcPr>
          <w:p w14:paraId="1CD74BF9" w14:textId="77777777" w:rsidR="009A5818" w:rsidRPr="00021D6F" w:rsidRDefault="009A5818" w:rsidP="00A30325">
            <w:pPr>
              <w:spacing w:after="0" w:line="240" w:lineRule="auto"/>
              <w:ind w:left="0" w:firstLine="0"/>
              <w:rPr>
                <w:color w:val="auto"/>
                <w:lang w:val="es-ES"/>
              </w:rPr>
            </w:pPr>
            <w:r w:rsidRPr="00443040">
              <w:rPr>
                <w:color w:val="auto"/>
                <w:lang w:val="es-ES"/>
              </w:rPr>
              <w:t xml:space="preserve">Tasa de respuesta objetiva </w:t>
            </w:r>
            <w:r w:rsidRPr="00443040">
              <w:rPr>
                <w:color w:val="auto"/>
                <w:vertAlign w:val="superscript"/>
                <w:lang w:val="es-ES"/>
              </w:rPr>
              <w:t>5</w:t>
            </w:r>
          </w:p>
        </w:tc>
      </w:tr>
      <w:tr w:rsidR="009A5818" w:rsidRPr="00021D6F" w14:paraId="2996C19F" w14:textId="77777777" w:rsidTr="00CE2F2E">
        <w:trPr>
          <w:trHeight w:val="447"/>
        </w:trPr>
        <w:tc>
          <w:tcPr>
            <w:tcW w:w="2906" w:type="dxa"/>
            <w:noWrap/>
          </w:tcPr>
          <w:p w14:paraId="75535B33" w14:textId="77777777" w:rsidR="009A5818" w:rsidRPr="00021D6F" w:rsidRDefault="009A5818" w:rsidP="009A5818">
            <w:pPr>
              <w:spacing w:after="0" w:line="240" w:lineRule="auto"/>
              <w:ind w:left="0" w:firstLine="0"/>
              <w:rPr>
                <w:lang w:val="nb-NO"/>
              </w:rPr>
            </w:pPr>
          </w:p>
        </w:tc>
        <w:tc>
          <w:tcPr>
            <w:tcW w:w="1651" w:type="dxa"/>
            <w:noWrap/>
          </w:tcPr>
          <w:p w14:paraId="19DEB06F" w14:textId="77777777" w:rsidR="009A5818" w:rsidRDefault="009A5818" w:rsidP="00A30325">
            <w:pPr>
              <w:spacing w:after="0" w:line="240" w:lineRule="auto"/>
              <w:ind w:left="0" w:firstLine="0"/>
              <w:jc w:val="center"/>
              <w:rPr>
                <w:lang w:val="es-ES"/>
              </w:rPr>
            </w:pPr>
            <w:r>
              <w:rPr>
                <w:lang w:val="es-ES"/>
              </w:rPr>
              <w:t>CPP</w:t>
            </w:r>
          </w:p>
          <w:p w14:paraId="0F236460" w14:textId="77777777" w:rsidR="009A5818" w:rsidRPr="00021D6F" w:rsidRDefault="009A5818" w:rsidP="00A46A8A">
            <w:pPr>
              <w:spacing w:after="0" w:line="240" w:lineRule="auto"/>
              <w:ind w:left="0" w:firstLine="0"/>
              <w:jc w:val="center"/>
              <w:rPr>
                <w:lang w:val="nb-NO"/>
              </w:rPr>
            </w:pPr>
            <w:r w:rsidRPr="00443040">
              <w:rPr>
                <w:color w:val="auto"/>
                <w:lang w:val="es-ES"/>
              </w:rPr>
              <w:t>(n</w:t>
            </w:r>
            <w:r w:rsidR="00A46A8A" w:rsidRPr="00E30038">
              <w:t> </w:t>
            </w:r>
            <w:r w:rsidRPr="00443040">
              <w:rPr>
                <w:color w:val="auto"/>
                <w:lang w:val="es-ES"/>
              </w:rPr>
              <w:t>=</w:t>
            </w:r>
            <w:r w:rsidR="00A46A8A" w:rsidRPr="00E30038">
              <w:t> </w:t>
            </w:r>
            <w:r w:rsidRPr="00443040">
              <w:rPr>
                <w:color w:val="auto"/>
                <w:lang w:val="es-ES"/>
              </w:rPr>
              <w:t>396)</w:t>
            </w:r>
          </w:p>
        </w:tc>
        <w:tc>
          <w:tcPr>
            <w:tcW w:w="1790" w:type="dxa"/>
            <w:noWrap/>
          </w:tcPr>
          <w:p w14:paraId="5BCE6661" w14:textId="77777777" w:rsidR="009A5818" w:rsidRPr="00021D6F" w:rsidRDefault="009A5818" w:rsidP="00A30325">
            <w:pPr>
              <w:spacing w:after="0" w:line="240" w:lineRule="auto"/>
              <w:ind w:left="0" w:firstLine="0"/>
              <w:jc w:val="center"/>
              <w:rPr>
                <w:lang w:val="nb-NO"/>
              </w:rPr>
            </w:pPr>
            <w:r w:rsidRPr="00021D6F">
              <w:rPr>
                <w:lang w:val="nb-NO"/>
              </w:rPr>
              <w:t>CPB15</w:t>
            </w:r>
          </w:p>
          <w:p w14:paraId="183A7739" w14:textId="77777777" w:rsidR="009A5818" w:rsidRPr="00021D6F" w:rsidRDefault="009A5818" w:rsidP="00A46A8A">
            <w:pPr>
              <w:spacing w:after="0" w:line="240" w:lineRule="auto"/>
              <w:ind w:left="0" w:firstLine="0"/>
              <w:jc w:val="center"/>
              <w:rPr>
                <w:lang w:val="nb-NO"/>
              </w:rPr>
            </w:pPr>
            <w:r w:rsidRPr="00021D6F">
              <w:rPr>
                <w:lang w:val="nb-NO"/>
              </w:rPr>
              <w:t>(n</w:t>
            </w:r>
            <w:r w:rsidR="00A46A8A" w:rsidRPr="00E30038">
              <w:t> </w:t>
            </w:r>
            <w:r w:rsidRPr="00021D6F">
              <w:rPr>
                <w:lang w:val="nb-NO"/>
              </w:rPr>
              <w:t>=</w:t>
            </w:r>
            <w:r w:rsidR="00A46A8A" w:rsidRPr="00E30038">
              <w:t> </w:t>
            </w:r>
            <w:r w:rsidRPr="00021D6F">
              <w:rPr>
                <w:lang w:val="nb-NO"/>
              </w:rPr>
              <w:t>393)</w:t>
            </w:r>
          </w:p>
        </w:tc>
        <w:tc>
          <w:tcPr>
            <w:tcW w:w="2620" w:type="dxa"/>
            <w:noWrap/>
          </w:tcPr>
          <w:p w14:paraId="15FC9356" w14:textId="77777777" w:rsidR="009A5818" w:rsidRPr="00021D6F" w:rsidRDefault="009A5818" w:rsidP="00A30325">
            <w:pPr>
              <w:spacing w:after="0" w:line="240" w:lineRule="auto"/>
              <w:ind w:left="0" w:firstLine="0"/>
              <w:jc w:val="center"/>
              <w:rPr>
                <w:lang w:val="nb-NO"/>
              </w:rPr>
            </w:pPr>
            <w:r w:rsidRPr="00021D6F">
              <w:rPr>
                <w:lang w:val="nb-NO"/>
              </w:rPr>
              <w:t>CPB15+</w:t>
            </w:r>
          </w:p>
          <w:p w14:paraId="15AD049D" w14:textId="77777777" w:rsidR="009A5818" w:rsidRPr="00021D6F" w:rsidRDefault="009A5818" w:rsidP="00A46A8A">
            <w:pPr>
              <w:spacing w:after="0" w:line="240" w:lineRule="auto"/>
              <w:ind w:left="0" w:firstLine="0"/>
              <w:jc w:val="center"/>
              <w:rPr>
                <w:lang w:val="nb-NO"/>
              </w:rPr>
            </w:pPr>
            <w:r w:rsidRPr="00021D6F">
              <w:rPr>
                <w:lang w:val="nb-NO"/>
              </w:rPr>
              <w:t>(n</w:t>
            </w:r>
            <w:r w:rsidR="00A46A8A" w:rsidRPr="00E30038">
              <w:t> </w:t>
            </w:r>
            <w:r w:rsidRPr="00021D6F">
              <w:rPr>
                <w:lang w:val="nb-NO"/>
              </w:rPr>
              <w:t>=</w:t>
            </w:r>
            <w:r w:rsidR="00A46A8A" w:rsidRPr="00E30038">
              <w:t> </w:t>
            </w:r>
            <w:r w:rsidRPr="00021D6F">
              <w:rPr>
                <w:lang w:val="nb-NO"/>
              </w:rPr>
              <w:t>403)</w:t>
            </w:r>
          </w:p>
        </w:tc>
      </w:tr>
      <w:tr w:rsidR="009A5818" w:rsidRPr="00021D6F" w14:paraId="03EA5D6E" w14:textId="77777777" w:rsidTr="00CE2F2E">
        <w:trPr>
          <w:trHeight w:val="193"/>
        </w:trPr>
        <w:tc>
          <w:tcPr>
            <w:tcW w:w="2906" w:type="dxa"/>
            <w:noWrap/>
          </w:tcPr>
          <w:p w14:paraId="178EA849" w14:textId="77777777" w:rsidR="009A5818" w:rsidRPr="00C776B3" w:rsidRDefault="009A5818" w:rsidP="00A30325">
            <w:pPr>
              <w:spacing w:after="0" w:line="240" w:lineRule="auto"/>
              <w:ind w:left="567" w:firstLine="0"/>
            </w:pPr>
            <w:r w:rsidRPr="00C776B3">
              <w:t xml:space="preserve">% pts con </w:t>
            </w:r>
            <w:proofErr w:type="spellStart"/>
            <w:r w:rsidRPr="00C776B3">
              <w:t>respuesta</w:t>
            </w:r>
            <w:proofErr w:type="spellEnd"/>
            <w:r w:rsidRPr="00C776B3">
              <w:t xml:space="preserve"> </w:t>
            </w:r>
            <w:proofErr w:type="spellStart"/>
            <w:r w:rsidRPr="00C776B3">
              <w:t>objetiva</w:t>
            </w:r>
            <w:proofErr w:type="spellEnd"/>
          </w:p>
        </w:tc>
        <w:tc>
          <w:tcPr>
            <w:tcW w:w="1651" w:type="dxa"/>
            <w:noWrap/>
          </w:tcPr>
          <w:p w14:paraId="56DAC2D9" w14:textId="77777777" w:rsidR="009A5818" w:rsidRPr="00021D6F" w:rsidRDefault="009A5818" w:rsidP="00A30325">
            <w:pPr>
              <w:spacing w:after="0" w:line="240" w:lineRule="auto"/>
              <w:ind w:left="0" w:firstLine="0"/>
              <w:jc w:val="center"/>
              <w:rPr>
                <w:lang w:val="nb-NO"/>
              </w:rPr>
            </w:pPr>
            <w:r w:rsidRPr="00021D6F">
              <w:rPr>
                <w:lang w:val="nb-NO"/>
              </w:rPr>
              <w:t>63,4</w:t>
            </w:r>
          </w:p>
        </w:tc>
        <w:tc>
          <w:tcPr>
            <w:tcW w:w="1790" w:type="dxa"/>
            <w:noWrap/>
          </w:tcPr>
          <w:p w14:paraId="2171DFDE" w14:textId="77777777" w:rsidR="009A5818" w:rsidRPr="00021D6F" w:rsidRDefault="009A5818" w:rsidP="00A30325">
            <w:pPr>
              <w:spacing w:after="0" w:line="240" w:lineRule="auto"/>
              <w:ind w:left="0" w:firstLine="0"/>
              <w:jc w:val="center"/>
              <w:rPr>
                <w:lang w:val="nb-NO"/>
              </w:rPr>
            </w:pPr>
            <w:r w:rsidRPr="00021D6F">
              <w:rPr>
                <w:lang w:val="nb-NO"/>
              </w:rPr>
              <w:t>66,2</w:t>
            </w:r>
          </w:p>
        </w:tc>
        <w:tc>
          <w:tcPr>
            <w:tcW w:w="2620" w:type="dxa"/>
            <w:noWrap/>
          </w:tcPr>
          <w:p w14:paraId="28A603BE" w14:textId="77777777" w:rsidR="009A5818" w:rsidRPr="00021D6F" w:rsidRDefault="009A5818" w:rsidP="00A30325">
            <w:pPr>
              <w:spacing w:after="0" w:line="240" w:lineRule="auto"/>
              <w:ind w:left="0" w:firstLine="0"/>
              <w:jc w:val="center"/>
              <w:rPr>
                <w:lang w:val="nb-NO"/>
              </w:rPr>
            </w:pPr>
            <w:r w:rsidRPr="00021D6F">
              <w:rPr>
                <w:lang w:val="nb-NO"/>
              </w:rPr>
              <w:t>66,0</w:t>
            </w:r>
          </w:p>
        </w:tc>
      </w:tr>
      <w:tr w:rsidR="009A5818" w:rsidRPr="00021D6F" w14:paraId="4204E022" w14:textId="77777777" w:rsidTr="00CE2F2E">
        <w:trPr>
          <w:trHeight w:val="169"/>
        </w:trPr>
        <w:tc>
          <w:tcPr>
            <w:tcW w:w="2906" w:type="dxa"/>
            <w:noWrap/>
          </w:tcPr>
          <w:p w14:paraId="510EEA6D" w14:textId="77777777" w:rsidR="009A5818" w:rsidRPr="00021D6F" w:rsidRDefault="009A5818" w:rsidP="00A30325">
            <w:pPr>
              <w:spacing w:after="0" w:line="240" w:lineRule="auto"/>
              <w:ind w:left="567" w:firstLine="0"/>
              <w:rPr>
                <w:lang w:val="nb-NO"/>
              </w:rPr>
            </w:pPr>
            <w:r w:rsidRPr="00021D6F">
              <w:rPr>
                <w:lang w:val="nb-NO"/>
              </w:rPr>
              <w:t>Valor de p</w:t>
            </w:r>
          </w:p>
        </w:tc>
        <w:tc>
          <w:tcPr>
            <w:tcW w:w="1651" w:type="dxa"/>
            <w:noWrap/>
          </w:tcPr>
          <w:p w14:paraId="44442A8B" w14:textId="77777777" w:rsidR="009A5818" w:rsidRPr="00021D6F" w:rsidRDefault="009A5818" w:rsidP="00A30325">
            <w:pPr>
              <w:spacing w:after="0" w:line="240" w:lineRule="auto"/>
              <w:ind w:left="0" w:firstLine="0"/>
              <w:jc w:val="center"/>
              <w:rPr>
                <w:lang w:val="nb-NO"/>
              </w:rPr>
            </w:pPr>
          </w:p>
        </w:tc>
        <w:tc>
          <w:tcPr>
            <w:tcW w:w="1790" w:type="dxa"/>
            <w:noWrap/>
          </w:tcPr>
          <w:p w14:paraId="0620F343" w14:textId="77777777" w:rsidR="009A5818" w:rsidRPr="00021D6F" w:rsidRDefault="009A5818" w:rsidP="00A30325">
            <w:pPr>
              <w:spacing w:after="0" w:line="240" w:lineRule="auto"/>
              <w:ind w:left="0" w:firstLine="0"/>
              <w:jc w:val="center"/>
              <w:rPr>
                <w:lang w:val="nb-NO"/>
              </w:rPr>
            </w:pPr>
            <w:r w:rsidRPr="00021D6F">
              <w:rPr>
                <w:lang w:val="nb-NO"/>
              </w:rPr>
              <w:t>0,2341</w:t>
            </w:r>
          </w:p>
        </w:tc>
        <w:tc>
          <w:tcPr>
            <w:tcW w:w="2620" w:type="dxa"/>
            <w:noWrap/>
          </w:tcPr>
          <w:p w14:paraId="3920FFDF" w14:textId="77777777" w:rsidR="009A5818" w:rsidRPr="00021D6F" w:rsidRDefault="009A5818" w:rsidP="00A30325">
            <w:pPr>
              <w:spacing w:after="0" w:line="240" w:lineRule="auto"/>
              <w:ind w:left="0" w:firstLine="0"/>
              <w:jc w:val="center"/>
              <w:rPr>
                <w:lang w:val="nb-NO"/>
              </w:rPr>
            </w:pPr>
            <w:r w:rsidRPr="00021D6F">
              <w:rPr>
                <w:lang w:val="nb-NO"/>
              </w:rPr>
              <w:t>0,2041</w:t>
            </w:r>
          </w:p>
        </w:tc>
      </w:tr>
      <w:tr w:rsidR="009A5818" w:rsidRPr="00021D6F" w14:paraId="2A2BEE4D" w14:textId="77777777" w:rsidTr="00CE2F2E">
        <w:trPr>
          <w:trHeight w:val="296"/>
        </w:trPr>
        <w:tc>
          <w:tcPr>
            <w:tcW w:w="8967" w:type="dxa"/>
            <w:gridSpan w:val="4"/>
            <w:noWrap/>
            <w:vAlign w:val="bottom"/>
          </w:tcPr>
          <w:p w14:paraId="50175530" w14:textId="77777777" w:rsidR="009A5818" w:rsidRPr="00021D6F" w:rsidRDefault="009A5818" w:rsidP="00B0536F">
            <w:pPr>
              <w:spacing w:after="0" w:line="240" w:lineRule="auto"/>
              <w:ind w:left="0" w:firstLine="0"/>
              <w:rPr>
                <w:lang w:val="es-ES"/>
              </w:rPr>
            </w:pPr>
            <w:r w:rsidRPr="00021D6F">
              <w:rPr>
                <w:lang w:val="es-ES"/>
              </w:rPr>
              <w:t xml:space="preserve">Supervivencia global </w:t>
            </w:r>
            <w:r w:rsidRPr="00021D6F">
              <w:rPr>
                <w:vertAlign w:val="superscript"/>
                <w:lang w:val="es-ES"/>
              </w:rPr>
              <w:t>6</w:t>
            </w:r>
          </w:p>
        </w:tc>
      </w:tr>
      <w:tr w:rsidR="009A5818" w:rsidRPr="00021D6F" w14:paraId="5281819E" w14:textId="77777777" w:rsidTr="00CE2F2E">
        <w:trPr>
          <w:trHeight w:val="453"/>
        </w:trPr>
        <w:tc>
          <w:tcPr>
            <w:tcW w:w="2906" w:type="dxa"/>
            <w:noWrap/>
          </w:tcPr>
          <w:p w14:paraId="7261CDF8" w14:textId="77777777" w:rsidR="009A5818" w:rsidRPr="00021D6F" w:rsidRDefault="009A5818" w:rsidP="009A5818">
            <w:pPr>
              <w:spacing w:after="0" w:line="240" w:lineRule="auto"/>
              <w:ind w:left="0" w:firstLine="0"/>
              <w:rPr>
                <w:lang w:val="nb-NO"/>
              </w:rPr>
            </w:pPr>
          </w:p>
        </w:tc>
        <w:tc>
          <w:tcPr>
            <w:tcW w:w="1651" w:type="dxa"/>
            <w:noWrap/>
          </w:tcPr>
          <w:p w14:paraId="2D27A6AB" w14:textId="77777777" w:rsidR="009A5818" w:rsidRPr="00021D6F" w:rsidRDefault="009A5818" w:rsidP="00B0536F">
            <w:pPr>
              <w:spacing w:after="0" w:line="240" w:lineRule="auto"/>
              <w:ind w:left="0" w:firstLine="0"/>
              <w:jc w:val="center"/>
              <w:rPr>
                <w:lang w:val="nb-NO"/>
              </w:rPr>
            </w:pPr>
            <w:r w:rsidRPr="00021D6F">
              <w:rPr>
                <w:lang w:val="nb-NO"/>
              </w:rPr>
              <w:t>CPP</w:t>
            </w:r>
          </w:p>
          <w:p w14:paraId="6531C676" w14:textId="77777777" w:rsidR="009A5818" w:rsidRPr="00021D6F" w:rsidRDefault="009A5818" w:rsidP="00A46A8A">
            <w:pPr>
              <w:spacing w:after="0" w:line="240" w:lineRule="auto"/>
              <w:ind w:left="0" w:firstLine="0"/>
              <w:jc w:val="center"/>
              <w:rPr>
                <w:lang w:val="nb-NO"/>
              </w:rPr>
            </w:pPr>
            <w:r w:rsidRPr="00021D6F">
              <w:rPr>
                <w:lang w:val="nb-NO"/>
              </w:rPr>
              <w:t>(n</w:t>
            </w:r>
            <w:r w:rsidR="00A46A8A" w:rsidRPr="00E30038">
              <w:t> </w:t>
            </w:r>
            <w:r w:rsidRPr="00021D6F">
              <w:rPr>
                <w:lang w:val="nb-NO"/>
              </w:rPr>
              <w:t>=</w:t>
            </w:r>
            <w:r w:rsidR="00A46A8A" w:rsidRPr="00E30038">
              <w:t> </w:t>
            </w:r>
            <w:r w:rsidRPr="00021D6F">
              <w:rPr>
                <w:lang w:val="nb-NO"/>
              </w:rPr>
              <w:t>625)</w:t>
            </w:r>
          </w:p>
        </w:tc>
        <w:tc>
          <w:tcPr>
            <w:tcW w:w="1790" w:type="dxa"/>
            <w:noWrap/>
          </w:tcPr>
          <w:p w14:paraId="41977CA0" w14:textId="77777777" w:rsidR="009A5818" w:rsidRPr="00021D6F" w:rsidRDefault="009A5818" w:rsidP="00B0536F">
            <w:pPr>
              <w:spacing w:after="0" w:line="240" w:lineRule="auto"/>
              <w:ind w:left="0" w:firstLine="0"/>
              <w:jc w:val="center"/>
              <w:rPr>
                <w:lang w:val="nb-NO"/>
              </w:rPr>
            </w:pPr>
            <w:r w:rsidRPr="00021D6F">
              <w:rPr>
                <w:lang w:val="nb-NO"/>
              </w:rPr>
              <w:t>CPB15</w:t>
            </w:r>
          </w:p>
          <w:p w14:paraId="6B94E535" w14:textId="77777777" w:rsidR="009A5818" w:rsidRPr="00021D6F" w:rsidRDefault="009A5818" w:rsidP="00A46A8A">
            <w:pPr>
              <w:spacing w:after="0" w:line="240" w:lineRule="auto"/>
              <w:ind w:left="0" w:firstLine="0"/>
              <w:jc w:val="center"/>
              <w:rPr>
                <w:lang w:val="nb-NO"/>
              </w:rPr>
            </w:pPr>
            <w:r w:rsidRPr="00021D6F">
              <w:rPr>
                <w:lang w:val="nb-NO"/>
              </w:rPr>
              <w:t>(n</w:t>
            </w:r>
            <w:r w:rsidR="00A46A8A" w:rsidRPr="00E30038">
              <w:t> </w:t>
            </w:r>
            <w:r w:rsidRPr="00021D6F">
              <w:rPr>
                <w:lang w:val="nb-NO"/>
              </w:rPr>
              <w:t>=</w:t>
            </w:r>
            <w:r w:rsidR="00A46A8A" w:rsidRPr="00E30038">
              <w:t> </w:t>
            </w:r>
            <w:r w:rsidRPr="00021D6F">
              <w:rPr>
                <w:lang w:val="nb-NO"/>
              </w:rPr>
              <w:t>625)</w:t>
            </w:r>
          </w:p>
        </w:tc>
        <w:tc>
          <w:tcPr>
            <w:tcW w:w="2620" w:type="dxa"/>
            <w:noWrap/>
          </w:tcPr>
          <w:p w14:paraId="4A2A0F59" w14:textId="77777777" w:rsidR="009A5818" w:rsidRPr="00021D6F" w:rsidRDefault="009A5818" w:rsidP="00B0536F">
            <w:pPr>
              <w:spacing w:after="0" w:line="240" w:lineRule="auto"/>
              <w:ind w:left="0" w:firstLine="0"/>
              <w:jc w:val="center"/>
              <w:rPr>
                <w:lang w:val="nb-NO"/>
              </w:rPr>
            </w:pPr>
            <w:r w:rsidRPr="00021D6F">
              <w:rPr>
                <w:lang w:val="nb-NO"/>
              </w:rPr>
              <w:t>CPB15+</w:t>
            </w:r>
          </w:p>
          <w:p w14:paraId="4A9BB527" w14:textId="77777777" w:rsidR="009A5818" w:rsidRPr="00021D6F" w:rsidRDefault="009A5818" w:rsidP="00A46A8A">
            <w:pPr>
              <w:spacing w:after="0" w:line="240" w:lineRule="auto"/>
              <w:ind w:left="0" w:firstLine="0"/>
              <w:jc w:val="center"/>
              <w:rPr>
                <w:lang w:val="nb-NO"/>
              </w:rPr>
            </w:pPr>
            <w:r w:rsidRPr="00021D6F">
              <w:rPr>
                <w:lang w:val="nb-NO"/>
              </w:rPr>
              <w:t>(n</w:t>
            </w:r>
            <w:r w:rsidR="00A46A8A" w:rsidRPr="00E30038">
              <w:t> </w:t>
            </w:r>
            <w:r w:rsidRPr="00021D6F">
              <w:rPr>
                <w:lang w:val="nb-NO"/>
              </w:rPr>
              <w:t>=</w:t>
            </w:r>
            <w:r w:rsidR="00A46A8A" w:rsidRPr="00E30038">
              <w:t> </w:t>
            </w:r>
            <w:r w:rsidRPr="00021D6F">
              <w:rPr>
                <w:lang w:val="nb-NO"/>
              </w:rPr>
              <w:t>623)</w:t>
            </w:r>
          </w:p>
        </w:tc>
      </w:tr>
      <w:tr w:rsidR="009A5818" w:rsidRPr="00021D6F" w14:paraId="22E9DCC4" w14:textId="77777777" w:rsidTr="00CE2F2E">
        <w:trPr>
          <w:trHeight w:val="221"/>
        </w:trPr>
        <w:tc>
          <w:tcPr>
            <w:tcW w:w="2906" w:type="dxa"/>
            <w:noWrap/>
          </w:tcPr>
          <w:p w14:paraId="4D566C2E" w14:textId="77777777" w:rsidR="009A5818" w:rsidRPr="00021D6F" w:rsidRDefault="009A5818" w:rsidP="00B0536F">
            <w:pPr>
              <w:spacing w:after="0" w:line="240" w:lineRule="auto"/>
              <w:ind w:left="567" w:firstLine="0"/>
              <w:rPr>
                <w:lang w:val="nb-NO"/>
              </w:rPr>
            </w:pPr>
            <w:r w:rsidRPr="00021D6F">
              <w:rPr>
                <w:lang w:val="es-ES"/>
              </w:rPr>
              <w:t>Mediana SG (meses)</w:t>
            </w:r>
          </w:p>
        </w:tc>
        <w:tc>
          <w:tcPr>
            <w:tcW w:w="1651" w:type="dxa"/>
            <w:noWrap/>
          </w:tcPr>
          <w:p w14:paraId="0780FC21" w14:textId="77777777" w:rsidR="009A5818" w:rsidRPr="00021D6F" w:rsidRDefault="009A5818" w:rsidP="00B0536F">
            <w:pPr>
              <w:spacing w:after="0" w:line="240" w:lineRule="auto"/>
              <w:ind w:left="0" w:firstLine="0"/>
              <w:jc w:val="center"/>
              <w:rPr>
                <w:lang w:val="nb-NO"/>
              </w:rPr>
            </w:pPr>
            <w:r w:rsidRPr="00021D6F">
              <w:rPr>
                <w:lang w:val="es-ES"/>
              </w:rPr>
              <w:t>40,6</w:t>
            </w:r>
          </w:p>
        </w:tc>
        <w:tc>
          <w:tcPr>
            <w:tcW w:w="1790" w:type="dxa"/>
            <w:noWrap/>
          </w:tcPr>
          <w:p w14:paraId="7A55222D" w14:textId="77777777" w:rsidR="009A5818" w:rsidRPr="00021D6F" w:rsidRDefault="009A5818" w:rsidP="00B0536F">
            <w:pPr>
              <w:spacing w:after="0" w:line="240" w:lineRule="auto"/>
              <w:ind w:left="0" w:firstLine="0"/>
              <w:jc w:val="center"/>
              <w:rPr>
                <w:lang w:val="nb-NO"/>
              </w:rPr>
            </w:pPr>
            <w:r w:rsidRPr="00021D6F">
              <w:rPr>
                <w:lang w:val="es-ES"/>
              </w:rPr>
              <w:t>38,8</w:t>
            </w:r>
          </w:p>
        </w:tc>
        <w:tc>
          <w:tcPr>
            <w:tcW w:w="2620" w:type="dxa"/>
            <w:noWrap/>
          </w:tcPr>
          <w:p w14:paraId="2F0D0E49" w14:textId="77777777" w:rsidR="009A5818" w:rsidRPr="00021D6F" w:rsidRDefault="009A5818" w:rsidP="00B0536F">
            <w:pPr>
              <w:spacing w:after="0" w:line="240" w:lineRule="auto"/>
              <w:ind w:left="0" w:firstLine="0"/>
              <w:jc w:val="center"/>
              <w:rPr>
                <w:lang w:val="nb-NO"/>
              </w:rPr>
            </w:pPr>
            <w:r w:rsidRPr="00021D6F">
              <w:rPr>
                <w:lang w:val="es-ES"/>
              </w:rPr>
              <w:t>43,8</w:t>
            </w:r>
          </w:p>
        </w:tc>
      </w:tr>
      <w:tr w:rsidR="009A5818" w:rsidRPr="00021D6F" w14:paraId="39BA5AC0" w14:textId="77777777" w:rsidTr="00CE2F2E">
        <w:trPr>
          <w:trHeight w:val="202"/>
        </w:trPr>
        <w:tc>
          <w:tcPr>
            <w:tcW w:w="2906" w:type="dxa"/>
            <w:noWrap/>
          </w:tcPr>
          <w:p w14:paraId="00C7014E" w14:textId="77777777" w:rsidR="009A5818" w:rsidRPr="00021D6F" w:rsidRDefault="009A5818" w:rsidP="00B0536F">
            <w:pPr>
              <w:spacing w:after="0" w:line="240" w:lineRule="auto"/>
              <w:ind w:left="567" w:firstLine="0"/>
              <w:rPr>
                <w:lang w:val="nb-NO"/>
              </w:rPr>
            </w:pPr>
            <w:r>
              <w:rPr>
                <w:lang w:val="es-ES"/>
              </w:rPr>
              <w:t>Razón de ries</w:t>
            </w:r>
            <w:r w:rsidR="009E3815">
              <w:rPr>
                <w:lang w:val="es-ES"/>
              </w:rPr>
              <w:t>go (IC del 95%</w:t>
            </w:r>
            <w:r>
              <w:rPr>
                <w:lang w:val="es-ES"/>
              </w:rPr>
              <w:t>)</w:t>
            </w:r>
            <w:r w:rsidRPr="00021D6F">
              <w:rPr>
                <w:vertAlign w:val="superscript"/>
                <w:lang w:val="es-ES"/>
              </w:rPr>
              <w:t>2</w:t>
            </w:r>
          </w:p>
        </w:tc>
        <w:tc>
          <w:tcPr>
            <w:tcW w:w="1651" w:type="dxa"/>
            <w:noWrap/>
          </w:tcPr>
          <w:p w14:paraId="6D89C65B" w14:textId="77777777" w:rsidR="009A5818" w:rsidRPr="00021D6F" w:rsidRDefault="009A5818" w:rsidP="009A5818">
            <w:pPr>
              <w:spacing w:after="0" w:line="240" w:lineRule="auto"/>
              <w:ind w:left="0" w:firstLine="0"/>
              <w:jc w:val="center"/>
              <w:rPr>
                <w:lang w:val="nb-NO"/>
              </w:rPr>
            </w:pPr>
          </w:p>
        </w:tc>
        <w:tc>
          <w:tcPr>
            <w:tcW w:w="1790" w:type="dxa"/>
            <w:noWrap/>
          </w:tcPr>
          <w:p w14:paraId="598B73AA" w14:textId="77777777" w:rsidR="009A5818" w:rsidRPr="00021D6F" w:rsidRDefault="009A5818" w:rsidP="00B0536F">
            <w:pPr>
              <w:spacing w:after="0" w:line="240" w:lineRule="auto"/>
              <w:ind w:left="0" w:firstLine="0"/>
              <w:jc w:val="center"/>
              <w:rPr>
                <w:lang w:val="nb-NO"/>
              </w:rPr>
            </w:pPr>
            <w:r w:rsidRPr="00021D6F">
              <w:rPr>
                <w:lang w:val="es-ES"/>
              </w:rPr>
              <w:t>1,07 (0,91; 1,25)</w:t>
            </w:r>
          </w:p>
        </w:tc>
        <w:tc>
          <w:tcPr>
            <w:tcW w:w="2620" w:type="dxa"/>
            <w:noWrap/>
          </w:tcPr>
          <w:p w14:paraId="55E127A2" w14:textId="77777777" w:rsidR="009A5818" w:rsidRPr="00021D6F" w:rsidRDefault="009A5818" w:rsidP="00B0536F">
            <w:pPr>
              <w:spacing w:after="0" w:line="240" w:lineRule="auto"/>
              <w:ind w:left="0" w:firstLine="0"/>
              <w:jc w:val="center"/>
              <w:rPr>
                <w:lang w:val="nb-NO"/>
              </w:rPr>
            </w:pPr>
            <w:r w:rsidRPr="00021D6F">
              <w:rPr>
                <w:lang w:val="es-ES"/>
              </w:rPr>
              <w:t>0,88 (0,75; 1,04)</w:t>
            </w:r>
          </w:p>
        </w:tc>
      </w:tr>
      <w:tr w:rsidR="009A5818" w:rsidRPr="00021D6F" w14:paraId="5A028C10" w14:textId="77777777" w:rsidTr="00CE2F2E">
        <w:trPr>
          <w:trHeight w:val="219"/>
        </w:trPr>
        <w:tc>
          <w:tcPr>
            <w:tcW w:w="2906" w:type="dxa"/>
            <w:noWrap/>
          </w:tcPr>
          <w:p w14:paraId="3D385CFB" w14:textId="77777777" w:rsidR="009A5818" w:rsidRPr="00C776B3" w:rsidRDefault="00EE1235" w:rsidP="00B0536F">
            <w:pPr>
              <w:spacing w:after="0" w:line="240" w:lineRule="auto"/>
              <w:ind w:left="567" w:firstLine="0"/>
            </w:pPr>
            <w:r>
              <w:t>Valor de p</w:t>
            </w:r>
            <w:r w:rsidR="009A5818" w:rsidRPr="00EE1235">
              <w:rPr>
                <w:vertAlign w:val="superscript"/>
              </w:rPr>
              <w:t>3</w:t>
            </w:r>
          </w:p>
        </w:tc>
        <w:tc>
          <w:tcPr>
            <w:tcW w:w="1651" w:type="dxa"/>
            <w:noWrap/>
          </w:tcPr>
          <w:p w14:paraId="3653CBDF" w14:textId="77777777" w:rsidR="009A5818" w:rsidRPr="00021D6F" w:rsidRDefault="009A5818" w:rsidP="009A5818">
            <w:pPr>
              <w:spacing w:after="0" w:line="240" w:lineRule="auto"/>
              <w:ind w:left="0" w:firstLine="0"/>
              <w:jc w:val="center"/>
              <w:rPr>
                <w:lang w:val="nb-NO"/>
              </w:rPr>
            </w:pPr>
          </w:p>
        </w:tc>
        <w:tc>
          <w:tcPr>
            <w:tcW w:w="1790" w:type="dxa"/>
            <w:noWrap/>
          </w:tcPr>
          <w:p w14:paraId="47C0F6D0" w14:textId="77777777" w:rsidR="009A5818" w:rsidRPr="00021D6F" w:rsidRDefault="009A5818" w:rsidP="00B0536F">
            <w:pPr>
              <w:spacing w:after="0" w:line="240" w:lineRule="auto"/>
              <w:ind w:left="0" w:firstLine="0"/>
              <w:jc w:val="center"/>
              <w:rPr>
                <w:lang w:val="nb-NO"/>
              </w:rPr>
            </w:pPr>
            <w:r w:rsidRPr="00021D6F">
              <w:rPr>
                <w:lang w:val="es-ES"/>
              </w:rPr>
              <w:t>0,2197</w:t>
            </w:r>
          </w:p>
        </w:tc>
        <w:tc>
          <w:tcPr>
            <w:tcW w:w="2620" w:type="dxa"/>
            <w:noWrap/>
          </w:tcPr>
          <w:p w14:paraId="50C96A5F" w14:textId="77777777" w:rsidR="009A5818" w:rsidRPr="00021D6F" w:rsidRDefault="009A5818" w:rsidP="00B0536F">
            <w:pPr>
              <w:spacing w:after="0" w:line="240" w:lineRule="auto"/>
              <w:ind w:left="0" w:firstLine="0"/>
              <w:jc w:val="center"/>
              <w:rPr>
                <w:lang w:val="nb-NO"/>
              </w:rPr>
            </w:pPr>
            <w:r w:rsidRPr="00021D6F">
              <w:rPr>
                <w:lang w:val="es-ES"/>
              </w:rPr>
              <w:t>0,0641</w:t>
            </w:r>
          </w:p>
        </w:tc>
      </w:tr>
    </w:tbl>
    <w:bookmarkEnd w:id="3"/>
    <w:p w14:paraId="2EC41B94" w14:textId="77777777" w:rsidR="00FB24C0" w:rsidRPr="00192387" w:rsidRDefault="00FB24C0" w:rsidP="00FB24C0">
      <w:pPr>
        <w:spacing w:after="0" w:line="240" w:lineRule="auto"/>
        <w:ind w:left="567" w:hanging="567"/>
        <w:rPr>
          <w:color w:val="auto"/>
          <w:sz w:val="20"/>
          <w:szCs w:val="20"/>
          <w:lang w:val="es-ES"/>
        </w:rPr>
      </w:pPr>
      <w:r w:rsidRPr="00443040">
        <w:rPr>
          <w:color w:val="auto"/>
          <w:vertAlign w:val="superscript"/>
          <w:lang w:val="es-ES"/>
        </w:rPr>
        <w:t>1</w:t>
      </w:r>
      <w:r w:rsidRPr="00443040">
        <w:rPr>
          <w:color w:val="auto"/>
          <w:lang w:val="es-ES"/>
        </w:rPr>
        <w:tab/>
      </w:r>
      <w:proofErr w:type="gramStart"/>
      <w:r w:rsidRPr="00192387">
        <w:rPr>
          <w:color w:val="auto"/>
          <w:sz w:val="20"/>
          <w:szCs w:val="20"/>
          <w:lang w:val="es-ES"/>
        </w:rPr>
        <w:t>Análisis</w:t>
      </w:r>
      <w:proofErr w:type="gramEnd"/>
      <w:r w:rsidRPr="00192387">
        <w:rPr>
          <w:color w:val="auto"/>
          <w:sz w:val="20"/>
          <w:szCs w:val="20"/>
          <w:lang w:val="es-ES"/>
        </w:rPr>
        <w:t xml:space="preserve"> de la SLP según se especifica en el protocolo GOG evaluado por el investigador (sin censurar para progresiones de CA-125 ni para NPT antes de progresión de la enfermedad) con los datos de la fecha de corte del 25 de febrero de 2010.</w:t>
      </w:r>
    </w:p>
    <w:p w14:paraId="3462C778" w14:textId="77777777" w:rsidR="00FB24C0" w:rsidRPr="00192387" w:rsidRDefault="00FB24C0" w:rsidP="00FB24C0">
      <w:pPr>
        <w:spacing w:after="0" w:line="240" w:lineRule="auto"/>
        <w:ind w:left="567" w:hanging="567"/>
        <w:rPr>
          <w:color w:val="auto"/>
          <w:sz w:val="20"/>
          <w:szCs w:val="20"/>
          <w:lang w:val="es-ES"/>
        </w:rPr>
      </w:pPr>
      <w:r w:rsidRPr="00192387">
        <w:rPr>
          <w:color w:val="auto"/>
          <w:sz w:val="20"/>
          <w:szCs w:val="20"/>
          <w:vertAlign w:val="superscript"/>
          <w:lang w:val="es-ES"/>
        </w:rPr>
        <w:t>2</w:t>
      </w:r>
      <w:r w:rsidRPr="00192387">
        <w:rPr>
          <w:color w:val="auto"/>
          <w:sz w:val="20"/>
          <w:szCs w:val="20"/>
          <w:lang w:val="es-ES"/>
        </w:rPr>
        <w:tab/>
      </w:r>
      <w:proofErr w:type="gramStart"/>
      <w:r w:rsidRPr="00192387">
        <w:rPr>
          <w:color w:val="auto"/>
          <w:sz w:val="20"/>
          <w:szCs w:val="20"/>
          <w:lang w:val="es-ES"/>
        </w:rPr>
        <w:t>Relativo</w:t>
      </w:r>
      <w:proofErr w:type="gramEnd"/>
      <w:r w:rsidRPr="00192387">
        <w:rPr>
          <w:color w:val="auto"/>
          <w:sz w:val="20"/>
          <w:szCs w:val="20"/>
          <w:lang w:val="es-ES"/>
        </w:rPr>
        <w:t xml:space="preserve"> al brazo control; razón de riesgo estratificado.</w:t>
      </w:r>
    </w:p>
    <w:p w14:paraId="4C8B241B" w14:textId="77777777" w:rsidR="00FB24C0" w:rsidRPr="00192387" w:rsidRDefault="00FB24C0" w:rsidP="00FB24C0">
      <w:pPr>
        <w:spacing w:after="0" w:line="240" w:lineRule="auto"/>
        <w:ind w:left="567" w:hanging="567"/>
        <w:rPr>
          <w:color w:val="auto"/>
          <w:sz w:val="20"/>
          <w:szCs w:val="20"/>
          <w:lang w:val="es-ES"/>
        </w:rPr>
      </w:pPr>
      <w:r w:rsidRPr="00192387">
        <w:rPr>
          <w:color w:val="auto"/>
          <w:sz w:val="20"/>
          <w:szCs w:val="20"/>
          <w:vertAlign w:val="superscript"/>
          <w:lang w:val="es-ES"/>
        </w:rPr>
        <w:t>3</w:t>
      </w:r>
      <w:r w:rsidRPr="00192387">
        <w:rPr>
          <w:color w:val="auto"/>
          <w:sz w:val="20"/>
          <w:szCs w:val="20"/>
          <w:lang w:val="es-ES"/>
        </w:rPr>
        <w:tab/>
      </w:r>
      <w:proofErr w:type="gramStart"/>
      <w:r w:rsidRPr="00192387">
        <w:rPr>
          <w:color w:val="auto"/>
          <w:sz w:val="20"/>
          <w:szCs w:val="20"/>
          <w:lang w:val="es-ES"/>
        </w:rPr>
        <w:t>Valor</w:t>
      </w:r>
      <w:proofErr w:type="gramEnd"/>
      <w:r w:rsidRPr="00192387">
        <w:rPr>
          <w:color w:val="auto"/>
          <w:sz w:val="20"/>
          <w:szCs w:val="20"/>
          <w:lang w:val="es-ES"/>
        </w:rPr>
        <w:t xml:space="preserve"> de p de log-</w:t>
      </w:r>
      <w:proofErr w:type="spellStart"/>
      <w:r w:rsidRPr="00192387">
        <w:rPr>
          <w:color w:val="auto"/>
          <w:sz w:val="20"/>
          <w:szCs w:val="20"/>
          <w:lang w:val="es-ES"/>
        </w:rPr>
        <w:t>rank</w:t>
      </w:r>
      <w:proofErr w:type="spellEnd"/>
      <w:r w:rsidRPr="00192387">
        <w:rPr>
          <w:color w:val="auto"/>
          <w:sz w:val="20"/>
          <w:szCs w:val="20"/>
          <w:lang w:val="es-ES"/>
        </w:rPr>
        <w:t xml:space="preserve"> unilateral.</w:t>
      </w:r>
    </w:p>
    <w:p w14:paraId="10F4EDAA" w14:textId="77777777" w:rsidR="00FB24C0" w:rsidRPr="00192387" w:rsidRDefault="00FB24C0" w:rsidP="00FB24C0">
      <w:pPr>
        <w:numPr>
          <w:ilvl w:val="0"/>
          <w:numId w:val="9"/>
        </w:numPr>
        <w:spacing w:after="0" w:line="240" w:lineRule="auto"/>
        <w:ind w:left="567" w:hanging="567"/>
        <w:rPr>
          <w:color w:val="auto"/>
          <w:sz w:val="20"/>
          <w:szCs w:val="20"/>
          <w:lang w:val="es-ES"/>
        </w:rPr>
      </w:pPr>
      <w:r w:rsidRPr="00192387">
        <w:rPr>
          <w:color w:val="auto"/>
          <w:sz w:val="20"/>
          <w:szCs w:val="20"/>
          <w:lang w:val="es-ES"/>
        </w:rPr>
        <w:t>Sujeto a un límite del valor de p de 0,0116.</w:t>
      </w:r>
    </w:p>
    <w:p w14:paraId="1F4E3BAC" w14:textId="77777777" w:rsidR="00FB24C0" w:rsidRPr="00192387" w:rsidRDefault="00FB24C0" w:rsidP="00FB24C0">
      <w:pPr>
        <w:numPr>
          <w:ilvl w:val="0"/>
          <w:numId w:val="9"/>
        </w:numPr>
        <w:spacing w:after="0" w:line="240" w:lineRule="auto"/>
        <w:ind w:left="567" w:hanging="567"/>
        <w:rPr>
          <w:color w:val="auto"/>
          <w:sz w:val="20"/>
          <w:szCs w:val="20"/>
          <w:lang w:val="es-ES"/>
        </w:rPr>
      </w:pPr>
      <w:r w:rsidRPr="00192387">
        <w:rPr>
          <w:color w:val="auto"/>
          <w:sz w:val="20"/>
          <w:szCs w:val="20"/>
          <w:lang w:val="es-ES"/>
        </w:rPr>
        <w:t>Pacientes con enfermedad medible al inicio.</w:t>
      </w:r>
    </w:p>
    <w:p w14:paraId="1753EFB5" w14:textId="77777777" w:rsidR="00FB24C0" w:rsidRPr="00192387" w:rsidRDefault="00FB24C0" w:rsidP="00FB24C0">
      <w:pPr>
        <w:spacing w:after="0" w:line="240" w:lineRule="auto"/>
        <w:ind w:left="567" w:hanging="567"/>
        <w:rPr>
          <w:color w:val="auto"/>
          <w:sz w:val="20"/>
          <w:szCs w:val="20"/>
          <w:lang w:val="es-ES"/>
        </w:rPr>
      </w:pPr>
      <w:r w:rsidRPr="00192387">
        <w:rPr>
          <w:color w:val="auto"/>
          <w:sz w:val="20"/>
          <w:szCs w:val="20"/>
          <w:vertAlign w:val="superscript"/>
          <w:lang w:val="es-ES"/>
        </w:rPr>
        <w:t>6</w:t>
      </w:r>
      <w:r w:rsidRPr="00192387">
        <w:rPr>
          <w:color w:val="auto"/>
          <w:sz w:val="20"/>
          <w:szCs w:val="20"/>
          <w:lang w:val="es-ES"/>
        </w:rPr>
        <w:tab/>
      </w:r>
      <w:proofErr w:type="gramStart"/>
      <w:r w:rsidRPr="00192387">
        <w:rPr>
          <w:color w:val="auto"/>
          <w:sz w:val="20"/>
          <w:szCs w:val="20"/>
          <w:lang w:val="es-ES"/>
        </w:rPr>
        <w:t>Análisis</w:t>
      </w:r>
      <w:proofErr w:type="gramEnd"/>
      <w:r w:rsidRPr="00192387">
        <w:rPr>
          <w:color w:val="auto"/>
          <w:sz w:val="20"/>
          <w:szCs w:val="20"/>
          <w:lang w:val="es-ES"/>
        </w:rPr>
        <w:t xml:space="preserve"> final de supervivencia global realizado cuando el 46,9% de los pacientes habían muerto.</w:t>
      </w:r>
    </w:p>
    <w:p w14:paraId="0A1FAB67" w14:textId="77777777" w:rsidR="00192387" w:rsidRDefault="00192387" w:rsidP="00FB24C0">
      <w:pPr>
        <w:spacing w:after="0" w:line="240" w:lineRule="auto"/>
        <w:ind w:left="0" w:firstLine="0"/>
        <w:rPr>
          <w:color w:val="auto"/>
          <w:lang w:val="es-ES"/>
        </w:rPr>
      </w:pPr>
    </w:p>
    <w:p w14:paraId="7BFF4E2E" w14:textId="77777777" w:rsidR="00FB24C0" w:rsidRPr="00443040" w:rsidRDefault="00FB24C0" w:rsidP="00192387">
      <w:pPr>
        <w:keepNext/>
        <w:spacing w:after="0" w:line="240" w:lineRule="auto"/>
        <w:ind w:left="0" w:firstLine="0"/>
        <w:rPr>
          <w:color w:val="auto"/>
          <w:lang w:val="es-ES"/>
        </w:rPr>
      </w:pPr>
      <w:r w:rsidRPr="00443040">
        <w:rPr>
          <w:color w:val="auto"/>
          <w:lang w:val="es-ES"/>
        </w:rPr>
        <w:lastRenderedPageBreak/>
        <w:t>Se llevaron a cabo análisis preespecificados de SLP, todos ellos con fecha de corte de datos clínicos del 29 de septiembre de 2009. Los resultados de estos análisis predefinidos fueron los siguientes:</w:t>
      </w:r>
    </w:p>
    <w:p w14:paraId="0C672AA8" w14:textId="77777777" w:rsidR="00FB24C0" w:rsidRPr="00443040" w:rsidRDefault="00FB24C0" w:rsidP="00192387">
      <w:pPr>
        <w:keepNext/>
        <w:spacing w:after="0" w:line="240" w:lineRule="auto"/>
        <w:ind w:left="0" w:firstLine="0"/>
        <w:rPr>
          <w:color w:val="auto"/>
          <w:lang w:val="es-ES"/>
        </w:rPr>
      </w:pPr>
    </w:p>
    <w:p w14:paraId="6CDC30E4" w14:textId="77777777" w:rsidR="00FB24C0" w:rsidRPr="00192387" w:rsidRDefault="00FB24C0" w:rsidP="00771B26">
      <w:pPr>
        <w:keepNext/>
        <w:numPr>
          <w:ilvl w:val="1"/>
          <w:numId w:val="9"/>
        </w:numPr>
        <w:spacing w:after="0" w:line="240" w:lineRule="auto"/>
        <w:ind w:left="567" w:hanging="567"/>
        <w:rPr>
          <w:color w:val="auto"/>
          <w:lang w:val="es-ES"/>
        </w:rPr>
      </w:pPr>
      <w:r w:rsidRPr="00192387">
        <w:rPr>
          <w:color w:val="auto"/>
          <w:lang w:val="es-ES"/>
        </w:rPr>
        <w:t>El análisis de la SLP evaluada por el investigador según se específica en el protocolo (sin censurar la progresión por CA-125 o NPT) muestra una razón de riesgo estratificada de 0,71</w:t>
      </w:r>
      <w:r w:rsidR="00192387" w:rsidRPr="00192387">
        <w:rPr>
          <w:color w:val="auto"/>
          <w:lang w:val="es-ES"/>
        </w:rPr>
        <w:t xml:space="preserve"> </w:t>
      </w:r>
      <w:r w:rsidRPr="00192387">
        <w:rPr>
          <w:color w:val="auto"/>
          <w:lang w:val="es-ES"/>
        </w:rPr>
        <w:t>(IC del 95%: 0,61-0,83, valor de p de log-</w:t>
      </w:r>
      <w:proofErr w:type="spellStart"/>
      <w:r w:rsidRPr="00192387">
        <w:rPr>
          <w:color w:val="auto"/>
          <w:lang w:val="es-ES"/>
        </w:rPr>
        <w:t>rank</w:t>
      </w:r>
      <w:proofErr w:type="spellEnd"/>
      <w:r w:rsidRPr="00192387">
        <w:rPr>
          <w:color w:val="auto"/>
          <w:lang w:val="es-ES"/>
        </w:rPr>
        <w:t xml:space="preserve"> unilateral &lt; 0,0001) cuando se compara</w:t>
      </w:r>
      <w:r w:rsidR="00192387" w:rsidRPr="00192387">
        <w:rPr>
          <w:color w:val="auto"/>
          <w:lang w:val="es-ES"/>
        </w:rPr>
        <w:t xml:space="preserve"> </w:t>
      </w:r>
      <w:r w:rsidRPr="00192387">
        <w:rPr>
          <w:color w:val="auto"/>
          <w:lang w:val="es-ES"/>
        </w:rPr>
        <w:t>CPB15+ con CPP, con una mediana de SLP de 10,4 meses en el brazo CPP y de 14,1 meses en el brazo CPB15+.</w:t>
      </w:r>
    </w:p>
    <w:p w14:paraId="564C8E11" w14:textId="77777777" w:rsidR="00FB24C0" w:rsidRPr="00443040" w:rsidRDefault="00FB24C0" w:rsidP="00771B26">
      <w:pPr>
        <w:keepNext/>
        <w:numPr>
          <w:ilvl w:val="1"/>
          <w:numId w:val="9"/>
        </w:numPr>
        <w:spacing w:after="0" w:line="240" w:lineRule="auto"/>
        <w:ind w:left="567" w:hanging="567"/>
        <w:rPr>
          <w:color w:val="auto"/>
          <w:lang w:val="es-ES"/>
        </w:rPr>
      </w:pPr>
      <w:r w:rsidRPr="00443040">
        <w:rPr>
          <w:color w:val="auto"/>
          <w:lang w:val="es-ES"/>
        </w:rPr>
        <w:t>El análisis principal de la SLP evaluada por el investigador (censurando la progresión por CA</w:t>
      </w:r>
      <w:r w:rsidR="00F3330C">
        <w:rPr>
          <w:color w:val="auto"/>
          <w:lang w:val="es-ES"/>
        </w:rPr>
        <w:noBreakHyphen/>
      </w:r>
      <w:r w:rsidRPr="00443040">
        <w:rPr>
          <w:color w:val="auto"/>
          <w:lang w:val="es-ES"/>
        </w:rPr>
        <w:t>125 y NPT) muestra una razón de riesgo estratificada de 0,62 (IC del 95%: 0,52-0,75, valor de p de log-</w:t>
      </w:r>
      <w:proofErr w:type="spellStart"/>
      <w:r w:rsidRPr="00443040">
        <w:rPr>
          <w:color w:val="auto"/>
          <w:lang w:val="es-ES"/>
        </w:rPr>
        <w:t>rank</w:t>
      </w:r>
      <w:proofErr w:type="spellEnd"/>
      <w:r w:rsidRPr="00443040">
        <w:rPr>
          <w:color w:val="auto"/>
          <w:lang w:val="es-ES"/>
        </w:rPr>
        <w:t xml:space="preserve"> unilateral &lt; 0,0001) cuando se compara CPB15+ con CPP, con una mediana de SLP de 12,0 meses en el brazo CPP y de 18,2 meses en el brazo CPB15+.</w:t>
      </w:r>
    </w:p>
    <w:p w14:paraId="51F30A1A" w14:textId="77777777" w:rsidR="00FB24C0" w:rsidRPr="00443040" w:rsidRDefault="00FB24C0" w:rsidP="00FB24C0">
      <w:pPr>
        <w:numPr>
          <w:ilvl w:val="1"/>
          <w:numId w:val="9"/>
        </w:numPr>
        <w:spacing w:after="0" w:line="240" w:lineRule="auto"/>
        <w:ind w:left="567" w:hanging="567"/>
        <w:rPr>
          <w:color w:val="auto"/>
          <w:lang w:val="es-ES"/>
        </w:rPr>
      </w:pPr>
      <w:r w:rsidRPr="00443040">
        <w:rPr>
          <w:color w:val="auto"/>
          <w:lang w:val="es-ES"/>
        </w:rPr>
        <w:t>El análisis de la SLP determinada por el comité de revisión independiente (censurando para NPT) muestra una razón de riesgo estratificada de 0,62 (IC del 95%: 0,50-0,77, valor de p de log-</w:t>
      </w:r>
      <w:proofErr w:type="spellStart"/>
      <w:r w:rsidRPr="00443040">
        <w:rPr>
          <w:color w:val="auto"/>
          <w:lang w:val="es-ES"/>
        </w:rPr>
        <w:t>rank</w:t>
      </w:r>
      <w:proofErr w:type="spellEnd"/>
      <w:r w:rsidRPr="00443040">
        <w:rPr>
          <w:color w:val="auto"/>
          <w:lang w:val="es-ES"/>
        </w:rPr>
        <w:t xml:space="preserve"> unilateral &lt; 0,0001) cuando se compara CPB15+ con CPP, con una mediana de SLP de 13,1 meses en el brazo CPP y de 19,1 meses en el brazo CPB15+.</w:t>
      </w:r>
    </w:p>
    <w:p w14:paraId="73D75ECF" w14:textId="77777777" w:rsidR="00FB24C0" w:rsidRPr="00443040" w:rsidRDefault="00FB24C0" w:rsidP="00FB24C0">
      <w:pPr>
        <w:spacing w:after="0" w:line="240" w:lineRule="auto"/>
        <w:ind w:left="0" w:firstLine="0"/>
        <w:rPr>
          <w:color w:val="auto"/>
          <w:lang w:val="es-ES"/>
        </w:rPr>
      </w:pPr>
    </w:p>
    <w:p w14:paraId="285D2376" w14:textId="4F318A56" w:rsidR="00FB24C0" w:rsidRPr="00443040" w:rsidRDefault="00FB24C0" w:rsidP="00FB24C0">
      <w:pPr>
        <w:spacing w:after="0" w:line="240" w:lineRule="auto"/>
        <w:ind w:left="0" w:firstLine="0"/>
        <w:rPr>
          <w:color w:val="auto"/>
          <w:lang w:val="es-ES"/>
        </w:rPr>
      </w:pPr>
      <w:r w:rsidRPr="00443040">
        <w:rPr>
          <w:color w:val="auto"/>
          <w:lang w:val="es-ES"/>
        </w:rPr>
        <w:t xml:space="preserve">El análisis por subgrupos de la SLP según el estadio de la enfermedad y el grado de la </w:t>
      </w:r>
      <w:proofErr w:type="spellStart"/>
      <w:r w:rsidRPr="00443040">
        <w:rPr>
          <w:color w:val="auto"/>
          <w:lang w:val="es-ES"/>
        </w:rPr>
        <w:t>citorreducción</w:t>
      </w:r>
      <w:proofErr w:type="spellEnd"/>
      <w:r w:rsidRPr="00443040">
        <w:rPr>
          <w:color w:val="auto"/>
          <w:lang w:val="es-ES"/>
        </w:rPr>
        <w:t xml:space="preserve"> se presenta en la </w:t>
      </w:r>
      <w:r w:rsidR="00471B84">
        <w:rPr>
          <w:color w:val="auto"/>
          <w:lang w:val="es-ES"/>
        </w:rPr>
        <w:t>t</w:t>
      </w:r>
      <w:r w:rsidRPr="00443040">
        <w:rPr>
          <w:color w:val="auto"/>
          <w:lang w:val="es-ES"/>
        </w:rPr>
        <w:t>abla 1</w:t>
      </w:r>
      <w:r w:rsidR="0071031C">
        <w:rPr>
          <w:color w:val="auto"/>
          <w:lang w:val="es-ES"/>
        </w:rPr>
        <w:t>7</w:t>
      </w:r>
      <w:r w:rsidRPr="00443040">
        <w:rPr>
          <w:color w:val="auto"/>
          <w:lang w:val="es-ES"/>
        </w:rPr>
        <w:t xml:space="preserve">. Estos resultados demuestran la robustez de los análisis de la SLP que se muestran en la </w:t>
      </w:r>
      <w:r w:rsidR="00471B84">
        <w:rPr>
          <w:color w:val="auto"/>
          <w:lang w:val="es-ES"/>
        </w:rPr>
        <w:t>t</w:t>
      </w:r>
      <w:r w:rsidRPr="00443040">
        <w:rPr>
          <w:color w:val="auto"/>
          <w:lang w:val="es-ES"/>
        </w:rPr>
        <w:t>abla 1</w:t>
      </w:r>
      <w:r w:rsidR="0071031C">
        <w:rPr>
          <w:color w:val="auto"/>
          <w:lang w:val="es-ES"/>
        </w:rPr>
        <w:t>6</w:t>
      </w:r>
      <w:r w:rsidRPr="00443040">
        <w:rPr>
          <w:color w:val="auto"/>
          <w:lang w:val="es-ES"/>
        </w:rPr>
        <w:t>.</w:t>
      </w:r>
    </w:p>
    <w:p w14:paraId="18262DE0" w14:textId="77777777" w:rsidR="00FB24C0" w:rsidRPr="00443040" w:rsidRDefault="00FB24C0" w:rsidP="00FB24C0">
      <w:pPr>
        <w:spacing w:after="0" w:line="240" w:lineRule="auto"/>
        <w:ind w:left="0" w:firstLine="0"/>
        <w:rPr>
          <w:color w:val="auto"/>
          <w:lang w:val="es-ES"/>
        </w:rPr>
      </w:pPr>
    </w:p>
    <w:p w14:paraId="0BBAB335" w14:textId="2212F881" w:rsidR="00FB24C0" w:rsidRPr="00771B26" w:rsidRDefault="00FB24C0" w:rsidP="00771B26">
      <w:pPr>
        <w:keepNext/>
        <w:spacing w:after="0" w:line="240" w:lineRule="auto"/>
        <w:ind w:left="0" w:firstLine="0"/>
        <w:rPr>
          <w:b/>
          <w:color w:val="auto"/>
          <w:lang w:val="es-ES"/>
        </w:rPr>
      </w:pPr>
      <w:r w:rsidRPr="00771B26">
        <w:rPr>
          <w:b/>
          <w:color w:val="auto"/>
          <w:lang w:val="es-ES"/>
        </w:rPr>
        <w:t xml:space="preserve">Tabla </w:t>
      </w:r>
      <w:r w:rsidR="004943CA" w:rsidRPr="00771B26">
        <w:rPr>
          <w:b/>
          <w:color w:val="auto"/>
          <w:lang w:val="es-ES"/>
        </w:rPr>
        <w:t>1</w:t>
      </w:r>
      <w:r w:rsidR="0071031C">
        <w:rPr>
          <w:b/>
          <w:color w:val="auto"/>
          <w:lang w:val="es-ES"/>
        </w:rPr>
        <w:t>7</w:t>
      </w:r>
      <w:r w:rsidR="00771B26">
        <w:rPr>
          <w:b/>
          <w:color w:val="auto"/>
          <w:lang w:val="es-ES"/>
        </w:rPr>
        <w:t>.</w:t>
      </w:r>
      <w:r w:rsidRPr="00771B26">
        <w:rPr>
          <w:b/>
          <w:color w:val="auto"/>
          <w:lang w:val="es-ES"/>
        </w:rPr>
        <w:t xml:space="preserve"> Resultados de SLP</w:t>
      </w:r>
      <w:r w:rsidRPr="00EF3DAB">
        <w:rPr>
          <w:b/>
          <w:color w:val="auto"/>
          <w:vertAlign w:val="superscript"/>
          <w:lang w:val="es-ES"/>
        </w:rPr>
        <w:t>1</w:t>
      </w:r>
      <w:r w:rsidRPr="00771B26">
        <w:rPr>
          <w:b/>
          <w:color w:val="auto"/>
          <w:lang w:val="es-ES"/>
        </w:rPr>
        <w:t xml:space="preserve"> del ensayo GOG-0218 por estadio de la enfermedad y grado de la </w:t>
      </w:r>
      <w:proofErr w:type="spellStart"/>
      <w:r w:rsidRPr="00771B26">
        <w:rPr>
          <w:b/>
          <w:color w:val="auto"/>
          <w:lang w:val="es-ES"/>
        </w:rPr>
        <w:t>citorreducción</w:t>
      </w:r>
      <w:proofErr w:type="spellEnd"/>
    </w:p>
    <w:p w14:paraId="1479C103" w14:textId="77777777" w:rsidR="00FB24C0" w:rsidRPr="00771B26" w:rsidRDefault="00FB24C0" w:rsidP="00771B26">
      <w:pPr>
        <w:keepNext/>
        <w:spacing w:after="0" w:line="240" w:lineRule="auto"/>
        <w:ind w:left="0" w:firstLine="0"/>
        <w:rPr>
          <w:color w:val="auto"/>
          <w:lang w:val="es-ES"/>
        </w:rPr>
      </w:pPr>
    </w:p>
    <w:tbl>
      <w:tblPr>
        <w:tblW w:w="89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203"/>
        <w:gridCol w:w="1790"/>
        <w:gridCol w:w="2068"/>
      </w:tblGrid>
      <w:tr w:rsidR="003355C1" w:rsidRPr="00714463" w14:paraId="5AC7EAA5" w14:textId="77777777" w:rsidTr="00CE2F2E">
        <w:trPr>
          <w:trHeight w:val="292"/>
          <w:tblHeader/>
        </w:trPr>
        <w:tc>
          <w:tcPr>
            <w:tcW w:w="8967" w:type="dxa"/>
            <w:gridSpan w:val="4"/>
            <w:noWrap/>
            <w:vAlign w:val="bottom"/>
          </w:tcPr>
          <w:p w14:paraId="1DEE51E1" w14:textId="77777777" w:rsidR="003355C1" w:rsidRPr="00C849BB" w:rsidRDefault="003355C1" w:rsidP="00673F4C">
            <w:pPr>
              <w:spacing w:after="0" w:line="240" w:lineRule="auto"/>
              <w:ind w:left="0" w:firstLine="0"/>
              <w:rPr>
                <w:color w:val="auto"/>
                <w:lang w:val="es-ES"/>
              </w:rPr>
            </w:pPr>
            <w:r w:rsidRPr="00C849BB">
              <w:rPr>
                <w:color w:val="auto"/>
                <w:lang w:val="es-ES"/>
              </w:rPr>
              <w:t xml:space="preserve">Pacientes aleatorizados con estadio III y </w:t>
            </w:r>
            <w:proofErr w:type="spellStart"/>
            <w:r w:rsidRPr="00C849BB">
              <w:rPr>
                <w:color w:val="auto"/>
                <w:lang w:val="es-ES"/>
              </w:rPr>
              <w:t>citorreducción</w:t>
            </w:r>
            <w:proofErr w:type="spellEnd"/>
            <w:r w:rsidRPr="00C849BB">
              <w:rPr>
                <w:color w:val="auto"/>
                <w:lang w:val="es-ES"/>
              </w:rPr>
              <w:t xml:space="preserve"> óptima</w:t>
            </w:r>
            <w:r w:rsidRPr="00C849BB">
              <w:rPr>
                <w:color w:val="auto"/>
                <w:vertAlign w:val="superscript"/>
                <w:lang w:val="es-ES"/>
              </w:rPr>
              <w:t>2,3</w:t>
            </w:r>
          </w:p>
        </w:tc>
      </w:tr>
      <w:tr w:rsidR="003355C1" w:rsidRPr="00C849BB" w14:paraId="56102787" w14:textId="77777777" w:rsidTr="00CE2F2E">
        <w:trPr>
          <w:trHeight w:val="402"/>
          <w:tblHeader/>
        </w:trPr>
        <w:tc>
          <w:tcPr>
            <w:tcW w:w="2906" w:type="dxa"/>
            <w:noWrap/>
            <w:vAlign w:val="bottom"/>
          </w:tcPr>
          <w:p w14:paraId="4281A7D7" w14:textId="77777777" w:rsidR="003355C1" w:rsidRPr="00C849BB" w:rsidRDefault="003355C1" w:rsidP="004B62C8">
            <w:pPr>
              <w:spacing w:after="0" w:line="240" w:lineRule="auto"/>
              <w:ind w:left="0" w:firstLine="0"/>
              <w:rPr>
                <w:lang w:val="es-ES"/>
              </w:rPr>
            </w:pPr>
          </w:p>
        </w:tc>
        <w:tc>
          <w:tcPr>
            <w:tcW w:w="2203" w:type="dxa"/>
            <w:noWrap/>
          </w:tcPr>
          <w:p w14:paraId="0310AC2A" w14:textId="77777777" w:rsidR="003355C1" w:rsidRPr="00C849BB" w:rsidRDefault="003355C1" w:rsidP="004B62C8">
            <w:pPr>
              <w:tabs>
                <w:tab w:val="left" w:pos="567"/>
              </w:tabs>
              <w:spacing w:after="0" w:line="240" w:lineRule="auto"/>
              <w:ind w:left="0" w:firstLine="0"/>
              <w:jc w:val="center"/>
              <w:rPr>
                <w:lang w:val="es-ES"/>
              </w:rPr>
            </w:pPr>
            <w:r w:rsidRPr="00C849BB">
              <w:rPr>
                <w:lang w:val="es-ES"/>
              </w:rPr>
              <w:t>CPP</w:t>
            </w:r>
          </w:p>
          <w:p w14:paraId="31A97E8E" w14:textId="77777777" w:rsidR="003355C1" w:rsidRPr="00C849BB" w:rsidRDefault="003355C1" w:rsidP="00A46A8A">
            <w:pPr>
              <w:spacing w:after="0" w:line="240" w:lineRule="auto"/>
              <w:ind w:left="0" w:firstLine="0"/>
              <w:jc w:val="center"/>
              <w:rPr>
                <w:lang w:val="es-ES"/>
              </w:rPr>
            </w:pPr>
            <w:r w:rsidRPr="00C849BB">
              <w:rPr>
                <w:lang w:val="es-ES"/>
              </w:rPr>
              <w:t>(n</w:t>
            </w:r>
            <w:r w:rsidR="00A46A8A" w:rsidRPr="00E30038">
              <w:t> </w:t>
            </w:r>
            <w:r w:rsidRPr="00C849BB">
              <w:rPr>
                <w:lang w:val="es-ES"/>
              </w:rPr>
              <w:t>=</w:t>
            </w:r>
            <w:r w:rsidR="00A46A8A" w:rsidRPr="00E30038">
              <w:t> </w:t>
            </w:r>
            <w:r w:rsidRPr="00C849BB">
              <w:rPr>
                <w:lang w:val="es-ES"/>
              </w:rPr>
              <w:t>219)</w:t>
            </w:r>
          </w:p>
        </w:tc>
        <w:tc>
          <w:tcPr>
            <w:tcW w:w="1790" w:type="dxa"/>
            <w:noWrap/>
          </w:tcPr>
          <w:p w14:paraId="4E68E960" w14:textId="77777777" w:rsidR="003355C1" w:rsidRPr="00C849BB" w:rsidRDefault="003355C1" w:rsidP="004B62C8">
            <w:pPr>
              <w:tabs>
                <w:tab w:val="left" w:pos="567"/>
              </w:tabs>
              <w:spacing w:after="0" w:line="240" w:lineRule="auto"/>
              <w:ind w:left="0" w:firstLine="0"/>
              <w:jc w:val="center"/>
              <w:rPr>
                <w:lang w:val="es-ES"/>
              </w:rPr>
            </w:pPr>
            <w:r w:rsidRPr="00C849BB">
              <w:rPr>
                <w:lang w:val="es-ES"/>
              </w:rPr>
              <w:t>CPB15</w:t>
            </w:r>
          </w:p>
          <w:p w14:paraId="29CDE5E9" w14:textId="77777777" w:rsidR="003355C1" w:rsidRPr="00C849BB" w:rsidRDefault="003355C1" w:rsidP="00A46A8A">
            <w:pPr>
              <w:spacing w:after="0" w:line="240" w:lineRule="auto"/>
              <w:ind w:left="0" w:firstLine="0"/>
              <w:jc w:val="center"/>
              <w:rPr>
                <w:lang w:val="es-ES"/>
              </w:rPr>
            </w:pPr>
            <w:r w:rsidRPr="00C849BB">
              <w:rPr>
                <w:lang w:val="es-ES"/>
              </w:rPr>
              <w:t>(n</w:t>
            </w:r>
            <w:r w:rsidR="00A46A8A" w:rsidRPr="00E30038">
              <w:t> </w:t>
            </w:r>
            <w:r w:rsidRPr="00C849BB">
              <w:rPr>
                <w:lang w:val="es-ES"/>
              </w:rPr>
              <w:t>=</w:t>
            </w:r>
            <w:r w:rsidR="00A46A8A" w:rsidRPr="00E30038">
              <w:t> </w:t>
            </w:r>
            <w:r w:rsidRPr="00C849BB">
              <w:rPr>
                <w:lang w:val="es-ES"/>
              </w:rPr>
              <w:t>204)</w:t>
            </w:r>
          </w:p>
        </w:tc>
        <w:tc>
          <w:tcPr>
            <w:tcW w:w="2066" w:type="dxa"/>
            <w:noWrap/>
          </w:tcPr>
          <w:p w14:paraId="5AF9F3E9" w14:textId="77777777" w:rsidR="003355C1" w:rsidRPr="00C849BB" w:rsidRDefault="003355C1" w:rsidP="004B62C8">
            <w:pPr>
              <w:tabs>
                <w:tab w:val="left" w:pos="567"/>
              </w:tabs>
              <w:spacing w:after="0" w:line="240" w:lineRule="auto"/>
              <w:ind w:left="0" w:firstLine="0"/>
              <w:jc w:val="center"/>
              <w:rPr>
                <w:lang w:val="es-ES"/>
              </w:rPr>
            </w:pPr>
            <w:r w:rsidRPr="00C849BB">
              <w:rPr>
                <w:lang w:val="es-ES"/>
              </w:rPr>
              <w:t>CPB15+</w:t>
            </w:r>
          </w:p>
          <w:p w14:paraId="420F0A6F" w14:textId="77777777" w:rsidR="003355C1" w:rsidRPr="00C849BB" w:rsidRDefault="003355C1" w:rsidP="00A46A8A">
            <w:pPr>
              <w:spacing w:after="0" w:line="240" w:lineRule="auto"/>
              <w:ind w:left="0" w:firstLine="0"/>
              <w:jc w:val="center"/>
              <w:rPr>
                <w:lang w:val="es-ES"/>
              </w:rPr>
            </w:pPr>
            <w:r w:rsidRPr="00C849BB">
              <w:rPr>
                <w:lang w:val="es-ES"/>
              </w:rPr>
              <w:t>(n</w:t>
            </w:r>
            <w:r w:rsidR="00A46A8A" w:rsidRPr="00E30038">
              <w:t> </w:t>
            </w:r>
            <w:r w:rsidRPr="00C849BB">
              <w:rPr>
                <w:lang w:val="es-ES"/>
              </w:rPr>
              <w:t>=</w:t>
            </w:r>
            <w:r w:rsidR="00A46A8A" w:rsidRPr="00E30038">
              <w:t> </w:t>
            </w:r>
            <w:r w:rsidRPr="00C849BB">
              <w:rPr>
                <w:lang w:val="es-ES"/>
              </w:rPr>
              <w:t>216)</w:t>
            </w:r>
          </w:p>
        </w:tc>
      </w:tr>
      <w:tr w:rsidR="003355C1" w:rsidRPr="00DC1661" w14:paraId="64EC4510" w14:textId="77777777" w:rsidTr="00CE2F2E">
        <w:trPr>
          <w:trHeight w:val="210"/>
          <w:tblHeader/>
        </w:trPr>
        <w:tc>
          <w:tcPr>
            <w:tcW w:w="2906" w:type="dxa"/>
            <w:noWrap/>
          </w:tcPr>
          <w:p w14:paraId="44C952C4" w14:textId="77777777" w:rsidR="003355C1" w:rsidRPr="00DC1661" w:rsidRDefault="003355C1" w:rsidP="004B62C8">
            <w:pPr>
              <w:spacing w:after="0" w:line="240" w:lineRule="auto"/>
              <w:ind w:left="567" w:firstLine="0"/>
            </w:pPr>
            <w:r w:rsidRPr="00DC1661">
              <w:rPr>
                <w:lang w:val="es-ES"/>
              </w:rPr>
              <w:t>Mediana SLP (meses)</w:t>
            </w:r>
          </w:p>
        </w:tc>
        <w:tc>
          <w:tcPr>
            <w:tcW w:w="2203" w:type="dxa"/>
            <w:noWrap/>
          </w:tcPr>
          <w:p w14:paraId="7A78F22E" w14:textId="77777777" w:rsidR="003355C1" w:rsidRPr="00DC1661" w:rsidRDefault="003355C1" w:rsidP="004B62C8">
            <w:pPr>
              <w:spacing w:after="0" w:line="240" w:lineRule="auto"/>
              <w:ind w:left="0" w:firstLine="0"/>
              <w:jc w:val="center"/>
            </w:pPr>
            <w:r w:rsidRPr="00DC1661">
              <w:rPr>
                <w:lang w:val="es-ES"/>
              </w:rPr>
              <w:t>12,4</w:t>
            </w:r>
          </w:p>
        </w:tc>
        <w:tc>
          <w:tcPr>
            <w:tcW w:w="1790" w:type="dxa"/>
            <w:noWrap/>
          </w:tcPr>
          <w:p w14:paraId="0CEFCBC5" w14:textId="77777777" w:rsidR="003355C1" w:rsidRPr="00DC1661" w:rsidRDefault="003355C1" w:rsidP="004B62C8">
            <w:pPr>
              <w:spacing w:after="0" w:line="240" w:lineRule="auto"/>
              <w:ind w:left="0" w:firstLine="0"/>
              <w:jc w:val="center"/>
            </w:pPr>
            <w:r w:rsidRPr="00DC1661">
              <w:rPr>
                <w:lang w:val="es-ES"/>
              </w:rPr>
              <w:t>14,3</w:t>
            </w:r>
          </w:p>
        </w:tc>
        <w:tc>
          <w:tcPr>
            <w:tcW w:w="2066" w:type="dxa"/>
            <w:noWrap/>
          </w:tcPr>
          <w:p w14:paraId="6668FE2F" w14:textId="77777777" w:rsidR="003355C1" w:rsidRPr="00DC1661" w:rsidRDefault="003355C1" w:rsidP="004B62C8">
            <w:pPr>
              <w:spacing w:after="0" w:line="240" w:lineRule="auto"/>
              <w:ind w:left="0" w:firstLine="0"/>
              <w:jc w:val="center"/>
            </w:pPr>
            <w:r w:rsidRPr="00DC1661">
              <w:rPr>
                <w:lang w:val="es-ES"/>
              </w:rPr>
              <w:t>17,5</w:t>
            </w:r>
          </w:p>
        </w:tc>
      </w:tr>
      <w:tr w:rsidR="003355C1" w:rsidRPr="00DC1661" w14:paraId="45ECA6C4" w14:textId="77777777" w:rsidTr="00CE2F2E">
        <w:trPr>
          <w:trHeight w:val="605"/>
        </w:trPr>
        <w:tc>
          <w:tcPr>
            <w:tcW w:w="2906" w:type="dxa"/>
            <w:noWrap/>
          </w:tcPr>
          <w:p w14:paraId="5722578B" w14:textId="77777777" w:rsidR="003355C1" w:rsidRPr="00DC1661" w:rsidRDefault="009E3815" w:rsidP="004B62C8">
            <w:pPr>
              <w:spacing w:after="0" w:line="240" w:lineRule="auto"/>
              <w:ind w:left="567" w:firstLine="0"/>
              <w:rPr>
                <w:lang w:val="nb-NO"/>
              </w:rPr>
            </w:pPr>
            <w:r>
              <w:rPr>
                <w:lang w:val="es-ES"/>
              </w:rPr>
              <w:t>Razón de riesgo (IC del 95%</w:t>
            </w:r>
            <w:r w:rsidR="003355C1" w:rsidRPr="00DC1661">
              <w:rPr>
                <w:lang w:val="es-ES"/>
              </w:rPr>
              <w:t>)</w:t>
            </w:r>
            <w:r w:rsidR="003355C1" w:rsidRPr="00DC1661">
              <w:rPr>
                <w:vertAlign w:val="superscript"/>
                <w:lang w:val="es-ES"/>
              </w:rPr>
              <w:t>4</w:t>
            </w:r>
          </w:p>
        </w:tc>
        <w:tc>
          <w:tcPr>
            <w:tcW w:w="2203" w:type="dxa"/>
            <w:noWrap/>
          </w:tcPr>
          <w:p w14:paraId="5B855C71" w14:textId="77777777" w:rsidR="003355C1" w:rsidRPr="00DC1661" w:rsidRDefault="003355C1" w:rsidP="004B62C8">
            <w:pPr>
              <w:spacing w:after="0" w:line="240" w:lineRule="auto"/>
              <w:ind w:left="0" w:firstLine="0"/>
              <w:jc w:val="center"/>
              <w:rPr>
                <w:lang w:val="nb-NO"/>
              </w:rPr>
            </w:pPr>
          </w:p>
        </w:tc>
        <w:tc>
          <w:tcPr>
            <w:tcW w:w="1790" w:type="dxa"/>
            <w:noWrap/>
          </w:tcPr>
          <w:p w14:paraId="263838F0" w14:textId="77777777" w:rsidR="003355C1" w:rsidRPr="00DC1661" w:rsidRDefault="003355C1" w:rsidP="004B62C8">
            <w:pPr>
              <w:tabs>
                <w:tab w:val="left" w:pos="567"/>
              </w:tabs>
              <w:spacing w:after="0" w:line="240" w:lineRule="auto"/>
              <w:ind w:left="0" w:firstLine="0"/>
              <w:jc w:val="center"/>
              <w:rPr>
                <w:lang w:val="es-ES"/>
              </w:rPr>
            </w:pPr>
            <w:r w:rsidRPr="00DC1661">
              <w:rPr>
                <w:lang w:val="es-ES"/>
              </w:rPr>
              <w:t>0,81</w:t>
            </w:r>
          </w:p>
          <w:p w14:paraId="55ED1984" w14:textId="77777777" w:rsidR="003355C1" w:rsidRPr="00DC1661" w:rsidRDefault="003355C1" w:rsidP="004B62C8">
            <w:pPr>
              <w:spacing w:after="0" w:line="240" w:lineRule="auto"/>
              <w:ind w:left="0" w:firstLine="0"/>
              <w:jc w:val="center"/>
            </w:pPr>
            <w:r w:rsidRPr="00DC1661">
              <w:rPr>
                <w:lang w:val="es-ES"/>
              </w:rPr>
              <w:t>(0,62; 1,05)</w:t>
            </w:r>
          </w:p>
        </w:tc>
        <w:tc>
          <w:tcPr>
            <w:tcW w:w="2066" w:type="dxa"/>
            <w:noWrap/>
          </w:tcPr>
          <w:p w14:paraId="03F8BDFD" w14:textId="77777777" w:rsidR="003355C1" w:rsidRPr="00DC1661" w:rsidRDefault="003355C1" w:rsidP="004B62C8">
            <w:pPr>
              <w:tabs>
                <w:tab w:val="left" w:pos="567"/>
              </w:tabs>
              <w:spacing w:after="0" w:line="240" w:lineRule="auto"/>
              <w:ind w:left="0" w:firstLine="0"/>
              <w:jc w:val="center"/>
              <w:rPr>
                <w:lang w:val="es-ES"/>
              </w:rPr>
            </w:pPr>
            <w:r w:rsidRPr="00DC1661">
              <w:rPr>
                <w:lang w:val="es-ES"/>
              </w:rPr>
              <w:t>0,66</w:t>
            </w:r>
          </w:p>
          <w:p w14:paraId="789D4F00" w14:textId="77777777" w:rsidR="003355C1" w:rsidRPr="00DC1661" w:rsidRDefault="003355C1" w:rsidP="004B62C8">
            <w:pPr>
              <w:spacing w:after="0" w:line="240" w:lineRule="auto"/>
              <w:ind w:left="0" w:firstLine="0"/>
              <w:jc w:val="center"/>
            </w:pPr>
            <w:r w:rsidRPr="00DC1661">
              <w:rPr>
                <w:lang w:val="es-ES"/>
              </w:rPr>
              <w:t>(0,50; 0,86)</w:t>
            </w:r>
          </w:p>
        </w:tc>
      </w:tr>
      <w:tr w:rsidR="003355C1" w:rsidRPr="00714463" w14:paraId="3320DAB9" w14:textId="77777777" w:rsidTr="00CE2F2E">
        <w:trPr>
          <w:trHeight w:val="292"/>
        </w:trPr>
        <w:tc>
          <w:tcPr>
            <w:tcW w:w="8967" w:type="dxa"/>
            <w:gridSpan w:val="4"/>
            <w:noWrap/>
            <w:vAlign w:val="bottom"/>
          </w:tcPr>
          <w:p w14:paraId="22C6791C" w14:textId="77777777" w:rsidR="003355C1" w:rsidRPr="00DC1661" w:rsidRDefault="003355C1" w:rsidP="00673F4C">
            <w:pPr>
              <w:spacing w:after="0" w:line="240" w:lineRule="auto"/>
              <w:ind w:left="0" w:firstLine="0"/>
              <w:rPr>
                <w:color w:val="auto"/>
                <w:lang w:val="es-ES"/>
              </w:rPr>
            </w:pPr>
            <w:r w:rsidRPr="00DC1661">
              <w:rPr>
                <w:color w:val="auto"/>
                <w:lang w:val="es-ES"/>
              </w:rPr>
              <w:t xml:space="preserve">Pacientes aleatorizados con estadio III y </w:t>
            </w:r>
            <w:proofErr w:type="spellStart"/>
            <w:r w:rsidRPr="00DC1661">
              <w:rPr>
                <w:color w:val="auto"/>
                <w:lang w:val="es-ES"/>
              </w:rPr>
              <w:t>citorreducción</w:t>
            </w:r>
            <w:proofErr w:type="spellEnd"/>
            <w:r w:rsidRPr="00DC1661">
              <w:rPr>
                <w:color w:val="auto"/>
                <w:lang w:val="es-ES"/>
              </w:rPr>
              <w:t xml:space="preserve"> sub-óptima</w:t>
            </w:r>
            <w:r w:rsidRPr="00DC1661">
              <w:rPr>
                <w:color w:val="auto"/>
                <w:vertAlign w:val="superscript"/>
                <w:lang w:val="es-ES"/>
              </w:rPr>
              <w:t>3</w:t>
            </w:r>
          </w:p>
        </w:tc>
      </w:tr>
      <w:tr w:rsidR="003355C1" w:rsidRPr="00DC1661" w14:paraId="42B4390E" w14:textId="77777777" w:rsidTr="00CE2F2E">
        <w:trPr>
          <w:trHeight w:val="450"/>
        </w:trPr>
        <w:tc>
          <w:tcPr>
            <w:tcW w:w="2906" w:type="dxa"/>
            <w:noWrap/>
          </w:tcPr>
          <w:p w14:paraId="0E73C3DA" w14:textId="77777777" w:rsidR="003355C1" w:rsidRPr="00A51019" w:rsidRDefault="003355C1" w:rsidP="00673F4C">
            <w:pPr>
              <w:spacing w:after="0" w:line="240" w:lineRule="auto"/>
              <w:ind w:left="0" w:firstLine="0"/>
              <w:rPr>
                <w:lang w:val="es-ES"/>
              </w:rPr>
            </w:pPr>
          </w:p>
        </w:tc>
        <w:tc>
          <w:tcPr>
            <w:tcW w:w="2203" w:type="dxa"/>
            <w:noWrap/>
          </w:tcPr>
          <w:p w14:paraId="0A2D311B" w14:textId="77777777" w:rsidR="003355C1" w:rsidRPr="00DC1661" w:rsidRDefault="003355C1" w:rsidP="00230D00">
            <w:pPr>
              <w:spacing w:after="0" w:line="240" w:lineRule="auto"/>
              <w:ind w:left="0" w:firstLine="0"/>
              <w:jc w:val="center"/>
              <w:rPr>
                <w:lang w:val="es-ES"/>
              </w:rPr>
            </w:pPr>
            <w:r w:rsidRPr="00DC1661">
              <w:rPr>
                <w:lang w:val="es-ES"/>
              </w:rPr>
              <w:t>CPP</w:t>
            </w:r>
          </w:p>
          <w:p w14:paraId="02C1810D" w14:textId="77777777" w:rsidR="003355C1" w:rsidRPr="00DC1661" w:rsidRDefault="003355C1" w:rsidP="00230D00">
            <w:pPr>
              <w:spacing w:after="0" w:line="240" w:lineRule="auto"/>
              <w:ind w:left="0" w:firstLine="0"/>
              <w:jc w:val="center"/>
            </w:pPr>
            <w:r w:rsidRPr="00DC1661">
              <w:rPr>
                <w:lang w:val="es-ES"/>
              </w:rPr>
              <w:t>(n</w:t>
            </w:r>
            <w:r w:rsidR="00A46A8A" w:rsidRPr="00E30038">
              <w:t> </w:t>
            </w:r>
            <w:r w:rsidRPr="00DC1661">
              <w:rPr>
                <w:lang w:val="es-ES"/>
              </w:rPr>
              <w:t>=</w:t>
            </w:r>
            <w:r w:rsidR="00A46A8A" w:rsidRPr="00E30038">
              <w:t> </w:t>
            </w:r>
            <w:r w:rsidRPr="00DC1661">
              <w:rPr>
                <w:lang w:val="es-ES"/>
              </w:rPr>
              <w:t>253)</w:t>
            </w:r>
          </w:p>
        </w:tc>
        <w:tc>
          <w:tcPr>
            <w:tcW w:w="1790" w:type="dxa"/>
            <w:noWrap/>
          </w:tcPr>
          <w:p w14:paraId="54807197" w14:textId="77777777" w:rsidR="003355C1" w:rsidRPr="00DC1661" w:rsidRDefault="003355C1" w:rsidP="00230D00">
            <w:pPr>
              <w:spacing w:after="0" w:line="240" w:lineRule="auto"/>
              <w:ind w:left="0" w:firstLine="0"/>
              <w:jc w:val="center"/>
              <w:rPr>
                <w:color w:val="auto"/>
                <w:lang w:val="es-ES"/>
              </w:rPr>
            </w:pPr>
            <w:r w:rsidRPr="00DC1661">
              <w:rPr>
                <w:color w:val="auto"/>
                <w:lang w:val="es-ES"/>
              </w:rPr>
              <w:t>CPB15</w:t>
            </w:r>
          </w:p>
          <w:p w14:paraId="5E928B97" w14:textId="77777777" w:rsidR="003355C1" w:rsidRPr="00DC1661" w:rsidRDefault="003355C1" w:rsidP="00230D00">
            <w:pPr>
              <w:spacing w:after="0" w:line="240" w:lineRule="auto"/>
              <w:ind w:left="0" w:firstLine="0"/>
              <w:jc w:val="center"/>
            </w:pPr>
            <w:r w:rsidRPr="00DC1661">
              <w:rPr>
                <w:color w:val="auto"/>
                <w:lang w:val="es-ES"/>
              </w:rPr>
              <w:t>(n</w:t>
            </w:r>
            <w:r w:rsidR="00A46A8A" w:rsidRPr="00E30038">
              <w:t> </w:t>
            </w:r>
            <w:r w:rsidRPr="00DC1661">
              <w:rPr>
                <w:color w:val="auto"/>
                <w:lang w:val="es-ES"/>
              </w:rPr>
              <w:t>=</w:t>
            </w:r>
            <w:r w:rsidR="00A46A8A" w:rsidRPr="00E30038">
              <w:t> </w:t>
            </w:r>
            <w:r w:rsidRPr="00DC1661">
              <w:rPr>
                <w:color w:val="auto"/>
                <w:lang w:val="es-ES"/>
              </w:rPr>
              <w:t>256)</w:t>
            </w:r>
          </w:p>
        </w:tc>
        <w:tc>
          <w:tcPr>
            <w:tcW w:w="2066" w:type="dxa"/>
            <w:noWrap/>
          </w:tcPr>
          <w:p w14:paraId="3702199D" w14:textId="77777777" w:rsidR="003355C1" w:rsidRPr="00DC1661" w:rsidRDefault="003355C1" w:rsidP="00230D00">
            <w:pPr>
              <w:tabs>
                <w:tab w:val="left" w:pos="567"/>
              </w:tabs>
              <w:spacing w:after="0" w:line="240" w:lineRule="auto"/>
              <w:ind w:left="0" w:firstLine="0"/>
              <w:jc w:val="center"/>
              <w:rPr>
                <w:lang w:val="es-ES"/>
              </w:rPr>
            </w:pPr>
            <w:r w:rsidRPr="00DC1661">
              <w:rPr>
                <w:lang w:val="es-ES"/>
              </w:rPr>
              <w:t>CPB15+</w:t>
            </w:r>
          </w:p>
          <w:p w14:paraId="669D7C3E" w14:textId="77777777" w:rsidR="003355C1" w:rsidRPr="00DC1661" w:rsidRDefault="003355C1" w:rsidP="00230D00">
            <w:pPr>
              <w:spacing w:after="0" w:line="240" w:lineRule="auto"/>
              <w:ind w:left="0" w:firstLine="0"/>
              <w:jc w:val="center"/>
            </w:pPr>
            <w:r w:rsidRPr="00DC1661">
              <w:rPr>
                <w:lang w:val="es-ES"/>
              </w:rPr>
              <w:t>(n</w:t>
            </w:r>
            <w:r w:rsidR="00A46A8A" w:rsidRPr="00E30038">
              <w:t> </w:t>
            </w:r>
            <w:r w:rsidRPr="00DC1661">
              <w:rPr>
                <w:lang w:val="es-ES"/>
              </w:rPr>
              <w:t>=</w:t>
            </w:r>
            <w:r w:rsidR="00A46A8A" w:rsidRPr="00E30038">
              <w:t> </w:t>
            </w:r>
            <w:r w:rsidRPr="00DC1661">
              <w:rPr>
                <w:lang w:val="es-ES"/>
              </w:rPr>
              <w:t>242)</w:t>
            </w:r>
          </w:p>
        </w:tc>
      </w:tr>
      <w:tr w:rsidR="003355C1" w:rsidRPr="00DC1661" w14:paraId="3C3D5840" w14:textId="77777777" w:rsidTr="00CE2F2E">
        <w:trPr>
          <w:trHeight w:val="219"/>
        </w:trPr>
        <w:tc>
          <w:tcPr>
            <w:tcW w:w="2906" w:type="dxa"/>
            <w:noWrap/>
          </w:tcPr>
          <w:p w14:paraId="16FDA275" w14:textId="77777777" w:rsidR="003355C1" w:rsidRPr="00DC1661" w:rsidRDefault="003355C1" w:rsidP="00230D00">
            <w:pPr>
              <w:spacing w:after="0" w:line="240" w:lineRule="auto"/>
              <w:ind w:left="567" w:firstLine="0"/>
            </w:pPr>
            <w:r w:rsidRPr="00DC1661">
              <w:rPr>
                <w:lang w:val="es-ES"/>
              </w:rPr>
              <w:t>Mediana SLP (meses)</w:t>
            </w:r>
          </w:p>
        </w:tc>
        <w:tc>
          <w:tcPr>
            <w:tcW w:w="2203" w:type="dxa"/>
            <w:noWrap/>
          </w:tcPr>
          <w:p w14:paraId="1B4E2A36" w14:textId="77777777" w:rsidR="003355C1" w:rsidRPr="00DC1661" w:rsidRDefault="003355C1" w:rsidP="00230D00">
            <w:pPr>
              <w:spacing w:after="0" w:line="240" w:lineRule="auto"/>
              <w:ind w:left="0" w:firstLine="0"/>
              <w:jc w:val="center"/>
            </w:pPr>
            <w:r w:rsidRPr="00DC1661">
              <w:rPr>
                <w:lang w:val="es-ES"/>
              </w:rPr>
              <w:t>10,1</w:t>
            </w:r>
          </w:p>
        </w:tc>
        <w:tc>
          <w:tcPr>
            <w:tcW w:w="1790" w:type="dxa"/>
            <w:noWrap/>
          </w:tcPr>
          <w:p w14:paraId="20B62CF1" w14:textId="77777777" w:rsidR="003355C1" w:rsidRPr="00DC1661" w:rsidRDefault="003355C1" w:rsidP="00230D00">
            <w:pPr>
              <w:spacing w:after="0" w:line="240" w:lineRule="auto"/>
              <w:ind w:left="0" w:firstLine="0"/>
              <w:jc w:val="center"/>
            </w:pPr>
            <w:r w:rsidRPr="00DC1661">
              <w:rPr>
                <w:lang w:val="es-ES"/>
              </w:rPr>
              <w:t>10,9</w:t>
            </w:r>
          </w:p>
        </w:tc>
        <w:tc>
          <w:tcPr>
            <w:tcW w:w="2066" w:type="dxa"/>
            <w:noWrap/>
          </w:tcPr>
          <w:p w14:paraId="07E6CC6E" w14:textId="77777777" w:rsidR="003355C1" w:rsidRPr="00DC1661" w:rsidRDefault="003355C1" w:rsidP="00230D00">
            <w:pPr>
              <w:spacing w:after="0" w:line="240" w:lineRule="auto"/>
              <w:ind w:left="0" w:firstLine="0"/>
              <w:jc w:val="center"/>
            </w:pPr>
            <w:r w:rsidRPr="00DC1661">
              <w:rPr>
                <w:lang w:val="es-ES"/>
              </w:rPr>
              <w:t>13,9</w:t>
            </w:r>
          </w:p>
        </w:tc>
      </w:tr>
      <w:tr w:rsidR="003355C1" w:rsidRPr="00DC1661" w14:paraId="00B76F73" w14:textId="77777777" w:rsidTr="00CE2F2E">
        <w:trPr>
          <w:trHeight w:val="617"/>
        </w:trPr>
        <w:tc>
          <w:tcPr>
            <w:tcW w:w="2906" w:type="dxa"/>
            <w:noWrap/>
          </w:tcPr>
          <w:p w14:paraId="186F633F" w14:textId="77777777" w:rsidR="003355C1" w:rsidRPr="00063944" w:rsidRDefault="009E3815" w:rsidP="00230D00">
            <w:pPr>
              <w:spacing w:after="0" w:line="240" w:lineRule="auto"/>
              <w:ind w:left="567" w:firstLine="0"/>
              <w:rPr>
                <w:lang w:val="es-ES"/>
              </w:rPr>
            </w:pPr>
            <w:r>
              <w:rPr>
                <w:lang w:val="es-ES"/>
              </w:rPr>
              <w:t>Razón de riesgo (IC del 95%</w:t>
            </w:r>
            <w:r w:rsidR="003355C1" w:rsidRPr="00DC1661">
              <w:rPr>
                <w:lang w:val="es-ES"/>
              </w:rPr>
              <w:t>)</w:t>
            </w:r>
            <w:r w:rsidR="003355C1" w:rsidRPr="00673F4C">
              <w:rPr>
                <w:vertAlign w:val="superscript"/>
                <w:lang w:val="es-ES"/>
              </w:rPr>
              <w:t>4</w:t>
            </w:r>
          </w:p>
        </w:tc>
        <w:tc>
          <w:tcPr>
            <w:tcW w:w="2203" w:type="dxa"/>
            <w:noWrap/>
          </w:tcPr>
          <w:p w14:paraId="043F331E" w14:textId="77777777" w:rsidR="003355C1" w:rsidRPr="00DC1661" w:rsidRDefault="003355C1" w:rsidP="00DC1661">
            <w:pPr>
              <w:spacing w:after="0" w:line="240" w:lineRule="auto"/>
              <w:ind w:left="0" w:firstLine="0"/>
              <w:jc w:val="center"/>
              <w:rPr>
                <w:lang w:val="nb-NO"/>
              </w:rPr>
            </w:pPr>
          </w:p>
        </w:tc>
        <w:tc>
          <w:tcPr>
            <w:tcW w:w="1790" w:type="dxa"/>
            <w:noWrap/>
          </w:tcPr>
          <w:p w14:paraId="0798C777" w14:textId="77777777" w:rsidR="003355C1" w:rsidRPr="00DC1661" w:rsidRDefault="003355C1" w:rsidP="00230D00">
            <w:pPr>
              <w:tabs>
                <w:tab w:val="left" w:pos="567"/>
              </w:tabs>
              <w:spacing w:after="0" w:line="240" w:lineRule="auto"/>
              <w:ind w:left="0" w:firstLine="0"/>
              <w:jc w:val="center"/>
              <w:rPr>
                <w:lang w:val="es-ES"/>
              </w:rPr>
            </w:pPr>
            <w:r w:rsidRPr="00DC1661">
              <w:rPr>
                <w:lang w:val="es-ES"/>
              </w:rPr>
              <w:t>0,93</w:t>
            </w:r>
          </w:p>
          <w:p w14:paraId="0B28D13D" w14:textId="77777777" w:rsidR="003355C1" w:rsidRPr="00DC1661" w:rsidRDefault="003355C1" w:rsidP="00230D00">
            <w:pPr>
              <w:spacing w:after="0" w:line="240" w:lineRule="auto"/>
              <w:ind w:left="0" w:firstLine="0"/>
              <w:jc w:val="center"/>
              <w:rPr>
                <w:lang w:val="nb-NO"/>
              </w:rPr>
            </w:pPr>
            <w:r w:rsidRPr="00DC1661">
              <w:rPr>
                <w:lang w:val="es-ES"/>
              </w:rPr>
              <w:t>(0,77; 1,14)</w:t>
            </w:r>
          </w:p>
        </w:tc>
        <w:tc>
          <w:tcPr>
            <w:tcW w:w="2066" w:type="dxa"/>
            <w:noWrap/>
          </w:tcPr>
          <w:p w14:paraId="37EFBCB2" w14:textId="77777777" w:rsidR="003355C1" w:rsidRPr="00DC1661" w:rsidRDefault="003355C1" w:rsidP="00230D00">
            <w:pPr>
              <w:tabs>
                <w:tab w:val="left" w:pos="567"/>
              </w:tabs>
              <w:spacing w:after="0" w:line="240" w:lineRule="auto"/>
              <w:ind w:left="0" w:firstLine="0"/>
              <w:jc w:val="center"/>
              <w:rPr>
                <w:lang w:val="es-ES"/>
              </w:rPr>
            </w:pPr>
            <w:r w:rsidRPr="00DC1661">
              <w:rPr>
                <w:lang w:val="es-ES"/>
              </w:rPr>
              <w:t>0,78</w:t>
            </w:r>
          </w:p>
          <w:p w14:paraId="0326C099" w14:textId="77777777" w:rsidR="003355C1" w:rsidRPr="00DC1661" w:rsidRDefault="003355C1" w:rsidP="00230D00">
            <w:pPr>
              <w:spacing w:after="0" w:line="240" w:lineRule="auto"/>
              <w:ind w:left="0" w:firstLine="0"/>
              <w:jc w:val="center"/>
              <w:rPr>
                <w:lang w:val="nb-NO"/>
              </w:rPr>
            </w:pPr>
            <w:r w:rsidRPr="00DC1661">
              <w:rPr>
                <w:lang w:val="es-ES"/>
              </w:rPr>
              <w:t>(0,63; 0,96)</w:t>
            </w:r>
          </w:p>
        </w:tc>
      </w:tr>
      <w:tr w:rsidR="003355C1" w:rsidRPr="00714463" w14:paraId="327856A8" w14:textId="77777777" w:rsidTr="00CE2F2E">
        <w:trPr>
          <w:trHeight w:val="292"/>
        </w:trPr>
        <w:tc>
          <w:tcPr>
            <w:tcW w:w="8967" w:type="dxa"/>
            <w:gridSpan w:val="4"/>
            <w:noWrap/>
            <w:vAlign w:val="bottom"/>
          </w:tcPr>
          <w:p w14:paraId="183B354C" w14:textId="77777777" w:rsidR="003355C1" w:rsidRPr="00DC1661" w:rsidRDefault="001A65EE" w:rsidP="00230D00">
            <w:pPr>
              <w:spacing w:after="0" w:line="240" w:lineRule="auto"/>
              <w:ind w:left="0" w:firstLine="0"/>
              <w:rPr>
                <w:lang w:val="nb-NO"/>
              </w:rPr>
            </w:pPr>
            <w:r w:rsidRPr="001A65EE">
              <w:rPr>
                <w:lang w:val="nb-NO"/>
              </w:rPr>
              <w:t>Pacientes aleatorizados con estadio IV de la enfermedad</w:t>
            </w:r>
          </w:p>
        </w:tc>
      </w:tr>
      <w:tr w:rsidR="003355C1" w:rsidRPr="00DC1661" w14:paraId="671E42C7" w14:textId="77777777" w:rsidTr="00CE2F2E">
        <w:trPr>
          <w:trHeight w:val="392"/>
        </w:trPr>
        <w:tc>
          <w:tcPr>
            <w:tcW w:w="2906" w:type="dxa"/>
            <w:noWrap/>
          </w:tcPr>
          <w:p w14:paraId="4DA13EA2" w14:textId="77777777" w:rsidR="003355C1" w:rsidRPr="00DC1661" w:rsidRDefault="003355C1" w:rsidP="00DC1661">
            <w:pPr>
              <w:spacing w:after="0" w:line="240" w:lineRule="auto"/>
              <w:ind w:left="0" w:firstLine="0"/>
              <w:rPr>
                <w:lang w:val="nb-NO"/>
              </w:rPr>
            </w:pPr>
          </w:p>
        </w:tc>
        <w:tc>
          <w:tcPr>
            <w:tcW w:w="2203" w:type="dxa"/>
            <w:noWrap/>
          </w:tcPr>
          <w:p w14:paraId="3DECA378" w14:textId="77777777" w:rsidR="003355C1" w:rsidRPr="00DC1661" w:rsidRDefault="003355C1" w:rsidP="00230D00">
            <w:pPr>
              <w:tabs>
                <w:tab w:val="left" w:pos="567"/>
              </w:tabs>
              <w:spacing w:after="0" w:line="240" w:lineRule="auto"/>
              <w:ind w:left="0" w:firstLine="0"/>
              <w:jc w:val="center"/>
              <w:rPr>
                <w:lang w:val="es-ES"/>
              </w:rPr>
            </w:pPr>
            <w:r w:rsidRPr="00DC1661">
              <w:rPr>
                <w:lang w:val="es-ES"/>
              </w:rPr>
              <w:t>CPP</w:t>
            </w:r>
          </w:p>
          <w:p w14:paraId="3A480B89" w14:textId="77777777" w:rsidR="003355C1" w:rsidRPr="00DC1661" w:rsidRDefault="003355C1" w:rsidP="00D9650D">
            <w:pPr>
              <w:spacing w:after="0" w:line="240" w:lineRule="auto"/>
              <w:ind w:left="0" w:firstLine="0"/>
              <w:jc w:val="center"/>
              <w:rPr>
                <w:lang w:val="nb-NO"/>
              </w:rPr>
            </w:pPr>
            <w:r w:rsidRPr="00DC1661">
              <w:rPr>
                <w:lang w:val="es-ES"/>
              </w:rPr>
              <w:t>(n</w:t>
            </w:r>
            <w:r w:rsidR="00D9650D" w:rsidRPr="00E30038">
              <w:t> </w:t>
            </w:r>
            <w:r w:rsidRPr="00DC1661">
              <w:rPr>
                <w:lang w:val="es-ES"/>
              </w:rPr>
              <w:t>=</w:t>
            </w:r>
            <w:r w:rsidR="00D9650D" w:rsidRPr="00E30038">
              <w:t> </w:t>
            </w:r>
            <w:r w:rsidRPr="00DC1661">
              <w:rPr>
                <w:lang w:val="es-ES"/>
              </w:rPr>
              <w:t>153)</w:t>
            </w:r>
          </w:p>
        </w:tc>
        <w:tc>
          <w:tcPr>
            <w:tcW w:w="1790" w:type="dxa"/>
            <w:noWrap/>
          </w:tcPr>
          <w:p w14:paraId="78EF518B" w14:textId="77777777" w:rsidR="003355C1" w:rsidRPr="00DC1661" w:rsidRDefault="003355C1" w:rsidP="00230D00">
            <w:pPr>
              <w:tabs>
                <w:tab w:val="left" w:pos="567"/>
              </w:tabs>
              <w:spacing w:after="0" w:line="240" w:lineRule="auto"/>
              <w:ind w:left="0" w:firstLine="0"/>
              <w:jc w:val="center"/>
              <w:rPr>
                <w:lang w:val="es-ES"/>
              </w:rPr>
            </w:pPr>
            <w:r w:rsidRPr="00DC1661">
              <w:rPr>
                <w:lang w:val="es-ES"/>
              </w:rPr>
              <w:t>CPB15</w:t>
            </w:r>
          </w:p>
          <w:p w14:paraId="10184C57" w14:textId="77777777" w:rsidR="003355C1" w:rsidRPr="00DC1661" w:rsidRDefault="003355C1" w:rsidP="00D9650D">
            <w:pPr>
              <w:spacing w:after="0" w:line="240" w:lineRule="auto"/>
              <w:ind w:left="0" w:firstLine="0"/>
              <w:jc w:val="center"/>
              <w:rPr>
                <w:lang w:val="nb-NO"/>
              </w:rPr>
            </w:pPr>
            <w:r w:rsidRPr="00DC1661">
              <w:rPr>
                <w:lang w:val="es-ES"/>
              </w:rPr>
              <w:t>(n</w:t>
            </w:r>
            <w:r w:rsidR="00D9650D" w:rsidRPr="00E30038">
              <w:t> </w:t>
            </w:r>
            <w:r w:rsidRPr="00DC1661">
              <w:rPr>
                <w:lang w:val="es-ES"/>
              </w:rPr>
              <w:t>=</w:t>
            </w:r>
            <w:r w:rsidR="00D9650D" w:rsidRPr="00E30038">
              <w:t> </w:t>
            </w:r>
            <w:r w:rsidRPr="00DC1661">
              <w:rPr>
                <w:lang w:val="es-ES"/>
              </w:rPr>
              <w:t>165)</w:t>
            </w:r>
          </w:p>
        </w:tc>
        <w:tc>
          <w:tcPr>
            <w:tcW w:w="2066" w:type="dxa"/>
            <w:noWrap/>
          </w:tcPr>
          <w:p w14:paraId="0F356F6A" w14:textId="77777777" w:rsidR="003355C1" w:rsidRPr="00DC1661" w:rsidRDefault="003355C1" w:rsidP="00230D00">
            <w:pPr>
              <w:tabs>
                <w:tab w:val="left" w:pos="567"/>
              </w:tabs>
              <w:spacing w:after="0" w:line="240" w:lineRule="auto"/>
              <w:ind w:left="0" w:firstLine="0"/>
              <w:jc w:val="center"/>
              <w:rPr>
                <w:lang w:val="es-ES"/>
              </w:rPr>
            </w:pPr>
            <w:r w:rsidRPr="00DC1661">
              <w:rPr>
                <w:lang w:val="es-ES"/>
              </w:rPr>
              <w:t>CPB15+</w:t>
            </w:r>
          </w:p>
          <w:p w14:paraId="0FFFE5C4" w14:textId="77777777" w:rsidR="003355C1" w:rsidRPr="00DC1661" w:rsidRDefault="003355C1" w:rsidP="00D9650D">
            <w:pPr>
              <w:spacing w:after="0" w:line="240" w:lineRule="auto"/>
              <w:ind w:left="0" w:firstLine="0"/>
              <w:jc w:val="center"/>
              <w:rPr>
                <w:lang w:val="nb-NO"/>
              </w:rPr>
            </w:pPr>
            <w:r w:rsidRPr="00DC1661">
              <w:rPr>
                <w:lang w:val="es-ES"/>
              </w:rPr>
              <w:t>(n</w:t>
            </w:r>
            <w:r w:rsidR="00D9650D" w:rsidRPr="00E30038">
              <w:t> </w:t>
            </w:r>
            <w:r w:rsidRPr="00DC1661">
              <w:rPr>
                <w:lang w:val="es-ES"/>
              </w:rPr>
              <w:t>=</w:t>
            </w:r>
            <w:r w:rsidR="00D9650D" w:rsidRPr="00E30038">
              <w:t> </w:t>
            </w:r>
            <w:r w:rsidRPr="00DC1661">
              <w:rPr>
                <w:lang w:val="es-ES"/>
              </w:rPr>
              <w:t>165)</w:t>
            </w:r>
          </w:p>
        </w:tc>
      </w:tr>
      <w:tr w:rsidR="003355C1" w:rsidRPr="00DC1661" w14:paraId="578D4236" w14:textId="77777777" w:rsidTr="00CE2F2E">
        <w:trPr>
          <w:trHeight w:val="228"/>
        </w:trPr>
        <w:tc>
          <w:tcPr>
            <w:tcW w:w="2906" w:type="dxa"/>
            <w:noWrap/>
          </w:tcPr>
          <w:p w14:paraId="0EF4BD70" w14:textId="77777777" w:rsidR="003355C1" w:rsidRPr="00DC1661" w:rsidRDefault="003355C1" w:rsidP="00230D00">
            <w:pPr>
              <w:spacing w:after="0" w:line="240" w:lineRule="auto"/>
              <w:ind w:left="567" w:firstLine="0"/>
              <w:rPr>
                <w:lang w:val="nb-NO"/>
              </w:rPr>
            </w:pPr>
            <w:r w:rsidRPr="00DC1661">
              <w:rPr>
                <w:lang w:val="es-ES"/>
              </w:rPr>
              <w:t>Mediana SLP (meses)</w:t>
            </w:r>
          </w:p>
        </w:tc>
        <w:tc>
          <w:tcPr>
            <w:tcW w:w="2203" w:type="dxa"/>
            <w:noWrap/>
          </w:tcPr>
          <w:p w14:paraId="5E142FCD" w14:textId="77777777" w:rsidR="003355C1" w:rsidRPr="00DC1661" w:rsidRDefault="003355C1" w:rsidP="00230D00">
            <w:pPr>
              <w:spacing w:after="0" w:line="240" w:lineRule="auto"/>
              <w:ind w:left="0" w:firstLine="0"/>
              <w:jc w:val="center"/>
              <w:rPr>
                <w:lang w:val="nb-NO"/>
              </w:rPr>
            </w:pPr>
            <w:r w:rsidRPr="00DC1661">
              <w:rPr>
                <w:lang w:val="es-ES"/>
              </w:rPr>
              <w:t>9,5</w:t>
            </w:r>
          </w:p>
        </w:tc>
        <w:tc>
          <w:tcPr>
            <w:tcW w:w="1790" w:type="dxa"/>
            <w:noWrap/>
          </w:tcPr>
          <w:p w14:paraId="477ABB91" w14:textId="77777777" w:rsidR="003355C1" w:rsidRPr="00DC1661" w:rsidRDefault="003355C1" w:rsidP="00230D00">
            <w:pPr>
              <w:spacing w:after="0" w:line="240" w:lineRule="auto"/>
              <w:ind w:left="0" w:firstLine="0"/>
              <w:jc w:val="center"/>
              <w:rPr>
                <w:lang w:val="nb-NO"/>
              </w:rPr>
            </w:pPr>
            <w:r w:rsidRPr="00DC1661">
              <w:rPr>
                <w:lang w:val="es-ES"/>
              </w:rPr>
              <w:t>10,4</w:t>
            </w:r>
          </w:p>
        </w:tc>
        <w:tc>
          <w:tcPr>
            <w:tcW w:w="2066" w:type="dxa"/>
            <w:noWrap/>
          </w:tcPr>
          <w:p w14:paraId="4A7A7953" w14:textId="77777777" w:rsidR="003355C1" w:rsidRPr="00DC1661" w:rsidRDefault="003355C1" w:rsidP="00230D00">
            <w:pPr>
              <w:spacing w:after="0" w:line="240" w:lineRule="auto"/>
              <w:ind w:left="0" w:firstLine="0"/>
              <w:jc w:val="center"/>
              <w:rPr>
                <w:lang w:val="nb-NO"/>
              </w:rPr>
            </w:pPr>
            <w:r w:rsidRPr="00DC1661">
              <w:rPr>
                <w:lang w:val="es-ES"/>
              </w:rPr>
              <w:t>12,8</w:t>
            </w:r>
          </w:p>
        </w:tc>
      </w:tr>
      <w:tr w:rsidR="003355C1" w:rsidRPr="00DC1661" w14:paraId="6798C5EF" w14:textId="77777777" w:rsidTr="00CE2F2E">
        <w:trPr>
          <w:trHeight w:val="524"/>
        </w:trPr>
        <w:tc>
          <w:tcPr>
            <w:tcW w:w="2906" w:type="dxa"/>
            <w:noWrap/>
          </w:tcPr>
          <w:p w14:paraId="61320262" w14:textId="77777777" w:rsidR="003355C1" w:rsidRPr="00DC1661" w:rsidRDefault="003355C1" w:rsidP="00230D00">
            <w:pPr>
              <w:spacing w:after="0" w:line="240" w:lineRule="auto"/>
              <w:ind w:left="567" w:firstLine="0"/>
              <w:rPr>
                <w:lang w:val="nb-NO"/>
              </w:rPr>
            </w:pPr>
            <w:r w:rsidRPr="00DC1661">
              <w:rPr>
                <w:color w:val="auto"/>
                <w:lang w:val="es-ES"/>
              </w:rPr>
              <w:t>Razón de riesgo (I</w:t>
            </w:r>
            <w:r w:rsidR="009E3815">
              <w:rPr>
                <w:color w:val="auto"/>
                <w:lang w:val="es-ES"/>
              </w:rPr>
              <w:t>C del 95%</w:t>
            </w:r>
            <w:r w:rsidRPr="00DC1661">
              <w:rPr>
                <w:color w:val="auto"/>
                <w:lang w:val="es-ES"/>
              </w:rPr>
              <w:t>)</w:t>
            </w:r>
            <w:r w:rsidRPr="00DC1661">
              <w:rPr>
                <w:color w:val="auto"/>
                <w:vertAlign w:val="superscript"/>
                <w:lang w:val="es-ES"/>
              </w:rPr>
              <w:t>4</w:t>
            </w:r>
          </w:p>
        </w:tc>
        <w:tc>
          <w:tcPr>
            <w:tcW w:w="2203" w:type="dxa"/>
            <w:noWrap/>
          </w:tcPr>
          <w:p w14:paraId="5692519A" w14:textId="77777777" w:rsidR="003355C1" w:rsidRPr="00DC1661" w:rsidRDefault="003355C1" w:rsidP="00230D00">
            <w:pPr>
              <w:spacing w:after="0" w:line="240" w:lineRule="auto"/>
              <w:ind w:left="0" w:firstLine="0"/>
              <w:jc w:val="center"/>
              <w:rPr>
                <w:lang w:val="nb-NO"/>
              </w:rPr>
            </w:pPr>
          </w:p>
        </w:tc>
        <w:tc>
          <w:tcPr>
            <w:tcW w:w="1790" w:type="dxa"/>
            <w:noWrap/>
          </w:tcPr>
          <w:p w14:paraId="46515F48" w14:textId="77777777" w:rsidR="003355C1" w:rsidRPr="00DC1661" w:rsidRDefault="003355C1" w:rsidP="00230D00">
            <w:pPr>
              <w:tabs>
                <w:tab w:val="left" w:pos="567"/>
              </w:tabs>
              <w:spacing w:after="0" w:line="240" w:lineRule="auto"/>
              <w:ind w:left="0" w:firstLine="0"/>
              <w:jc w:val="center"/>
              <w:rPr>
                <w:lang w:val="es-ES"/>
              </w:rPr>
            </w:pPr>
            <w:r w:rsidRPr="00DC1661">
              <w:rPr>
                <w:lang w:val="es-ES"/>
              </w:rPr>
              <w:t>0,90</w:t>
            </w:r>
          </w:p>
          <w:p w14:paraId="3AC11AEF" w14:textId="77777777" w:rsidR="003355C1" w:rsidRPr="00DC1661" w:rsidRDefault="003355C1" w:rsidP="00230D00">
            <w:pPr>
              <w:spacing w:after="0" w:line="240" w:lineRule="auto"/>
              <w:ind w:left="0" w:firstLine="0"/>
              <w:jc w:val="center"/>
              <w:rPr>
                <w:lang w:val="nb-NO"/>
              </w:rPr>
            </w:pPr>
            <w:r w:rsidRPr="00DC1661">
              <w:rPr>
                <w:lang w:val="es-ES"/>
              </w:rPr>
              <w:t>(0,70; 1,16)</w:t>
            </w:r>
          </w:p>
        </w:tc>
        <w:tc>
          <w:tcPr>
            <w:tcW w:w="2066" w:type="dxa"/>
            <w:noWrap/>
          </w:tcPr>
          <w:p w14:paraId="1D330B22" w14:textId="77777777" w:rsidR="003355C1" w:rsidRPr="00DC1661" w:rsidRDefault="003355C1" w:rsidP="00230D00">
            <w:pPr>
              <w:tabs>
                <w:tab w:val="left" w:pos="567"/>
              </w:tabs>
              <w:spacing w:after="0" w:line="240" w:lineRule="auto"/>
              <w:ind w:left="0" w:firstLine="0"/>
              <w:jc w:val="center"/>
              <w:rPr>
                <w:lang w:val="es-ES"/>
              </w:rPr>
            </w:pPr>
            <w:r w:rsidRPr="00DC1661">
              <w:rPr>
                <w:lang w:val="es-ES"/>
              </w:rPr>
              <w:t>0,64</w:t>
            </w:r>
          </w:p>
          <w:p w14:paraId="4A3ED5B1" w14:textId="77777777" w:rsidR="003355C1" w:rsidRPr="00DC1661" w:rsidRDefault="003355C1" w:rsidP="00230D00">
            <w:pPr>
              <w:spacing w:after="0" w:line="240" w:lineRule="auto"/>
              <w:ind w:left="0" w:firstLine="0"/>
              <w:jc w:val="center"/>
              <w:rPr>
                <w:lang w:val="nb-NO"/>
              </w:rPr>
            </w:pPr>
            <w:r w:rsidRPr="00DC1661">
              <w:rPr>
                <w:lang w:val="es-ES"/>
              </w:rPr>
              <w:t>(0,49; 0,82)</w:t>
            </w:r>
          </w:p>
        </w:tc>
      </w:tr>
    </w:tbl>
    <w:p w14:paraId="6AEE4B79" w14:textId="77777777" w:rsidR="00FB24C0" w:rsidRPr="001A52EB" w:rsidRDefault="00FB24C0" w:rsidP="00FB24C0">
      <w:pPr>
        <w:spacing w:after="0" w:line="240" w:lineRule="auto"/>
        <w:ind w:left="567" w:hanging="567"/>
        <w:rPr>
          <w:color w:val="auto"/>
          <w:sz w:val="20"/>
          <w:szCs w:val="20"/>
          <w:lang w:val="es-ES"/>
        </w:rPr>
      </w:pPr>
      <w:r w:rsidRPr="001A52EB">
        <w:rPr>
          <w:color w:val="auto"/>
          <w:sz w:val="20"/>
          <w:vertAlign w:val="superscript"/>
          <w:lang w:val="es-ES"/>
        </w:rPr>
        <w:t>1</w:t>
      </w:r>
      <w:r w:rsidRPr="00443040">
        <w:rPr>
          <w:color w:val="auto"/>
          <w:lang w:val="es-ES"/>
        </w:rPr>
        <w:tab/>
      </w:r>
      <w:proofErr w:type="gramStart"/>
      <w:r w:rsidRPr="001A52EB">
        <w:rPr>
          <w:color w:val="auto"/>
          <w:sz w:val="20"/>
          <w:szCs w:val="20"/>
          <w:lang w:val="es-ES"/>
        </w:rPr>
        <w:t>Análisis</w:t>
      </w:r>
      <w:proofErr w:type="gramEnd"/>
      <w:r w:rsidRPr="001A52EB">
        <w:rPr>
          <w:color w:val="auto"/>
          <w:sz w:val="20"/>
          <w:szCs w:val="20"/>
          <w:lang w:val="es-ES"/>
        </w:rPr>
        <w:t xml:space="preserve"> de la SLP según se especifica en el protocolo GOG evaluado por el investigador (sin censurar para progresiones de CA-125 ni para NPT antes de progresión de la enfermedad) con los datos de la fecha de corte del 25 de febrero de 2010.</w:t>
      </w:r>
    </w:p>
    <w:p w14:paraId="52D23F24" w14:textId="77777777" w:rsidR="00FB24C0" w:rsidRPr="001A52EB" w:rsidRDefault="00FB24C0" w:rsidP="00FB24C0">
      <w:pPr>
        <w:spacing w:after="0" w:line="240" w:lineRule="auto"/>
        <w:ind w:left="567" w:hanging="567"/>
        <w:rPr>
          <w:color w:val="auto"/>
          <w:sz w:val="20"/>
          <w:szCs w:val="20"/>
          <w:lang w:val="es-ES"/>
        </w:rPr>
      </w:pPr>
      <w:r w:rsidRPr="001A52EB">
        <w:rPr>
          <w:color w:val="auto"/>
          <w:sz w:val="20"/>
          <w:szCs w:val="20"/>
          <w:vertAlign w:val="superscript"/>
          <w:lang w:val="es-ES"/>
        </w:rPr>
        <w:t>2</w:t>
      </w:r>
      <w:r w:rsidRPr="001A52EB">
        <w:rPr>
          <w:color w:val="auto"/>
          <w:sz w:val="20"/>
          <w:szCs w:val="20"/>
          <w:lang w:val="es-ES"/>
        </w:rPr>
        <w:tab/>
      </w:r>
      <w:proofErr w:type="gramStart"/>
      <w:r w:rsidRPr="001A52EB">
        <w:rPr>
          <w:color w:val="auto"/>
          <w:sz w:val="20"/>
          <w:szCs w:val="20"/>
          <w:lang w:val="es-ES"/>
        </w:rPr>
        <w:t>Con</w:t>
      </w:r>
      <w:proofErr w:type="gramEnd"/>
      <w:r w:rsidRPr="001A52EB">
        <w:rPr>
          <w:color w:val="auto"/>
          <w:sz w:val="20"/>
          <w:szCs w:val="20"/>
          <w:lang w:val="es-ES"/>
        </w:rPr>
        <w:t xml:space="preserve"> enfermedad residual macroscópica.</w:t>
      </w:r>
    </w:p>
    <w:p w14:paraId="66CD2E5A" w14:textId="77777777" w:rsidR="00FB24C0" w:rsidRPr="001A52EB" w:rsidRDefault="00FB24C0" w:rsidP="00FB24C0">
      <w:pPr>
        <w:spacing w:after="0" w:line="240" w:lineRule="auto"/>
        <w:ind w:left="567" w:hanging="567"/>
        <w:rPr>
          <w:color w:val="auto"/>
          <w:sz w:val="20"/>
          <w:szCs w:val="20"/>
          <w:lang w:val="es-ES"/>
        </w:rPr>
      </w:pPr>
      <w:r w:rsidRPr="001A52EB">
        <w:rPr>
          <w:color w:val="auto"/>
          <w:sz w:val="20"/>
          <w:szCs w:val="20"/>
          <w:vertAlign w:val="superscript"/>
          <w:lang w:val="es-ES"/>
        </w:rPr>
        <w:t>3</w:t>
      </w:r>
      <w:r w:rsidRPr="001A52EB">
        <w:rPr>
          <w:color w:val="auto"/>
          <w:sz w:val="20"/>
          <w:szCs w:val="20"/>
          <w:lang w:val="es-ES"/>
        </w:rPr>
        <w:tab/>
        <w:t>3,7% de todos los pacientes aleatorizados tenían estadio IIIB de la enfermedad.</w:t>
      </w:r>
    </w:p>
    <w:p w14:paraId="68783093" w14:textId="77777777" w:rsidR="00FB24C0" w:rsidRPr="001A52EB" w:rsidRDefault="00FB24C0" w:rsidP="00FB24C0">
      <w:pPr>
        <w:spacing w:after="0" w:line="240" w:lineRule="auto"/>
        <w:ind w:left="567" w:hanging="567"/>
        <w:rPr>
          <w:color w:val="auto"/>
          <w:sz w:val="20"/>
          <w:szCs w:val="20"/>
          <w:lang w:val="es-ES"/>
        </w:rPr>
      </w:pPr>
      <w:r w:rsidRPr="001A52EB">
        <w:rPr>
          <w:color w:val="auto"/>
          <w:sz w:val="20"/>
          <w:szCs w:val="20"/>
          <w:vertAlign w:val="superscript"/>
          <w:lang w:val="es-ES"/>
        </w:rPr>
        <w:t>4</w:t>
      </w:r>
      <w:r w:rsidRPr="001A52EB">
        <w:rPr>
          <w:color w:val="auto"/>
          <w:sz w:val="20"/>
          <w:szCs w:val="20"/>
          <w:lang w:val="es-ES"/>
        </w:rPr>
        <w:tab/>
      </w:r>
      <w:proofErr w:type="gramStart"/>
      <w:r w:rsidRPr="001A52EB">
        <w:rPr>
          <w:color w:val="auto"/>
          <w:sz w:val="20"/>
          <w:szCs w:val="20"/>
          <w:lang w:val="es-ES"/>
        </w:rPr>
        <w:t>Relativo</w:t>
      </w:r>
      <w:proofErr w:type="gramEnd"/>
      <w:r w:rsidRPr="001A52EB">
        <w:rPr>
          <w:color w:val="auto"/>
          <w:sz w:val="20"/>
          <w:szCs w:val="20"/>
          <w:lang w:val="es-ES"/>
        </w:rPr>
        <w:t xml:space="preserve"> al brazo control.</w:t>
      </w:r>
    </w:p>
    <w:p w14:paraId="65EC573C" w14:textId="77777777" w:rsidR="00FB24C0" w:rsidRPr="00443040" w:rsidRDefault="00FB24C0" w:rsidP="00FB24C0">
      <w:pPr>
        <w:spacing w:after="0" w:line="240" w:lineRule="auto"/>
        <w:ind w:left="0" w:firstLine="0"/>
        <w:rPr>
          <w:color w:val="auto"/>
          <w:lang w:val="es-ES"/>
        </w:rPr>
      </w:pPr>
    </w:p>
    <w:p w14:paraId="36DB7EDA" w14:textId="77777777" w:rsidR="00FB24C0" w:rsidRPr="00443040" w:rsidRDefault="00FB24C0" w:rsidP="00624B43">
      <w:pPr>
        <w:spacing w:after="0" w:line="240" w:lineRule="auto"/>
        <w:ind w:left="0" w:firstLine="0"/>
        <w:rPr>
          <w:i/>
          <w:color w:val="auto"/>
          <w:lang w:val="es-ES"/>
        </w:rPr>
      </w:pPr>
      <w:r w:rsidRPr="00443040">
        <w:rPr>
          <w:i/>
          <w:color w:val="auto"/>
          <w:lang w:val="es-ES"/>
        </w:rPr>
        <w:t>BO17707 (ICON7)</w:t>
      </w:r>
    </w:p>
    <w:p w14:paraId="1D9E33CF" w14:textId="1E480B66" w:rsidR="00FB24C0" w:rsidRPr="00443040" w:rsidRDefault="00FB24C0" w:rsidP="00624B43">
      <w:pPr>
        <w:spacing w:after="0" w:line="240" w:lineRule="auto"/>
        <w:ind w:left="0" w:firstLine="0"/>
        <w:rPr>
          <w:color w:val="auto"/>
          <w:lang w:val="es-ES"/>
        </w:rPr>
      </w:pPr>
      <w:r w:rsidRPr="00443040">
        <w:rPr>
          <w:color w:val="auto"/>
          <w:lang w:val="es-ES"/>
        </w:rPr>
        <w:t xml:space="preserve">El ensayo BO17707 fue un estudio fase III, multicéntrico, aleatorizado, controlado, abierto y de dos brazos que evaluó el efecto de la adición de </w:t>
      </w:r>
      <w:r w:rsidR="00863B46">
        <w:rPr>
          <w:color w:val="auto"/>
          <w:lang w:val="es-ES"/>
        </w:rPr>
        <w:t>bevacizumab</w:t>
      </w:r>
      <w:r w:rsidRPr="00443040">
        <w:rPr>
          <w:color w:val="auto"/>
          <w:lang w:val="es-ES"/>
        </w:rPr>
        <w:t xml:space="preserve"> a carboplatino más </w:t>
      </w:r>
      <w:proofErr w:type="spellStart"/>
      <w:r w:rsidRPr="00443040">
        <w:rPr>
          <w:color w:val="auto"/>
          <w:lang w:val="es-ES"/>
        </w:rPr>
        <w:t>paclitaxel</w:t>
      </w:r>
      <w:proofErr w:type="spellEnd"/>
      <w:r w:rsidRPr="00443040">
        <w:rPr>
          <w:color w:val="auto"/>
          <w:lang w:val="es-ES"/>
        </w:rPr>
        <w:t xml:space="preserve"> tras cirugía, en pacientes con estadio FIGO I o IIA (Grado 3 o sólo histología celular clara; n</w:t>
      </w:r>
      <w:r w:rsidR="00BE505A" w:rsidRPr="00D1096C">
        <w:rPr>
          <w:lang w:val="es-ES"/>
        </w:rPr>
        <w:t> </w:t>
      </w:r>
      <w:r w:rsidRPr="00443040">
        <w:rPr>
          <w:color w:val="auto"/>
          <w:lang w:val="es-ES"/>
        </w:rPr>
        <w:t>=</w:t>
      </w:r>
      <w:r w:rsidR="00BE505A" w:rsidRPr="00D1096C">
        <w:rPr>
          <w:lang w:val="es-ES"/>
        </w:rPr>
        <w:t> </w:t>
      </w:r>
      <w:r w:rsidRPr="00443040">
        <w:rPr>
          <w:color w:val="auto"/>
          <w:lang w:val="es-ES"/>
        </w:rPr>
        <w:t xml:space="preserve">142), o estadio FIGO IIB-IV (todos los </w:t>
      </w:r>
      <w:r w:rsidR="00523B65">
        <w:rPr>
          <w:color w:val="auto"/>
          <w:lang w:val="es-ES"/>
        </w:rPr>
        <w:t>g</w:t>
      </w:r>
      <w:r w:rsidRPr="00443040">
        <w:rPr>
          <w:color w:val="auto"/>
          <w:lang w:val="es-ES"/>
        </w:rPr>
        <w:t>rados y todos los tipos de histología, n</w:t>
      </w:r>
      <w:r w:rsidR="00BE505A" w:rsidRPr="00D1096C">
        <w:rPr>
          <w:lang w:val="es-ES"/>
        </w:rPr>
        <w:t> </w:t>
      </w:r>
      <w:r w:rsidRPr="00443040">
        <w:rPr>
          <w:color w:val="auto"/>
          <w:lang w:val="es-ES"/>
        </w:rPr>
        <w:t>=</w:t>
      </w:r>
      <w:r w:rsidR="00BE505A" w:rsidRPr="00D1096C">
        <w:rPr>
          <w:lang w:val="es-ES"/>
        </w:rPr>
        <w:t> </w:t>
      </w:r>
      <w:r w:rsidRPr="00443040">
        <w:rPr>
          <w:color w:val="auto"/>
          <w:lang w:val="es-ES"/>
        </w:rPr>
        <w:t>1.386) de cáncer de ovario epitelial, trompa de Falopio, o peritoneal primario (NCI-CTCAE v.3). Se utilizó la versión de 1988 de clasificación FIGO en este ensayo.</w:t>
      </w:r>
    </w:p>
    <w:p w14:paraId="59365208" w14:textId="77777777" w:rsidR="00FB24C0" w:rsidRPr="00443040" w:rsidRDefault="00FB24C0" w:rsidP="00FB24C0">
      <w:pPr>
        <w:spacing w:after="0" w:line="240" w:lineRule="auto"/>
        <w:ind w:left="0" w:firstLine="0"/>
        <w:rPr>
          <w:color w:val="auto"/>
          <w:lang w:val="es-ES"/>
        </w:rPr>
      </w:pPr>
    </w:p>
    <w:p w14:paraId="13F5E1D6" w14:textId="77777777" w:rsidR="00FB24C0" w:rsidRPr="00443040" w:rsidRDefault="00FB24C0" w:rsidP="00FB24C0">
      <w:pPr>
        <w:spacing w:after="0" w:line="240" w:lineRule="auto"/>
        <w:ind w:left="0" w:firstLine="0"/>
        <w:rPr>
          <w:color w:val="auto"/>
          <w:lang w:val="es-ES"/>
        </w:rPr>
      </w:pPr>
      <w:r w:rsidRPr="00443040">
        <w:rPr>
          <w:color w:val="auto"/>
          <w:lang w:val="es-ES"/>
        </w:rPr>
        <w:t>Se excluyeron del ensayo aquellos pacientes que habían recibido tratamiento previo con bevacizumab o tratamiento sistémico para el cáncer de ovario (p.ej., quimioterapia, tratamiento con anticuerpos monoclonales, tratamiento con inhibidores de la tirosina quinasa, o tratamiento hormonal) o radioterapia previa en el abdomen o pelvis.</w:t>
      </w:r>
    </w:p>
    <w:p w14:paraId="5AE59BEB" w14:textId="77777777" w:rsidR="00FB24C0" w:rsidRPr="00443040" w:rsidRDefault="00FB24C0" w:rsidP="00FB24C0">
      <w:pPr>
        <w:spacing w:after="0" w:line="240" w:lineRule="auto"/>
        <w:ind w:left="0" w:firstLine="0"/>
        <w:rPr>
          <w:color w:val="auto"/>
          <w:lang w:val="es-ES"/>
        </w:rPr>
      </w:pPr>
    </w:p>
    <w:p w14:paraId="359B63A8" w14:textId="77777777" w:rsidR="00FB24C0" w:rsidRPr="00443040" w:rsidRDefault="00FB24C0" w:rsidP="00F038E0">
      <w:pPr>
        <w:keepNext/>
        <w:spacing w:after="0" w:line="240" w:lineRule="auto"/>
        <w:ind w:left="0" w:firstLine="0"/>
        <w:rPr>
          <w:color w:val="auto"/>
          <w:lang w:val="es-ES"/>
        </w:rPr>
      </w:pPr>
      <w:r w:rsidRPr="00443040">
        <w:rPr>
          <w:color w:val="auto"/>
          <w:lang w:val="es-ES"/>
        </w:rPr>
        <w:t>Se aleatorizaron en proporciones iguales un total de 1.528 pacientes en los siguientes dos brazos:</w:t>
      </w:r>
    </w:p>
    <w:p w14:paraId="254B0358" w14:textId="77777777" w:rsidR="00FB24C0" w:rsidRPr="00443040" w:rsidRDefault="00FB24C0" w:rsidP="00F038E0">
      <w:pPr>
        <w:keepNext/>
        <w:spacing w:after="0" w:line="240" w:lineRule="auto"/>
        <w:ind w:left="0" w:firstLine="0"/>
        <w:rPr>
          <w:color w:val="auto"/>
          <w:lang w:val="es-ES"/>
        </w:rPr>
      </w:pPr>
    </w:p>
    <w:p w14:paraId="49CBFC3E" w14:textId="49251042" w:rsidR="00FB24C0" w:rsidRPr="00CE2F2E" w:rsidRDefault="00FB24C0" w:rsidP="00FB24C0">
      <w:pPr>
        <w:numPr>
          <w:ilvl w:val="0"/>
          <w:numId w:val="10"/>
        </w:numPr>
        <w:spacing w:after="0" w:line="240" w:lineRule="auto"/>
        <w:ind w:left="567" w:hanging="567"/>
        <w:rPr>
          <w:color w:val="auto"/>
          <w:lang w:val="es-ES"/>
        </w:rPr>
      </w:pPr>
      <w:r w:rsidRPr="00CE2F2E">
        <w:rPr>
          <w:color w:val="auto"/>
          <w:lang w:val="es-ES"/>
        </w:rPr>
        <w:t>Brazo CP: Carboplatino</w:t>
      </w:r>
      <w:r w:rsidR="00765E7F">
        <w:rPr>
          <w:color w:val="auto"/>
          <w:lang w:val="es-ES"/>
        </w:rPr>
        <w:t xml:space="preserve"> (AUC 6) y </w:t>
      </w:r>
      <w:proofErr w:type="spellStart"/>
      <w:r w:rsidR="00765E7F">
        <w:rPr>
          <w:color w:val="auto"/>
          <w:lang w:val="es-ES"/>
        </w:rPr>
        <w:t>paclitaxel</w:t>
      </w:r>
      <w:proofErr w:type="spellEnd"/>
      <w:r w:rsidR="00765E7F">
        <w:rPr>
          <w:color w:val="auto"/>
          <w:lang w:val="es-ES"/>
        </w:rPr>
        <w:t xml:space="preserve"> (175 mg/m</w:t>
      </w:r>
      <w:r w:rsidR="00765E7F" w:rsidRPr="00765E7F">
        <w:rPr>
          <w:color w:val="auto"/>
          <w:vertAlign w:val="superscript"/>
          <w:lang w:val="es-ES"/>
        </w:rPr>
        <w:t>2</w:t>
      </w:r>
      <w:r w:rsidRPr="00CE2F2E">
        <w:rPr>
          <w:color w:val="auto"/>
          <w:lang w:val="es-ES"/>
        </w:rPr>
        <w:t>) durante 6 ciclos de 3 semanas de duración.</w:t>
      </w:r>
    </w:p>
    <w:p w14:paraId="3198B5FC" w14:textId="10BE9F64" w:rsidR="00FB24C0" w:rsidRPr="00CE2F2E" w:rsidRDefault="00FB24C0" w:rsidP="00FB24C0">
      <w:pPr>
        <w:numPr>
          <w:ilvl w:val="0"/>
          <w:numId w:val="10"/>
        </w:numPr>
        <w:spacing w:after="0" w:line="240" w:lineRule="auto"/>
        <w:ind w:left="567" w:hanging="567"/>
        <w:rPr>
          <w:color w:val="auto"/>
          <w:lang w:val="es-ES"/>
        </w:rPr>
      </w:pPr>
      <w:r w:rsidRPr="00CE2F2E">
        <w:rPr>
          <w:color w:val="auto"/>
          <w:lang w:val="es-ES"/>
        </w:rPr>
        <w:t xml:space="preserve">Brazo CPB 7,5+: Carboplatino (AUC 6) y </w:t>
      </w:r>
      <w:proofErr w:type="spellStart"/>
      <w:r w:rsidRPr="00CE2F2E">
        <w:rPr>
          <w:color w:val="auto"/>
          <w:lang w:val="es-ES"/>
        </w:rPr>
        <w:t>paclitaxel</w:t>
      </w:r>
      <w:proofErr w:type="spellEnd"/>
      <w:r w:rsidRPr="00CE2F2E">
        <w:rPr>
          <w:color w:val="auto"/>
          <w:lang w:val="es-ES"/>
        </w:rPr>
        <w:t xml:space="preserve"> (175 mg/m</w:t>
      </w:r>
      <w:r w:rsidR="00C52FE0" w:rsidRPr="00765E7F">
        <w:rPr>
          <w:color w:val="auto"/>
          <w:vertAlign w:val="superscript"/>
          <w:lang w:val="es-ES"/>
        </w:rPr>
        <w:t>2</w:t>
      </w:r>
      <w:r w:rsidRPr="00CE2F2E">
        <w:rPr>
          <w:color w:val="auto"/>
          <w:lang w:val="es-ES"/>
        </w:rPr>
        <w:t>) durante 6 ciclos de 3 semanas d</w:t>
      </w:r>
      <w:r w:rsidR="0068494D">
        <w:rPr>
          <w:color w:val="auto"/>
          <w:lang w:val="es-ES"/>
        </w:rPr>
        <w:t xml:space="preserve">e duración más </w:t>
      </w:r>
      <w:r w:rsidR="00863B46">
        <w:rPr>
          <w:color w:val="auto"/>
          <w:lang w:val="es-ES"/>
        </w:rPr>
        <w:t>bevacizumab</w:t>
      </w:r>
      <w:r w:rsidR="0068494D">
        <w:rPr>
          <w:color w:val="auto"/>
          <w:lang w:val="es-ES"/>
        </w:rPr>
        <w:t xml:space="preserve"> (7,5 mg/</w:t>
      </w:r>
      <w:r w:rsidRPr="00CE2F2E">
        <w:rPr>
          <w:color w:val="auto"/>
          <w:lang w:val="es-ES"/>
        </w:rPr>
        <w:t xml:space="preserve">kg cada tres semanas) hasta 12 meses (el tratamiento con </w:t>
      </w:r>
      <w:r w:rsidR="00863B46">
        <w:rPr>
          <w:color w:val="auto"/>
          <w:lang w:val="es-ES"/>
        </w:rPr>
        <w:t>bevacizumab</w:t>
      </w:r>
      <w:r w:rsidRPr="00CE2F2E">
        <w:rPr>
          <w:color w:val="auto"/>
          <w:lang w:val="es-ES"/>
        </w:rPr>
        <w:t xml:space="preserve"> comenzó en el ciclo 2 de la quimioterapia si el tratamiento se inició en las 4 semanas de la cirugía, o en el ciclo 1 si el tratamiento se inició con más de cuatro semanas después de la cirugía).</w:t>
      </w:r>
    </w:p>
    <w:p w14:paraId="4A8A47C2" w14:textId="77777777" w:rsidR="00FB24C0" w:rsidRPr="00CE2F2E" w:rsidRDefault="00FB24C0" w:rsidP="00FB24C0">
      <w:pPr>
        <w:spacing w:after="0" w:line="240" w:lineRule="auto"/>
        <w:ind w:left="0" w:firstLine="0"/>
        <w:rPr>
          <w:color w:val="auto"/>
          <w:lang w:val="es-ES"/>
        </w:rPr>
      </w:pPr>
    </w:p>
    <w:p w14:paraId="35EFB4B2" w14:textId="77777777" w:rsidR="00FB24C0" w:rsidRPr="00CE2F2E" w:rsidRDefault="00FB24C0" w:rsidP="00FB24C0">
      <w:pPr>
        <w:spacing w:after="0" w:line="240" w:lineRule="auto"/>
        <w:ind w:left="0" w:firstLine="0"/>
        <w:rPr>
          <w:color w:val="auto"/>
          <w:lang w:val="es-ES"/>
        </w:rPr>
      </w:pPr>
      <w:r w:rsidRPr="00CE2F2E">
        <w:rPr>
          <w:color w:val="auto"/>
          <w:lang w:val="es-ES"/>
        </w:rPr>
        <w:t>La mayoría de los pacientes incluidos en el estudio fueron de raza blanca (96</w:t>
      </w:r>
      <w:r w:rsidR="00EE5415">
        <w:rPr>
          <w:color w:val="auto"/>
          <w:lang w:val="es-ES"/>
        </w:rPr>
        <w:t>%</w:t>
      </w:r>
      <w:r w:rsidRPr="00CE2F2E">
        <w:rPr>
          <w:color w:val="auto"/>
          <w:lang w:val="es-ES"/>
        </w:rPr>
        <w:t>), la mediana de la edad fue de 57 años en ambos brazos de tratamiento, el 25</w:t>
      </w:r>
      <w:r w:rsidR="00EE5415">
        <w:rPr>
          <w:color w:val="auto"/>
          <w:lang w:val="es-ES"/>
        </w:rPr>
        <w:t>%</w:t>
      </w:r>
      <w:r w:rsidRPr="00CE2F2E">
        <w:rPr>
          <w:color w:val="auto"/>
          <w:lang w:val="es-ES"/>
        </w:rPr>
        <w:t xml:space="preserve"> de los pacientes tenía 65 años o más en cada brazo de tratamiento y aproximadamente el 50% de los pacientes tenían una puntuación de ECOG PS 1; el 7% de los pacientes en cada brazo de tratamiento tenían una puntuación de ECOG PS 2. La mayoría de los pacientes tenían cáncer de ovario epitelial (87,7%) seguido de cáncer peritoneal primario (6,9%) y cáncer de trompa de Falopio (3,7%) o una mezcla de los tres tipos de cáncer (1,7%). La mayoría de los pacientes tenían estadio FIGO III (68% en ambos brazos) seguido de estadio FIGO IV (13% y 14%), estadio FIGO II (10% y 11%) y estadio FIGO I (9% y 7%). Al inicio del estudio, la mayoría de los pacientes en cada brazo de tratamiento (74% y 71%) tenían tumores primarios poco diferenciados (Grado 3). La incidencia de los </w:t>
      </w:r>
      <w:proofErr w:type="spellStart"/>
      <w:r w:rsidRPr="00CE2F2E">
        <w:rPr>
          <w:color w:val="auto"/>
          <w:lang w:val="es-ES"/>
        </w:rPr>
        <w:t>sub-tipos</w:t>
      </w:r>
      <w:proofErr w:type="spellEnd"/>
      <w:r w:rsidRPr="00CE2F2E">
        <w:rPr>
          <w:color w:val="auto"/>
          <w:lang w:val="es-ES"/>
        </w:rPr>
        <w:t xml:space="preserve"> histológicos de cáncer de ovario epitelial fue similar entre los brazos de tratamiento; el 69% de los pacientes en cada brazo de tratamiento tenían histología de adenocarcinoma seroso.</w:t>
      </w:r>
    </w:p>
    <w:p w14:paraId="47F3D4A0" w14:textId="77777777" w:rsidR="00FB24C0" w:rsidRPr="00CE2F2E" w:rsidRDefault="00FB24C0" w:rsidP="00FB24C0">
      <w:pPr>
        <w:spacing w:after="0" w:line="240" w:lineRule="auto"/>
        <w:ind w:left="0" w:firstLine="0"/>
        <w:rPr>
          <w:color w:val="auto"/>
          <w:lang w:val="es-ES"/>
        </w:rPr>
      </w:pPr>
    </w:p>
    <w:p w14:paraId="7030CE4C" w14:textId="77777777" w:rsidR="00FB24C0" w:rsidRPr="00CE2F2E" w:rsidRDefault="00FB24C0" w:rsidP="00FB24C0">
      <w:pPr>
        <w:spacing w:after="0" w:line="240" w:lineRule="auto"/>
        <w:ind w:left="0" w:firstLine="0"/>
        <w:rPr>
          <w:color w:val="auto"/>
          <w:lang w:val="es-ES"/>
        </w:rPr>
      </w:pPr>
      <w:r w:rsidRPr="00CE2F2E">
        <w:rPr>
          <w:color w:val="auto"/>
          <w:lang w:val="es-ES"/>
        </w:rPr>
        <w:t>La variable principal fue la SLP evaluada por el investigador usando criterios RECIST.</w:t>
      </w:r>
    </w:p>
    <w:p w14:paraId="1B672117" w14:textId="77777777" w:rsidR="00FB24C0" w:rsidRPr="00CE2F2E" w:rsidRDefault="00FB24C0" w:rsidP="00FB24C0">
      <w:pPr>
        <w:spacing w:after="0" w:line="240" w:lineRule="auto"/>
        <w:ind w:left="0" w:firstLine="0"/>
        <w:rPr>
          <w:color w:val="auto"/>
          <w:lang w:val="es-ES"/>
        </w:rPr>
      </w:pPr>
    </w:p>
    <w:p w14:paraId="5E6D1CFC" w14:textId="77777777" w:rsidR="00FB24C0" w:rsidRPr="00CE2F2E" w:rsidRDefault="00FB24C0" w:rsidP="00FB24C0">
      <w:pPr>
        <w:spacing w:after="0" w:line="240" w:lineRule="auto"/>
        <w:ind w:left="0" w:firstLine="0"/>
        <w:rPr>
          <w:color w:val="auto"/>
          <w:lang w:val="es-ES"/>
        </w:rPr>
      </w:pPr>
      <w:r w:rsidRPr="00CE2F2E">
        <w:rPr>
          <w:color w:val="auto"/>
          <w:lang w:val="es-ES"/>
        </w:rPr>
        <w:t xml:space="preserve">El ensayo alcanzó su </w:t>
      </w:r>
      <w:proofErr w:type="spellStart"/>
      <w:r w:rsidRPr="00CE2F2E">
        <w:rPr>
          <w:color w:val="auto"/>
          <w:lang w:val="es-ES"/>
        </w:rPr>
        <w:t>varible</w:t>
      </w:r>
      <w:proofErr w:type="spellEnd"/>
      <w:r w:rsidRPr="00CE2F2E">
        <w:rPr>
          <w:color w:val="auto"/>
          <w:lang w:val="es-ES"/>
        </w:rPr>
        <w:t xml:space="preserve"> principal de mejoría en la SLP. Los pacientes que recibieron bevacizumab con una dosis de 7,5 mg/</w:t>
      </w:r>
      <w:r w:rsidR="0068494D">
        <w:rPr>
          <w:color w:val="auto"/>
          <w:lang w:val="es-ES"/>
        </w:rPr>
        <w:t>kg</w:t>
      </w:r>
      <w:r w:rsidRPr="00CE2F2E">
        <w:rPr>
          <w:color w:val="auto"/>
          <w:lang w:val="es-ES"/>
        </w:rPr>
        <w:t xml:space="preserve"> cada tres semanas en combinación con quimioterapia y que continuaron recibiendo bevacizumab en monoterapia hasta 18 ciclos, tuvieron una mejoría estadísticamente significativa de la SLP, en comparación con los pacientes tratados sólo con quimioterapia (carboplatino y </w:t>
      </w:r>
      <w:proofErr w:type="spellStart"/>
      <w:r w:rsidRPr="00CE2F2E">
        <w:rPr>
          <w:color w:val="auto"/>
          <w:lang w:val="es-ES"/>
        </w:rPr>
        <w:t>paclitaxel</w:t>
      </w:r>
      <w:proofErr w:type="spellEnd"/>
      <w:r w:rsidRPr="00CE2F2E">
        <w:rPr>
          <w:color w:val="auto"/>
          <w:lang w:val="es-ES"/>
        </w:rPr>
        <w:t>) en primera línea.</w:t>
      </w:r>
    </w:p>
    <w:p w14:paraId="1AFDE124" w14:textId="77777777" w:rsidR="00FB24C0" w:rsidRPr="00CE2F2E" w:rsidRDefault="00FB24C0" w:rsidP="00FB24C0">
      <w:pPr>
        <w:spacing w:after="0" w:line="240" w:lineRule="auto"/>
        <w:ind w:left="0" w:firstLine="0"/>
        <w:rPr>
          <w:color w:val="auto"/>
          <w:lang w:val="es-ES"/>
        </w:rPr>
      </w:pPr>
    </w:p>
    <w:p w14:paraId="18B2E3A5" w14:textId="3A94D963" w:rsidR="00FB24C0" w:rsidRPr="00CE2F2E" w:rsidRDefault="00FB24C0" w:rsidP="00FB24C0">
      <w:pPr>
        <w:spacing w:after="0" w:line="240" w:lineRule="auto"/>
        <w:ind w:left="0" w:firstLine="0"/>
        <w:rPr>
          <w:color w:val="auto"/>
          <w:lang w:val="es-ES"/>
        </w:rPr>
      </w:pPr>
      <w:r w:rsidRPr="00CE2F2E">
        <w:rPr>
          <w:color w:val="auto"/>
          <w:lang w:val="es-ES"/>
        </w:rPr>
        <w:t xml:space="preserve">Los resultados de este ensayo se presentan en la </w:t>
      </w:r>
      <w:r w:rsidR="00471B84">
        <w:rPr>
          <w:color w:val="auto"/>
          <w:lang w:val="es-ES"/>
        </w:rPr>
        <w:t>t</w:t>
      </w:r>
      <w:r w:rsidRPr="00CE2F2E">
        <w:rPr>
          <w:color w:val="auto"/>
          <w:lang w:val="es-ES"/>
        </w:rPr>
        <w:t>abla 1</w:t>
      </w:r>
      <w:r w:rsidR="0071031C">
        <w:rPr>
          <w:color w:val="auto"/>
          <w:lang w:val="es-ES"/>
        </w:rPr>
        <w:t>8</w:t>
      </w:r>
      <w:r w:rsidRPr="00CE2F2E">
        <w:rPr>
          <w:color w:val="auto"/>
          <w:lang w:val="es-ES"/>
        </w:rPr>
        <w:t>.</w:t>
      </w:r>
    </w:p>
    <w:p w14:paraId="21D3E1F2" w14:textId="77777777" w:rsidR="00FB24C0" w:rsidRPr="00CE2F2E" w:rsidRDefault="00FB24C0" w:rsidP="00FB24C0">
      <w:pPr>
        <w:spacing w:after="0" w:line="240" w:lineRule="auto"/>
        <w:ind w:left="0" w:firstLine="0"/>
        <w:rPr>
          <w:color w:val="auto"/>
          <w:lang w:val="es-ES"/>
        </w:rPr>
      </w:pPr>
    </w:p>
    <w:p w14:paraId="588FD2CF" w14:textId="025F2A78" w:rsidR="00FB24C0" w:rsidRPr="00CE2F2E" w:rsidRDefault="00FB24C0" w:rsidP="00F038E0">
      <w:pPr>
        <w:keepNext/>
        <w:spacing w:after="0" w:line="240" w:lineRule="auto"/>
        <w:ind w:left="0" w:firstLine="0"/>
        <w:rPr>
          <w:b/>
          <w:color w:val="auto"/>
          <w:lang w:val="es-ES"/>
        </w:rPr>
      </w:pPr>
      <w:r w:rsidRPr="00CE2F2E">
        <w:rPr>
          <w:b/>
          <w:color w:val="auto"/>
          <w:lang w:val="es-ES"/>
        </w:rPr>
        <w:t xml:space="preserve">Tabla </w:t>
      </w:r>
      <w:r w:rsidR="004943CA" w:rsidRPr="00CE2F2E">
        <w:rPr>
          <w:b/>
          <w:color w:val="auto"/>
          <w:lang w:val="es-ES"/>
        </w:rPr>
        <w:t>1</w:t>
      </w:r>
      <w:r w:rsidR="0071031C">
        <w:rPr>
          <w:b/>
          <w:color w:val="auto"/>
          <w:lang w:val="es-ES"/>
        </w:rPr>
        <w:t>8</w:t>
      </w:r>
      <w:r w:rsidR="00F038E0" w:rsidRPr="00CE2F2E">
        <w:rPr>
          <w:b/>
          <w:color w:val="auto"/>
          <w:lang w:val="es-ES"/>
        </w:rPr>
        <w:t>.</w:t>
      </w:r>
      <w:r w:rsidRPr="00CE2F2E">
        <w:rPr>
          <w:b/>
          <w:color w:val="auto"/>
          <w:lang w:val="es-ES"/>
        </w:rPr>
        <w:t xml:space="preserve"> Resultados de eficacia del ensayo BO17707 (ICON7)</w:t>
      </w:r>
    </w:p>
    <w:p w14:paraId="20973D7F" w14:textId="77777777" w:rsidR="00FB24C0" w:rsidRPr="00CE2F2E" w:rsidRDefault="00FB24C0" w:rsidP="0004643F">
      <w:pPr>
        <w:keepNext/>
        <w:spacing w:after="0" w:line="240" w:lineRule="auto"/>
        <w:ind w:left="0" w:firstLine="0"/>
        <w:rPr>
          <w:color w:val="auto"/>
          <w:lang w:val="es-ES"/>
        </w:rPr>
      </w:pPr>
    </w:p>
    <w:tbl>
      <w:tblPr>
        <w:tblW w:w="89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2882"/>
        <w:gridCol w:w="3160"/>
      </w:tblGrid>
      <w:tr w:rsidR="0004643F" w:rsidRPr="00D452AA" w14:paraId="6F5D13E0" w14:textId="77777777" w:rsidTr="00A1792E">
        <w:trPr>
          <w:trHeight w:val="297"/>
        </w:trPr>
        <w:tc>
          <w:tcPr>
            <w:tcW w:w="8939" w:type="dxa"/>
            <w:gridSpan w:val="3"/>
            <w:noWrap/>
            <w:vAlign w:val="bottom"/>
          </w:tcPr>
          <w:p w14:paraId="651EF2FF" w14:textId="77777777" w:rsidR="0004643F" w:rsidRPr="00D452AA" w:rsidRDefault="0004643F" w:rsidP="00AF66BA">
            <w:pPr>
              <w:spacing w:after="0" w:line="240" w:lineRule="auto"/>
              <w:ind w:left="0" w:firstLine="0"/>
              <w:rPr>
                <w:color w:val="auto"/>
                <w:lang w:val="es-ES"/>
              </w:rPr>
            </w:pPr>
            <w:r w:rsidRPr="00D452AA">
              <w:rPr>
                <w:color w:val="auto"/>
                <w:lang w:val="es-ES"/>
              </w:rPr>
              <w:t>Su</w:t>
            </w:r>
            <w:r w:rsidRPr="00D452AA">
              <w:rPr>
                <w:lang w:val="es-ES"/>
              </w:rPr>
              <w:t>pervivencia libre de progresión</w:t>
            </w:r>
          </w:p>
        </w:tc>
      </w:tr>
      <w:tr w:rsidR="0004643F" w:rsidRPr="00D452AA" w14:paraId="73E7E9E3" w14:textId="77777777" w:rsidTr="004936D5">
        <w:trPr>
          <w:trHeight w:val="611"/>
          <w:tblHeader/>
        </w:trPr>
        <w:tc>
          <w:tcPr>
            <w:tcW w:w="2897" w:type="dxa"/>
            <w:noWrap/>
            <w:vAlign w:val="bottom"/>
          </w:tcPr>
          <w:p w14:paraId="60D06026" w14:textId="77777777" w:rsidR="0004643F" w:rsidRPr="00D452AA" w:rsidRDefault="0004643F" w:rsidP="00AF66BA">
            <w:pPr>
              <w:spacing w:after="0" w:line="240" w:lineRule="auto"/>
              <w:ind w:left="0" w:firstLine="0"/>
              <w:rPr>
                <w:lang w:val="es-ES"/>
              </w:rPr>
            </w:pPr>
          </w:p>
        </w:tc>
        <w:tc>
          <w:tcPr>
            <w:tcW w:w="2882" w:type="dxa"/>
            <w:noWrap/>
          </w:tcPr>
          <w:p w14:paraId="350581AC" w14:textId="77777777" w:rsidR="0004643F" w:rsidRPr="00D452AA" w:rsidRDefault="0004643F" w:rsidP="00AF66BA">
            <w:pPr>
              <w:tabs>
                <w:tab w:val="left" w:pos="567"/>
              </w:tabs>
              <w:spacing w:after="0" w:line="240" w:lineRule="auto"/>
              <w:ind w:left="0" w:firstLine="0"/>
              <w:jc w:val="center"/>
              <w:rPr>
                <w:lang w:val="es-ES"/>
              </w:rPr>
            </w:pPr>
            <w:r w:rsidRPr="00D452AA">
              <w:rPr>
                <w:lang w:val="es-ES"/>
              </w:rPr>
              <w:t>CP</w:t>
            </w:r>
          </w:p>
          <w:p w14:paraId="2F4C8498" w14:textId="77777777" w:rsidR="0004643F" w:rsidRPr="00D452AA" w:rsidRDefault="0004643F" w:rsidP="00F94E4F">
            <w:pPr>
              <w:spacing w:after="0" w:line="240" w:lineRule="auto"/>
              <w:ind w:left="0" w:firstLine="0"/>
              <w:jc w:val="center"/>
              <w:rPr>
                <w:lang w:val="es-ES"/>
              </w:rPr>
            </w:pPr>
            <w:r w:rsidRPr="00D452AA">
              <w:rPr>
                <w:lang w:val="es-ES"/>
              </w:rPr>
              <w:t>(n</w:t>
            </w:r>
            <w:r w:rsidR="00F94E4F" w:rsidRPr="00E30038">
              <w:t> </w:t>
            </w:r>
            <w:r w:rsidRPr="00D452AA">
              <w:rPr>
                <w:lang w:val="es-ES"/>
              </w:rPr>
              <w:t>=</w:t>
            </w:r>
            <w:r w:rsidR="00F94E4F" w:rsidRPr="00E30038">
              <w:t> </w:t>
            </w:r>
            <w:r w:rsidRPr="00D452AA">
              <w:rPr>
                <w:lang w:val="es-ES"/>
              </w:rPr>
              <w:t>764)</w:t>
            </w:r>
          </w:p>
        </w:tc>
        <w:tc>
          <w:tcPr>
            <w:tcW w:w="3159" w:type="dxa"/>
            <w:noWrap/>
          </w:tcPr>
          <w:p w14:paraId="25877E48" w14:textId="77777777" w:rsidR="0004643F" w:rsidRPr="00D452AA" w:rsidRDefault="0004643F" w:rsidP="00AF66BA">
            <w:pPr>
              <w:tabs>
                <w:tab w:val="left" w:pos="567"/>
              </w:tabs>
              <w:spacing w:after="0" w:line="240" w:lineRule="auto"/>
              <w:ind w:left="0" w:firstLine="0"/>
              <w:jc w:val="center"/>
              <w:rPr>
                <w:lang w:val="es-ES"/>
              </w:rPr>
            </w:pPr>
            <w:r w:rsidRPr="00D452AA">
              <w:rPr>
                <w:lang w:val="es-ES"/>
              </w:rPr>
              <w:t>CPB7,5+</w:t>
            </w:r>
          </w:p>
          <w:p w14:paraId="5A04596F" w14:textId="77777777" w:rsidR="0004643F" w:rsidRPr="00D452AA" w:rsidRDefault="0004643F" w:rsidP="00F94E4F">
            <w:pPr>
              <w:spacing w:after="0" w:line="240" w:lineRule="auto"/>
              <w:ind w:left="0" w:firstLine="0"/>
              <w:jc w:val="center"/>
              <w:rPr>
                <w:lang w:val="es-ES"/>
              </w:rPr>
            </w:pPr>
            <w:r w:rsidRPr="00D452AA">
              <w:rPr>
                <w:lang w:val="es-ES"/>
              </w:rPr>
              <w:t>(n</w:t>
            </w:r>
            <w:r w:rsidR="00F94E4F" w:rsidRPr="00E30038">
              <w:t> </w:t>
            </w:r>
            <w:r w:rsidRPr="00D452AA">
              <w:rPr>
                <w:lang w:val="es-ES"/>
              </w:rPr>
              <w:t>=</w:t>
            </w:r>
            <w:r w:rsidR="00F94E4F" w:rsidRPr="00E30038">
              <w:t> </w:t>
            </w:r>
            <w:r w:rsidRPr="00D452AA">
              <w:rPr>
                <w:lang w:val="es-ES"/>
              </w:rPr>
              <w:t>764)</w:t>
            </w:r>
          </w:p>
        </w:tc>
      </w:tr>
      <w:tr w:rsidR="0004643F" w:rsidRPr="00F038E0" w14:paraId="3B5397C2" w14:textId="77777777" w:rsidTr="004936D5">
        <w:trPr>
          <w:trHeight w:val="401"/>
        </w:trPr>
        <w:tc>
          <w:tcPr>
            <w:tcW w:w="2897" w:type="dxa"/>
            <w:noWrap/>
          </w:tcPr>
          <w:p w14:paraId="23049F41" w14:textId="77777777" w:rsidR="0004643F" w:rsidRPr="00F038E0" w:rsidRDefault="0004643F" w:rsidP="00D231C9">
            <w:pPr>
              <w:spacing w:after="0" w:line="240" w:lineRule="auto"/>
              <w:ind w:left="567" w:firstLine="0"/>
              <w:rPr>
                <w:lang w:val="es-ES"/>
              </w:rPr>
            </w:pPr>
            <w:r w:rsidRPr="00384DAA">
              <w:rPr>
                <w:lang w:val="es-ES"/>
              </w:rPr>
              <w:t>Mediana SLP (meses)</w:t>
            </w:r>
            <w:r w:rsidRPr="00384DAA">
              <w:rPr>
                <w:vertAlign w:val="superscript"/>
                <w:lang w:val="es-ES"/>
              </w:rPr>
              <w:t xml:space="preserve"> 2</w:t>
            </w:r>
          </w:p>
        </w:tc>
        <w:tc>
          <w:tcPr>
            <w:tcW w:w="2882" w:type="dxa"/>
            <w:noWrap/>
          </w:tcPr>
          <w:p w14:paraId="035E48C6" w14:textId="77777777" w:rsidR="0004643F" w:rsidRPr="00F038E0" w:rsidRDefault="0004643F" w:rsidP="00D231C9">
            <w:pPr>
              <w:spacing w:after="0" w:line="240" w:lineRule="auto"/>
              <w:ind w:left="0" w:firstLine="0"/>
              <w:jc w:val="center"/>
              <w:rPr>
                <w:lang w:val="es-ES"/>
              </w:rPr>
            </w:pPr>
            <w:r w:rsidRPr="00384DAA">
              <w:rPr>
                <w:lang w:val="es-ES"/>
              </w:rPr>
              <w:t>16,9</w:t>
            </w:r>
          </w:p>
        </w:tc>
        <w:tc>
          <w:tcPr>
            <w:tcW w:w="3159" w:type="dxa"/>
            <w:noWrap/>
          </w:tcPr>
          <w:p w14:paraId="531A8455" w14:textId="77777777" w:rsidR="0004643F" w:rsidRPr="00F038E0" w:rsidRDefault="0004643F" w:rsidP="00D231C9">
            <w:pPr>
              <w:spacing w:after="0" w:line="240" w:lineRule="auto"/>
              <w:ind w:left="0" w:firstLine="0"/>
              <w:jc w:val="center"/>
              <w:rPr>
                <w:lang w:val="es-ES"/>
              </w:rPr>
            </w:pPr>
            <w:r w:rsidRPr="00384DAA">
              <w:rPr>
                <w:lang w:val="es-ES"/>
              </w:rPr>
              <w:t>19,3</w:t>
            </w:r>
          </w:p>
        </w:tc>
      </w:tr>
      <w:tr w:rsidR="0004643F" w:rsidRPr="00384DAA" w14:paraId="20AAF920" w14:textId="77777777" w:rsidTr="004936D5">
        <w:trPr>
          <w:trHeight w:val="419"/>
        </w:trPr>
        <w:tc>
          <w:tcPr>
            <w:tcW w:w="2897" w:type="dxa"/>
            <w:noWrap/>
          </w:tcPr>
          <w:p w14:paraId="10F1B004" w14:textId="77777777" w:rsidR="0004643F" w:rsidRPr="00384DAA" w:rsidRDefault="0004643F" w:rsidP="00D231C9">
            <w:pPr>
              <w:spacing w:after="0" w:line="240" w:lineRule="auto"/>
              <w:ind w:left="567" w:firstLine="0"/>
              <w:rPr>
                <w:lang w:val="nb-NO"/>
              </w:rPr>
            </w:pPr>
            <w:r w:rsidRPr="00384DAA">
              <w:rPr>
                <w:lang w:val="es-ES"/>
              </w:rPr>
              <w:t>Razón de riesgo [IC del 95%]</w:t>
            </w:r>
            <w:r w:rsidRPr="00384DAA">
              <w:rPr>
                <w:vertAlign w:val="superscript"/>
                <w:lang w:val="es-ES"/>
              </w:rPr>
              <w:t xml:space="preserve"> 2</w:t>
            </w:r>
          </w:p>
        </w:tc>
        <w:tc>
          <w:tcPr>
            <w:tcW w:w="6041" w:type="dxa"/>
            <w:gridSpan w:val="2"/>
            <w:noWrap/>
          </w:tcPr>
          <w:p w14:paraId="22FA4852" w14:textId="77777777" w:rsidR="0004643F" w:rsidRPr="00384DAA" w:rsidRDefault="0004643F" w:rsidP="00D231C9">
            <w:pPr>
              <w:tabs>
                <w:tab w:val="left" w:pos="567"/>
              </w:tabs>
              <w:spacing w:after="0" w:line="240" w:lineRule="auto"/>
              <w:ind w:left="0" w:firstLine="0"/>
              <w:jc w:val="center"/>
              <w:rPr>
                <w:lang w:val="es-ES"/>
              </w:rPr>
            </w:pPr>
            <w:r w:rsidRPr="00384DAA">
              <w:rPr>
                <w:lang w:val="es-ES"/>
              </w:rPr>
              <w:t>0,86 [0,75; 0,98]</w:t>
            </w:r>
          </w:p>
          <w:p w14:paraId="76B53479" w14:textId="77777777" w:rsidR="0004643F" w:rsidRPr="00384DAA" w:rsidRDefault="0004643F" w:rsidP="00D231C9">
            <w:pPr>
              <w:spacing w:after="0" w:line="240" w:lineRule="auto"/>
              <w:ind w:left="0" w:firstLine="0"/>
              <w:jc w:val="center"/>
              <w:rPr>
                <w:lang w:val="nb-NO"/>
              </w:rPr>
            </w:pPr>
            <w:r w:rsidRPr="00384DAA">
              <w:rPr>
                <w:lang w:val="es-ES"/>
              </w:rPr>
              <w:t>(valor de p</w:t>
            </w:r>
            <w:r w:rsidR="00F94E4F" w:rsidRPr="00E30038">
              <w:t> </w:t>
            </w:r>
            <w:r w:rsidRPr="00384DAA">
              <w:rPr>
                <w:lang w:val="es-ES"/>
              </w:rPr>
              <w:t>=</w:t>
            </w:r>
            <w:r w:rsidR="00F94E4F" w:rsidRPr="00E30038">
              <w:t> </w:t>
            </w:r>
            <w:r w:rsidRPr="00384DAA">
              <w:rPr>
                <w:lang w:val="es-ES"/>
              </w:rPr>
              <w:t>0,0185)</w:t>
            </w:r>
          </w:p>
        </w:tc>
      </w:tr>
      <w:tr w:rsidR="0004643F" w:rsidRPr="00384DAA" w14:paraId="31668EF6" w14:textId="77777777" w:rsidTr="004936D5">
        <w:trPr>
          <w:trHeight w:val="297"/>
        </w:trPr>
        <w:tc>
          <w:tcPr>
            <w:tcW w:w="8939" w:type="dxa"/>
            <w:gridSpan w:val="3"/>
            <w:noWrap/>
            <w:vAlign w:val="bottom"/>
          </w:tcPr>
          <w:p w14:paraId="5A23FB25" w14:textId="77777777" w:rsidR="0004643F" w:rsidRPr="00384DAA" w:rsidRDefault="0004643F" w:rsidP="00246678">
            <w:pPr>
              <w:keepNext/>
              <w:keepLines/>
              <w:spacing w:after="0" w:line="240" w:lineRule="auto"/>
              <w:ind w:left="0" w:firstLine="0"/>
              <w:rPr>
                <w:lang w:val="nb-NO"/>
              </w:rPr>
            </w:pPr>
            <w:r w:rsidRPr="00384DAA">
              <w:rPr>
                <w:lang w:val="es-ES"/>
              </w:rPr>
              <w:t xml:space="preserve">Tasa de respuesta objetiva </w:t>
            </w:r>
            <w:r w:rsidRPr="00384DAA">
              <w:rPr>
                <w:vertAlign w:val="superscript"/>
                <w:lang w:val="es-ES"/>
              </w:rPr>
              <w:t>1</w:t>
            </w:r>
          </w:p>
        </w:tc>
      </w:tr>
      <w:tr w:rsidR="0004643F" w:rsidRPr="00384DAA" w14:paraId="1DF8B850" w14:textId="77777777" w:rsidTr="004936D5">
        <w:trPr>
          <w:trHeight w:val="445"/>
        </w:trPr>
        <w:tc>
          <w:tcPr>
            <w:tcW w:w="2897" w:type="dxa"/>
            <w:noWrap/>
            <w:vAlign w:val="bottom"/>
          </w:tcPr>
          <w:p w14:paraId="46874903" w14:textId="77777777" w:rsidR="0004643F" w:rsidRPr="00384DAA" w:rsidRDefault="0004643F" w:rsidP="00F62645">
            <w:pPr>
              <w:spacing w:after="0" w:line="240" w:lineRule="auto"/>
              <w:ind w:left="0" w:firstLine="0"/>
              <w:rPr>
                <w:lang w:val="nb-NO"/>
              </w:rPr>
            </w:pPr>
          </w:p>
        </w:tc>
        <w:tc>
          <w:tcPr>
            <w:tcW w:w="2882" w:type="dxa"/>
            <w:noWrap/>
          </w:tcPr>
          <w:p w14:paraId="4F08C32B" w14:textId="77777777" w:rsidR="0004643F" w:rsidRPr="00384DAA" w:rsidRDefault="0004643F" w:rsidP="00C27844">
            <w:pPr>
              <w:tabs>
                <w:tab w:val="left" w:pos="567"/>
              </w:tabs>
              <w:spacing w:after="0" w:line="240" w:lineRule="auto"/>
              <w:ind w:left="0" w:firstLine="0"/>
              <w:jc w:val="center"/>
              <w:rPr>
                <w:lang w:val="es-ES"/>
              </w:rPr>
            </w:pPr>
            <w:r w:rsidRPr="00384DAA">
              <w:rPr>
                <w:lang w:val="es-ES"/>
              </w:rPr>
              <w:t>CP</w:t>
            </w:r>
          </w:p>
          <w:p w14:paraId="1E34229D" w14:textId="77777777" w:rsidR="0004643F" w:rsidRPr="00384DAA" w:rsidRDefault="0004643F" w:rsidP="00F94E4F">
            <w:pPr>
              <w:spacing w:after="0" w:line="240" w:lineRule="auto"/>
              <w:ind w:left="0" w:firstLine="0"/>
              <w:jc w:val="center"/>
              <w:rPr>
                <w:lang w:val="nb-NO"/>
              </w:rPr>
            </w:pPr>
            <w:r w:rsidRPr="00384DAA">
              <w:rPr>
                <w:lang w:val="es-ES"/>
              </w:rPr>
              <w:t>(n</w:t>
            </w:r>
            <w:r w:rsidR="00F94E4F" w:rsidRPr="00E30038">
              <w:t> </w:t>
            </w:r>
            <w:r w:rsidRPr="00384DAA">
              <w:rPr>
                <w:lang w:val="es-ES"/>
              </w:rPr>
              <w:t>=</w:t>
            </w:r>
            <w:r w:rsidR="00F94E4F" w:rsidRPr="00E30038">
              <w:t> </w:t>
            </w:r>
            <w:r w:rsidRPr="00384DAA">
              <w:rPr>
                <w:lang w:val="es-ES"/>
              </w:rPr>
              <w:t>277)</w:t>
            </w:r>
          </w:p>
        </w:tc>
        <w:tc>
          <w:tcPr>
            <w:tcW w:w="3159" w:type="dxa"/>
            <w:noWrap/>
          </w:tcPr>
          <w:p w14:paraId="51209A48" w14:textId="77777777" w:rsidR="0004643F" w:rsidRPr="00384DAA" w:rsidRDefault="0004643F" w:rsidP="00C27844">
            <w:pPr>
              <w:spacing w:after="0" w:line="240" w:lineRule="auto"/>
              <w:ind w:left="0" w:firstLine="0"/>
              <w:jc w:val="center"/>
              <w:rPr>
                <w:lang w:val="es-ES"/>
              </w:rPr>
            </w:pPr>
            <w:r w:rsidRPr="00384DAA">
              <w:rPr>
                <w:lang w:val="es-ES"/>
              </w:rPr>
              <w:t>CPB7,5+</w:t>
            </w:r>
          </w:p>
          <w:p w14:paraId="6ACB8D4D" w14:textId="77777777" w:rsidR="0004643F" w:rsidRPr="00384DAA" w:rsidRDefault="0004643F" w:rsidP="00F94E4F">
            <w:pPr>
              <w:spacing w:after="0" w:line="240" w:lineRule="auto"/>
              <w:ind w:left="0" w:firstLine="0"/>
              <w:jc w:val="center"/>
              <w:rPr>
                <w:lang w:val="nb-NO"/>
              </w:rPr>
            </w:pPr>
            <w:r w:rsidRPr="00384DAA">
              <w:rPr>
                <w:lang w:val="es-ES"/>
              </w:rPr>
              <w:t>(n</w:t>
            </w:r>
            <w:r w:rsidR="00F94E4F" w:rsidRPr="00E30038">
              <w:t> </w:t>
            </w:r>
            <w:r w:rsidRPr="00384DAA">
              <w:rPr>
                <w:lang w:val="es-ES"/>
              </w:rPr>
              <w:t>=</w:t>
            </w:r>
            <w:r w:rsidR="00F94E4F" w:rsidRPr="00E30038">
              <w:t> </w:t>
            </w:r>
            <w:r w:rsidRPr="00384DAA">
              <w:rPr>
                <w:lang w:val="es-ES"/>
              </w:rPr>
              <w:t>272)</w:t>
            </w:r>
          </w:p>
        </w:tc>
      </w:tr>
      <w:tr w:rsidR="0004643F" w:rsidRPr="00384DAA" w14:paraId="28916557" w14:textId="77777777" w:rsidTr="004936D5">
        <w:trPr>
          <w:trHeight w:val="350"/>
        </w:trPr>
        <w:tc>
          <w:tcPr>
            <w:tcW w:w="2897" w:type="dxa"/>
            <w:vMerge w:val="restart"/>
            <w:noWrap/>
          </w:tcPr>
          <w:p w14:paraId="69C399EB" w14:textId="77777777" w:rsidR="0004643F" w:rsidRPr="00384DAA" w:rsidRDefault="0004643F" w:rsidP="00C27844">
            <w:pPr>
              <w:spacing w:after="0" w:line="240" w:lineRule="auto"/>
              <w:ind w:left="567" w:firstLine="0"/>
              <w:rPr>
                <w:lang w:val="es-ES"/>
              </w:rPr>
            </w:pPr>
            <w:r w:rsidRPr="00384DAA">
              <w:rPr>
                <w:lang w:val="es-ES"/>
              </w:rPr>
              <w:t>Tasa de respuesta</w:t>
            </w:r>
          </w:p>
        </w:tc>
        <w:tc>
          <w:tcPr>
            <w:tcW w:w="2882" w:type="dxa"/>
            <w:noWrap/>
          </w:tcPr>
          <w:p w14:paraId="0FF4C9CE" w14:textId="77777777" w:rsidR="0004643F" w:rsidRPr="00384DAA" w:rsidRDefault="0004643F" w:rsidP="00C27844">
            <w:pPr>
              <w:spacing w:after="0" w:line="240" w:lineRule="auto"/>
              <w:ind w:left="0" w:firstLine="0"/>
              <w:jc w:val="center"/>
              <w:rPr>
                <w:lang w:val="nb-NO"/>
              </w:rPr>
            </w:pPr>
            <w:r w:rsidRPr="00384DAA">
              <w:rPr>
                <w:lang w:val="es-ES"/>
              </w:rPr>
              <w:t>54,9%</w:t>
            </w:r>
          </w:p>
        </w:tc>
        <w:tc>
          <w:tcPr>
            <w:tcW w:w="3159" w:type="dxa"/>
            <w:noWrap/>
          </w:tcPr>
          <w:p w14:paraId="3CEE99DC" w14:textId="77777777" w:rsidR="0004643F" w:rsidRPr="00384DAA" w:rsidRDefault="0004643F" w:rsidP="00C27844">
            <w:pPr>
              <w:spacing w:after="0" w:line="240" w:lineRule="auto"/>
              <w:ind w:left="0" w:firstLine="0"/>
              <w:jc w:val="center"/>
              <w:rPr>
                <w:lang w:val="nb-NO"/>
              </w:rPr>
            </w:pPr>
            <w:r w:rsidRPr="00384DAA">
              <w:rPr>
                <w:lang w:val="es-ES"/>
              </w:rPr>
              <w:t>64,7%</w:t>
            </w:r>
          </w:p>
        </w:tc>
      </w:tr>
      <w:tr w:rsidR="0004643F" w:rsidRPr="00384DAA" w14:paraId="515BA1B5" w14:textId="77777777" w:rsidTr="004936D5">
        <w:trPr>
          <w:trHeight w:val="297"/>
        </w:trPr>
        <w:tc>
          <w:tcPr>
            <w:tcW w:w="2897" w:type="dxa"/>
            <w:vMerge/>
            <w:noWrap/>
            <w:vAlign w:val="bottom"/>
          </w:tcPr>
          <w:p w14:paraId="6CE97AF7" w14:textId="77777777" w:rsidR="0004643F" w:rsidRPr="00384DAA" w:rsidRDefault="0004643F" w:rsidP="00384DAA">
            <w:pPr>
              <w:spacing w:after="0" w:line="240" w:lineRule="auto"/>
              <w:ind w:left="0" w:firstLine="0"/>
              <w:rPr>
                <w:lang w:val="nb-NO"/>
              </w:rPr>
            </w:pPr>
          </w:p>
        </w:tc>
        <w:tc>
          <w:tcPr>
            <w:tcW w:w="6041" w:type="dxa"/>
            <w:gridSpan w:val="2"/>
            <w:noWrap/>
            <w:vAlign w:val="bottom"/>
          </w:tcPr>
          <w:p w14:paraId="541F570E" w14:textId="77777777" w:rsidR="0004643F" w:rsidRPr="00384DAA" w:rsidRDefault="0004643F" w:rsidP="00F94E4F">
            <w:pPr>
              <w:spacing w:after="0" w:line="240" w:lineRule="auto"/>
              <w:ind w:left="0" w:firstLine="0"/>
              <w:jc w:val="center"/>
              <w:rPr>
                <w:lang w:val="nb-NO"/>
              </w:rPr>
            </w:pPr>
            <w:r w:rsidRPr="00384DAA">
              <w:rPr>
                <w:lang w:val="es-ES"/>
              </w:rPr>
              <w:t>(valor de p</w:t>
            </w:r>
            <w:r w:rsidR="00F94E4F" w:rsidRPr="00E30038">
              <w:t> </w:t>
            </w:r>
            <w:r w:rsidRPr="00384DAA">
              <w:rPr>
                <w:lang w:val="es-ES"/>
              </w:rPr>
              <w:t>=</w:t>
            </w:r>
            <w:r w:rsidR="00F94E4F" w:rsidRPr="00E30038">
              <w:t> </w:t>
            </w:r>
            <w:r w:rsidRPr="00384DAA">
              <w:rPr>
                <w:lang w:val="es-ES"/>
              </w:rPr>
              <w:t>0,0188)</w:t>
            </w:r>
          </w:p>
        </w:tc>
      </w:tr>
      <w:tr w:rsidR="0004643F" w:rsidRPr="00384DAA" w14:paraId="0BEF2818" w14:textId="77777777" w:rsidTr="004936D5">
        <w:trPr>
          <w:trHeight w:val="297"/>
        </w:trPr>
        <w:tc>
          <w:tcPr>
            <w:tcW w:w="8939" w:type="dxa"/>
            <w:gridSpan w:val="3"/>
            <w:noWrap/>
            <w:vAlign w:val="bottom"/>
          </w:tcPr>
          <w:p w14:paraId="43576CA1" w14:textId="77777777" w:rsidR="0004643F" w:rsidRPr="00384DAA" w:rsidRDefault="0004643F" w:rsidP="00A1792E">
            <w:pPr>
              <w:keepNext/>
              <w:spacing w:after="0" w:line="240" w:lineRule="auto"/>
              <w:ind w:left="0" w:firstLine="0"/>
              <w:rPr>
                <w:lang w:val="nb-NO"/>
              </w:rPr>
            </w:pPr>
            <w:r w:rsidRPr="00384DAA">
              <w:rPr>
                <w:lang w:val="es-ES"/>
              </w:rPr>
              <w:lastRenderedPageBreak/>
              <w:t>Supervivencia Global</w:t>
            </w:r>
            <w:r w:rsidRPr="00384DAA">
              <w:rPr>
                <w:vertAlign w:val="superscript"/>
                <w:lang w:val="es-ES"/>
              </w:rPr>
              <w:t>3</w:t>
            </w:r>
          </w:p>
        </w:tc>
      </w:tr>
      <w:tr w:rsidR="0004643F" w:rsidRPr="00384DAA" w14:paraId="05DD494F" w14:textId="77777777" w:rsidTr="004936D5">
        <w:trPr>
          <w:trHeight w:val="420"/>
        </w:trPr>
        <w:tc>
          <w:tcPr>
            <w:tcW w:w="2897" w:type="dxa"/>
            <w:noWrap/>
            <w:vAlign w:val="bottom"/>
          </w:tcPr>
          <w:p w14:paraId="70E1DEC2" w14:textId="77777777" w:rsidR="0004643F" w:rsidRPr="00384DAA" w:rsidRDefault="0004643F" w:rsidP="00A1792E">
            <w:pPr>
              <w:keepNext/>
              <w:spacing w:after="0" w:line="240" w:lineRule="auto"/>
              <w:ind w:left="0" w:firstLine="0"/>
              <w:rPr>
                <w:lang w:val="nb-NO"/>
              </w:rPr>
            </w:pPr>
          </w:p>
        </w:tc>
        <w:tc>
          <w:tcPr>
            <w:tcW w:w="2882" w:type="dxa"/>
            <w:noWrap/>
          </w:tcPr>
          <w:p w14:paraId="242BA19A" w14:textId="77777777" w:rsidR="0004643F" w:rsidRPr="00384DAA" w:rsidRDefault="0004643F" w:rsidP="00A1792E">
            <w:pPr>
              <w:keepNext/>
              <w:tabs>
                <w:tab w:val="left" w:pos="567"/>
              </w:tabs>
              <w:spacing w:after="0" w:line="240" w:lineRule="auto"/>
              <w:ind w:left="0" w:firstLine="0"/>
              <w:jc w:val="center"/>
              <w:rPr>
                <w:lang w:val="es-ES"/>
              </w:rPr>
            </w:pPr>
            <w:r w:rsidRPr="00384DAA">
              <w:rPr>
                <w:lang w:val="es-ES"/>
              </w:rPr>
              <w:t>CP</w:t>
            </w:r>
          </w:p>
          <w:p w14:paraId="38E364CA" w14:textId="77777777" w:rsidR="0004643F" w:rsidRPr="00384DAA" w:rsidRDefault="0004643F" w:rsidP="00F94E4F">
            <w:pPr>
              <w:keepNext/>
              <w:spacing w:after="0" w:line="240" w:lineRule="auto"/>
              <w:ind w:left="0" w:firstLine="0"/>
              <w:jc w:val="center"/>
              <w:rPr>
                <w:lang w:val="nb-NO"/>
              </w:rPr>
            </w:pPr>
            <w:r w:rsidRPr="00384DAA">
              <w:rPr>
                <w:lang w:val="es-ES"/>
              </w:rPr>
              <w:t>(n</w:t>
            </w:r>
            <w:r w:rsidR="00F94E4F" w:rsidRPr="00E30038">
              <w:t> </w:t>
            </w:r>
            <w:r w:rsidRPr="00384DAA">
              <w:rPr>
                <w:lang w:val="es-ES"/>
              </w:rPr>
              <w:t>=</w:t>
            </w:r>
            <w:r w:rsidR="00F94E4F" w:rsidRPr="00E30038">
              <w:t> </w:t>
            </w:r>
            <w:r w:rsidRPr="00384DAA">
              <w:rPr>
                <w:lang w:val="es-ES"/>
              </w:rPr>
              <w:t>764)</w:t>
            </w:r>
          </w:p>
        </w:tc>
        <w:tc>
          <w:tcPr>
            <w:tcW w:w="3159" w:type="dxa"/>
            <w:noWrap/>
          </w:tcPr>
          <w:p w14:paraId="069E7D0B" w14:textId="77777777" w:rsidR="0004643F" w:rsidRPr="00384DAA" w:rsidRDefault="0004643F" w:rsidP="00A1792E">
            <w:pPr>
              <w:keepNext/>
              <w:spacing w:after="0" w:line="240" w:lineRule="auto"/>
              <w:ind w:left="0" w:firstLine="0"/>
              <w:jc w:val="center"/>
              <w:rPr>
                <w:lang w:val="es-ES"/>
              </w:rPr>
            </w:pPr>
            <w:r w:rsidRPr="00384DAA">
              <w:rPr>
                <w:lang w:val="es-ES"/>
              </w:rPr>
              <w:t>CPB7,5+</w:t>
            </w:r>
          </w:p>
          <w:p w14:paraId="092FB271" w14:textId="77777777" w:rsidR="0004643F" w:rsidRPr="00384DAA" w:rsidRDefault="0004643F" w:rsidP="00F94E4F">
            <w:pPr>
              <w:keepNext/>
              <w:spacing w:after="0" w:line="240" w:lineRule="auto"/>
              <w:ind w:left="0" w:firstLine="0"/>
              <w:jc w:val="center"/>
              <w:rPr>
                <w:lang w:val="nb-NO"/>
              </w:rPr>
            </w:pPr>
            <w:r w:rsidRPr="00384DAA">
              <w:rPr>
                <w:lang w:val="es-ES"/>
              </w:rPr>
              <w:t>(n</w:t>
            </w:r>
            <w:r w:rsidR="00F94E4F" w:rsidRPr="00E30038">
              <w:t> </w:t>
            </w:r>
            <w:r w:rsidRPr="00384DAA">
              <w:rPr>
                <w:lang w:val="es-ES"/>
              </w:rPr>
              <w:t>=</w:t>
            </w:r>
            <w:r w:rsidR="00F94E4F" w:rsidRPr="00E30038">
              <w:t> </w:t>
            </w:r>
            <w:r w:rsidRPr="00384DAA">
              <w:rPr>
                <w:lang w:val="es-ES"/>
              </w:rPr>
              <w:t>764)</w:t>
            </w:r>
          </w:p>
        </w:tc>
      </w:tr>
      <w:tr w:rsidR="0004643F" w:rsidRPr="00384DAA" w14:paraId="5325ED0C" w14:textId="77777777" w:rsidTr="004936D5">
        <w:trPr>
          <w:trHeight w:val="203"/>
        </w:trPr>
        <w:tc>
          <w:tcPr>
            <w:tcW w:w="2897" w:type="dxa"/>
            <w:noWrap/>
          </w:tcPr>
          <w:p w14:paraId="15520E47" w14:textId="77777777" w:rsidR="0004643F" w:rsidRPr="00384DAA" w:rsidRDefault="0004643F" w:rsidP="00BB5B91">
            <w:pPr>
              <w:spacing w:after="0" w:line="240" w:lineRule="auto"/>
              <w:ind w:left="567" w:firstLine="0"/>
              <w:rPr>
                <w:lang w:val="nb-NO"/>
              </w:rPr>
            </w:pPr>
            <w:r w:rsidRPr="00384DAA">
              <w:rPr>
                <w:lang w:val="es-ES"/>
              </w:rPr>
              <w:t>Mediana (meses)</w:t>
            </w:r>
          </w:p>
        </w:tc>
        <w:tc>
          <w:tcPr>
            <w:tcW w:w="2882" w:type="dxa"/>
            <w:noWrap/>
          </w:tcPr>
          <w:p w14:paraId="07FA8493" w14:textId="77777777" w:rsidR="0004643F" w:rsidRPr="00384DAA" w:rsidRDefault="0004643F" w:rsidP="00BB5B91">
            <w:pPr>
              <w:spacing w:after="0" w:line="240" w:lineRule="auto"/>
              <w:ind w:left="0" w:firstLine="0"/>
              <w:jc w:val="center"/>
              <w:rPr>
                <w:lang w:val="nb-NO"/>
              </w:rPr>
            </w:pPr>
            <w:r w:rsidRPr="00384DAA">
              <w:rPr>
                <w:lang w:val="es-ES"/>
              </w:rPr>
              <w:t>58,0</w:t>
            </w:r>
          </w:p>
        </w:tc>
        <w:tc>
          <w:tcPr>
            <w:tcW w:w="3159" w:type="dxa"/>
            <w:noWrap/>
          </w:tcPr>
          <w:p w14:paraId="30BCB985" w14:textId="77777777" w:rsidR="0004643F" w:rsidRPr="00384DAA" w:rsidRDefault="0004643F" w:rsidP="00BB5B91">
            <w:pPr>
              <w:spacing w:after="0" w:line="240" w:lineRule="auto"/>
              <w:ind w:left="0" w:firstLine="0"/>
              <w:jc w:val="center"/>
              <w:rPr>
                <w:lang w:val="nb-NO"/>
              </w:rPr>
            </w:pPr>
            <w:r w:rsidRPr="00384DAA">
              <w:rPr>
                <w:lang w:val="es-ES"/>
              </w:rPr>
              <w:t>57,4</w:t>
            </w:r>
          </w:p>
        </w:tc>
      </w:tr>
      <w:tr w:rsidR="0004643F" w:rsidRPr="00384DAA" w14:paraId="3323F3C3" w14:textId="77777777" w:rsidTr="004936D5">
        <w:trPr>
          <w:trHeight w:val="615"/>
        </w:trPr>
        <w:tc>
          <w:tcPr>
            <w:tcW w:w="2897" w:type="dxa"/>
            <w:noWrap/>
          </w:tcPr>
          <w:p w14:paraId="7103B501" w14:textId="77777777" w:rsidR="0004643F" w:rsidRPr="00384DAA" w:rsidRDefault="00AF66BA" w:rsidP="00BB5B91">
            <w:pPr>
              <w:spacing w:after="0" w:line="240" w:lineRule="auto"/>
              <w:ind w:left="567" w:firstLine="0"/>
              <w:rPr>
                <w:lang w:val="nb-NO"/>
              </w:rPr>
            </w:pPr>
            <w:r>
              <w:rPr>
                <w:lang w:val="es-ES"/>
              </w:rPr>
              <w:t>Razón de riesgo [IC del 95%</w:t>
            </w:r>
            <w:r w:rsidR="0004643F" w:rsidRPr="00384DAA">
              <w:rPr>
                <w:lang w:val="es-ES"/>
              </w:rPr>
              <w:t>]</w:t>
            </w:r>
          </w:p>
        </w:tc>
        <w:tc>
          <w:tcPr>
            <w:tcW w:w="6041" w:type="dxa"/>
            <w:gridSpan w:val="2"/>
            <w:noWrap/>
          </w:tcPr>
          <w:p w14:paraId="3643EACA" w14:textId="77777777" w:rsidR="0004643F" w:rsidRPr="00384DAA" w:rsidRDefault="0004643F" w:rsidP="00BB5B91">
            <w:pPr>
              <w:tabs>
                <w:tab w:val="left" w:pos="567"/>
              </w:tabs>
              <w:spacing w:after="0" w:line="240" w:lineRule="auto"/>
              <w:ind w:left="0" w:firstLine="0"/>
              <w:jc w:val="center"/>
              <w:rPr>
                <w:lang w:val="es-ES"/>
              </w:rPr>
            </w:pPr>
            <w:r w:rsidRPr="00384DAA">
              <w:rPr>
                <w:lang w:val="es-ES"/>
              </w:rPr>
              <w:t>0,99 [0,85; 1,15]</w:t>
            </w:r>
          </w:p>
          <w:p w14:paraId="669311EF" w14:textId="77777777" w:rsidR="0004643F" w:rsidRPr="00384DAA" w:rsidRDefault="0004643F" w:rsidP="00F94E4F">
            <w:pPr>
              <w:spacing w:after="0" w:line="240" w:lineRule="auto"/>
              <w:ind w:left="0" w:firstLine="0"/>
              <w:jc w:val="center"/>
              <w:rPr>
                <w:lang w:val="nb-NO"/>
              </w:rPr>
            </w:pPr>
            <w:r w:rsidRPr="00384DAA">
              <w:rPr>
                <w:lang w:val="es-ES"/>
              </w:rPr>
              <w:t>(valor de p</w:t>
            </w:r>
            <w:r w:rsidR="00F94E4F" w:rsidRPr="00E30038">
              <w:t> </w:t>
            </w:r>
            <w:r w:rsidRPr="00384DAA">
              <w:rPr>
                <w:lang w:val="es-ES"/>
              </w:rPr>
              <w:t>=</w:t>
            </w:r>
            <w:r w:rsidR="00F94E4F" w:rsidRPr="00E30038">
              <w:t> </w:t>
            </w:r>
            <w:r w:rsidRPr="00384DAA">
              <w:rPr>
                <w:lang w:val="es-ES"/>
              </w:rPr>
              <w:t>0,8910)</w:t>
            </w:r>
          </w:p>
        </w:tc>
      </w:tr>
    </w:tbl>
    <w:p w14:paraId="054B55F0" w14:textId="77777777" w:rsidR="00FB24C0" w:rsidRPr="00443040" w:rsidRDefault="00FB24C0" w:rsidP="00FB24C0">
      <w:pPr>
        <w:spacing w:after="0" w:line="240" w:lineRule="auto"/>
        <w:ind w:left="567" w:hanging="567"/>
        <w:rPr>
          <w:color w:val="auto"/>
          <w:sz w:val="20"/>
          <w:lang w:val="es-ES"/>
        </w:rPr>
      </w:pPr>
      <w:r w:rsidRPr="00443040">
        <w:rPr>
          <w:color w:val="auto"/>
          <w:sz w:val="20"/>
          <w:vertAlign w:val="superscript"/>
          <w:lang w:val="es-ES"/>
        </w:rPr>
        <w:t>1</w:t>
      </w:r>
      <w:r w:rsidRPr="00443040">
        <w:rPr>
          <w:color w:val="auto"/>
          <w:sz w:val="20"/>
          <w:lang w:val="es-ES"/>
        </w:rPr>
        <w:tab/>
      </w:r>
      <w:proofErr w:type="gramStart"/>
      <w:r w:rsidRPr="00443040">
        <w:rPr>
          <w:color w:val="auto"/>
          <w:sz w:val="20"/>
          <w:lang w:val="es-ES"/>
        </w:rPr>
        <w:t>En</w:t>
      </w:r>
      <w:proofErr w:type="gramEnd"/>
      <w:r w:rsidRPr="00443040">
        <w:rPr>
          <w:color w:val="auto"/>
          <w:sz w:val="20"/>
          <w:lang w:val="es-ES"/>
        </w:rPr>
        <w:t xml:space="preserve"> pacientes con enfermedad medible al inicio.</w:t>
      </w:r>
    </w:p>
    <w:p w14:paraId="362C805A" w14:textId="77777777" w:rsidR="00FB24C0" w:rsidRPr="00443040" w:rsidRDefault="00FB24C0" w:rsidP="00FB24C0">
      <w:pPr>
        <w:spacing w:after="0" w:line="240" w:lineRule="auto"/>
        <w:ind w:left="567" w:hanging="567"/>
        <w:rPr>
          <w:color w:val="auto"/>
          <w:sz w:val="20"/>
          <w:lang w:val="es-ES"/>
        </w:rPr>
      </w:pPr>
      <w:r w:rsidRPr="00443040">
        <w:rPr>
          <w:color w:val="auto"/>
          <w:sz w:val="20"/>
          <w:vertAlign w:val="superscript"/>
          <w:lang w:val="es-ES"/>
        </w:rPr>
        <w:t>2</w:t>
      </w:r>
      <w:r w:rsidRPr="00443040">
        <w:rPr>
          <w:color w:val="auto"/>
          <w:sz w:val="20"/>
          <w:lang w:val="es-ES"/>
        </w:rPr>
        <w:tab/>
      </w:r>
      <w:proofErr w:type="gramStart"/>
      <w:r w:rsidRPr="00443040">
        <w:rPr>
          <w:color w:val="auto"/>
          <w:sz w:val="20"/>
          <w:lang w:val="es-ES"/>
        </w:rPr>
        <w:t>Análisis</w:t>
      </w:r>
      <w:proofErr w:type="gramEnd"/>
      <w:r w:rsidRPr="00443040">
        <w:rPr>
          <w:color w:val="auto"/>
          <w:sz w:val="20"/>
          <w:lang w:val="es-ES"/>
        </w:rPr>
        <w:t xml:space="preserve"> de la SLP evaluado por el investigador con los datos de la fecha de corte del 30 de noviembre de 2010.</w:t>
      </w:r>
    </w:p>
    <w:p w14:paraId="6444BDF5" w14:textId="77777777" w:rsidR="00FB24C0" w:rsidRPr="00443040" w:rsidRDefault="00FB24C0" w:rsidP="00FB24C0">
      <w:pPr>
        <w:spacing w:after="0" w:line="240" w:lineRule="auto"/>
        <w:ind w:left="567" w:hanging="567"/>
        <w:rPr>
          <w:color w:val="auto"/>
          <w:sz w:val="20"/>
          <w:lang w:val="es-ES"/>
        </w:rPr>
      </w:pPr>
      <w:r w:rsidRPr="00443040">
        <w:rPr>
          <w:color w:val="auto"/>
          <w:sz w:val="20"/>
          <w:vertAlign w:val="superscript"/>
          <w:lang w:val="es-ES"/>
        </w:rPr>
        <w:t>3</w:t>
      </w:r>
      <w:r w:rsidRPr="00443040">
        <w:rPr>
          <w:color w:val="auto"/>
          <w:sz w:val="20"/>
          <w:lang w:val="es-ES"/>
        </w:rPr>
        <w:tab/>
      </w:r>
      <w:proofErr w:type="gramStart"/>
      <w:r w:rsidRPr="00443040">
        <w:rPr>
          <w:color w:val="auto"/>
          <w:sz w:val="20"/>
          <w:lang w:val="es-ES"/>
        </w:rPr>
        <w:t>El</w:t>
      </w:r>
      <w:proofErr w:type="gramEnd"/>
      <w:r w:rsidRPr="00443040">
        <w:rPr>
          <w:color w:val="auto"/>
          <w:sz w:val="20"/>
          <w:lang w:val="es-ES"/>
        </w:rPr>
        <w:t xml:space="preserve"> análisis final de la supervivencia global se realizó cuando el 46,7% de los pacientes había muerto con los datos de la fecha de corte del 31 de marzo de 2013.</w:t>
      </w:r>
    </w:p>
    <w:p w14:paraId="3C3841DC" w14:textId="77777777" w:rsidR="00FB24C0" w:rsidRPr="004936D5" w:rsidRDefault="00FB24C0" w:rsidP="00FB24C0">
      <w:pPr>
        <w:spacing w:after="0" w:line="240" w:lineRule="auto"/>
        <w:ind w:left="0" w:firstLine="0"/>
        <w:rPr>
          <w:color w:val="auto"/>
          <w:lang w:val="es-ES"/>
        </w:rPr>
      </w:pPr>
    </w:p>
    <w:p w14:paraId="5543774D" w14:textId="77777777" w:rsidR="00FB24C0" w:rsidRPr="004936D5" w:rsidRDefault="00FB24C0" w:rsidP="00FB24C0">
      <w:pPr>
        <w:spacing w:after="0" w:line="240" w:lineRule="auto"/>
        <w:ind w:left="0" w:firstLine="0"/>
        <w:rPr>
          <w:color w:val="auto"/>
          <w:lang w:val="es-ES"/>
        </w:rPr>
      </w:pPr>
      <w:r w:rsidRPr="004936D5">
        <w:rPr>
          <w:color w:val="auto"/>
          <w:lang w:val="es-ES"/>
        </w:rPr>
        <w:t>El análisis principal de la SLP evaluada por el investigador en la fecha de corte de datos del 28 de febrero de 2010, muestra una razón de riesgo no estratificada de 0,79 (IC del 95%: 0,68-0,91, valor de p de log-</w:t>
      </w:r>
      <w:proofErr w:type="spellStart"/>
      <w:r w:rsidRPr="004936D5">
        <w:rPr>
          <w:color w:val="auto"/>
          <w:lang w:val="es-ES"/>
        </w:rPr>
        <w:t>rank</w:t>
      </w:r>
      <w:proofErr w:type="spellEnd"/>
      <w:r w:rsidRPr="004936D5">
        <w:rPr>
          <w:color w:val="auto"/>
          <w:lang w:val="es-ES"/>
        </w:rPr>
        <w:t xml:space="preserve"> unilateral 0,0010), con una mediana de SLP de 16,0</w:t>
      </w:r>
      <w:r w:rsidR="007B64A6">
        <w:rPr>
          <w:color w:val="auto"/>
          <w:lang w:val="es-ES"/>
        </w:rPr>
        <w:t xml:space="preserve"> meses en el brazo CP y de 18,3 </w:t>
      </w:r>
      <w:r w:rsidRPr="004936D5">
        <w:rPr>
          <w:color w:val="auto"/>
          <w:lang w:val="es-ES"/>
        </w:rPr>
        <w:t>meses en el brazo CPB7</w:t>
      </w:r>
      <w:r w:rsidR="00D1096C" w:rsidRPr="004936D5">
        <w:rPr>
          <w:color w:val="auto"/>
          <w:lang w:val="es-ES"/>
        </w:rPr>
        <w:t>,5</w:t>
      </w:r>
      <w:r w:rsidRPr="004936D5">
        <w:rPr>
          <w:color w:val="auto"/>
          <w:lang w:val="es-ES"/>
        </w:rPr>
        <w:t>+.</w:t>
      </w:r>
    </w:p>
    <w:p w14:paraId="1844B1C5" w14:textId="77777777" w:rsidR="00FB24C0" w:rsidRPr="004936D5" w:rsidRDefault="00FB24C0" w:rsidP="00FB24C0">
      <w:pPr>
        <w:spacing w:after="0" w:line="240" w:lineRule="auto"/>
        <w:ind w:left="0" w:firstLine="0"/>
        <w:rPr>
          <w:color w:val="auto"/>
          <w:lang w:val="es-ES"/>
        </w:rPr>
      </w:pPr>
    </w:p>
    <w:p w14:paraId="1E64A284" w14:textId="5A2DC5AC" w:rsidR="00FB24C0" w:rsidRPr="004936D5" w:rsidRDefault="00FB24C0" w:rsidP="00FB24C0">
      <w:pPr>
        <w:spacing w:after="0" w:line="240" w:lineRule="auto"/>
        <w:ind w:left="0" w:firstLine="0"/>
        <w:rPr>
          <w:color w:val="auto"/>
          <w:lang w:val="es-ES"/>
        </w:rPr>
      </w:pPr>
      <w:r w:rsidRPr="004936D5">
        <w:rPr>
          <w:color w:val="auto"/>
          <w:lang w:val="es-ES"/>
        </w:rPr>
        <w:t xml:space="preserve">El análisis por subgrupos de la SLP según el estadio de la enfermedad y el grado de la </w:t>
      </w:r>
      <w:proofErr w:type="spellStart"/>
      <w:r w:rsidRPr="004936D5">
        <w:rPr>
          <w:color w:val="auto"/>
          <w:lang w:val="es-ES"/>
        </w:rPr>
        <w:t>citorreducción</w:t>
      </w:r>
      <w:proofErr w:type="spellEnd"/>
      <w:r w:rsidRPr="004936D5">
        <w:rPr>
          <w:color w:val="auto"/>
          <w:lang w:val="es-ES"/>
        </w:rPr>
        <w:t xml:space="preserve"> se presenta en la </w:t>
      </w:r>
      <w:r w:rsidR="00471B84">
        <w:rPr>
          <w:color w:val="auto"/>
          <w:lang w:val="es-ES"/>
        </w:rPr>
        <w:t>t</w:t>
      </w:r>
      <w:r w:rsidRPr="004936D5">
        <w:rPr>
          <w:color w:val="auto"/>
          <w:lang w:val="es-ES"/>
        </w:rPr>
        <w:t>abla 1</w:t>
      </w:r>
      <w:r w:rsidR="0071031C">
        <w:rPr>
          <w:color w:val="auto"/>
          <w:lang w:val="es-ES"/>
        </w:rPr>
        <w:t>9</w:t>
      </w:r>
      <w:r w:rsidRPr="004936D5">
        <w:rPr>
          <w:color w:val="auto"/>
          <w:lang w:val="es-ES"/>
        </w:rPr>
        <w:t xml:space="preserve">. Estos resultados demuestran la robustez del análisis principal de la SLP que se muestran en la </w:t>
      </w:r>
      <w:r w:rsidR="00471B84">
        <w:rPr>
          <w:color w:val="auto"/>
          <w:lang w:val="es-ES"/>
        </w:rPr>
        <w:t>t</w:t>
      </w:r>
      <w:r w:rsidRPr="004936D5">
        <w:rPr>
          <w:color w:val="auto"/>
          <w:lang w:val="es-ES"/>
        </w:rPr>
        <w:t>abla 1</w:t>
      </w:r>
      <w:r w:rsidR="0071031C">
        <w:rPr>
          <w:color w:val="auto"/>
          <w:lang w:val="es-ES"/>
        </w:rPr>
        <w:t>8</w:t>
      </w:r>
      <w:r w:rsidRPr="004936D5">
        <w:rPr>
          <w:color w:val="auto"/>
          <w:lang w:val="es-ES"/>
        </w:rPr>
        <w:t>.</w:t>
      </w:r>
    </w:p>
    <w:p w14:paraId="15BB7487" w14:textId="77777777" w:rsidR="00FB24C0" w:rsidRPr="004936D5" w:rsidRDefault="00FB24C0" w:rsidP="00FB24C0">
      <w:pPr>
        <w:spacing w:after="0" w:line="240" w:lineRule="auto"/>
        <w:ind w:left="0" w:firstLine="0"/>
        <w:rPr>
          <w:color w:val="auto"/>
          <w:lang w:val="es-ES"/>
        </w:rPr>
      </w:pPr>
    </w:p>
    <w:p w14:paraId="537218F6" w14:textId="6E932BB2" w:rsidR="00FB24C0" w:rsidRPr="004936D5" w:rsidRDefault="00FB24C0" w:rsidP="0077380B">
      <w:pPr>
        <w:keepNext/>
        <w:spacing w:after="0" w:line="240" w:lineRule="auto"/>
        <w:ind w:left="0" w:firstLine="0"/>
        <w:rPr>
          <w:b/>
          <w:color w:val="auto"/>
          <w:lang w:val="es-ES"/>
        </w:rPr>
      </w:pPr>
      <w:r w:rsidRPr="004936D5">
        <w:rPr>
          <w:b/>
          <w:color w:val="auto"/>
          <w:lang w:val="es-ES"/>
        </w:rPr>
        <w:t xml:space="preserve">Tabla </w:t>
      </w:r>
      <w:r w:rsidR="004943CA" w:rsidRPr="004936D5">
        <w:rPr>
          <w:b/>
          <w:color w:val="auto"/>
          <w:lang w:val="es-ES"/>
        </w:rPr>
        <w:t>1</w:t>
      </w:r>
      <w:r w:rsidR="0071031C">
        <w:rPr>
          <w:b/>
          <w:color w:val="auto"/>
          <w:lang w:val="es-ES"/>
        </w:rPr>
        <w:t>9</w:t>
      </w:r>
      <w:r w:rsidR="0077380B" w:rsidRPr="004936D5">
        <w:rPr>
          <w:b/>
          <w:color w:val="auto"/>
          <w:lang w:val="es-ES"/>
        </w:rPr>
        <w:t>.</w:t>
      </w:r>
      <w:r w:rsidRPr="004936D5">
        <w:rPr>
          <w:b/>
          <w:color w:val="auto"/>
          <w:lang w:val="es-ES"/>
        </w:rPr>
        <w:t xml:space="preserve"> Resultados de SLP</w:t>
      </w:r>
      <w:r w:rsidRPr="00B727A2">
        <w:rPr>
          <w:b/>
          <w:color w:val="auto"/>
          <w:vertAlign w:val="superscript"/>
          <w:lang w:val="es-ES"/>
        </w:rPr>
        <w:t>1</w:t>
      </w:r>
      <w:r w:rsidRPr="004936D5">
        <w:rPr>
          <w:b/>
          <w:color w:val="auto"/>
          <w:lang w:val="es-ES"/>
        </w:rPr>
        <w:t xml:space="preserve"> del ensayo BO17707 (ICON7) por estadio de la enfermedad y grado de la </w:t>
      </w:r>
      <w:proofErr w:type="spellStart"/>
      <w:r w:rsidRPr="004936D5">
        <w:rPr>
          <w:b/>
          <w:color w:val="auto"/>
          <w:lang w:val="es-ES"/>
        </w:rPr>
        <w:t>citorreducción</w:t>
      </w:r>
      <w:proofErr w:type="spellEnd"/>
    </w:p>
    <w:p w14:paraId="5B347EDD" w14:textId="77777777" w:rsidR="00FB24C0" w:rsidRPr="004936D5" w:rsidRDefault="00FB24C0" w:rsidP="00E80098">
      <w:pPr>
        <w:keepNext/>
        <w:spacing w:after="0" w:line="240" w:lineRule="auto"/>
        <w:ind w:left="0" w:firstLine="0"/>
        <w:rPr>
          <w:color w:val="auto"/>
          <w:lang w:val="es-ES"/>
        </w:rPr>
      </w:pPr>
    </w:p>
    <w:tbl>
      <w:tblPr>
        <w:tblW w:w="90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8"/>
        <w:gridCol w:w="2765"/>
        <w:gridCol w:w="3319"/>
      </w:tblGrid>
      <w:tr w:rsidR="00E80098" w:rsidRPr="00714463" w14:paraId="312171A3" w14:textId="77777777" w:rsidTr="00FA216F">
        <w:trPr>
          <w:trHeight w:val="294"/>
        </w:trPr>
        <w:tc>
          <w:tcPr>
            <w:tcW w:w="9002" w:type="dxa"/>
            <w:gridSpan w:val="3"/>
            <w:noWrap/>
            <w:vAlign w:val="bottom"/>
          </w:tcPr>
          <w:p w14:paraId="07F3DAE6" w14:textId="77777777" w:rsidR="00E80098" w:rsidRPr="00651AAE" w:rsidRDefault="00E80098" w:rsidP="00B12E27">
            <w:pPr>
              <w:spacing w:after="0" w:line="240" w:lineRule="auto"/>
              <w:ind w:left="0" w:firstLine="0"/>
              <w:rPr>
                <w:color w:val="auto"/>
                <w:lang w:val="es-ES"/>
              </w:rPr>
            </w:pPr>
            <w:r w:rsidRPr="00651AAE">
              <w:rPr>
                <w:color w:val="auto"/>
                <w:lang w:val="es-ES"/>
              </w:rPr>
              <w:t xml:space="preserve">Pacientes aleatorizados con estadio III y </w:t>
            </w:r>
            <w:proofErr w:type="spellStart"/>
            <w:r w:rsidRPr="00651AAE">
              <w:rPr>
                <w:color w:val="auto"/>
                <w:lang w:val="es-ES"/>
              </w:rPr>
              <w:t>citorreducción</w:t>
            </w:r>
            <w:proofErr w:type="spellEnd"/>
            <w:r w:rsidRPr="00651AAE">
              <w:rPr>
                <w:color w:val="auto"/>
                <w:lang w:val="es-ES"/>
              </w:rPr>
              <w:t xml:space="preserve"> óptima</w:t>
            </w:r>
            <w:r w:rsidRPr="00651AAE">
              <w:rPr>
                <w:color w:val="auto"/>
                <w:vertAlign w:val="superscript"/>
                <w:lang w:val="es-ES"/>
              </w:rPr>
              <w:t>2,3</w:t>
            </w:r>
          </w:p>
        </w:tc>
      </w:tr>
      <w:tr w:rsidR="00E80098" w:rsidRPr="00651AAE" w14:paraId="0023C840" w14:textId="77777777" w:rsidTr="004936D5">
        <w:trPr>
          <w:trHeight w:val="452"/>
          <w:tblHeader/>
        </w:trPr>
        <w:tc>
          <w:tcPr>
            <w:tcW w:w="2918" w:type="dxa"/>
            <w:noWrap/>
            <w:vAlign w:val="bottom"/>
          </w:tcPr>
          <w:p w14:paraId="6B114A03" w14:textId="77777777" w:rsidR="00E80098" w:rsidRPr="00651AAE" w:rsidRDefault="00E80098" w:rsidP="00B12E27">
            <w:pPr>
              <w:spacing w:after="0" w:line="240" w:lineRule="auto"/>
              <w:ind w:left="0" w:firstLine="0"/>
              <w:rPr>
                <w:lang w:val="es-ES"/>
              </w:rPr>
            </w:pPr>
          </w:p>
        </w:tc>
        <w:tc>
          <w:tcPr>
            <w:tcW w:w="2765" w:type="dxa"/>
            <w:noWrap/>
          </w:tcPr>
          <w:p w14:paraId="11514017" w14:textId="77777777" w:rsidR="00E80098" w:rsidRPr="00651AAE" w:rsidRDefault="00E80098" w:rsidP="00B12E27">
            <w:pPr>
              <w:tabs>
                <w:tab w:val="left" w:pos="567"/>
              </w:tabs>
              <w:spacing w:after="0" w:line="240" w:lineRule="auto"/>
              <w:ind w:left="0" w:firstLine="0"/>
              <w:jc w:val="center"/>
              <w:rPr>
                <w:lang w:val="es-ES"/>
              </w:rPr>
            </w:pPr>
            <w:r w:rsidRPr="00651AAE">
              <w:rPr>
                <w:lang w:val="es-ES"/>
              </w:rPr>
              <w:t>CP</w:t>
            </w:r>
          </w:p>
          <w:p w14:paraId="75147484" w14:textId="77777777" w:rsidR="00E80098" w:rsidRPr="00651AAE" w:rsidRDefault="00E80098" w:rsidP="00F94E4F">
            <w:pPr>
              <w:spacing w:after="0" w:line="240" w:lineRule="auto"/>
              <w:ind w:left="0" w:firstLine="0"/>
              <w:jc w:val="center"/>
              <w:rPr>
                <w:lang w:val="es-ES"/>
              </w:rPr>
            </w:pPr>
            <w:r w:rsidRPr="00651AAE">
              <w:rPr>
                <w:lang w:val="es-ES"/>
              </w:rPr>
              <w:t>(n</w:t>
            </w:r>
            <w:r w:rsidR="00F94E4F" w:rsidRPr="00E30038">
              <w:t> </w:t>
            </w:r>
            <w:r w:rsidRPr="00651AAE">
              <w:rPr>
                <w:lang w:val="es-ES"/>
              </w:rPr>
              <w:t>=</w:t>
            </w:r>
            <w:r w:rsidR="00F94E4F" w:rsidRPr="00E30038">
              <w:t> </w:t>
            </w:r>
            <w:r w:rsidRPr="00651AAE">
              <w:rPr>
                <w:lang w:val="es-ES"/>
              </w:rPr>
              <w:t>368)</w:t>
            </w:r>
          </w:p>
        </w:tc>
        <w:tc>
          <w:tcPr>
            <w:tcW w:w="3318" w:type="dxa"/>
            <w:noWrap/>
          </w:tcPr>
          <w:p w14:paraId="2CC6D4B4" w14:textId="77777777" w:rsidR="00E80098" w:rsidRPr="00651AAE" w:rsidRDefault="00E80098" w:rsidP="00B12E27">
            <w:pPr>
              <w:tabs>
                <w:tab w:val="left" w:pos="567"/>
              </w:tabs>
              <w:spacing w:after="0" w:line="240" w:lineRule="auto"/>
              <w:ind w:left="0" w:firstLine="0"/>
              <w:jc w:val="center"/>
              <w:rPr>
                <w:lang w:val="es-ES"/>
              </w:rPr>
            </w:pPr>
            <w:r w:rsidRPr="00651AAE">
              <w:rPr>
                <w:lang w:val="es-ES"/>
              </w:rPr>
              <w:t>CPB7,5+</w:t>
            </w:r>
          </w:p>
          <w:p w14:paraId="62DAD4D5" w14:textId="77777777" w:rsidR="00E80098" w:rsidRPr="00651AAE" w:rsidRDefault="00E80098" w:rsidP="00F94E4F">
            <w:pPr>
              <w:spacing w:after="0" w:line="240" w:lineRule="auto"/>
              <w:ind w:left="0" w:firstLine="0"/>
              <w:jc w:val="center"/>
              <w:rPr>
                <w:lang w:val="es-ES"/>
              </w:rPr>
            </w:pPr>
            <w:r w:rsidRPr="00651AAE">
              <w:rPr>
                <w:lang w:val="es-ES"/>
              </w:rPr>
              <w:t>(n</w:t>
            </w:r>
            <w:r w:rsidR="00F94E4F" w:rsidRPr="00E30038">
              <w:t> </w:t>
            </w:r>
            <w:r w:rsidRPr="00651AAE">
              <w:rPr>
                <w:lang w:val="es-ES"/>
              </w:rPr>
              <w:t>=</w:t>
            </w:r>
            <w:r w:rsidR="00F94E4F" w:rsidRPr="00E30038">
              <w:t> </w:t>
            </w:r>
            <w:r w:rsidRPr="00651AAE">
              <w:rPr>
                <w:lang w:val="es-ES"/>
              </w:rPr>
              <w:t>383)</w:t>
            </w:r>
          </w:p>
        </w:tc>
      </w:tr>
      <w:tr w:rsidR="00E80098" w:rsidRPr="001D2A67" w14:paraId="527E14DD" w14:textId="77777777" w:rsidTr="004936D5">
        <w:trPr>
          <w:trHeight w:val="229"/>
        </w:trPr>
        <w:tc>
          <w:tcPr>
            <w:tcW w:w="2918" w:type="dxa"/>
            <w:noWrap/>
          </w:tcPr>
          <w:p w14:paraId="77C5DCB2" w14:textId="77777777" w:rsidR="00E80098" w:rsidRPr="0077380B" w:rsidRDefault="00E80098" w:rsidP="00B12E27">
            <w:pPr>
              <w:spacing w:after="0" w:line="240" w:lineRule="auto"/>
              <w:ind w:left="567" w:firstLine="0"/>
              <w:rPr>
                <w:lang w:val="es-ES"/>
              </w:rPr>
            </w:pPr>
            <w:r w:rsidRPr="001D2A67">
              <w:rPr>
                <w:lang w:val="es-ES"/>
              </w:rPr>
              <w:t>Mediana SLP (meses)</w:t>
            </w:r>
          </w:p>
        </w:tc>
        <w:tc>
          <w:tcPr>
            <w:tcW w:w="2765" w:type="dxa"/>
            <w:noWrap/>
          </w:tcPr>
          <w:p w14:paraId="7CB08143" w14:textId="77777777" w:rsidR="00E80098" w:rsidRPr="0077380B" w:rsidRDefault="00E80098" w:rsidP="00B12E27">
            <w:pPr>
              <w:spacing w:after="0" w:line="240" w:lineRule="auto"/>
              <w:ind w:left="0" w:firstLine="0"/>
              <w:jc w:val="center"/>
              <w:rPr>
                <w:lang w:val="es-ES"/>
              </w:rPr>
            </w:pPr>
            <w:r w:rsidRPr="001D2A67">
              <w:rPr>
                <w:lang w:val="es-ES"/>
              </w:rPr>
              <w:t>17,7</w:t>
            </w:r>
          </w:p>
        </w:tc>
        <w:tc>
          <w:tcPr>
            <w:tcW w:w="3318" w:type="dxa"/>
            <w:noWrap/>
          </w:tcPr>
          <w:p w14:paraId="1A5BE572" w14:textId="77777777" w:rsidR="00E80098" w:rsidRPr="001D2A67" w:rsidRDefault="00E80098" w:rsidP="00B12E27">
            <w:pPr>
              <w:spacing w:after="0" w:line="240" w:lineRule="auto"/>
              <w:ind w:left="0" w:firstLine="0"/>
              <w:jc w:val="center"/>
            </w:pPr>
            <w:r w:rsidRPr="001D2A67">
              <w:rPr>
                <w:lang w:val="es-ES"/>
              </w:rPr>
              <w:t>19,3</w:t>
            </w:r>
          </w:p>
        </w:tc>
      </w:tr>
      <w:tr w:rsidR="00E80098" w:rsidRPr="001D2A67" w14:paraId="4C45D367" w14:textId="77777777" w:rsidTr="004936D5">
        <w:trPr>
          <w:trHeight w:val="542"/>
        </w:trPr>
        <w:tc>
          <w:tcPr>
            <w:tcW w:w="2918" w:type="dxa"/>
            <w:noWrap/>
          </w:tcPr>
          <w:p w14:paraId="49F342F1" w14:textId="77777777" w:rsidR="00E80098" w:rsidRPr="001D2A67" w:rsidRDefault="009E3815" w:rsidP="00B12E27">
            <w:pPr>
              <w:spacing w:after="0" w:line="240" w:lineRule="auto"/>
              <w:ind w:left="567" w:firstLine="0"/>
              <w:rPr>
                <w:lang w:val="nb-NO"/>
              </w:rPr>
            </w:pPr>
            <w:r>
              <w:rPr>
                <w:lang w:val="es-ES"/>
              </w:rPr>
              <w:t>Razón de riesgo (IC del 95%</w:t>
            </w:r>
            <w:r w:rsidR="00E80098" w:rsidRPr="001D2A67">
              <w:rPr>
                <w:lang w:val="es-ES"/>
              </w:rPr>
              <w:t>)</w:t>
            </w:r>
            <w:r w:rsidR="00E80098" w:rsidRPr="001D2A67">
              <w:rPr>
                <w:vertAlign w:val="superscript"/>
                <w:lang w:val="es-ES"/>
              </w:rPr>
              <w:t>4</w:t>
            </w:r>
          </w:p>
        </w:tc>
        <w:tc>
          <w:tcPr>
            <w:tcW w:w="2765" w:type="dxa"/>
            <w:noWrap/>
          </w:tcPr>
          <w:p w14:paraId="145BFD88" w14:textId="77777777" w:rsidR="00E80098" w:rsidRPr="001D2A67" w:rsidRDefault="00E80098" w:rsidP="00B12E27">
            <w:pPr>
              <w:spacing w:after="0" w:line="240" w:lineRule="auto"/>
              <w:ind w:left="0" w:firstLine="0"/>
              <w:jc w:val="center"/>
              <w:rPr>
                <w:lang w:val="nb-NO"/>
              </w:rPr>
            </w:pPr>
          </w:p>
        </w:tc>
        <w:tc>
          <w:tcPr>
            <w:tcW w:w="3318" w:type="dxa"/>
            <w:noWrap/>
          </w:tcPr>
          <w:p w14:paraId="281A060D" w14:textId="77777777" w:rsidR="00E80098" w:rsidRPr="001D2A67" w:rsidRDefault="00E80098" w:rsidP="00B12E27">
            <w:pPr>
              <w:tabs>
                <w:tab w:val="left" w:pos="567"/>
              </w:tabs>
              <w:spacing w:after="0" w:line="240" w:lineRule="auto"/>
              <w:ind w:left="0" w:firstLine="0"/>
              <w:jc w:val="center"/>
              <w:rPr>
                <w:lang w:val="es-ES"/>
              </w:rPr>
            </w:pPr>
            <w:r w:rsidRPr="001D2A67">
              <w:rPr>
                <w:lang w:val="es-ES"/>
              </w:rPr>
              <w:t>0,89</w:t>
            </w:r>
          </w:p>
          <w:p w14:paraId="0966EAAE" w14:textId="77777777" w:rsidR="00E80098" w:rsidRPr="001D2A67" w:rsidRDefault="00E80098" w:rsidP="00B12E27">
            <w:pPr>
              <w:spacing w:after="0" w:line="240" w:lineRule="auto"/>
              <w:ind w:left="0" w:firstLine="0"/>
              <w:jc w:val="center"/>
            </w:pPr>
            <w:r w:rsidRPr="001D2A67">
              <w:rPr>
                <w:lang w:val="es-ES"/>
              </w:rPr>
              <w:t>(0,74; 1,07)</w:t>
            </w:r>
          </w:p>
        </w:tc>
      </w:tr>
      <w:tr w:rsidR="00E80098" w:rsidRPr="00714463" w14:paraId="026E356E" w14:textId="77777777" w:rsidTr="004936D5">
        <w:trPr>
          <w:trHeight w:val="294"/>
        </w:trPr>
        <w:tc>
          <w:tcPr>
            <w:tcW w:w="9002" w:type="dxa"/>
            <w:gridSpan w:val="3"/>
            <w:noWrap/>
            <w:vAlign w:val="bottom"/>
          </w:tcPr>
          <w:p w14:paraId="2DCBE71E" w14:textId="77777777" w:rsidR="00E80098" w:rsidRPr="001D2A67" w:rsidRDefault="00E80098" w:rsidP="00B12E27">
            <w:pPr>
              <w:spacing w:after="0" w:line="240" w:lineRule="auto"/>
              <w:ind w:left="0" w:firstLine="0"/>
              <w:rPr>
                <w:color w:val="auto"/>
                <w:lang w:val="es-ES"/>
              </w:rPr>
            </w:pPr>
            <w:r w:rsidRPr="001D2A67">
              <w:rPr>
                <w:color w:val="auto"/>
                <w:lang w:val="es-ES"/>
              </w:rPr>
              <w:t xml:space="preserve">Pacientes aleatorizados con estadio III y </w:t>
            </w:r>
            <w:proofErr w:type="spellStart"/>
            <w:r w:rsidRPr="001D2A67">
              <w:rPr>
                <w:color w:val="auto"/>
                <w:lang w:val="es-ES"/>
              </w:rPr>
              <w:t>citorreducción</w:t>
            </w:r>
            <w:proofErr w:type="spellEnd"/>
            <w:r w:rsidRPr="001D2A67">
              <w:rPr>
                <w:color w:val="auto"/>
                <w:lang w:val="es-ES"/>
              </w:rPr>
              <w:t xml:space="preserve"> sub-óptima</w:t>
            </w:r>
            <w:r w:rsidRPr="001D2A67">
              <w:rPr>
                <w:color w:val="auto"/>
                <w:vertAlign w:val="superscript"/>
                <w:lang w:val="es-ES"/>
              </w:rPr>
              <w:t>3</w:t>
            </w:r>
          </w:p>
        </w:tc>
      </w:tr>
      <w:tr w:rsidR="00E80098" w:rsidRPr="001D2A67" w14:paraId="6CDB0673" w14:textId="77777777" w:rsidTr="004936D5">
        <w:trPr>
          <w:trHeight w:val="400"/>
        </w:trPr>
        <w:tc>
          <w:tcPr>
            <w:tcW w:w="2918" w:type="dxa"/>
            <w:noWrap/>
          </w:tcPr>
          <w:p w14:paraId="59047408" w14:textId="77777777" w:rsidR="00E80098" w:rsidRPr="00A51019" w:rsidRDefault="00E80098" w:rsidP="00B12E27">
            <w:pPr>
              <w:spacing w:after="0" w:line="240" w:lineRule="auto"/>
              <w:ind w:left="0" w:firstLine="0"/>
              <w:rPr>
                <w:lang w:val="es-ES"/>
              </w:rPr>
            </w:pPr>
          </w:p>
        </w:tc>
        <w:tc>
          <w:tcPr>
            <w:tcW w:w="2765" w:type="dxa"/>
            <w:noWrap/>
          </w:tcPr>
          <w:p w14:paraId="1AE44428" w14:textId="77777777" w:rsidR="00E80098" w:rsidRPr="001D2A67" w:rsidRDefault="00E80098" w:rsidP="00B12E27">
            <w:pPr>
              <w:tabs>
                <w:tab w:val="left" w:pos="567"/>
              </w:tabs>
              <w:spacing w:after="0" w:line="240" w:lineRule="auto"/>
              <w:ind w:left="0" w:firstLine="0"/>
              <w:jc w:val="center"/>
              <w:rPr>
                <w:lang w:val="es-ES"/>
              </w:rPr>
            </w:pPr>
            <w:r w:rsidRPr="001D2A67">
              <w:rPr>
                <w:lang w:val="es-ES"/>
              </w:rPr>
              <w:t>CP</w:t>
            </w:r>
          </w:p>
          <w:p w14:paraId="42177691" w14:textId="77777777" w:rsidR="00E80098" w:rsidRPr="001D2A67" w:rsidRDefault="00E80098" w:rsidP="00F94E4F">
            <w:pPr>
              <w:spacing w:after="0" w:line="240" w:lineRule="auto"/>
              <w:ind w:left="0" w:firstLine="0"/>
              <w:jc w:val="center"/>
            </w:pPr>
            <w:r w:rsidRPr="001D2A67">
              <w:rPr>
                <w:lang w:val="es-ES"/>
              </w:rPr>
              <w:t>(n</w:t>
            </w:r>
            <w:r w:rsidR="00F94E4F" w:rsidRPr="00E30038">
              <w:t> </w:t>
            </w:r>
            <w:r w:rsidRPr="001D2A67">
              <w:rPr>
                <w:lang w:val="es-ES"/>
              </w:rPr>
              <w:t>=</w:t>
            </w:r>
            <w:r w:rsidR="00F94E4F" w:rsidRPr="00E30038">
              <w:t> </w:t>
            </w:r>
            <w:r w:rsidRPr="001D2A67">
              <w:rPr>
                <w:lang w:val="es-ES"/>
              </w:rPr>
              <w:t>154)</w:t>
            </w:r>
          </w:p>
        </w:tc>
        <w:tc>
          <w:tcPr>
            <w:tcW w:w="3318" w:type="dxa"/>
            <w:noWrap/>
          </w:tcPr>
          <w:p w14:paraId="192C6FD2" w14:textId="77777777" w:rsidR="00E80098" w:rsidRPr="001D2A67" w:rsidRDefault="00E80098" w:rsidP="00B12E27">
            <w:pPr>
              <w:tabs>
                <w:tab w:val="left" w:pos="567"/>
              </w:tabs>
              <w:spacing w:after="0" w:line="240" w:lineRule="auto"/>
              <w:ind w:left="0" w:firstLine="0"/>
              <w:jc w:val="center"/>
              <w:rPr>
                <w:lang w:val="es-ES"/>
              </w:rPr>
            </w:pPr>
            <w:r w:rsidRPr="001D2A67">
              <w:rPr>
                <w:lang w:val="es-ES"/>
              </w:rPr>
              <w:t>CPB7,5+</w:t>
            </w:r>
          </w:p>
          <w:p w14:paraId="58CA8848" w14:textId="77777777" w:rsidR="00E80098" w:rsidRPr="001D2A67" w:rsidRDefault="00E80098" w:rsidP="00F94E4F">
            <w:pPr>
              <w:spacing w:after="0" w:line="240" w:lineRule="auto"/>
              <w:ind w:left="0" w:firstLine="0"/>
              <w:jc w:val="center"/>
            </w:pPr>
            <w:r w:rsidRPr="001D2A67">
              <w:rPr>
                <w:lang w:val="es-ES"/>
              </w:rPr>
              <w:t>(n</w:t>
            </w:r>
            <w:r w:rsidR="00F94E4F" w:rsidRPr="00E30038">
              <w:t> </w:t>
            </w:r>
            <w:r w:rsidRPr="001D2A67">
              <w:rPr>
                <w:lang w:val="es-ES"/>
              </w:rPr>
              <w:t>=</w:t>
            </w:r>
            <w:r w:rsidR="00F94E4F" w:rsidRPr="00E30038">
              <w:t> </w:t>
            </w:r>
            <w:r w:rsidRPr="001D2A67">
              <w:rPr>
                <w:lang w:val="es-ES"/>
              </w:rPr>
              <w:t>140)</w:t>
            </w:r>
          </w:p>
        </w:tc>
      </w:tr>
      <w:tr w:rsidR="00E80098" w:rsidRPr="001D2A67" w14:paraId="1DDE7194" w14:textId="77777777" w:rsidTr="004936D5">
        <w:trPr>
          <w:trHeight w:val="337"/>
        </w:trPr>
        <w:tc>
          <w:tcPr>
            <w:tcW w:w="2918" w:type="dxa"/>
            <w:noWrap/>
          </w:tcPr>
          <w:p w14:paraId="299350E1" w14:textId="77777777" w:rsidR="00E80098" w:rsidRPr="001D2A67" w:rsidRDefault="00E80098" w:rsidP="00B12E27">
            <w:pPr>
              <w:spacing w:after="0" w:line="240" w:lineRule="auto"/>
              <w:ind w:left="567" w:firstLine="0"/>
            </w:pPr>
            <w:r w:rsidRPr="001D2A67">
              <w:rPr>
                <w:lang w:val="es-ES"/>
              </w:rPr>
              <w:t>Mediana SLP (meses)</w:t>
            </w:r>
          </w:p>
        </w:tc>
        <w:tc>
          <w:tcPr>
            <w:tcW w:w="2765" w:type="dxa"/>
            <w:noWrap/>
          </w:tcPr>
          <w:p w14:paraId="13929F2F" w14:textId="77777777" w:rsidR="00E80098" w:rsidRPr="001D2A67" w:rsidRDefault="00E80098" w:rsidP="00B12E27">
            <w:pPr>
              <w:spacing w:after="0" w:line="240" w:lineRule="auto"/>
              <w:ind w:left="0" w:firstLine="0"/>
              <w:jc w:val="center"/>
            </w:pPr>
            <w:r w:rsidRPr="001D2A67">
              <w:rPr>
                <w:lang w:val="es-ES"/>
              </w:rPr>
              <w:t>10,1</w:t>
            </w:r>
          </w:p>
        </w:tc>
        <w:tc>
          <w:tcPr>
            <w:tcW w:w="3318" w:type="dxa"/>
            <w:noWrap/>
          </w:tcPr>
          <w:p w14:paraId="7AF18093" w14:textId="77777777" w:rsidR="00E80098" w:rsidRPr="001D2A67" w:rsidRDefault="00E80098" w:rsidP="00B12E27">
            <w:pPr>
              <w:spacing w:after="0" w:line="240" w:lineRule="auto"/>
              <w:ind w:left="0" w:firstLine="0"/>
              <w:jc w:val="center"/>
            </w:pPr>
            <w:r w:rsidRPr="001D2A67">
              <w:rPr>
                <w:lang w:val="es-ES"/>
              </w:rPr>
              <w:t>16,9</w:t>
            </w:r>
          </w:p>
        </w:tc>
      </w:tr>
      <w:tr w:rsidR="00E80098" w:rsidRPr="001D2A67" w14:paraId="577F5486" w14:textId="77777777" w:rsidTr="004936D5">
        <w:trPr>
          <w:trHeight w:val="738"/>
        </w:trPr>
        <w:tc>
          <w:tcPr>
            <w:tcW w:w="2918" w:type="dxa"/>
            <w:noWrap/>
          </w:tcPr>
          <w:p w14:paraId="79B7FD13" w14:textId="77777777" w:rsidR="00E80098" w:rsidRPr="001D2A67" w:rsidRDefault="009E3815" w:rsidP="00B12E27">
            <w:pPr>
              <w:spacing w:after="0" w:line="240" w:lineRule="auto"/>
              <w:ind w:left="567" w:firstLine="0"/>
              <w:rPr>
                <w:lang w:val="nb-NO"/>
              </w:rPr>
            </w:pPr>
            <w:r>
              <w:rPr>
                <w:lang w:val="es-ES"/>
              </w:rPr>
              <w:t>Razón de riesgo (IC del 95%</w:t>
            </w:r>
            <w:r w:rsidR="00E80098" w:rsidRPr="001D2A67">
              <w:rPr>
                <w:lang w:val="es-ES"/>
              </w:rPr>
              <w:t>)</w:t>
            </w:r>
            <w:r w:rsidR="00E80098" w:rsidRPr="001D2A67">
              <w:rPr>
                <w:vertAlign w:val="superscript"/>
                <w:lang w:val="es-ES"/>
              </w:rPr>
              <w:t>4</w:t>
            </w:r>
          </w:p>
        </w:tc>
        <w:tc>
          <w:tcPr>
            <w:tcW w:w="2765" w:type="dxa"/>
            <w:noWrap/>
          </w:tcPr>
          <w:p w14:paraId="2274B897" w14:textId="77777777" w:rsidR="00E80098" w:rsidRPr="001D2A67" w:rsidRDefault="00E80098" w:rsidP="00B12E27">
            <w:pPr>
              <w:spacing w:after="0" w:line="240" w:lineRule="auto"/>
              <w:ind w:left="0" w:firstLine="0"/>
              <w:jc w:val="center"/>
              <w:rPr>
                <w:lang w:val="nb-NO"/>
              </w:rPr>
            </w:pPr>
          </w:p>
        </w:tc>
        <w:tc>
          <w:tcPr>
            <w:tcW w:w="3318" w:type="dxa"/>
            <w:noWrap/>
          </w:tcPr>
          <w:p w14:paraId="72DA47E7" w14:textId="77777777" w:rsidR="00E80098" w:rsidRPr="001D2A67" w:rsidRDefault="00E80098" w:rsidP="00B12E27">
            <w:pPr>
              <w:tabs>
                <w:tab w:val="left" w:pos="567"/>
              </w:tabs>
              <w:spacing w:after="0" w:line="240" w:lineRule="auto"/>
              <w:ind w:left="0" w:firstLine="0"/>
              <w:jc w:val="center"/>
              <w:rPr>
                <w:lang w:val="es-ES"/>
              </w:rPr>
            </w:pPr>
            <w:r w:rsidRPr="001D2A67">
              <w:rPr>
                <w:lang w:val="es-ES"/>
              </w:rPr>
              <w:t>0,67</w:t>
            </w:r>
          </w:p>
          <w:p w14:paraId="3B055AF6" w14:textId="77777777" w:rsidR="00E80098" w:rsidRPr="001D2A67" w:rsidRDefault="00E80098" w:rsidP="00B12E27">
            <w:pPr>
              <w:spacing w:after="0" w:line="240" w:lineRule="auto"/>
              <w:ind w:left="0" w:firstLine="0"/>
              <w:jc w:val="center"/>
              <w:rPr>
                <w:lang w:val="nb-NO"/>
              </w:rPr>
            </w:pPr>
            <w:r w:rsidRPr="001D2A67">
              <w:rPr>
                <w:lang w:val="es-ES"/>
              </w:rPr>
              <w:t>(0,52; 0,87)</w:t>
            </w:r>
          </w:p>
        </w:tc>
      </w:tr>
      <w:tr w:rsidR="00E80098" w:rsidRPr="00714463" w14:paraId="3D2B1EAA" w14:textId="77777777" w:rsidTr="004936D5">
        <w:trPr>
          <w:trHeight w:val="294"/>
        </w:trPr>
        <w:tc>
          <w:tcPr>
            <w:tcW w:w="9002" w:type="dxa"/>
            <w:gridSpan w:val="3"/>
            <w:noWrap/>
            <w:vAlign w:val="bottom"/>
          </w:tcPr>
          <w:p w14:paraId="4ADA8B9F" w14:textId="77777777" w:rsidR="00E80098" w:rsidRPr="001D2A67" w:rsidRDefault="00E80098" w:rsidP="00B12E27">
            <w:pPr>
              <w:spacing w:after="0" w:line="240" w:lineRule="auto"/>
              <w:ind w:left="0" w:firstLine="0"/>
              <w:rPr>
                <w:color w:val="auto"/>
                <w:lang w:val="es-ES"/>
              </w:rPr>
            </w:pPr>
            <w:r w:rsidRPr="001D2A67">
              <w:rPr>
                <w:color w:val="auto"/>
                <w:lang w:val="es-ES"/>
              </w:rPr>
              <w:t xml:space="preserve">Pacientes aleatorizados </w:t>
            </w:r>
            <w:r w:rsidRPr="001D2A67">
              <w:rPr>
                <w:lang w:val="es-ES"/>
              </w:rPr>
              <w:t>con estadio IV de la enfermedad</w:t>
            </w:r>
          </w:p>
        </w:tc>
      </w:tr>
      <w:tr w:rsidR="00E80098" w:rsidRPr="001D2A67" w14:paraId="3035E68F" w14:textId="77777777" w:rsidTr="004936D5">
        <w:trPr>
          <w:trHeight w:val="474"/>
        </w:trPr>
        <w:tc>
          <w:tcPr>
            <w:tcW w:w="2918" w:type="dxa"/>
            <w:noWrap/>
          </w:tcPr>
          <w:p w14:paraId="3A4439AC" w14:textId="77777777" w:rsidR="00E80098" w:rsidRPr="001D2A67" w:rsidRDefault="00E80098" w:rsidP="00B12E27">
            <w:pPr>
              <w:spacing w:after="0" w:line="240" w:lineRule="auto"/>
              <w:ind w:left="0" w:firstLine="0"/>
              <w:rPr>
                <w:lang w:val="nb-NO"/>
              </w:rPr>
            </w:pPr>
          </w:p>
        </w:tc>
        <w:tc>
          <w:tcPr>
            <w:tcW w:w="2765" w:type="dxa"/>
            <w:noWrap/>
          </w:tcPr>
          <w:p w14:paraId="6665541F" w14:textId="77777777" w:rsidR="00E80098" w:rsidRPr="001D2A67" w:rsidRDefault="00E80098" w:rsidP="00B12E27">
            <w:pPr>
              <w:tabs>
                <w:tab w:val="left" w:pos="567"/>
              </w:tabs>
              <w:spacing w:after="0" w:line="240" w:lineRule="auto"/>
              <w:ind w:left="0" w:firstLine="0"/>
              <w:jc w:val="center"/>
              <w:rPr>
                <w:lang w:val="es-ES"/>
              </w:rPr>
            </w:pPr>
            <w:r w:rsidRPr="001D2A67">
              <w:rPr>
                <w:lang w:val="es-ES"/>
              </w:rPr>
              <w:t>CP</w:t>
            </w:r>
          </w:p>
          <w:p w14:paraId="585924E4" w14:textId="77777777" w:rsidR="00E80098" w:rsidRPr="001D2A67" w:rsidRDefault="00E80098" w:rsidP="00F94E4F">
            <w:pPr>
              <w:spacing w:after="0" w:line="240" w:lineRule="auto"/>
              <w:ind w:left="0" w:firstLine="0"/>
              <w:jc w:val="center"/>
              <w:rPr>
                <w:lang w:val="nb-NO"/>
              </w:rPr>
            </w:pPr>
            <w:r w:rsidRPr="001D2A67">
              <w:rPr>
                <w:lang w:val="es-ES"/>
              </w:rPr>
              <w:t>(n</w:t>
            </w:r>
            <w:r w:rsidR="00F94E4F" w:rsidRPr="00E30038">
              <w:t> </w:t>
            </w:r>
            <w:r w:rsidRPr="001D2A67">
              <w:rPr>
                <w:lang w:val="es-ES"/>
              </w:rPr>
              <w:t>=</w:t>
            </w:r>
            <w:r w:rsidR="00F94E4F" w:rsidRPr="00E30038">
              <w:t> </w:t>
            </w:r>
            <w:r w:rsidRPr="001D2A67">
              <w:rPr>
                <w:lang w:val="es-ES"/>
              </w:rPr>
              <w:t>97)</w:t>
            </w:r>
          </w:p>
        </w:tc>
        <w:tc>
          <w:tcPr>
            <w:tcW w:w="3318" w:type="dxa"/>
            <w:noWrap/>
          </w:tcPr>
          <w:p w14:paraId="6EE933CA" w14:textId="77777777" w:rsidR="00E80098" w:rsidRPr="001D2A67" w:rsidRDefault="00E80098" w:rsidP="00B12E27">
            <w:pPr>
              <w:tabs>
                <w:tab w:val="left" w:pos="567"/>
              </w:tabs>
              <w:spacing w:after="0" w:line="240" w:lineRule="auto"/>
              <w:ind w:left="0" w:firstLine="0"/>
              <w:jc w:val="center"/>
              <w:rPr>
                <w:lang w:val="es-ES"/>
              </w:rPr>
            </w:pPr>
            <w:r w:rsidRPr="001D2A67">
              <w:rPr>
                <w:lang w:val="es-ES"/>
              </w:rPr>
              <w:t>CPB7,5+</w:t>
            </w:r>
          </w:p>
          <w:p w14:paraId="0374BAFB" w14:textId="77777777" w:rsidR="00E80098" w:rsidRPr="001D2A67" w:rsidRDefault="00E80098" w:rsidP="00F94E4F">
            <w:pPr>
              <w:spacing w:after="0" w:line="240" w:lineRule="auto"/>
              <w:ind w:left="0" w:firstLine="0"/>
              <w:jc w:val="center"/>
              <w:rPr>
                <w:lang w:val="nb-NO"/>
              </w:rPr>
            </w:pPr>
            <w:r w:rsidRPr="001D2A67">
              <w:rPr>
                <w:lang w:val="es-ES"/>
              </w:rPr>
              <w:t>(n</w:t>
            </w:r>
            <w:r w:rsidR="00F94E4F" w:rsidRPr="00E30038">
              <w:t> </w:t>
            </w:r>
            <w:r w:rsidRPr="001D2A67">
              <w:rPr>
                <w:lang w:val="es-ES"/>
              </w:rPr>
              <w:t>=</w:t>
            </w:r>
            <w:r w:rsidR="00F94E4F" w:rsidRPr="00E30038">
              <w:t> </w:t>
            </w:r>
            <w:r w:rsidRPr="001D2A67">
              <w:rPr>
                <w:lang w:val="es-ES"/>
              </w:rPr>
              <w:t>104)</w:t>
            </w:r>
          </w:p>
        </w:tc>
      </w:tr>
      <w:tr w:rsidR="00E80098" w:rsidRPr="001D2A67" w14:paraId="04D018DD" w14:textId="77777777" w:rsidTr="004936D5">
        <w:trPr>
          <w:trHeight w:val="264"/>
        </w:trPr>
        <w:tc>
          <w:tcPr>
            <w:tcW w:w="2918" w:type="dxa"/>
            <w:noWrap/>
          </w:tcPr>
          <w:p w14:paraId="1EDAB858" w14:textId="77777777" w:rsidR="00E80098" w:rsidRPr="001D2A67" w:rsidRDefault="00E80098" w:rsidP="00B12E27">
            <w:pPr>
              <w:spacing w:after="0" w:line="240" w:lineRule="auto"/>
              <w:ind w:left="567" w:firstLine="0"/>
              <w:rPr>
                <w:lang w:val="nb-NO"/>
              </w:rPr>
            </w:pPr>
            <w:r w:rsidRPr="001D2A67">
              <w:rPr>
                <w:lang w:val="es-ES"/>
              </w:rPr>
              <w:t>Mediana SLP (meses)</w:t>
            </w:r>
          </w:p>
        </w:tc>
        <w:tc>
          <w:tcPr>
            <w:tcW w:w="2765" w:type="dxa"/>
            <w:noWrap/>
          </w:tcPr>
          <w:p w14:paraId="47DECAE1" w14:textId="77777777" w:rsidR="00E80098" w:rsidRPr="001D2A67" w:rsidRDefault="00E80098" w:rsidP="00B12E27">
            <w:pPr>
              <w:spacing w:after="0" w:line="240" w:lineRule="auto"/>
              <w:ind w:left="0" w:firstLine="0"/>
              <w:jc w:val="center"/>
              <w:rPr>
                <w:lang w:val="nb-NO"/>
              </w:rPr>
            </w:pPr>
            <w:r w:rsidRPr="001D2A67">
              <w:rPr>
                <w:lang w:val="es-ES"/>
              </w:rPr>
              <w:t>10,1</w:t>
            </w:r>
          </w:p>
        </w:tc>
        <w:tc>
          <w:tcPr>
            <w:tcW w:w="3318" w:type="dxa"/>
            <w:noWrap/>
          </w:tcPr>
          <w:p w14:paraId="4919FB72" w14:textId="77777777" w:rsidR="00E80098" w:rsidRPr="001D2A67" w:rsidRDefault="00E80098" w:rsidP="00B12E27">
            <w:pPr>
              <w:spacing w:after="0" w:line="240" w:lineRule="auto"/>
              <w:ind w:left="0" w:firstLine="0"/>
              <w:jc w:val="center"/>
              <w:rPr>
                <w:lang w:val="nb-NO"/>
              </w:rPr>
            </w:pPr>
            <w:r w:rsidRPr="001D2A67">
              <w:rPr>
                <w:lang w:val="es-ES"/>
              </w:rPr>
              <w:t>13,5</w:t>
            </w:r>
          </w:p>
        </w:tc>
      </w:tr>
      <w:tr w:rsidR="00E80098" w:rsidRPr="001D2A67" w14:paraId="5CAAE1EA" w14:textId="77777777" w:rsidTr="004936D5">
        <w:trPr>
          <w:trHeight w:val="564"/>
        </w:trPr>
        <w:tc>
          <w:tcPr>
            <w:tcW w:w="2918" w:type="dxa"/>
            <w:noWrap/>
          </w:tcPr>
          <w:p w14:paraId="3E567E99" w14:textId="77777777" w:rsidR="00E80098" w:rsidRPr="001D2A67" w:rsidRDefault="00E80098" w:rsidP="00B12E27">
            <w:pPr>
              <w:spacing w:after="0" w:line="240" w:lineRule="auto"/>
              <w:ind w:left="567" w:firstLine="0"/>
              <w:rPr>
                <w:lang w:val="nb-NO"/>
              </w:rPr>
            </w:pPr>
            <w:r w:rsidRPr="001D2A67">
              <w:rPr>
                <w:lang w:val="es-ES"/>
              </w:rPr>
              <w:t>Razón de riesg</w:t>
            </w:r>
            <w:r w:rsidR="009E3815">
              <w:rPr>
                <w:lang w:val="es-ES"/>
              </w:rPr>
              <w:t>o (IC del 95%</w:t>
            </w:r>
            <w:r w:rsidRPr="001D2A67">
              <w:rPr>
                <w:lang w:val="es-ES"/>
              </w:rPr>
              <w:t>)</w:t>
            </w:r>
            <w:r w:rsidRPr="001D2A67">
              <w:rPr>
                <w:vertAlign w:val="superscript"/>
                <w:lang w:val="es-ES"/>
              </w:rPr>
              <w:t>4</w:t>
            </w:r>
          </w:p>
        </w:tc>
        <w:tc>
          <w:tcPr>
            <w:tcW w:w="2765" w:type="dxa"/>
            <w:noWrap/>
          </w:tcPr>
          <w:p w14:paraId="174382C9" w14:textId="77777777" w:rsidR="00E80098" w:rsidRPr="001D2A67" w:rsidRDefault="00E80098" w:rsidP="00B12E27">
            <w:pPr>
              <w:spacing w:after="0" w:line="240" w:lineRule="auto"/>
              <w:ind w:left="0" w:firstLine="0"/>
              <w:jc w:val="center"/>
              <w:rPr>
                <w:lang w:val="nb-NO"/>
              </w:rPr>
            </w:pPr>
          </w:p>
        </w:tc>
        <w:tc>
          <w:tcPr>
            <w:tcW w:w="3318" w:type="dxa"/>
            <w:noWrap/>
          </w:tcPr>
          <w:p w14:paraId="13FD0C46" w14:textId="77777777" w:rsidR="00E80098" w:rsidRPr="001D2A67" w:rsidRDefault="00E80098" w:rsidP="00B12E27">
            <w:pPr>
              <w:tabs>
                <w:tab w:val="left" w:pos="567"/>
              </w:tabs>
              <w:spacing w:after="0" w:line="240" w:lineRule="auto"/>
              <w:ind w:left="0" w:firstLine="0"/>
              <w:jc w:val="center"/>
              <w:rPr>
                <w:lang w:val="es-ES"/>
              </w:rPr>
            </w:pPr>
            <w:r w:rsidRPr="001D2A67">
              <w:rPr>
                <w:lang w:val="es-ES"/>
              </w:rPr>
              <w:t>0,74</w:t>
            </w:r>
          </w:p>
          <w:p w14:paraId="6DCC9632" w14:textId="77777777" w:rsidR="00E80098" w:rsidRPr="001D2A67" w:rsidRDefault="00E80098" w:rsidP="00B12E27">
            <w:pPr>
              <w:spacing w:after="0" w:line="240" w:lineRule="auto"/>
              <w:ind w:left="0" w:firstLine="0"/>
              <w:jc w:val="center"/>
              <w:rPr>
                <w:lang w:val="nb-NO"/>
              </w:rPr>
            </w:pPr>
            <w:r w:rsidRPr="001D2A67">
              <w:rPr>
                <w:lang w:val="es-ES"/>
              </w:rPr>
              <w:t>(0,55; 1,01)</w:t>
            </w:r>
          </w:p>
        </w:tc>
      </w:tr>
    </w:tbl>
    <w:p w14:paraId="22A9C1A0" w14:textId="77777777" w:rsidR="00FB24C0" w:rsidRPr="00D455D8" w:rsidRDefault="00FB24C0" w:rsidP="00FB24C0">
      <w:pPr>
        <w:spacing w:after="0" w:line="240" w:lineRule="auto"/>
        <w:ind w:left="567" w:hanging="567"/>
        <w:rPr>
          <w:color w:val="auto"/>
          <w:sz w:val="20"/>
          <w:szCs w:val="20"/>
          <w:lang w:val="es-ES"/>
        </w:rPr>
      </w:pPr>
      <w:r w:rsidRPr="00D455D8">
        <w:rPr>
          <w:color w:val="auto"/>
          <w:sz w:val="20"/>
          <w:vertAlign w:val="superscript"/>
          <w:lang w:val="es-ES"/>
        </w:rPr>
        <w:t>1</w:t>
      </w:r>
      <w:r w:rsidRPr="00443040">
        <w:rPr>
          <w:color w:val="auto"/>
          <w:lang w:val="es-ES"/>
        </w:rPr>
        <w:tab/>
      </w:r>
      <w:proofErr w:type="gramStart"/>
      <w:r w:rsidRPr="00D455D8">
        <w:rPr>
          <w:color w:val="auto"/>
          <w:sz w:val="20"/>
          <w:szCs w:val="20"/>
          <w:lang w:val="es-ES"/>
        </w:rPr>
        <w:t>Análisis</w:t>
      </w:r>
      <w:proofErr w:type="gramEnd"/>
      <w:r w:rsidRPr="00D455D8">
        <w:rPr>
          <w:color w:val="auto"/>
          <w:sz w:val="20"/>
          <w:szCs w:val="20"/>
          <w:lang w:val="es-ES"/>
        </w:rPr>
        <w:t xml:space="preserve"> de la SLP evaluada por el investigador con los datos de la fecha de corte del 30 de noviembre de 2010.</w:t>
      </w:r>
    </w:p>
    <w:p w14:paraId="6575D504" w14:textId="77777777" w:rsidR="00FB24C0" w:rsidRPr="00D455D8" w:rsidRDefault="00FB24C0" w:rsidP="00FB24C0">
      <w:pPr>
        <w:spacing w:after="0" w:line="240" w:lineRule="auto"/>
        <w:ind w:left="567" w:hanging="567"/>
        <w:rPr>
          <w:color w:val="auto"/>
          <w:sz w:val="20"/>
          <w:szCs w:val="20"/>
          <w:lang w:val="es-ES"/>
        </w:rPr>
      </w:pPr>
      <w:r w:rsidRPr="00D455D8">
        <w:rPr>
          <w:color w:val="auto"/>
          <w:sz w:val="20"/>
          <w:szCs w:val="20"/>
          <w:vertAlign w:val="superscript"/>
          <w:lang w:val="es-ES"/>
        </w:rPr>
        <w:t>2</w:t>
      </w:r>
      <w:r w:rsidRPr="00D455D8">
        <w:rPr>
          <w:color w:val="auto"/>
          <w:sz w:val="20"/>
          <w:szCs w:val="20"/>
          <w:lang w:val="es-ES"/>
        </w:rPr>
        <w:tab/>
      </w:r>
      <w:proofErr w:type="gramStart"/>
      <w:r w:rsidRPr="00D455D8">
        <w:rPr>
          <w:color w:val="auto"/>
          <w:sz w:val="20"/>
          <w:szCs w:val="20"/>
          <w:lang w:val="es-ES"/>
        </w:rPr>
        <w:t>Con</w:t>
      </w:r>
      <w:proofErr w:type="gramEnd"/>
      <w:r w:rsidRPr="00D455D8">
        <w:rPr>
          <w:color w:val="auto"/>
          <w:sz w:val="20"/>
          <w:szCs w:val="20"/>
          <w:lang w:val="es-ES"/>
        </w:rPr>
        <w:t xml:space="preserve"> o sin enfermedad residual macroscópica.</w:t>
      </w:r>
    </w:p>
    <w:p w14:paraId="7479D5A3" w14:textId="77777777" w:rsidR="00FB24C0" w:rsidRPr="00D455D8" w:rsidRDefault="00FB24C0" w:rsidP="00FB24C0">
      <w:pPr>
        <w:spacing w:after="0" w:line="240" w:lineRule="auto"/>
        <w:ind w:left="567" w:hanging="567"/>
        <w:rPr>
          <w:color w:val="auto"/>
          <w:sz w:val="20"/>
          <w:szCs w:val="20"/>
          <w:lang w:val="es-ES"/>
        </w:rPr>
      </w:pPr>
      <w:r w:rsidRPr="00D455D8">
        <w:rPr>
          <w:color w:val="auto"/>
          <w:sz w:val="20"/>
          <w:szCs w:val="20"/>
          <w:vertAlign w:val="superscript"/>
          <w:lang w:val="es-ES"/>
        </w:rPr>
        <w:t>3</w:t>
      </w:r>
      <w:r w:rsidRPr="00D455D8">
        <w:rPr>
          <w:color w:val="auto"/>
          <w:sz w:val="20"/>
          <w:szCs w:val="20"/>
          <w:lang w:val="es-ES"/>
        </w:rPr>
        <w:tab/>
        <w:t>5,8% de todos los pacientes aleatorizados tenían estadio IIIB de la enfermedad.</w:t>
      </w:r>
    </w:p>
    <w:p w14:paraId="0105D098" w14:textId="77777777" w:rsidR="00FB24C0" w:rsidRPr="00D455D8" w:rsidRDefault="00FB24C0" w:rsidP="00FB24C0">
      <w:pPr>
        <w:spacing w:after="0" w:line="240" w:lineRule="auto"/>
        <w:ind w:left="567" w:hanging="567"/>
        <w:rPr>
          <w:color w:val="auto"/>
          <w:sz w:val="20"/>
          <w:szCs w:val="20"/>
          <w:lang w:val="es-ES"/>
        </w:rPr>
      </w:pPr>
      <w:r w:rsidRPr="00D455D8">
        <w:rPr>
          <w:color w:val="auto"/>
          <w:sz w:val="20"/>
          <w:szCs w:val="20"/>
          <w:vertAlign w:val="superscript"/>
          <w:lang w:val="es-ES"/>
        </w:rPr>
        <w:t>4</w:t>
      </w:r>
      <w:r w:rsidRPr="00D455D8">
        <w:rPr>
          <w:color w:val="auto"/>
          <w:sz w:val="20"/>
          <w:szCs w:val="20"/>
          <w:lang w:val="es-ES"/>
        </w:rPr>
        <w:tab/>
      </w:r>
      <w:proofErr w:type="gramStart"/>
      <w:r w:rsidRPr="00D455D8">
        <w:rPr>
          <w:color w:val="auto"/>
          <w:sz w:val="20"/>
          <w:szCs w:val="20"/>
          <w:lang w:val="es-ES"/>
        </w:rPr>
        <w:t>Relativo</w:t>
      </w:r>
      <w:proofErr w:type="gramEnd"/>
      <w:r w:rsidRPr="00D455D8">
        <w:rPr>
          <w:color w:val="auto"/>
          <w:sz w:val="20"/>
          <w:szCs w:val="20"/>
          <w:lang w:val="es-ES"/>
        </w:rPr>
        <w:t xml:space="preserve"> al brazo control.</w:t>
      </w:r>
    </w:p>
    <w:p w14:paraId="57200CCB" w14:textId="77777777" w:rsidR="00FB24C0" w:rsidRPr="004936D5" w:rsidRDefault="00FB24C0" w:rsidP="00FB24C0">
      <w:pPr>
        <w:spacing w:after="0" w:line="240" w:lineRule="auto"/>
        <w:ind w:left="0" w:firstLine="0"/>
        <w:rPr>
          <w:color w:val="auto"/>
          <w:lang w:val="es-ES"/>
        </w:rPr>
      </w:pPr>
    </w:p>
    <w:p w14:paraId="03979CB8" w14:textId="77777777" w:rsidR="00FB24C0" w:rsidRPr="004936D5" w:rsidRDefault="00FB24C0" w:rsidP="00624B43">
      <w:pPr>
        <w:spacing w:after="0" w:line="240" w:lineRule="auto"/>
        <w:ind w:left="0" w:firstLine="0"/>
        <w:rPr>
          <w:i/>
          <w:color w:val="auto"/>
          <w:lang w:val="es-ES"/>
        </w:rPr>
      </w:pPr>
      <w:r w:rsidRPr="004936D5">
        <w:rPr>
          <w:i/>
          <w:color w:val="auto"/>
          <w:lang w:val="es-ES"/>
        </w:rPr>
        <w:t>Cáncer de ovario recurrente</w:t>
      </w:r>
    </w:p>
    <w:p w14:paraId="6A63FD08" w14:textId="77777777" w:rsidR="00FB24C0" w:rsidRPr="004936D5" w:rsidRDefault="00FB24C0" w:rsidP="00624B43">
      <w:pPr>
        <w:spacing w:after="0" w:line="240" w:lineRule="auto"/>
        <w:ind w:left="0" w:firstLine="0"/>
        <w:rPr>
          <w:color w:val="auto"/>
          <w:lang w:val="es-ES"/>
        </w:rPr>
      </w:pPr>
    </w:p>
    <w:p w14:paraId="18EF12F8" w14:textId="328D3CD6" w:rsidR="00FB24C0" w:rsidRPr="004936D5" w:rsidRDefault="00FB24C0" w:rsidP="00624B43">
      <w:pPr>
        <w:spacing w:after="0" w:line="240" w:lineRule="auto"/>
        <w:ind w:left="0" w:firstLine="0"/>
        <w:rPr>
          <w:color w:val="auto"/>
          <w:lang w:val="es-ES"/>
        </w:rPr>
      </w:pPr>
      <w:r w:rsidRPr="004936D5">
        <w:rPr>
          <w:color w:val="auto"/>
          <w:lang w:val="es-ES"/>
        </w:rPr>
        <w:t xml:space="preserve">La seguridad y la eficacia de </w:t>
      </w:r>
      <w:r w:rsidR="00863B46">
        <w:rPr>
          <w:color w:val="auto"/>
          <w:lang w:val="es-ES"/>
        </w:rPr>
        <w:t>bevacizumab</w:t>
      </w:r>
      <w:r w:rsidRPr="004936D5">
        <w:rPr>
          <w:color w:val="auto"/>
          <w:lang w:val="es-ES"/>
        </w:rPr>
        <w:t xml:space="preserve"> en el tratamiento del cáncer de ovario epitelial recurrente, trompa de Falopio o peritoneal primario se evaluó en tres ensayos clínicos fase III (AVF4095g, </w:t>
      </w:r>
      <w:r w:rsidRPr="00E760A4">
        <w:rPr>
          <w:color w:val="auto"/>
          <w:lang w:val="es-ES"/>
        </w:rPr>
        <w:t>MO22224</w:t>
      </w:r>
      <w:r w:rsidRPr="004936D5">
        <w:rPr>
          <w:color w:val="auto"/>
          <w:lang w:val="es-ES"/>
        </w:rPr>
        <w:t xml:space="preserve"> y GOG-0213) con diferentes poblaciones de pacientes y </w:t>
      </w:r>
      <w:r w:rsidR="005D0470">
        <w:rPr>
          <w:color w:val="auto"/>
          <w:lang w:val="es-ES"/>
        </w:rPr>
        <w:t>tratamientos</w:t>
      </w:r>
      <w:r w:rsidR="005D0470" w:rsidRPr="004936D5">
        <w:rPr>
          <w:color w:val="auto"/>
          <w:lang w:val="es-ES"/>
        </w:rPr>
        <w:t xml:space="preserve"> </w:t>
      </w:r>
      <w:r w:rsidRPr="004936D5">
        <w:rPr>
          <w:color w:val="auto"/>
          <w:lang w:val="es-ES"/>
        </w:rPr>
        <w:t>de quimioterapia.</w:t>
      </w:r>
    </w:p>
    <w:p w14:paraId="26B77FA0" w14:textId="77777777" w:rsidR="00FB24C0" w:rsidRPr="004936D5" w:rsidRDefault="00FB24C0" w:rsidP="00D161AB">
      <w:pPr>
        <w:keepNext/>
        <w:keepLines/>
        <w:spacing w:after="0" w:line="240" w:lineRule="auto"/>
        <w:ind w:left="0" w:firstLine="0"/>
        <w:rPr>
          <w:color w:val="auto"/>
          <w:lang w:val="es-ES"/>
        </w:rPr>
      </w:pPr>
    </w:p>
    <w:p w14:paraId="68A7D432" w14:textId="77777777" w:rsidR="00FB24C0" w:rsidRPr="004936D5" w:rsidRDefault="00FB24C0" w:rsidP="00D161AB">
      <w:pPr>
        <w:keepNext/>
        <w:keepLines/>
        <w:numPr>
          <w:ilvl w:val="0"/>
          <w:numId w:val="13"/>
        </w:numPr>
        <w:spacing w:after="0" w:line="240" w:lineRule="auto"/>
        <w:ind w:left="567" w:hanging="567"/>
        <w:rPr>
          <w:color w:val="auto"/>
          <w:lang w:val="es-ES"/>
        </w:rPr>
      </w:pPr>
      <w:r w:rsidRPr="004936D5">
        <w:rPr>
          <w:color w:val="auto"/>
          <w:lang w:val="es-ES"/>
        </w:rPr>
        <w:t xml:space="preserve">AVF4095g evaluó la eficacia y seguridad de bevacizumab en combinación con carboplatino y </w:t>
      </w:r>
      <w:proofErr w:type="spellStart"/>
      <w:r w:rsidRPr="004936D5">
        <w:rPr>
          <w:color w:val="auto"/>
          <w:lang w:val="es-ES"/>
        </w:rPr>
        <w:t>gemcitabina</w:t>
      </w:r>
      <w:proofErr w:type="spellEnd"/>
      <w:r w:rsidRPr="004936D5">
        <w:rPr>
          <w:color w:val="auto"/>
          <w:lang w:val="es-ES"/>
        </w:rPr>
        <w:t>, seguido de bevacizumab en monoterapia en pacientes con cáncer de ovario epitelial recurrente sensible a platino, trompa de Falopio o peritoneal primario.</w:t>
      </w:r>
    </w:p>
    <w:p w14:paraId="09846F6A" w14:textId="77777777" w:rsidR="00FB24C0" w:rsidRPr="004936D5" w:rsidRDefault="00FB24C0" w:rsidP="00FB24C0">
      <w:pPr>
        <w:numPr>
          <w:ilvl w:val="0"/>
          <w:numId w:val="13"/>
        </w:numPr>
        <w:spacing w:after="0" w:line="240" w:lineRule="auto"/>
        <w:ind w:left="567" w:hanging="567"/>
        <w:rPr>
          <w:color w:val="auto"/>
          <w:lang w:val="es-ES"/>
        </w:rPr>
      </w:pPr>
      <w:r w:rsidRPr="004936D5">
        <w:rPr>
          <w:color w:val="auto"/>
          <w:lang w:val="es-ES"/>
        </w:rPr>
        <w:t xml:space="preserve">GOG-0213 evaluó la eficacia y seguridad de bevacizumab en combinación con carboplatino y </w:t>
      </w:r>
      <w:proofErr w:type="spellStart"/>
      <w:r w:rsidRPr="004936D5">
        <w:rPr>
          <w:color w:val="auto"/>
          <w:lang w:val="es-ES"/>
        </w:rPr>
        <w:t>paclitaxel</w:t>
      </w:r>
      <w:proofErr w:type="spellEnd"/>
      <w:r w:rsidRPr="004936D5">
        <w:rPr>
          <w:color w:val="auto"/>
          <w:lang w:val="es-ES"/>
        </w:rPr>
        <w:t>, seguido de bevacizumab en monoterapia en pacientes con cáncer de ovario epitelial recurrente sensible a platino, trompa de Falopio o peritoneal primario.</w:t>
      </w:r>
    </w:p>
    <w:p w14:paraId="38B2E28A" w14:textId="77777777" w:rsidR="00FB24C0" w:rsidRPr="004936D5" w:rsidRDefault="00FB24C0" w:rsidP="00FB24C0">
      <w:pPr>
        <w:numPr>
          <w:ilvl w:val="0"/>
          <w:numId w:val="13"/>
        </w:numPr>
        <w:spacing w:after="0" w:line="240" w:lineRule="auto"/>
        <w:ind w:left="567" w:hanging="567"/>
        <w:rPr>
          <w:color w:val="auto"/>
          <w:lang w:val="es-ES"/>
        </w:rPr>
      </w:pPr>
      <w:r w:rsidRPr="00E760A4">
        <w:rPr>
          <w:color w:val="auto"/>
          <w:lang w:val="es-ES"/>
        </w:rPr>
        <w:t>MO22224</w:t>
      </w:r>
      <w:r w:rsidRPr="004936D5">
        <w:rPr>
          <w:color w:val="auto"/>
          <w:lang w:val="es-ES"/>
        </w:rPr>
        <w:t xml:space="preserve"> evaluó la eficacia y seguridad de bevacizumab en combinación con </w:t>
      </w:r>
      <w:proofErr w:type="spellStart"/>
      <w:r w:rsidRPr="004936D5">
        <w:rPr>
          <w:color w:val="auto"/>
          <w:lang w:val="es-ES"/>
        </w:rPr>
        <w:t>paclitaxel</w:t>
      </w:r>
      <w:proofErr w:type="spellEnd"/>
      <w:r w:rsidRPr="004936D5">
        <w:rPr>
          <w:color w:val="auto"/>
          <w:lang w:val="es-ES"/>
        </w:rPr>
        <w:t xml:space="preserve">, </w:t>
      </w:r>
      <w:proofErr w:type="spellStart"/>
      <w:r w:rsidRPr="004936D5">
        <w:rPr>
          <w:color w:val="auto"/>
          <w:lang w:val="es-ES"/>
        </w:rPr>
        <w:t>topotecán</w:t>
      </w:r>
      <w:proofErr w:type="spellEnd"/>
      <w:r w:rsidRPr="004936D5">
        <w:rPr>
          <w:color w:val="auto"/>
          <w:lang w:val="es-ES"/>
        </w:rPr>
        <w:t xml:space="preserve">, o doxorrubicina </w:t>
      </w:r>
      <w:proofErr w:type="spellStart"/>
      <w:r w:rsidRPr="004936D5">
        <w:rPr>
          <w:color w:val="auto"/>
          <w:lang w:val="es-ES"/>
        </w:rPr>
        <w:t>liposomal</w:t>
      </w:r>
      <w:proofErr w:type="spellEnd"/>
      <w:r w:rsidRPr="004936D5">
        <w:rPr>
          <w:color w:val="auto"/>
          <w:lang w:val="es-ES"/>
        </w:rPr>
        <w:t xml:space="preserve"> </w:t>
      </w:r>
      <w:proofErr w:type="spellStart"/>
      <w:r w:rsidRPr="004936D5">
        <w:rPr>
          <w:color w:val="auto"/>
          <w:lang w:val="es-ES"/>
        </w:rPr>
        <w:t>pegilada</w:t>
      </w:r>
      <w:proofErr w:type="spellEnd"/>
      <w:r w:rsidRPr="004936D5">
        <w:rPr>
          <w:color w:val="auto"/>
          <w:lang w:val="es-ES"/>
        </w:rPr>
        <w:t xml:space="preserve"> en pacientes con cáncer de ovario epitelial recurrente resistente a platino, trompa de Falopio o peritoneal primario.</w:t>
      </w:r>
    </w:p>
    <w:p w14:paraId="41A9A857" w14:textId="77777777" w:rsidR="00FB24C0" w:rsidRPr="004936D5" w:rsidRDefault="00FB24C0" w:rsidP="00FB24C0">
      <w:pPr>
        <w:spacing w:after="0" w:line="240" w:lineRule="auto"/>
        <w:ind w:left="0" w:firstLine="0"/>
        <w:rPr>
          <w:i/>
          <w:color w:val="auto"/>
          <w:lang w:val="es-ES"/>
        </w:rPr>
      </w:pPr>
    </w:p>
    <w:p w14:paraId="24ABF423" w14:textId="77777777" w:rsidR="00FB24C0" w:rsidRPr="004936D5" w:rsidRDefault="00FB24C0" w:rsidP="00C350A5">
      <w:pPr>
        <w:keepNext/>
        <w:spacing w:after="0" w:line="240" w:lineRule="auto"/>
        <w:ind w:left="0" w:firstLine="0"/>
        <w:rPr>
          <w:i/>
          <w:color w:val="auto"/>
          <w:lang w:val="es-ES"/>
        </w:rPr>
      </w:pPr>
      <w:r w:rsidRPr="004936D5">
        <w:rPr>
          <w:i/>
          <w:color w:val="auto"/>
          <w:lang w:val="es-ES"/>
        </w:rPr>
        <w:t>AVF4095g</w:t>
      </w:r>
    </w:p>
    <w:p w14:paraId="73C1B715" w14:textId="77777777" w:rsidR="00FB24C0" w:rsidRPr="004936D5" w:rsidRDefault="00FB24C0" w:rsidP="00FB24C0">
      <w:pPr>
        <w:spacing w:after="0" w:line="240" w:lineRule="auto"/>
        <w:ind w:left="0" w:firstLine="0"/>
        <w:rPr>
          <w:color w:val="auto"/>
          <w:lang w:val="es-ES"/>
        </w:rPr>
      </w:pPr>
      <w:r w:rsidRPr="004936D5">
        <w:rPr>
          <w:color w:val="auto"/>
          <w:lang w:val="es-ES"/>
        </w:rPr>
        <w:t xml:space="preserve">En un ensayo fase III, </w:t>
      </w:r>
      <w:proofErr w:type="spellStart"/>
      <w:r w:rsidRPr="004936D5">
        <w:rPr>
          <w:color w:val="auto"/>
          <w:lang w:val="es-ES"/>
        </w:rPr>
        <w:t>randomizado</w:t>
      </w:r>
      <w:proofErr w:type="spellEnd"/>
      <w:r w:rsidRPr="004936D5">
        <w:rPr>
          <w:color w:val="auto"/>
          <w:lang w:val="es-ES"/>
        </w:rPr>
        <w:t xml:space="preserve">, doble ciego y controlado con placebo (AVF4095g), se ha estudiado la seguridad y eficacia de </w:t>
      </w:r>
      <w:r w:rsidR="00F94E4F">
        <w:rPr>
          <w:color w:val="auto"/>
          <w:lang w:val="es-ES"/>
        </w:rPr>
        <w:t>b</w:t>
      </w:r>
      <w:r w:rsidR="00863B46">
        <w:rPr>
          <w:color w:val="auto"/>
          <w:lang w:val="es-ES"/>
        </w:rPr>
        <w:t>evacizumab</w:t>
      </w:r>
      <w:r w:rsidRPr="004936D5">
        <w:rPr>
          <w:color w:val="auto"/>
          <w:lang w:val="es-ES"/>
        </w:rPr>
        <w:t xml:space="preserve"> en el tratamiento de pacientes con cáncer de ovario epitelial sensible a platino y recurrente, de trompa de Falopio, o peritoneal primario que no habían recibido previamente quimioterapia o tratamiento previo con bevacizumab. El estudio comparó el efecto de añadir </w:t>
      </w:r>
      <w:r w:rsidR="00863B46">
        <w:rPr>
          <w:color w:val="auto"/>
          <w:lang w:val="es-ES"/>
        </w:rPr>
        <w:t>bevacizumab</w:t>
      </w:r>
      <w:r w:rsidRPr="004936D5">
        <w:rPr>
          <w:color w:val="auto"/>
          <w:lang w:val="es-ES"/>
        </w:rPr>
        <w:t xml:space="preserve"> a la quimioterapia de carboplatino y </w:t>
      </w:r>
      <w:proofErr w:type="spellStart"/>
      <w:r w:rsidRPr="004936D5">
        <w:rPr>
          <w:color w:val="auto"/>
          <w:lang w:val="es-ES"/>
        </w:rPr>
        <w:t>gemcitabina</w:t>
      </w:r>
      <w:proofErr w:type="spellEnd"/>
      <w:r w:rsidRPr="004936D5">
        <w:rPr>
          <w:color w:val="auto"/>
          <w:lang w:val="es-ES"/>
        </w:rPr>
        <w:t xml:space="preserve"> y continuando el tratamiento con </w:t>
      </w:r>
      <w:r w:rsidR="00863B46">
        <w:rPr>
          <w:color w:val="auto"/>
          <w:lang w:val="es-ES"/>
        </w:rPr>
        <w:t>bevacizumab</w:t>
      </w:r>
      <w:r w:rsidRPr="004936D5">
        <w:rPr>
          <w:color w:val="auto"/>
          <w:lang w:val="es-ES"/>
        </w:rPr>
        <w:t xml:space="preserve"> en monoterapia hasta progresión, frente a la combinación de carboplatino y </w:t>
      </w:r>
      <w:proofErr w:type="spellStart"/>
      <w:r w:rsidRPr="004936D5">
        <w:rPr>
          <w:color w:val="auto"/>
          <w:lang w:val="es-ES"/>
        </w:rPr>
        <w:t>gemcitabina</w:t>
      </w:r>
      <w:proofErr w:type="spellEnd"/>
      <w:r w:rsidRPr="004936D5">
        <w:rPr>
          <w:color w:val="auto"/>
          <w:lang w:val="es-ES"/>
        </w:rPr>
        <w:t>.</w:t>
      </w:r>
    </w:p>
    <w:p w14:paraId="69998EB2" w14:textId="77777777" w:rsidR="00FB24C0" w:rsidRPr="004936D5" w:rsidRDefault="00FB24C0" w:rsidP="00FB24C0">
      <w:pPr>
        <w:spacing w:after="0" w:line="240" w:lineRule="auto"/>
        <w:ind w:left="0" w:firstLine="0"/>
        <w:rPr>
          <w:color w:val="auto"/>
          <w:lang w:val="es-ES"/>
        </w:rPr>
      </w:pPr>
    </w:p>
    <w:p w14:paraId="43043C6C" w14:textId="77777777" w:rsidR="00FB24C0" w:rsidRPr="004936D5" w:rsidRDefault="00FB24C0" w:rsidP="00FB24C0">
      <w:pPr>
        <w:spacing w:after="0" w:line="240" w:lineRule="auto"/>
        <w:ind w:left="0" w:firstLine="0"/>
        <w:rPr>
          <w:color w:val="auto"/>
          <w:lang w:val="es-ES"/>
        </w:rPr>
      </w:pPr>
      <w:r w:rsidRPr="004936D5">
        <w:rPr>
          <w:color w:val="auto"/>
          <w:lang w:val="es-ES"/>
        </w:rPr>
        <w:t>En el estudio sólo se incluyeron pacientes con carcinoma de ovario, peritoneal primario o trompa de Falopio confirmado histológicamente que habían recaído tras &gt;</w:t>
      </w:r>
      <w:r w:rsidR="00DB6D52">
        <w:rPr>
          <w:color w:val="auto"/>
          <w:lang w:val="es-ES"/>
        </w:rPr>
        <w:t> </w:t>
      </w:r>
      <w:r w:rsidRPr="004936D5">
        <w:rPr>
          <w:color w:val="auto"/>
          <w:lang w:val="es-ES"/>
        </w:rPr>
        <w:t>6 meses del tratamiento con quimioterapia basada en platino, que no habían recibido quimioterapia durante la recaída y que no habían recibido tratamiento previo con bevacizumab, otros inhibidores VEGF o agentes dirigidos frente a receptores VEGF.</w:t>
      </w:r>
    </w:p>
    <w:p w14:paraId="148EDB72" w14:textId="77777777" w:rsidR="00FB24C0" w:rsidRPr="004936D5" w:rsidRDefault="00FB24C0" w:rsidP="00FB24C0">
      <w:pPr>
        <w:spacing w:after="0" w:line="240" w:lineRule="auto"/>
        <w:ind w:left="0" w:firstLine="0"/>
        <w:rPr>
          <w:color w:val="auto"/>
          <w:lang w:val="es-ES"/>
        </w:rPr>
      </w:pPr>
    </w:p>
    <w:p w14:paraId="47856095" w14:textId="77777777" w:rsidR="00FB24C0" w:rsidRPr="004936D5" w:rsidRDefault="00FB24C0" w:rsidP="00C350A5">
      <w:pPr>
        <w:keepNext/>
        <w:spacing w:after="0" w:line="240" w:lineRule="auto"/>
        <w:ind w:left="0" w:firstLine="0"/>
        <w:rPr>
          <w:color w:val="auto"/>
          <w:lang w:val="es-ES"/>
        </w:rPr>
      </w:pPr>
      <w:r w:rsidRPr="004936D5">
        <w:rPr>
          <w:color w:val="auto"/>
          <w:lang w:val="es-ES"/>
        </w:rPr>
        <w:t>Un total de 484 pacientes con enfermedad medible fueron aleatorizados en proporciones 1:1 en los siguientes dos brazos:</w:t>
      </w:r>
    </w:p>
    <w:p w14:paraId="62D7087F" w14:textId="6E14C3C8" w:rsidR="00FB24C0" w:rsidRPr="00443040" w:rsidRDefault="00FB24C0" w:rsidP="00FB24C0">
      <w:pPr>
        <w:numPr>
          <w:ilvl w:val="0"/>
          <w:numId w:val="13"/>
        </w:numPr>
        <w:spacing w:after="0" w:line="240" w:lineRule="auto"/>
        <w:ind w:left="567" w:hanging="567"/>
        <w:rPr>
          <w:color w:val="auto"/>
          <w:lang w:val="es-ES"/>
        </w:rPr>
      </w:pPr>
      <w:r w:rsidRPr="00443040">
        <w:rPr>
          <w:color w:val="auto"/>
          <w:lang w:val="es-ES"/>
        </w:rPr>
        <w:t>Carboplatino (AUC4, d</w:t>
      </w:r>
      <w:r w:rsidR="00C52FE0">
        <w:rPr>
          <w:color w:val="auto"/>
          <w:lang w:val="es-ES"/>
        </w:rPr>
        <w:t xml:space="preserve">ía 1) y </w:t>
      </w:r>
      <w:proofErr w:type="spellStart"/>
      <w:r w:rsidR="00C52FE0">
        <w:rPr>
          <w:color w:val="auto"/>
          <w:lang w:val="es-ES"/>
        </w:rPr>
        <w:t>gemcitabina</w:t>
      </w:r>
      <w:proofErr w:type="spellEnd"/>
      <w:r w:rsidR="00C52FE0">
        <w:rPr>
          <w:color w:val="auto"/>
          <w:lang w:val="es-ES"/>
        </w:rPr>
        <w:t xml:space="preserve"> (1.000 mg/m</w:t>
      </w:r>
      <w:r w:rsidR="00C52FE0" w:rsidRPr="00765E7F">
        <w:rPr>
          <w:color w:val="auto"/>
          <w:vertAlign w:val="superscript"/>
          <w:lang w:val="es-ES"/>
        </w:rPr>
        <w:t>2</w:t>
      </w:r>
      <w:r w:rsidRPr="00443040">
        <w:rPr>
          <w:color w:val="auto"/>
          <w:lang w:val="es-ES"/>
        </w:rPr>
        <w:t xml:space="preserve"> en los días 1 y 8) y placebo de forma concurrente cada 3 semanas durante 6 y hasta 10 ciclos, s</w:t>
      </w:r>
      <w:r w:rsidR="00775BD9">
        <w:rPr>
          <w:color w:val="auto"/>
          <w:lang w:val="es-ES"/>
        </w:rPr>
        <w:t>eguidos de placebo sólo (cada 3 </w:t>
      </w:r>
      <w:r w:rsidRPr="00443040">
        <w:rPr>
          <w:color w:val="auto"/>
          <w:lang w:val="es-ES"/>
        </w:rPr>
        <w:t>semanas) hasta progresión de la enfermedad o toxicidad inaceptable.</w:t>
      </w:r>
    </w:p>
    <w:p w14:paraId="6E6DDE34" w14:textId="1C08645E" w:rsidR="00FB24C0" w:rsidRPr="00443040" w:rsidRDefault="00FB24C0" w:rsidP="00FB24C0">
      <w:pPr>
        <w:numPr>
          <w:ilvl w:val="0"/>
          <w:numId w:val="13"/>
        </w:numPr>
        <w:spacing w:after="0" w:line="240" w:lineRule="auto"/>
        <w:ind w:left="567" w:hanging="567"/>
        <w:rPr>
          <w:color w:val="auto"/>
          <w:lang w:val="es-ES"/>
        </w:rPr>
      </w:pPr>
      <w:r w:rsidRPr="00443040">
        <w:rPr>
          <w:color w:val="auto"/>
          <w:lang w:val="es-ES"/>
        </w:rPr>
        <w:t>Carboplatino (AUC4, d</w:t>
      </w:r>
      <w:r w:rsidR="00C52FE0">
        <w:rPr>
          <w:color w:val="auto"/>
          <w:lang w:val="es-ES"/>
        </w:rPr>
        <w:t xml:space="preserve">ía 1) y </w:t>
      </w:r>
      <w:proofErr w:type="spellStart"/>
      <w:r w:rsidR="00C52FE0">
        <w:rPr>
          <w:color w:val="auto"/>
          <w:lang w:val="es-ES"/>
        </w:rPr>
        <w:t>gemcitabina</w:t>
      </w:r>
      <w:proofErr w:type="spellEnd"/>
      <w:r w:rsidR="00C52FE0">
        <w:rPr>
          <w:color w:val="auto"/>
          <w:lang w:val="es-ES"/>
        </w:rPr>
        <w:t xml:space="preserve"> (1.000 mg/m</w:t>
      </w:r>
      <w:r w:rsidR="00C52FE0" w:rsidRPr="00765E7F">
        <w:rPr>
          <w:color w:val="auto"/>
          <w:vertAlign w:val="superscript"/>
          <w:lang w:val="es-ES"/>
        </w:rPr>
        <w:t>2</w:t>
      </w:r>
      <w:r w:rsidRPr="00443040">
        <w:rPr>
          <w:color w:val="auto"/>
          <w:lang w:val="es-ES"/>
        </w:rPr>
        <w:t xml:space="preserve"> en los días 1 y 8) y </w:t>
      </w:r>
      <w:r w:rsidR="00863B46">
        <w:rPr>
          <w:color w:val="auto"/>
          <w:lang w:val="es-ES"/>
        </w:rPr>
        <w:t>bevacizumab</w:t>
      </w:r>
      <w:r w:rsidRPr="00443040">
        <w:rPr>
          <w:color w:val="auto"/>
          <w:lang w:val="es-ES"/>
        </w:rPr>
        <w:t xml:space="preserve"> de forma concurrente (15 mg/kg día 1) cada 3 semanas durante 6 y hasta </w:t>
      </w:r>
      <w:r w:rsidR="00775BD9">
        <w:rPr>
          <w:color w:val="auto"/>
          <w:lang w:val="es-ES"/>
        </w:rPr>
        <w:t xml:space="preserve">10 ciclos seguidos de </w:t>
      </w:r>
      <w:r w:rsidR="00863B46">
        <w:rPr>
          <w:color w:val="auto"/>
          <w:lang w:val="es-ES"/>
        </w:rPr>
        <w:t>bevacizumab</w:t>
      </w:r>
      <w:r w:rsidR="00775BD9">
        <w:rPr>
          <w:color w:val="auto"/>
          <w:lang w:val="es-ES"/>
        </w:rPr>
        <w:t xml:space="preserve"> (</w:t>
      </w:r>
      <w:r w:rsidRPr="00443040">
        <w:rPr>
          <w:color w:val="auto"/>
          <w:lang w:val="es-ES"/>
        </w:rPr>
        <w:t>15 mg/kg cada 3 semanas) en monoterapia hasta progresión de la enfermedad o toxicidad inaceptable.</w:t>
      </w:r>
    </w:p>
    <w:p w14:paraId="07F26A94" w14:textId="77777777" w:rsidR="00C350A5" w:rsidRPr="00775BD9" w:rsidRDefault="00C350A5" w:rsidP="00FB24C0">
      <w:pPr>
        <w:spacing w:after="0" w:line="240" w:lineRule="auto"/>
        <w:ind w:left="0" w:firstLine="0"/>
        <w:rPr>
          <w:color w:val="auto"/>
          <w:lang w:val="es-ES"/>
        </w:rPr>
      </w:pPr>
    </w:p>
    <w:p w14:paraId="79EF62A4" w14:textId="77777777" w:rsidR="00FB24C0" w:rsidRPr="00775BD9" w:rsidRDefault="00FB24C0" w:rsidP="00FB24C0">
      <w:pPr>
        <w:spacing w:after="0" w:line="240" w:lineRule="auto"/>
        <w:ind w:left="0" w:firstLine="0"/>
        <w:rPr>
          <w:color w:val="auto"/>
          <w:lang w:val="es-ES"/>
        </w:rPr>
      </w:pPr>
      <w:r w:rsidRPr="00775BD9">
        <w:rPr>
          <w:color w:val="auto"/>
          <w:lang w:val="es-ES"/>
        </w:rPr>
        <w:t>La variable principal fue la supervivencia libre de progresión basada en la evaluación del investigador usando los criterios modificados RECIST 1.0. Otras variables adicionales fueron respuesta objetiva, duración de la respuesta, supervivencia global y seguridad. También se llevó a cabo una revisión independiente de la variable principal.</w:t>
      </w:r>
    </w:p>
    <w:p w14:paraId="6FA8143A" w14:textId="77777777" w:rsidR="00FB24C0" w:rsidRPr="00775BD9" w:rsidRDefault="00FB24C0" w:rsidP="00FB24C0">
      <w:pPr>
        <w:spacing w:after="0" w:line="240" w:lineRule="auto"/>
        <w:ind w:left="0" w:firstLine="0"/>
        <w:rPr>
          <w:color w:val="auto"/>
          <w:lang w:val="es-ES"/>
        </w:rPr>
      </w:pPr>
    </w:p>
    <w:p w14:paraId="1E1CEF95" w14:textId="29052FAD" w:rsidR="00FB24C0" w:rsidRPr="00775BD9" w:rsidRDefault="00FB24C0" w:rsidP="00FB24C0">
      <w:pPr>
        <w:spacing w:after="0" w:line="240" w:lineRule="auto"/>
        <w:ind w:left="0" w:firstLine="0"/>
        <w:rPr>
          <w:color w:val="auto"/>
          <w:lang w:val="es-ES"/>
        </w:rPr>
      </w:pPr>
      <w:r w:rsidRPr="00775BD9">
        <w:rPr>
          <w:color w:val="auto"/>
          <w:lang w:val="es-ES"/>
        </w:rPr>
        <w:t xml:space="preserve">Los resultados de este ensayo se presentan en la </w:t>
      </w:r>
      <w:r w:rsidR="00471B84">
        <w:rPr>
          <w:color w:val="auto"/>
          <w:lang w:val="es-ES"/>
        </w:rPr>
        <w:t>t</w:t>
      </w:r>
      <w:r w:rsidRPr="00775BD9">
        <w:rPr>
          <w:color w:val="auto"/>
          <w:lang w:val="es-ES"/>
        </w:rPr>
        <w:t xml:space="preserve">abla </w:t>
      </w:r>
      <w:r w:rsidR="0071031C">
        <w:rPr>
          <w:color w:val="auto"/>
          <w:lang w:val="es-ES"/>
        </w:rPr>
        <w:t>20</w:t>
      </w:r>
      <w:r w:rsidRPr="00775BD9">
        <w:rPr>
          <w:color w:val="auto"/>
          <w:lang w:val="es-ES"/>
        </w:rPr>
        <w:t>.</w:t>
      </w:r>
    </w:p>
    <w:p w14:paraId="571FDA01" w14:textId="77777777" w:rsidR="00FB24C0" w:rsidRPr="00775BD9" w:rsidRDefault="00FB24C0" w:rsidP="00FB24C0">
      <w:pPr>
        <w:spacing w:after="0" w:line="240" w:lineRule="auto"/>
        <w:ind w:left="0" w:firstLine="0"/>
        <w:rPr>
          <w:color w:val="auto"/>
          <w:lang w:val="es-ES"/>
        </w:rPr>
      </w:pPr>
    </w:p>
    <w:p w14:paraId="7BFB3F03" w14:textId="4250E508" w:rsidR="00FB24C0" w:rsidRPr="00775BD9" w:rsidRDefault="00FB24C0" w:rsidP="00C350A5">
      <w:pPr>
        <w:keepNext/>
        <w:spacing w:after="0" w:line="240" w:lineRule="auto"/>
        <w:ind w:left="0" w:firstLine="0"/>
        <w:rPr>
          <w:b/>
          <w:color w:val="auto"/>
          <w:lang w:val="es-ES"/>
        </w:rPr>
      </w:pPr>
      <w:r w:rsidRPr="00775BD9">
        <w:rPr>
          <w:b/>
          <w:color w:val="auto"/>
          <w:lang w:val="es-ES"/>
        </w:rPr>
        <w:lastRenderedPageBreak/>
        <w:t xml:space="preserve">Tabla </w:t>
      </w:r>
      <w:r w:rsidR="0071031C">
        <w:rPr>
          <w:b/>
          <w:color w:val="auto"/>
          <w:lang w:val="es-ES"/>
        </w:rPr>
        <w:t>20</w:t>
      </w:r>
      <w:r w:rsidR="004C3B53" w:rsidRPr="00775BD9">
        <w:rPr>
          <w:b/>
          <w:color w:val="auto"/>
          <w:lang w:val="es-ES"/>
        </w:rPr>
        <w:t>.</w:t>
      </w:r>
      <w:r w:rsidRPr="00775BD9">
        <w:rPr>
          <w:b/>
          <w:color w:val="auto"/>
          <w:lang w:val="es-ES"/>
        </w:rPr>
        <w:t xml:space="preserve"> Resultados de eficacia del ensayo AVF4095</w:t>
      </w:r>
    </w:p>
    <w:p w14:paraId="70AD5072" w14:textId="77777777" w:rsidR="00FB24C0" w:rsidRPr="00775BD9" w:rsidRDefault="00FB24C0" w:rsidP="00C43838">
      <w:pPr>
        <w:keepNext/>
        <w:spacing w:after="0" w:line="240" w:lineRule="auto"/>
        <w:ind w:left="0" w:firstLine="0"/>
        <w:rPr>
          <w:color w:val="auto"/>
          <w:lang w:val="es-ES"/>
        </w:rPr>
      </w:pP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right w:w="76" w:type="dxa"/>
        </w:tblCellMar>
        <w:tblLook w:val="04A0" w:firstRow="1" w:lastRow="0" w:firstColumn="1" w:lastColumn="0" w:noHBand="0" w:noVBand="1"/>
      </w:tblPr>
      <w:tblGrid>
        <w:gridCol w:w="2249"/>
        <w:gridCol w:w="1623"/>
        <w:gridCol w:w="1817"/>
        <w:gridCol w:w="1499"/>
        <w:gridCol w:w="68"/>
        <w:gridCol w:w="1695"/>
      </w:tblGrid>
      <w:tr w:rsidR="00FB24C0" w:rsidRPr="00ED3B4A" w14:paraId="0626493D" w14:textId="77777777" w:rsidTr="00C33F4C">
        <w:trPr>
          <w:trHeight w:val="257"/>
          <w:tblHeader/>
        </w:trPr>
        <w:tc>
          <w:tcPr>
            <w:tcW w:w="8951" w:type="dxa"/>
            <w:gridSpan w:val="6"/>
            <w:vAlign w:val="bottom"/>
          </w:tcPr>
          <w:p w14:paraId="43F41715" w14:textId="77777777" w:rsidR="00FB24C0" w:rsidRPr="00C33F4C" w:rsidRDefault="00FB24C0" w:rsidP="00D161AB">
            <w:pPr>
              <w:keepNext/>
              <w:keepLines/>
              <w:spacing w:after="0" w:line="240" w:lineRule="auto"/>
              <w:ind w:left="0" w:firstLine="0"/>
              <w:rPr>
                <w:color w:val="auto"/>
                <w:lang w:val="es-ES"/>
              </w:rPr>
            </w:pPr>
            <w:r w:rsidRPr="00C33F4C">
              <w:rPr>
                <w:color w:val="auto"/>
                <w:lang w:val="es-ES"/>
              </w:rPr>
              <w:t xml:space="preserve">Supervivencia libre de progresión </w:t>
            </w:r>
          </w:p>
        </w:tc>
      </w:tr>
      <w:tr w:rsidR="00FB24C0" w:rsidRPr="002C10E1" w14:paraId="6A88F3CC" w14:textId="77777777" w:rsidTr="00C33F4C">
        <w:trPr>
          <w:trHeight w:val="523"/>
          <w:tblHeader/>
        </w:trPr>
        <w:tc>
          <w:tcPr>
            <w:tcW w:w="2249" w:type="dxa"/>
          </w:tcPr>
          <w:p w14:paraId="05D45D04" w14:textId="77777777" w:rsidR="00FB24C0" w:rsidRPr="00C33F4C" w:rsidRDefault="00FB24C0" w:rsidP="00D161AB">
            <w:pPr>
              <w:keepNext/>
              <w:keepLines/>
              <w:spacing w:after="0" w:line="240" w:lineRule="auto"/>
              <w:ind w:left="0" w:firstLine="0"/>
              <w:rPr>
                <w:color w:val="auto"/>
                <w:lang w:val="es-ES"/>
              </w:rPr>
            </w:pPr>
            <w:r w:rsidRPr="00C33F4C">
              <w:rPr>
                <w:color w:val="auto"/>
                <w:lang w:val="es-ES"/>
              </w:rPr>
              <w:t xml:space="preserve"> </w:t>
            </w:r>
          </w:p>
        </w:tc>
        <w:tc>
          <w:tcPr>
            <w:tcW w:w="3440" w:type="dxa"/>
            <w:gridSpan w:val="2"/>
            <w:vAlign w:val="bottom"/>
          </w:tcPr>
          <w:p w14:paraId="3F010A3E" w14:textId="77777777" w:rsidR="00FB24C0" w:rsidRPr="00C33F4C" w:rsidRDefault="00FB24C0" w:rsidP="00D161AB">
            <w:pPr>
              <w:keepNext/>
              <w:keepLines/>
              <w:spacing w:after="0" w:line="240" w:lineRule="auto"/>
              <w:ind w:left="0" w:firstLine="0"/>
              <w:jc w:val="center"/>
              <w:rPr>
                <w:color w:val="auto"/>
                <w:lang w:val="es-ES"/>
              </w:rPr>
            </w:pPr>
            <w:r w:rsidRPr="00C33F4C">
              <w:rPr>
                <w:color w:val="auto"/>
                <w:lang w:val="es-ES"/>
              </w:rPr>
              <w:t>Evaluación de los investigadores</w:t>
            </w:r>
          </w:p>
        </w:tc>
        <w:tc>
          <w:tcPr>
            <w:tcW w:w="3261" w:type="dxa"/>
            <w:gridSpan w:val="3"/>
            <w:vAlign w:val="bottom"/>
          </w:tcPr>
          <w:p w14:paraId="25F2B14F" w14:textId="77777777" w:rsidR="00FB24C0" w:rsidRPr="00C33F4C" w:rsidRDefault="00FB24C0" w:rsidP="00D161AB">
            <w:pPr>
              <w:keepNext/>
              <w:keepLines/>
              <w:spacing w:after="0" w:line="240" w:lineRule="auto"/>
              <w:ind w:left="0" w:firstLine="0"/>
              <w:jc w:val="center"/>
              <w:rPr>
                <w:color w:val="auto"/>
                <w:lang w:val="es-ES"/>
              </w:rPr>
            </w:pPr>
            <w:r w:rsidRPr="00C33F4C">
              <w:rPr>
                <w:color w:val="auto"/>
                <w:lang w:val="es-ES"/>
              </w:rPr>
              <w:t>Evaluación del Comité de revisión independiente</w:t>
            </w:r>
          </w:p>
        </w:tc>
      </w:tr>
      <w:tr w:rsidR="00D445BE" w:rsidRPr="00ED3B4A" w14:paraId="0D2DA53D" w14:textId="77777777" w:rsidTr="00C33F4C">
        <w:trPr>
          <w:trHeight w:val="531"/>
          <w:tblHeader/>
        </w:trPr>
        <w:tc>
          <w:tcPr>
            <w:tcW w:w="2249" w:type="dxa"/>
          </w:tcPr>
          <w:p w14:paraId="22FDB99E" w14:textId="77777777" w:rsidR="00FB24C0" w:rsidRPr="00C33F4C" w:rsidRDefault="00FB24C0" w:rsidP="00D161AB">
            <w:pPr>
              <w:keepNext/>
              <w:keepLines/>
              <w:spacing w:after="0" w:line="240" w:lineRule="auto"/>
              <w:ind w:left="0" w:firstLine="0"/>
              <w:rPr>
                <w:color w:val="auto"/>
                <w:lang w:val="es-ES"/>
              </w:rPr>
            </w:pPr>
          </w:p>
        </w:tc>
        <w:tc>
          <w:tcPr>
            <w:tcW w:w="1623" w:type="dxa"/>
          </w:tcPr>
          <w:p w14:paraId="7AC6BA70" w14:textId="77777777" w:rsidR="00FB24C0" w:rsidRPr="00C33F4C" w:rsidRDefault="00FB24C0" w:rsidP="00D161AB">
            <w:pPr>
              <w:keepNext/>
              <w:keepLines/>
              <w:spacing w:after="0" w:line="240" w:lineRule="auto"/>
              <w:ind w:left="0" w:firstLine="0"/>
              <w:jc w:val="center"/>
              <w:rPr>
                <w:color w:val="auto"/>
                <w:lang w:val="es-ES"/>
              </w:rPr>
            </w:pPr>
            <w:r w:rsidRPr="00C33F4C">
              <w:rPr>
                <w:color w:val="auto"/>
                <w:lang w:val="es-ES"/>
              </w:rPr>
              <w:t>Placebo + C/G (n</w:t>
            </w:r>
            <w:r w:rsidR="00F94E4F" w:rsidRPr="00E30038">
              <w:t> </w:t>
            </w:r>
            <w:r w:rsidRPr="00C33F4C">
              <w:rPr>
                <w:color w:val="auto"/>
                <w:lang w:val="es-ES"/>
              </w:rPr>
              <w:t>=</w:t>
            </w:r>
            <w:r w:rsidR="00F94E4F" w:rsidRPr="00E30038">
              <w:t> </w:t>
            </w:r>
            <w:r w:rsidRPr="00C33F4C">
              <w:rPr>
                <w:color w:val="auto"/>
                <w:lang w:val="es-ES"/>
              </w:rPr>
              <w:t>242)</w:t>
            </w:r>
          </w:p>
        </w:tc>
        <w:tc>
          <w:tcPr>
            <w:tcW w:w="1817" w:type="dxa"/>
          </w:tcPr>
          <w:p w14:paraId="34EB44F0" w14:textId="77777777" w:rsidR="001B3D0A" w:rsidRPr="00C33F4C" w:rsidRDefault="00863B46" w:rsidP="00D161AB">
            <w:pPr>
              <w:keepNext/>
              <w:keepLines/>
              <w:spacing w:after="0" w:line="240" w:lineRule="auto"/>
              <w:ind w:left="0" w:firstLine="0"/>
              <w:jc w:val="center"/>
              <w:rPr>
                <w:color w:val="auto"/>
                <w:lang w:val="es-ES"/>
              </w:rPr>
            </w:pPr>
            <w:r w:rsidRPr="00C33F4C">
              <w:rPr>
                <w:color w:val="auto"/>
                <w:lang w:val="es-ES"/>
              </w:rPr>
              <w:t>Bevacizumab</w:t>
            </w:r>
            <w:r w:rsidR="001B3D0A" w:rsidRPr="00C33F4C">
              <w:rPr>
                <w:color w:val="auto"/>
                <w:lang w:val="es-ES"/>
              </w:rPr>
              <w:t xml:space="preserve"> + C/G</w:t>
            </w:r>
          </w:p>
          <w:p w14:paraId="40C0748B" w14:textId="77777777" w:rsidR="00FB24C0" w:rsidRPr="00C33F4C" w:rsidRDefault="00FB24C0" w:rsidP="00D161AB">
            <w:pPr>
              <w:keepNext/>
              <w:keepLines/>
              <w:spacing w:after="0" w:line="240" w:lineRule="auto"/>
              <w:ind w:left="0" w:firstLine="0"/>
              <w:jc w:val="center"/>
              <w:rPr>
                <w:color w:val="auto"/>
                <w:lang w:val="es-ES"/>
              </w:rPr>
            </w:pPr>
            <w:r w:rsidRPr="00C33F4C">
              <w:rPr>
                <w:color w:val="auto"/>
                <w:lang w:val="es-ES"/>
              </w:rPr>
              <w:t>(n</w:t>
            </w:r>
            <w:r w:rsidR="00F94E4F" w:rsidRPr="00E30038">
              <w:t> </w:t>
            </w:r>
            <w:r w:rsidRPr="00C33F4C">
              <w:rPr>
                <w:color w:val="auto"/>
                <w:lang w:val="es-ES"/>
              </w:rPr>
              <w:t>=</w:t>
            </w:r>
            <w:r w:rsidR="00F94E4F" w:rsidRPr="00E30038">
              <w:t> </w:t>
            </w:r>
            <w:r w:rsidRPr="00C33F4C">
              <w:rPr>
                <w:color w:val="auto"/>
                <w:lang w:val="es-ES"/>
              </w:rPr>
              <w:t>242)</w:t>
            </w:r>
          </w:p>
        </w:tc>
        <w:tc>
          <w:tcPr>
            <w:tcW w:w="1499" w:type="dxa"/>
          </w:tcPr>
          <w:p w14:paraId="3243CBAB" w14:textId="77777777" w:rsidR="00FB24C0" w:rsidRPr="00C33F4C" w:rsidRDefault="00FB24C0" w:rsidP="00D161AB">
            <w:pPr>
              <w:keepNext/>
              <w:keepLines/>
              <w:spacing w:after="0" w:line="240" w:lineRule="auto"/>
              <w:ind w:left="0" w:firstLine="0"/>
              <w:jc w:val="center"/>
              <w:rPr>
                <w:color w:val="auto"/>
                <w:lang w:val="es-ES"/>
              </w:rPr>
            </w:pPr>
            <w:r w:rsidRPr="00C33F4C">
              <w:rPr>
                <w:color w:val="auto"/>
                <w:lang w:val="es-ES"/>
              </w:rPr>
              <w:t>Placebo + C/G (n</w:t>
            </w:r>
            <w:r w:rsidR="00F94E4F" w:rsidRPr="00E30038">
              <w:t> </w:t>
            </w:r>
            <w:r w:rsidRPr="00C33F4C">
              <w:rPr>
                <w:color w:val="auto"/>
                <w:lang w:val="es-ES"/>
              </w:rPr>
              <w:t>=</w:t>
            </w:r>
            <w:r w:rsidR="00F94E4F" w:rsidRPr="00E30038">
              <w:t> </w:t>
            </w:r>
            <w:r w:rsidRPr="00C33F4C">
              <w:rPr>
                <w:color w:val="auto"/>
                <w:lang w:val="es-ES"/>
              </w:rPr>
              <w:t>242)</w:t>
            </w:r>
          </w:p>
        </w:tc>
        <w:tc>
          <w:tcPr>
            <w:tcW w:w="1762" w:type="dxa"/>
            <w:gridSpan w:val="2"/>
          </w:tcPr>
          <w:p w14:paraId="6DE92A6C" w14:textId="77777777" w:rsidR="001B3D0A" w:rsidRPr="00C33F4C" w:rsidRDefault="00863B46" w:rsidP="00D161AB">
            <w:pPr>
              <w:keepNext/>
              <w:keepLines/>
              <w:spacing w:after="0" w:line="240" w:lineRule="auto"/>
              <w:ind w:left="0" w:firstLine="0"/>
              <w:jc w:val="center"/>
              <w:rPr>
                <w:color w:val="auto"/>
                <w:lang w:val="es-ES"/>
              </w:rPr>
            </w:pPr>
            <w:r w:rsidRPr="00C33F4C">
              <w:rPr>
                <w:color w:val="auto"/>
                <w:lang w:val="es-ES"/>
              </w:rPr>
              <w:t>Bevacizumab</w:t>
            </w:r>
            <w:r w:rsidR="001B3D0A" w:rsidRPr="00C33F4C">
              <w:rPr>
                <w:color w:val="auto"/>
                <w:lang w:val="es-ES"/>
              </w:rPr>
              <w:t xml:space="preserve"> + C/G</w:t>
            </w:r>
          </w:p>
          <w:p w14:paraId="250D6021" w14:textId="77777777" w:rsidR="00FB24C0" w:rsidRPr="00C33F4C" w:rsidRDefault="00FB24C0" w:rsidP="00D161AB">
            <w:pPr>
              <w:keepNext/>
              <w:keepLines/>
              <w:spacing w:after="0" w:line="240" w:lineRule="auto"/>
              <w:ind w:left="0" w:firstLine="0"/>
              <w:jc w:val="center"/>
              <w:rPr>
                <w:color w:val="auto"/>
                <w:lang w:val="es-ES"/>
              </w:rPr>
            </w:pPr>
            <w:r w:rsidRPr="00C33F4C">
              <w:rPr>
                <w:color w:val="auto"/>
                <w:lang w:val="es-ES"/>
              </w:rPr>
              <w:t>(n</w:t>
            </w:r>
            <w:r w:rsidR="00F94E4F" w:rsidRPr="00E30038">
              <w:t> </w:t>
            </w:r>
            <w:r w:rsidRPr="00C33F4C">
              <w:rPr>
                <w:color w:val="auto"/>
                <w:lang w:val="es-ES"/>
              </w:rPr>
              <w:t>=</w:t>
            </w:r>
            <w:r w:rsidR="00F94E4F" w:rsidRPr="00E30038">
              <w:t> </w:t>
            </w:r>
            <w:r w:rsidRPr="00C33F4C">
              <w:rPr>
                <w:color w:val="auto"/>
                <w:lang w:val="es-ES"/>
              </w:rPr>
              <w:t>242)</w:t>
            </w:r>
          </w:p>
        </w:tc>
      </w:tr>
      <w:tr w:rsidR="009E2C62" w:rsidRPr="00FF4E99" w14:paraId="558393F3" w14:textId="77777777" w:rsidTr="00C33F4C">
        <w:trPr>
          <w:trHeight w:val="258"/>
        </w:trPr>
        <w:tc>
          <w:tcPr>
            <w:tcW w:w="8951" w:type="dxa"/>
            <w:gridSpan w:val="6"/>
            <w:vAlign w:val="bottom"/>
          </w:tcPr>
          <w:p w14:paraId="2B28C112" w14:textId="77777777" w:rsidR="009E2C62" w:rsidRPr="00C33F4C" w:rsidRDefault="009E2C62" w:rsidP="00D161AB">
            <w:pPr>
              <w:keepNext/>
              <w:keepLines/>
              <w:spacing w:after="0" w:line="240" w:lineRule="auto"/>
              <w:ind w:left="0" w:firstLine="0"/>
              <w:rPr>
                <w:color w:val="auto"/>
                <w:lang w:val="es-ES"/>
              </w:rPr>
            </w:pPr>
            <w:r w:rsidRPr="00C33F4C">
              <w:rPr>
                <w:color w:val="auto"/>
                <w:lang w:val="es-ES"/>
              </w:rPr>
              <w:t xml:space="preserve">No censurado por NPT </w:t>
            </w:r>
          </w:p>
        </w:tc>
      </w:tr>
      <w:tr w:rsidR="00D445BE" w:rsidRPr="00FF4E99" w14:paraId="4983B68B" w14:textId="77777777" w:rsidTr="00C33F4C">
        <w:trPr>
          <w:trHeight w:val="257"/>
        </w:trPr>
        <w:tc>
          <w:tcPr>
            <w:tcW w:w="2249" w:type="dxa"/>
            <w:vAlign w:val="bottom"/>
          </w:tcPr>
          <w:p w14:paraId="33CFA4E6" w14:textId="77777777" w:rsidR="00FB24C0" w:rsidRPr="00C33F4C" w:rsidRDefault="00FB24C0" w:rsidP="00D161AB">
            <w:pPr>
              <w:keepNext/>
              <w:keepLines/>
              <w:spacing w:after="0" w:line="240" w:lineRule="auto"/>
              <w:ind w:left="284" w:firstLine="0"/>
              <w:rPr>
                <w:color w:val="auto"/>
                <w:lang w:val="es-ES"/>
              </w:rPr>
            </w:pPr>
            <w:r w:rsidRPr="00C33F4C">
              <w:rPr>
                <w:color w:val="auto"/>
                <w:lang w:val="es-ES"/>
              </w:rPr>
              <w:t xml:space="preserve">Mediana SLP (meses) </w:t>
            </w:r>
          </w:p>
        </w:tc>
        <w:tc>
          <w:tcPr>
            <w:tcW w:w="1623" w:type="dxa"/>
            <w:vAlign w:val="bottom"/>
          </w:tcPr>
          <w:p w14:paraId="3FF5DA4E" w14:textId="77777777" w:rsidR="00FB24C0" w:rsidRPr="00C33F4C" w:rsidRDefault="00FB24C0" w:rsidP="00D161AB">
            <w:pPr>
              <w:keepNext/>
              <w:keepLines/>
              <w:spacing w:after="0" w:line="240" w:lineRule="auto"/>
              <w:ind w:left="0" w:firstLine="0"/>
              <w:jc w:val="center"/>
              <w:rPr>
                <w:color w:val="auto"/>
                <w:lang w:val="es-ES"/>
              </w:rPr>
            </w:pPr>
            <w:r w:rsidRPr="00C33F4C">
              <w:rPr>
                <w:color w:val="auto"/>
                <w:lang w:val="es-ES"/>
              </w:rPr>
              <w:t>8,4</w:t>
            </w:r>
          </w:p>
        </w:tc>
        <w:tc>
          <w:tcPr>
            <w:tcW w:w="1817" w:type="dxa"/>
            <w:vAlign w:val="bottom"/>
          </w:tcPr>
          <w:p w14:paraId="55C4B881" w14:textId="77777777" w:rsidR="00FB24C0" w:rsidRPr="00C33F4C" w:rsidRDefault="00FB24C0" w:rsidP="00D161AB">
            <w:pPr>
              <w:keepNext/>
              <w:keepLines/>
              <w:spacing w:after="0" w:line="240" w:lineRule="auto"/>
              <w:ind w:left="0" w:firstLine="0"/>
              <w:jc w:val="center"/>
              <w:rPr>
                <w:color w:val="auto"/>
                <w:lang w:val="es-ES"/>
              </w:rPr>
            </w:pPr>
            <w:r w:rsidRPr="00C33F4C">
              <w:rPr>
                <w:color w:val="auto"/>
                <w:lang w:val="es-ES"/>
              </w:rPr>
              <w:t>12,4</w:t>
            </w:r>
          </w:p>
        </w:tc>
        <w:tc>
          <w:tcPr>
            <w:tcW w:w="1499" w:type="dxa"/>
            <w:vAlign w:val="bottom"/>
          </w:tcPr>
          <w:p w14:paraId="76E7025A" w14:textId="77777777" w:rsidR="00FB24C0" w:rsidRPr="00C33F4C" w:rsidRDefault="00FB24C0" w:rsidP="00D161AB">
            <w:pPr>
              <w:keepNext/>
              <w:keepLines/>
              <w:spacing w:after="0" w:line="240" w:lineRule="auto"/>
              <w:ind w:left="0" w:firstLine="0"/>
              <w:jc w:val="center"/>
              <w:rPr>
                <w:color w:val="auto"/>
                <w:lang w:val="es-ES"/>
              </w:rPr>
            </w:pPr>
            <w:r w:rsidRPr="00C33F4C">
              <w:rPr>
                <w:color w:val="auto"/>
                <w:lang w:val="es-ES"/>
              </w:rPr>
              <w:t>8,6</w:t>
            </w:r>
          </w:p>
        </w:tc>
        <w:tc>
          <w:tcPr>
            <w:tcW w:w="1762" w:type="dxa"/>
            <w:gridSpan w:val="2"/>
            <w:vAlign w:val="bottom"/>
          </w:tcPr>
          <w:p w14:paraId="17524091" w14:textId="77777777" w:rsidR="00FB24C0" w:rsidRPr="00C33F4C" w:rsidRDefault="00FB24C0" w:rsidP="00D161AB">
            <w:pPr>
              <w:keepNext/>
              <w:keepLines/>
              <w:spacing w:after="0" w:line="240" w:lineRule="auto"/>
              <w:ind w:left="0" w:firstLine="0"/>
              <w:jc w:val="center"/>
              <w:rPr>
                <w:color w:val="auto"/>
                <w:lang w:val="es-ES"/>
              </w:rPr>
            </w:pPr>
            <w:r w:rsidRPr="00C33F4C">
              <w:rPr>
                <w:color w:val="auto"/>
                <w:lang w:val="es-ES"/>
              </w:rPr>
              <w:t>12,3</w:t>
            </w:r>
          </w:p>
        </w:tc>
      </w:tr>
      <w:tr w:rsidR="00FB24C0" w:rsidRPr="00FF4E99" w14:paraId="06A566DE" w14:textId="77777777" w:rsidTr="00C33F4C">
        <w:trPr>
          <w:trHeight w:val="506"/>
        </w:trPr>
        <w:tc>
          <w:tcPr>
            <w:tcW w:w="2249" w:type="dxa"/>
            <w:vAlign w:val="bottom"/>
          </w:tcPr>
          <w:p w14:paraId="5CFED15B" w14:textId="77777777" w:rsidR="00FB24C0" w:rsidRPr="00C33F4C" w:rsidRDefault="000D0EDE" w:rsidP="00D161AB">
            <w:pPr>
              <w:keepNext/>
              <w:keepLines/>
              <w:spacing w:after="0" w:line="240" w:lineRule="auto"/>
              <w:ind w:left="284" w:firstLine="0"/>
              <w:rPr>
                <w:color w:val="auto"/>
                <w:lang w:val="es-ES"/>
              </w:rPr>
            </w:pPr>
            <w:r w:rsidRPr="00C33F4C">
              <w:rPr>
                <w:color w:val="auto"/>
                <w:lang w:val="es-ES"/>
              </w:rPr>
              <w:t>Razón de riesgo (IC del 95%</w:t>
            </w:r>
            <w:r w:rsidR="00FB24C0" w:rsidRPr="00C33F4C">
              <w:rPr>
                <w:color w:val="auto"/>
                <w:lang w:val="es-ES"/>
              </w:rPr>
              <w:t xml:space="preserve">) </w:t>
            </w:r>
          </w:p>
        </w:tc>
        <w:tc>
          <w:tcPr>
            <w:tcW w:w="3440" w:type="dxa"/>
            <w:gridSpan w:val="2"/>
            <w:vAlign w:val="center"/>
          </w:tcPr>
          <w:p w14:paraId="36B26840" w14:textId="77777777" w:rsidR="00FB24C0" w:rsidRPr="00C33F4C" w:rsidRDefault="00AC160C" w:rsidP="00D161AB">
            <w:pPr>
              <w:keepNext/>
              <w:keepLines/>
              <w:spacing w:after="0" w:line="240" w:lineRule="auto"/>
              <w:ind w:left="0" w:firstLine="0"/>
              <w:jc w:val="center"/>
              <w:rPr>
                <w:color w:val="auto"/>
                <w:lang w:val="es-ES"/>
              </w:rPr>
            </w:pPr>
            <w:r w:rsidRPr="00C33F4C">
              <w:rPr>
                <w:color w:val="auto"/>
                <w:lang w:val="es-ES"/>
              </w:rPr>
              <w:t>0,524 [0,425;</w:t>
            </w:r>
            <w:r w:rsidR="00FB24C0" w:rsidRPr="00C33F4C">
              <w:rPr>
                <w:color w:val="auto"/>
                <w:lang w:val="es-ES"/>
              </w:rPr>
              <w:t xml:space="preserve"> 0,645]</w:t>
            </w:r>
          </w:p>
        </w:tc>
        <w:tc>
          <w:tcPr>
            <w:tcW w:w="3261" w:type="dxa"/>
            <w:gridSpan w:val="3"/>
            <w:vAlign w:val="center"/>
          </w:tcPr>
          <w:p w14:paraId="75563112" w14:textId="77777777" w:rsidR="00FB24C0" w:rsidRPr="00C33F4C" w:rsidRDefault="00AC160C" w:rsidP="00D161AB">
            <w:pPr>
              <w:keepNext/>
              <w:keepLines/>
              <w:spacing w:after="0" w:line="240" w:lineRule="auto"/>
              <w:ind w:left="0" w:firstLine="0"/>
              <w:jc w:val="center"/>
              <w:rPr>
                <w:color w:val="auto"/>
                <w:lang w:val="es-ES"/>
              </w:rPr>
            </w:pPr>
            <w:r w:rsidRPr="00C33F4C">
              <w:rPr>
                <w:color w:val="auto"/>
                <w:lang w:val="es-ES"/>
              </w:rPr>
              <w:t>0,480 [0,377;</w:t>
            </w:r>
            <w:r w:rsidR="00FB24C0" w:rsidRPr="00C33F4C">
              <w:rPr>
                <w:color w:val="auto"/>
                <w:lang w:val="es-ES"/>
              </w:rPr>
              <w:t xml:space="preserve"> 0,613]</w:t>
            </w:r>
          </w:p>
        </w:tc>
      </w:tr>
      <w:tr w:rsidR="00FB24C0" w:rsidRPr="00FF4E99" w14:paraId="354C0C83" w14:textId="77777777" w:rsidTr="00C33F4C">
        <w:trPr>
          <w:trHeight w:val="257"/>
        </w:trPr>
        <w:tc>
          <w:tcPr>
            <w:tcW w:w="2249" w:type="dxa"/>
            <w:vAlign w:val="bottom"/>
          </w:tcPr>
          <w:p w14:paraId="126818B6" w14:textId="77777777" w:rsidR="00FB24C0" w:rsidRPr="00C33F4C" w:rsidRDefault="00FB24C0" w:rsidP="00C33F4C">
            <w:pPr>
              <w:spacing w:after="0" w:line="240" w:lineRule="auto"/>
              <w:ind w:left="284" w:firstLine="0"/>
              <w:rPr>
                <w:color w:val="auto"/>
                <w:lang w:val="es-ES"/>
              </w:rPr>
            </w:pPr>
            <w:r w:rsidRPr="00C33F4C">
              <w:rPr>
                <w:color w:val="auto"/>
                <w:lang w:val="es-ES"/>
              </w:rPr>
              <w:t xml:space="preserve">Valor de p </w:t>
            </w:r>
          </w:p>
        </w:tc>
        <w:tc>
          <w:tcPr>
            <w:tcW w:w="3440" w:type="dxa"/>
            <w:gridSpan w:val="2"/>
            <w:vAlign w:val="bottom"/>
          </w:tcPr>
          <w:p w14:paraId="3E88AB39"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&lt;</w:t>
            </w:r>
            <w:r w:rsidR="00E31B62" w:rsidRPr="00E30038">
              <w:t> </w:t>
            </w:r>
            <w:r w:rsidRPr="00C33F4C">
              <w:rPr>
                <w:color w:val="auto"/>
                <w:lang w:val="es-ES"/>
              </w:rPr>
              <w:t>0,0001</w:t>
            </w:r>
          </w:p>
        </w:tc>
        <w:tc>
          <w:tcPr>
            <w:tcW w:w="3261" w:type="dxa"/>
            <w:gridSpan w:val="3"/>
            <w:vAlign w:val="bottom"/>
          </w:tcPr>
          <w:p w14:paraId="1C1D90E3"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&lt;</w:t>
            </w:r>
            <w:r w:rsidR="00E31B62" w:rsidRPr="00E30038">
              <w:t> </w:t>
            </w:r>
            <w:r w:rsidRPr="00C33F4C">
              <w:rPr>
                <w:color w:val="auto"/>
                <w:lang w:val="es-ES"/>
              </w:rPr>
              <w:t>0,0001</w:t>
            </w:r>
          </w:p>
        </w:tc>
      </w:tr>
      <w:tr w:rsidR="009E2C62" w:rsidRPr="00FF4E99" w14:paraId="38F9F16D" w14:textId="77777777" w:rsidTr="00C33F4C">
        <w:trPr>
          <w:trHeight w:val="257"/>
        </w:trPr>
        <w:tc>
          <w:tcPr>
            <w:tcW w:w="8951" w:type="dxa"/>
            <w:gridSpan w:val="6"/>
            <w:vAlign w:val="bottom"/>
          </w:tcPr>
          <w:p w14:paraId="4188D255" w14:textId="77777777" w:rsidR="009E2C62" w:rsidRPr="00C33F4C" w:rsidRDefault="009E2C62" w:rsidP="00C33F4C">
            <w:pPr>
              <w:spacing w:after="0" w:line="240" w:lineRule="auto"/>
              <w:ind w:left="0" w:firstLine="0"/>
              <w:rPr>
                <w:color w:val="auto"/>
                <w:lang w:val="es-ES"/>
              </w:rPr>
            </w:pPr>
            <w:r w:rsidRPr="00C33F4C">
              <w:rPr>
                <w:color w:val="auto"/>
                <w:lang w:val="es-ES"/>
              </w:rPr>
              <w:t xml:space="preserve">Censurado por NPT </w:t>
            </w:r>
          </w:p>
        </w:tc>
      </w:tr>
      <w:tr w:rsidR="00D445BE" w:rsidRPr="00FF4E99" w14:paraId="597ADCA8" w14:textId="77777777" w:rsidTr="00C33F4C">
        <w:trPr>
          <w:trHeight w:val="257"/>
        </w:trPr>
        <w:tc>
          <w:tcPr>
            <w:tcW w:w="2249" w:type="dxa"/>
            <w:vAlign w:val="bottom"/>
          </w:tcPr>
          <w:p w14:paraId="67AFC7AC" w14:textId="77777777" w:rsidR="00FB24C0" w:rsidRPr="00C33F4C" w:rsidRDefault="00FB24C0" w:rsidP="00C33F4C">
            <w:pPr>
              <w:spacing w:after="0" w:line="240" w:lineRule="auto"/>
              <w:ind w:left="284" w:firstLine="0"/>
              <w:rPr>
                <w:color w:val="auto"/>
                <w:lang w:val="es-ES"/>
              </w:rPr>
            </w:pPr>
            <w:r w:rsidRPr="00C33F4C">
              <w:rPr>
                <w:color w:val="auto"/>
                <w:lang w:val="es-ES"/>
              </w:rPr>
              <w:t xml:space="preserve">Mediana SLP (meses) </w:t>
            </w:r>
          </w:p>
        </w:tc>
        <w:tc>
          <w:tcPr>
            <w:tcW w:w="1623" w:type="dxa"/>
            <w:vAlign w:val="bottom"/>
          </w:tcPr>
          <w:p w14:paraId="5D8C12F5" w14:textId="4702D1AB" w:rsidR="00FB24C0" w:rsidRPr="00C33F4C" w:rsidRDefault="00FB24C0" w:rsidP="00C33F4C">
            <w:pPr>
              <w:spacing w:after="0" w:line="240" w:lineRule="auto"/>
              <w:ind w:left="0" w:firstLine="0"/>
              <w:jc w:val="center"/>
              <w:rPr>
                <w:color w:val="auto"/>
                <w:lang w:val="es-ES"/>
              </w:rPr>
            </w:pPr>
            <w:r w:rsidRPr="00C33F4C">
              <w:rPr>
                <w:color w:val="auto"/>
                <w:lang w:val="es-ES"/>
              </w:rPr>
              <w:t>8,4</w:t>
            </w:r>
          </w:p>
        </w:tc>
        <w:tc>
          <w:tcPr>
            <w:tcW w:w="1817" w:type="dxa"/>
            <w:vAlign w:val="bottom"/>
          </w:tcPr>
          <w:p w14:paraId="61C03C69" w14:textId="52327472" w:rsidR="00FB24C0" w:rsidRPr="00C33F4C" w:rsidRDefault="00FB24C0" w:rsidP="00C33F4C">
            <w:pPr>
              <w:spacing w:after="0" w:line="240" w:lineRule="auto"/>
              <w:ind w:left="0" w:firstLine="0"/>
              <w:jc w:val="center"/>
              <w:rPr>
                <w:color w:val="auto"/>
                <w:lang w:val="es-ES"/>
              </w:rPr>
            </w:pPr>
            <w:r w:rsidRPr="00C33F4C">
              <w:rPr>
                <w:color w:val="auto"/>
                <w:lang w:val="es-ES"/>
              </w:rPr>
              <w:t>12,4</w:t>
            </w:r>
          </w:p>
        </w:tc>
        <w:tc>
          <w:tcPr>
            <w:tcW w:w="1499" w:type="dxa"/>
            <w:vAlign w:val="bottom"/>
          </w:tcPr>
          <w:p w14:paraId="26DA6834"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8,6</w:t>
            </w:r>
          </w:p>
        </w:tc>
        <w:tc>
          <w:tcPr>
            <w:tcW w:w="1762" w:type="dxa"/>
            <w:gridSpan w:val="2"/>
            <w:vAlign w:val="bottom"/>
          </w:tcPr>
          <w:p w14:paraId="23DC677D"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12,3</w:t>
            </w:r>
          </w:p>
        </w:tc>
      </w:tr>
      <w:tr w:rsidR="00FB24C0" w:rsidRPr="00FF4E99" w14:paraId="0669A6AE" w14:textId="77777777" w:rsidTr="00C33F4C">
        <w:trPr>
          <w:trHeight w:val="506"/>
        </w:trPr>
        <w:tc>
          <w:tcPr>
            <w:tcW w:w="2249" w:type="dxa"/>
            <w:vAlign w:val="bottom"/>
          </w:tcPr>
          <w:p w14:paraId="5970065A" w14:textId="77777777" w:rsidR="00FB24C0" w:rsidRPr="00C33F4C" w:rsidRDefault="000D0EDE" w:rsidP="00C33F4C">
            <w:pPr>
              <w:spacing w:after="0" w:line="240" w:lineRule="auto"/>
              <w:ind w:left="284" w:firstLine="0"/>
              <w:rPr>
                <w:color w:val="auto"/>
                <w:lang w:val="es-ES"/>
              </w:rPr>
            </w:pPr>
            <w:r w:rsidRPr="00C33F4C">
              <w:rPr>
                <w:color w:val="auto"/>
                <w:lang w:val="es-ES"/>
              </w:rPr>
              <w:t>Razón de riesgo (IC del 95%)</w:t>
            </w:r>
          </w:p>
        </w:tc>
        <w:tc>
          <w:tcPr>
            <w:tcW w:w="3440" w:type="dxa"/>
            <w:gridSpan w:val="2"/>
            <w:vAlign w:val="center"/>
          </w:tcPr>
          <w:p w14:paraId="39B0850F" w14:textId="74AA25C2" w:rsidR="00FB24C0" w:rsidRPr="00C33F4C" w:rsidRDefault="00FB24C0" w:rsidP="00C33F4C">
            <w:pPr>
              <w:spacing w:after="0" w:line="240" w:lineRule="auto"/>
              <w:ind w:left="0" w:firstLine="0"/>
              <w:jc w:val="center"/>
              <w:rPr>
                <w:color w:val="auto"/>
                <w:lang w:val="es-ES"/>
              </w:rPr>
            </w:pPr>
            <w:r w:rsidRPr="00C33F4C">
              <w:rPr>
                <w:color w:val="auto"/>
                <w:lang w:val="es-ES"/>
              </w:rPr>
              <w:t>0,484 [0,388</w:t>
            </w:r>
            <w:r w:rsidR="00AC160C" w:rsidRPr="00C33F4C">
              <w:rPr>
                <w:color w:val="auto"/>
                <w:lang w:val="es-ES"/>
              </w:rPr>
              <w:t>;</w:t>
            </w:r>
            <w:r w:rsidRPr="00C33F4C">
              <w:rPr>
                <w:color w:val="auto"/>
                <w:lang w:val="es-ES"/>
              </w:rPr>
              <w:t xml:space="preserve"> 0,605]</w:t>
            </w:r>
          </w:p>
        </w:tc>
        <w:tc>
          <w:tcPr>
            <w:tcW w:w="3261" w:type="dxa"/>
            <w:gridSpan w:val="3"/>
            <w:vAlign w:val="center"/>
          </w:tcPr>
          <w:p w14:paraId="43ED6C89"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0,451 [0,351</w:t>
            </w:r>
            <w:r w:rsidR="00AC160C" w:rsidRPr="00C33F4C">
              <w:rPr>
                <w:color w:val="auto"/>
                <w:lang w:val="es-ES"/>
              </w:rPr>
              <w:t>;</w:t>
            </w:r>
            <w:r w:rsidRPr="00C33F4C">
              <w:rPr>
                <w:color w:val="auto"/>
                <w:lang w:val="es-ES"/>
              </w:rPr>
              <w:t xml:space="preserve"> 0,580]</w:t>
            </w:r>
          </w:p>
        </w:tc>
      </w:tr>
      <w:tr w:rsidR="00FB24C0" w:rsidRPr="00FF4E99" w14:paraId="1E7D8AB5" w14:textId="77777777" w:rsidTr="00C33F4C">
        <w:trPr>
          <w:trHeight w:val="257"/>
        </w:trPr>
        <w:tc>
          <w:tcPr>
            <w:tcW w:w="2249" w:type="dxa"/>
            <w:vAlign w:val="bottom"/>
          </w:tcPr>
          <w:p w14:paraId="1E2C0BB3" w14:textId="77777777" w:rsidR="00FB24C0" w:rsidRPr="00C33F4C" w:rsidRDefault="00FB24C0" w:rsidP="00C33F4C">
            <w:pPr>
              <w:spacing w:after="0" w:line="240" w:lineRule="auto"/>
              <w:ind w:left="284" w:firstLine="0"/>
              <w:rPr>
                <w:color w:val="auto"/>
                <w:lang w:val="es-ES"/>
              </w:rPr>
            </w:pPr>
            <w:r w:rsidRPr="00C33F4C">
              <w:rPr>
                <w:color w:val="auto"/>
                <w:lang w:val="es-ES"/>
              </w:rPr>
              <w:t xml:space="preserve">Valor de p </w:t>
            </w:r>
          </w:p>
        </w:tc>
        <w:tc>
          <w:tcPr>
            <w:tcW w:w="3440" w:type="dxa"/>
            <w:gridSpan w:val="2"/>
            <w:vAlign w:val="bottom"/>
          </w:tcPr>
          <w:p w14:paraId="1AC98522" w14:textId="3E777658" w:rsidR="00FB24C0" w:rsidRPr="00C33F4C" w:rsidRDefault="00FB24C0" w:rsidP="00C33F4C">
            <w:pPr>
              <w:spacing w:after="0" w:line="240" w:lineRule="auto"/>
              <w:ind w:left="0" w:firstLine="0"/>
              <w:jc w:val="center"/>
              <w:rPr>
                <w:color w:val="auto"/>
                <w:lang w:val="es-ES"/>
              </w:rPr>
            </w:pPr>
            <w:r w:rsidRPr="00C33F4C">
              <w:rPr>
                <w:color w:val="auto"/>
                <w:lang w:val="es-ES"/>
              </w:rPr>
              <w:t>&lt;</w:t>
            </w:r>
            <w:r w:rsidR="00F94E4F" w:rsidRPr="00E30038">
              <w:t> </w:t>
            </w:r>
            <w:r w:rsidRPr="00C33F4C">
              <w:rPr>
                <w:color w:val="auto"/>
                <w:lang w:val="es-ES"/>
              </w:rPr>
              <w:t>0,0001</w:t>
            </w:r>
          </w:p>
        </w:tc>
        <w:tc>
          <w:tcPr>
            <w:tcW w:w="3261" w:type="dxa"/>
            <w:gridSpan w:val="3"/>
            <w:vAlign w:val="bottom"/>
          </w:tcPr>
          <w:p w14:paraId="4005182F"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&lt;</w:t>
            </w:r>
            <w:r w:rsidR="00F94E4F" w:rsidRPr="00E30038">
              <w:t> </w:t>
            </w:r>
            <w:r w:rsidRPr="00C33F4C">
              <w:rPr>
                <w:color w:val="auto"/>
                <w:lang w:val="es-ES"/>
              </w:rPr>
              <w:t>0,0001</w:t>
            </w:r>
          </w:p>
        </w:tc>
      </w:tr>
      <w:tr w:rsidR="00FB24C0" w:rsidRPr="00FF4E99" w14:paraId="7B0CFF2A" w14:textId="77777777" w:rsidTr="00C33F4C">
        <w:trPr>
          <w:trHeight w:val="257"/>
        </w:trPr>
        <w:tc>
          <w:tcPr>
            <w:tcW w:w="8951" w:type="dxa"/>
            <w:gridSpan w:val="6"/>
            <w:vAlign w:val="bottom"/>
          </w:tcPr>
          <w:p w14:paraId="513F0E1B" w14:textId="77777777" w:rsidR="00FB24C0" w:rsidRPr="00C33F4C" w:rsidRDefault="00FB24C0" w:rsidP="00C33F4C">
            <w:pPr>
              <w:spacing w:after="0" w:line="240" w:lineRule="auto"/>
              <w:ind w:left="0" w:firstLine="0"/>
              <w:rPr>
                <w:color w:val="auto"/>
                <w:lang w:val="es-ES"/>
              </w:rPr>
            </w:pPr>
            <w:r w:rsidRPr="00C33F4C">
              <w:rPr>
                <w:color w:val="auto"/>
                <w:lang w:val="es-ES"/>
              </w:rPr>
              <w:t xml:space="preserve">Tasa de respuesta objetiva </w:t>
            </w:r>
          </w:p>
        </w:tc>
      </w:tr>
      <w:tr w:rsidR="00FB24C0" w:rsidRPr="002C10E1" w14:paraId="4CBB7F74" w14:textId="77777777" w:rsidTr="00C33F4C">
        <w:trPr>
          <w:trHeight w:val="537"/>
        </w:trPr>
        <w:tc>
          <w:tcPr>
            <w:tcW w:w="2249" w:type="dxa"/>
            <w:vAlign w:val="bottom"/>
          </w:tcPr>
          <w:p w14:paraId="3CA5FAE6" w14:textId="77777777" w:rsidR="00FB24C0" w:rsidRPr="00C33F4C" w:rsidRDefault="00FB24C0" w:rsidP="00C33F4C">
            <w:pPr>
              <w:spacing w:after="0" w:line="240" w:lineRule="auto"/>
              <w:ind w:left="0" w:firstLine="0"/>
              <w:rPr>
                <w:color w:val="auto"/>
                <w:lang w:val="es-ES"/>
              </w:rPr>
            </w:pPr>
          </w:p>
        </w:tc>
        <w:tc>
          <w:tcPr>
            <w:tcW w:w="3440" w:type="dxa"/>
            <w:gridSpan w:val="2"/>
            <w:vAlign w:val="bottom"/>
          </w:tcPr>
          <w:p w14:paraId="46972125"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Evaluación de los investigadores</w:t>
            </w:r>
          </w:p>
        </w:tc>
        <w:tc>
          <w:tcPr>
            <w:tcW w:w="3261" w:type="dxa"/>
            <w:gridSpan w:val="3"/>
            <w:vAlign w:val="bottom"/>
          </w:tcPr>
          <w:p w14:paraId="2EDF6F3F"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Evaluación del Comité de revisión independiente</w:t>
            </w:r>
          </w:p>
        </w:tc>
      </w:tr>
      <w:tr w:rsidR="00D445BE" w:rsidRPr="00FF4E99" w14:paraId="69799047" w14:textId="77777777" w:rsidTr="00C33F4C">
        <w:trPr>
          <w:trHeight w:val="559"/>
        </w:trPr>
        <w:tc>
          <w:tcPr>
            <w:tcW w:w="2249" w:type="dxa"/>
          </w:tcPr>
          <w:p w14:paraId="50156E7D" w14:textId="77777777" w:rsidR="00FB24C0" w:rsidRPr="00C33F4C" w:rsidRDefault="00FB24C0" w:rsidP="00C33F4C">
            <w:pPr>
              <w:spacing w:after="0" w:line="240" w:lineRule="auto"/>
              <w:ind w:left="0" w:firstLine="0"/>
              <w:rPr>
                <w:color w:val="auto"/>
                <w:lang w:val="es-ES"/>
              </w:rPr>
            </w:pPr>
          </w:p>
        </w:tc>
        <w:tc>
          <w:tcPr>
            <w:tcW w:w="1623" w:type="dxa"/>
          </w:tcPr>
          <w:p w14:paraId="613C9A15" w14:textId="77777777" w:rsidR="00FB24C0" w:rsidRPr="00C33F4C" w:rsidRDefault="000D0EDE" w:rsidP="00C33F4C">
            <w:pPr>
              <w:spacing w:after="0" w:line="240" w:lineRule="auto"/>
              <w:ind w:left="0" w:firstLine="0"/>
              <w:jc w:val="center"/>
              <w:rPr>
                <w:color w:val="auto"/>
                <w:lang w:val="es-ES"/>
              </w:rPr>
            </w:pPr>
            <w:r w:rsidRPr="00C33F4C">
              <w:rPr>
                <w:color w:val="auto"/>
                <w:lang w:val="es-ES"/>
              </w:rPr>
              <w:t>Placebo + C/G</w:t>
            </w:r>
            <w:r w:rsidR="00FB24C0" w:rsidRPr="00C33F4C">
              <w:rPr>
                <w:color w:val="auto"/>
                <w:lang w:val="es-ES"/>
              </w:rPr>
              <w:t xml:space="preserve"> (n</w:t>
            </w:r>
            <w:r w:rsidR="00F94E4F" w:rsidRPr="00E30038">
              <w:t> </w:t>
            </w:r>
            <w:r w:rsidR="00FB24C0" w:rsidRPr="00C33F4C">
              <w:rPr>
                <w:color w:val="auto"/>
                <w:lang w:val="es-ES"/>
              </w:rPr>
              <w:t>=</w:t>
            </w:r>
            <w:r w:rsidR="00F94E4F" w:rsidRPr="00E30038">
              <w:t> </w:t>
            </w:r>
            <w:r w:rsidR="00FB24C0" w:rsidRPr="00C33F4C">
              <w:rPr>
                <w:color w:val="auto"/>
                <w:lang w:val="es-ES"/>
              </w:rPr>
              <w:t>242)</w:t>
            </w:r>
          </w:p>
        </w:tc>
        <w:tc>
          <w:tcPr>
            <w:tcW w:w="1817" w:type="dxa"/>
          </w:tcPr>
          <w:p w14:paraId="6CF00E50" w14:textId="77777777" w:rsidR="00DA6D7D" w:rsidRPr="00C33F4C" w:rsidRDefault="00863B46" w:rsidP="00C33F4C">
            <w:pPr>
              <w:spacing w:after="0" w:line="240" w:lineRule="auto"/>
              <w:ind w:left="0" w:firstLine="0"/>
              <w:jc w:val="center"/>
              <w:rPr>
                <w:color w:val="auto"/>
                <w:lang w:val="es-ES"/>
              </w:rPr>
            </w:pPr>
            <w:r w:rsidRPr="00C33F4C">
              <w:rPr>
                <w:color w:val="auto"/>
                <w:lang w:val="es-ES"/>
              </w:rPr>
              <w:t>Bevacizumab</w:t>
            </w:r>
            <w:r w:rsidR="000D0EDE" w:rsidRPr="00C33F4C">
              <w:rPr>
                <w:color w:val="auto"/>
                <w:lang w:val="es-ES"/>
              </w:rPr>
              <w:t xml:space="preserve"> + C/G</w:t>
            </w:r>
          </w:p>
          <w:p w14:paraId="50620879"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(n</w:t>
            </w:r>
            <w:r w:rsidR="00F94E4F" w:rsidRPr="00E30038">
              <w:t> </w:t>
            </w:r>
            <w:r w:rsidRPr="00C33F4C">
              <w:rPr>
                <w:color w:val="auto"/>
                <w:lang w:val="es-ES"/>
              </w:rPr>
              <w:t>=</w:t>
            </w:r>
            <w:r w:rsidR="00F94E4F" w:rsidRPr="00E30038">
              <w:t> </w:t>
            </w:r>
            <w:r w:rsidRPr="00C33F4C">
              <w:rPr>
                <w:color w:val="auto"/>
                <w:lang w:val="es-ES"/>
              </w:rPr>
              <w:t>242)</w:t>
            </w:r>
          </w:p>
        </w:tc>
        <w:tc>
          <w:tcPr>
            <w:tcW w:w="1567" w:type="dxa"/>
            <w:gridSpan w:val="2"/>
          </w:tcPr>
          <w:p w14:paraId="5BEBFC12"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Placebo + C/G (n</w:t>
            </w:r>
            <w:r w:rsidR="00F94E4F" w:rsidRPr="00E30038">
              <w:t> </w:t>
            </w:r>
            <w:r w:rsidRPr="00C33F4C">
              <w:rPr>
                <w:color w:val="auto"/>
                <w:lang w:val="es-ES"/>
              </w:rPr>
              <w:t>=</w:t>
            </w:r>
            <w:r w:rsidR="00F94E4F" w:rsidRPr="00E30038">
              <w:t> </w:t>
            </w:r>
            <w:r w:rsidRPr="00C33F4C">
              <w:rPr>
                <w:color w:val="auto"/>
                <w:lang w:val="es-ES"/>
              </w:rPr>
              <w:t>242)</w:t>
            </w:r>
          </w:p>
        </w:tc>
        <w:tc>
          <w:tcPr>
            <w:tcW w:w="1693" w:type="dxa"/>
          </w:tcPr>
          <w:p w14:paraId="073230E2" w14:textId="77777777" w:rsidR="00FB24C0" w:rsidRPr="00C33F4C" w:rsidRDefault="00863B46" w:rsidP="00C33F4C">
            <w:pPr>
              <w:spacing w:after="0" w:line="240" w:lineRule="auto"/>
              <w:ind w:left="0" w:firstLine="0"/>
              <w:jc w:val="center"/>
              <w:rPr>
                <w:color w:val="auto"/>
                <w:lang w:val="es-ES"/>
              </w:rPr>
            </w:pPr>
            <w:r w:rsidRPr="00C33F4C">
              <w:rPr>
                <w:color w:val="auto"/>
                <w:lang w:val="es-ES"/>
              </w:rPr>
              <w:t>Bevacizumab</w:t>
            </w:r>
            <w:r w:rsidR="00FB24C0" w:rsidRPr="00C33F4C">
              <w:rPr>
                <w:color w:val="auto"/>
                <w:lang w:val="es-ES"/>
              </w:rPr>
              <w:t xml:space="preserve"> + C/G</w:t>
            </w:r>
          </w:p>
          <w:p w14:paraId="2B8A089F"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(n</w:t>
            </w:r>
            <w:r w:rsidR="00F94E4F" w:rsidRPr="00E30038">
              <w:t> </w:t>
            </w:r>
            <w:r w:rsidRPr="00C33F4C">
              <w:rPr>
                <w:color w:val="auto"/>
                <w:lang w:val="es-ES"/>
              </w:rPr>
              <w:t>=</w:t>
            </w:r>
            <w:r w:rsidR="00F94E4F" w:rsidRPr="00E30038">
              <w:t> </w:t>
            </w:r>
            <w:r w:rsidRPr="00C33F4C">
              <w:rPr>
                <w:color w:val="auto"/>
                <w:lang w:val="es-ES"/>
              </w:rPr>
              <w:t>242)</w:t>
            </w:r>
          </w:p>
        </w:tc>
      </w:tr>
      <w:tr w:rsidR="00D445BE" w:rsidRPr="00FF4E99" w14:paraId="0562637D" w14:textId="77777777" w:rsidTr="00C33F4C">
        <w:trPr>
          <w:trHeight w:val="506"/>
        </w:trPr>
        <w:tc>
          <w:tcPr>
            <w:tcW w:w="2249" w:type="dxa"/>
            <w:vAlign w:val="bottom"/>
          </w:tcPr>
          <w:p w14:paraId="77A0EFCC" w14:textId="77777777" w:rsidR="00FB24C0" w:rsidRPr="00C33F4C" w:rsidRDefault="00FB24C0" w:rsidP="00C33F4C">
            <w:pPr>
              <w:spacing w:after="0" w:line="240" w:lineRule="auto"/>
              <w:ind w:left="284" w:firstLine="0"/>
              <w:rPr>
                <w:color w:val="auto"/>
                <w:lang w:val="es-ES"/>
              </w:rPr>
            </w:pPr>
            <w:r w:rsidRPr="00C33F4C">
              <w:rPr>
                <w:color w:val="auto"/>
                <w:lang w:val="es-ES"/>
              </w:rPr>
              <w:t xml:space="preserve">% </w:t>
            </w:r>
            <w:proofErr w:type="spellStart"/>
            <w:r w:rsidRPr="00C33F4C">
              <w:rPr>
                <w:color w:val="auto"/>
                <w:lang w:val="es-ES"/>
              </w:rPr>
              <w:t>pts</w:t>
            </w:r>
            <w:proofErr w:type="spellEnd"/>
            <w:r w:rsidRPr="00C33F4C">
              <w:rPr>
                <w:color w:val="auto"/>
                <w:lang w:val="es-ES"/>
              </w:rPr>
              <w:t xml:space="preserve"> con respuesta objetiva </w:t>
            </w:r>
          </w:p>
        </w:tc>
        <w:tc>
          <w:tcPr>
            <w:tcW w:w="1623" w:type="dxa"/>
            <w:vAlign w:val="center"/>
          </w:tcPr>
          <w:p w14:paraId="741C568C"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57,4%</w:t>
            </w:r>
          </w:p>
        </w:tc>
        <w:tc>
          <w:tcPr>
            <w:tcW w:w="1817" w:type="dxa"/>
            <w:vAlign w:val="center"/>
          </w:tcPr>
          <w:p w14:paraId="7E31395C"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78,5%</w:t>
            </w:r>
          </w:p>
        </w:tc>
        <w:tc>
          <w:tcPr>
            <w:tcW w:w="1567" w:type="dxa"/>
            <w:gridSpan w:val="2"/>
            <w:vAlign w:val="center"/>
          </w:tcPr>
          <w:p w14:paraId="41726C0B"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53,7%</w:t>
            </w:r>
          </w:p>
        </w:tc>
        <w:tc>
          <w:tcPr>
            <w:tcW w:w="1693" w:type="dxa"/>
            <w:vAlign w:val="center"/>
          </w:tcPr>
          <w:p w14:paraId="5DA7B1F1"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74,8%</w:t>
            </w:r>
          </w:p>
        </w:tc>
      </w:tr>
      <w:tr w:rsidR="00FB24C0" w:rsidRPr="00FF4E99" w14:paraId="6C4F8278" w14:textId="77777777" w:rsidTr="00C33F4C">
        <w:trPr>
          <w:trHeight w:val="257"/>
        </w:trPr>
        <w:tc>
          <w:tcPr>
            <w:tcW w:w="2249" w:type="dxa"/>
            <w:vAlign w:val="bottom"/>
          </w:tcPr>
          <w:p w14:paraId="2A8F6C55" w14:textId="77777777" w:rsidR="00FB24C0" w:rsidRPr="00C33F4C" w:rsidRDefault="00FB24C0" w:rsidP="00C33F4C">
            <w:pPr>
              <w:spacing w:after="0" w:line="240" w:lineRule="auto"/>
              <w:ind w:left="284" w:firstLine="0"/>
              <w:rPr>
                <w:color w:val="auto"/>
                <w:lang w:val="es-ES"/>
              </w:rPr>
            </w:pPr>
            <w:r w:rsidRPr="00C33F4C">
              <w:rPr>
                <w:color w:val="auto"/>
                <w:lang w:val="es-ES"/>
              </w:rPr>
              <w:t xml:space="preserve">Valor de p </w:t>
            </w:r>
          </w:p>
        </w:tc>
        <w:tc>
          <w:tcPr>
            <w:tcW w:w="3440" w:type="dxa"/>
            <w:gridSpan w:val="2"/>
            <w:vAlign w:val="bottom"/>
          </w:tcPr>
          <w:p w14:paraId="5B3BBC03"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&lt; 0,0001</w:t>
            </w:r>
          </w:p>
        </w:tc>
        <w:tc>
          <w:tcPr>
            <w:tcW w:w="3261" w:type="dxa"/>
            <w:gridSpan w:val="3"/>
            <w:vAlign w:val="bottom"/>
          </w:tcPr>
          <w:p w14:paraId="1DA8B5B4"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&lt; 0,0001</w:t>
            </w:r>
          </w:p>
        </w:tc>
      </w:tr>
      <w:tr w:rsidR="00FB24C0" w:rsidRPr="00FF4E99" w14:paraId="48947630" w14:textId="77777777" w:rsidTr="00C33F4C">
        <w:trPr>
          <w:trHeight w:val="258"/>
        </w:trPr>
        <w:tc>
          <w:tcPr>
            <w:tcW w:w="8951" w:type="dxa"/>
            <w:gridSpan w:val="6"/>
            <w:vAlign w:val="bottom"/>
          </w:tcPr>
          <w:p w14:paraId="414D2BC2" w14:textId="77777777" w:rsidR="00FB24C0" w:rsidRPr="00C33F4C" w:rsidRDefault="001909D5" w:rsidP="00C33F4C">
            <w:pPr>
              <w:spacing w:after="0" w:line="240" w:lineRule="auto"/>
              <w:ind w:left="0" w:firstLine="0"/>
              <w:rPr>
                <w:color w:val="auto"/>
                <w:lang w:val="es-ES"/>
              </w:rPr>
            </w:pPr>
            <w:r w:rsidRPr="00C33F4C">
              <w:rPr>
                <w:color w:val="auto"/>
                <w:lang w:val="es-ES"/>
              </w:rPr>
              <w:t>Supervivencia Global**</w:t>
            </w:r>
          </w:p>
        </w:tc>
      </w:tr>
      <w:tr w:rsidR="00FB24C0" w:rsidRPr="00FF4E99" w14:paraId="7C66E2D8" w14:textId="77777777" w:rsidTr="00C33F4C">
        <w:trPr>
          <w:trHeight w:val="531"/>
        </w:trPr>
        <w:tc>
          <w:tcPr>
            <w:tcW w:w="2249" w:type="dxa"/>
            <w:vAlign w:val="bottom"/>
          </w:tcPr>
          <w:p w14:paraId="0286D892" w14:textId="77777777" w:rsidR="00FB24C0" w:rsidRPr="00C33F4C" w:rsidRDefault="00FB24C0" w:rsidP="00C33F4C">
            <w:pPr>
              <w:spacing w:after="0" w:line="240" w:lineRule="auto"/>
              <w:ind w:left="0" w:firstLine="0"/>
              <w:rPr>
                <w:color w:val="auto"/>
                <w:lang w:val="es-ES"/>
              </w:rPr>
            </w:pPr>
          </w:p>
        </w:tc>
        <w:tc>
          <w:tcPr>
            <w:tcW w:w="3440" w:type="dxa"/>
            <w:gridSpan w:val="2"/>
          </w:tcPr>
          <w:p w14:paraId="0A2F174F" w14:textId="77777777" w:rsidR="00D54EAD" w:rsidRPr="00C33F4C" w:rsidRDefault="000D0EDE" w:rsidP="00C33F4C">
            <w:pPr>
              <w:spacing w:after="0" w:line="240" w:lineRule="auto"/>
              <w:ind w:left="0" w:firstLine="0"/>
              <w:jc w:val="center"/>
              <w:rPr>
                <w:color w:val="auto"/>
                <w:lang w:val="es-ES"/>
              </w:rPr>
            </w:pPr>
            <w:r w:rsidRPr="00C33F4C">
              <w:rPr>
                <w:color w:val="auto"/>
                <w:lang w:val="es-ES"/>
              </w:rPr>
              <w:t>Placebo</w:t>
            </w:r>
            <w:r w:rsidR="00D54EAD" w:rsidRPr="00C33F4C">
              <w:rPr>
                <w:color w:val="auto"/>
                <w:lang w:val="es-ES"/>
              </w:rPr>
              <w:t xml:space="preserve"> </w:t>
            </w:r>
            <w:r w:rsidRPr="00C33F4C">
              <w:rPr>
                <w:color w:val="auto"/>
                <w:lang w:val="es-ES"/>
              </w:rPr>
              <w:t>+</w:t>
            </w:r>
            <w:r w:rsidR="00D54EAD" w:rsidRPr="00C33F4C">
              <w:rPr>
                <w:color w:val="auto"/>
                <w:lang w:val="es-ES"/>
              </w:rPr>
              <w:t xml:space="preserve"> C/G</w:t>
            </w:r>
          </w:p>
          <w:p w14:paraId="4B9DE301"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(n</w:t>
            </w:r>
            <w:r w:rsidR="00F94E4F" w:rsidRPr="00E30038">
              <w:t> </w:t>
            </w:r>
            <w:r w:rsidRPr="00C33F4C">
              <w:rPr>
                <w:color w:val="auto"/>
                <w:lang w:val="es-ES"/>
              </w:rPr>
              <w:t>=</w:t>
            </w:r>
            <w:r w:rsidR="00F94E4F" w:rsidRPr="00E30038">
              <w:t> </w:t>
            </w:r>
            <w:r w:rsidRPr="00C33F4C">
              <w:rPr>
                <w:color w:val="auto"/>
                <w:lang w:val="es-ES"/>
              </w:rPr>
              <w:t>242)</w:t>
            </w:r>
          </w:p>
        </w:tc>
        <w:tc>
          <w:tcPr>
            <w:tcW w:w="3261" w:type="dxa"/>
            <w:gridSpan w:val="3"/>
          </w:tcPr>
          <w:p w14:paraId="031A7BC5" w14:textId="77777777" w:rsidR="008A1F33" w:rsidRPr="00C33F4C" w:rsidRDefault="00863B46" w:rsidP="00C33F4C">
            <w:pPr>
              <w:spacing w:after="0" w:line="240" w:lineRule="auto"/>
              <w:ind w:left="0" w:firstLine="0"/>
              <w:jc w:val="center"/>
              <w:rPr>
                <w:color w:val="auto"/>
                <w:lang w:val="es-ES"/>
              </w:rPr>
            </w:pPr>
            <w:r w:rsidRPr="00C33F4C">
              <w:rPr>
                <w:color w:val="auto"/>
                <w:lang w:val="es-ES"/>
              </w:rPr>
              <w:t>Bevacizumab</w:t>
            </w:r>
            <w:r w:rsidR="000D0EDE" w:rsidRPr="00C33F4C">
              <w:rPr>
                <w:color w:val="auto"/>
                <w:lang w:val="es-ES"/>
              </w:rPr>
              <w:t xml:space="preserve"> + C/G</w:t>
            </w:r>
          </w:p>
          <w:p w14:paraId="2A0AD3AA"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(n</w:t>
            </w:r>
            <w:r w:rsidR="00F94E4F" w:rsidRPr="00E30038">
              <w:t> </w:t>
            </w:r>
            <w:r w:rsidRPr="00C33F4C">
              <w:rPr>
                <w:color w:val="auto"/>
                <w:lang w:val="es-ES"/>
              </w:rPr>
              <w:t>=</w:t>
            </w:r>
            <w:r w:rsidR="00F94E4F" w:rsidRPr="00E30038">
              <w:t> </w:t>
            </w:r>
            <w:r w:rsidRPr="00C33F4C">
              <w:rPr>
                <w:color w:val="auto"/>
                <w:lang w:val="es-ES"/>
              </w:rPr>
              <w:t>242)</w:t>
            </w:r>
          </w:p>
        </w:tc>
      </w:tr>
      <w:tr w:rsidR="00FB24C0" w:rsidRPr="00FF4E99" w14:paraId="5633F309" w14:textId="77777777" w:rsidTr="00C33F4C">
        <w:trPr>
          <w:trHeight w:val="257"/>
        </w:trPr>
        <w:tc>
          <w:tcPr>
            <w:tcW w:w="2249" w:type="dxa"/>
            <w:vAlign w:val="bottom"/>
          </w:tcPr>
          <w:p w14:paraId="12197142" w14:textId="77777777" w:rsidR="00FB24C0" w:rsidRPr="00C33F4C" w:rsidRDefault="00FB24C0" w:rsidP="00C33F4C">
            <w:pPr>
              <w:spacing w:after="0" w:line="240" w:lineRule="auto"/>
              <w:ind w:left="284" w:firstLine="0"/>
              <w:rPr>
                <w:color w:val="auto"/>
                <w:lang w:val="es-ES"/>
              </w:rPr>
            </w:pPr>
            <w:r w:rsidRPr="00C33F4C">
              <w:rPr>
                <w:color w:val="auto"/>
                <w:lang w:val="es-ES"/>
              </w:rPr>
              <w:t xml:space="preserve">Mediana SG (meses) </w:t>
            </w:r>
          </w:p>
        </w:tc>
        <w:tc>
          <w:tcPr>
            <w:tcW w:w="3440" w:type="dxa"/>
            <w:gridSpan w:val="2"/>
            <w:vAlign w:val="bottom"/>
          </w:tcPr>
          <w:p w14:paraId="751A9CF5"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32,9</w:t>
            </w:r>
          </w:p>
        </w:tc>
        <w:tc>
          <w:tcPr>
            <w:tcW w:w="3261" w:type="dxa"/>
            <w:gridSpan w:val="3"/>
            <w:vAlign w:val="bottom"/>
          </w:tcPr>
          <w:p w14:paraId="190454BF"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33,6</w:t>
            </w:r>
          </w:p>
        </w:tc>
      </w:tr>
      <w:tr w:rsidR="00FB24C0" w:rsidRPr="00FF4E99" w14:paraId="5149E228" w14:textId="77777777" w:rsidTr="00C33F4C">
        <w:trPr>
          <w:trHeight w:val="506"/>
        </w:trPr>
        <w:tc>
          <w:tcPr>
            <w:tcW w:w="2249" w:type="dxa"/>
            <w:vAlign w:val="bottom"/>
          </w:tcPr>
          <w:p w14:paraId="21FF7D55" w14:textId="77777777" w:rsidR="00FB24C0" w:rsidRPr="00C33F4C" w:rsidRDefault="00F1234A" w:rsidP="00C33F4C">
            <w:pPr>
              <w:spacing w:after="0" w:line="240" w:lineRule="auto"/>
              <w:ind w:left="284" w:firstLine="0"/>
              <w:rPr>
                <w:color w:val="auto"/>
                <w:lang w:val="es-ES"/>
              </w:rPr>
            </w:pPr>
            <w:r w:rsidRPr="00C33F4C">
              <w:rPr>
                <w:color w:val="auto"/>
                <w:lang w:val="es-ES"/>
              </w:rPr>
              <w:t>Razón de riesgo (IC del 95%</w:t>
            </w:r>
            <w:r w:rsidR="00FB24C0" w:rsidRPr="00C33F4C">
              <w:rPr>
                <w:color w:val="auto"/>
                <w:lang w:val="es-ES"/>
              </w:rPr>
              <w:t xml:space="preserve">) </w:t>
            </w:r>
          </w:p>
        </w:tc>
        <w:tc>
          <w:tcPr>
            <w:tcW w:w="6702" w:type="dxa"/>
            <w:gridSpan w:val="5"/>
            <w:vAlign w:val="center"/>
          </w:tcPr>
          <w:p w14:paraId="6177F048"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0,952 [0,771</w:t>
            </w:r>
            <w:r w:rsidR="00AC160C" w:rsidRPr="00C33F4C">
              <w:rPr>
                <w:color w:val="auto"/>
                <w:lang w:val="es-ES"/>
              </w:rPr>
              <w:t>;</w:t>
            </w:r>
            <w:r w:rsidRPr="00C33F4C">
              <w:rPr>
                <w:color w:val="auto"/>
                <w:lang w:val="es-ES"/>
              </w:rPr>
              <w:t xml:space="preserve"> 1,1761]</w:t>
            </w:r>
          </w:p>
        </w:tc>
      </w:tr>
      <w:tr w:rsidR="00FB24C0" w:rsidRPr="00FF4E99" w14:paraId="38C1CDE7" w14:textId="77777777" w:rsidTr="00C33F4C">
        <w:trPr>
          <w:trHeight w:val="258"/>
        </w:trPr>
        <w:tc>
          <w:tcPr>
            <w:tcW w:w="2249" w:type="dxa"/>
            <w:vAlign w:val="bottom"/>
          </w:tcPr>
          <w:p w14:paraId="1A75F6DE" w14:textId="77777777" w:rsidR="00FB24C0" w:rsidRPr="00C33F4C" w:rsidRDefault="00FB24C0" w:rsidP="00C33F4C">
            <w:pPr>
              <w:spacing w:after="0" w:line="240" w:lineRule="auto"/>
              <w:ind w:left="284" w:firstLine="0"/>
              <w:rPr>
                <w:color w:val="auto"/>
                <w:lang w:val="es-ES"/>
              </w:rPr>
            </w:pPr>
            <w:r w:rsidRPr="00C33F4C">
              <w:rPr>
                <w:color w:val="auto"/>
                <w:lang w:val="es-ES"/>
              </w:rPr>
              <w:t xml:space="preserve">Valor de p </w:t>
            </w:r>
          </w:p>
        </w:tc>
        <w:tc>
          <w:tcPr>
            <w:tcW w:w="6702" w:type="dxa"/>
            <w:gridSpan w:val="5"/>
            <w:vAlign w:val="bottom"/>
          </w:tcPr>
          <w:p w14:paraId="3A8C706D"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0,6479</w:t>
            </w:r>
          </w:p>
        </w:tc>
      </w:tr>
    </w:tbl>
    <w:p w14:paraId="7E04FB9E" w14:textId="77777777" w:rsidR="00FB24C0" w:rsidRPr="00775BD9" w:rsidRDefault="00FB24C0" w:rsidP="00FB24C0">
      <w:pPr>
        <w:spacing w:after="0" w:line="240" w:lineRule="auto"/>
        <w:ind w:left="0" w:firstLine="0"/>
        <w:rPr>
          <w:color w:val="auto"/>
          <w:lang w:val="es-ES"/>
        </w:rPr>
      </w:pPr>
    </w:p>
    <w:p w14:paraId="2035E166" w14:textId="0803D2FB" w:rsidR="00FB24C0" w:rsidRPr="00775BD9" w:rsidRDefault="00FB24C0" w:rsidP="00FB24C0">
      <w:pPr>
        <w:spacing w:after="0" w:line="240" w:lineRule="auto"/>
        <w:ind w:left="0" w:firstLine="0"/>
        <w:rPr>
          <w:color w:val="auto"/>
          <w:lang w:val="es-ES"/>
        </w:rPr>
      </w:pPr>
      <w:r w:rsidRPr="00775BD9">
        <w:rPr>
          <w:color w:val="auto"/>
          <w:lang w:val="es-ES"/>
        </w:rPr>
        <w:t xml:space="preserve">Los análisis de la SLP por subgrupos dependiendo de la recaída desde el último tratamiento con platino se presentan en la </w:t>
      </w:r>
      <w:r w:rsidR="00471B84">
        <w:rPr>
          <w:color w:val="auto"/>
          <w:lang w:val="es-ES"/>
        </w:rPr>
        <w:t>t</w:t>
      </w:r>
      <w:r w:rsidRPr="00775BD9">
        <w:rPr>
          <w:color w:val="auto"/>
          <w:lang w:val="es-ES"/>
        </w:rPr>
        <w:t xml:space="preserve">abla </w:t>
      </w:r>
      <w:r w:rsidR="0071031C">
        <w:rPr>
          <w:color w:val="auto"/>
          <w:lang w:val="es-ES"/>
        </w:rPr>
        <w:t>21</w:t>
      </w:r>
      <w:r w:rsidRPr="00775BD9">
        <w:rPr>
          <w:color w:val="auto"/>
          <w:lang w:val="es-ES"/>
        </w:rPr>
        <w:t>.</w:t>
      </w:r>
    </w:p>
    <w:p w14:paraId="4E14C96A" w14:textId="77777777" w:rsidR="00FB24C0" w:rsidRPr="00775BD9" w:rsidRDefault="00FB24C0" w:rsidP="00FB24C0">
      <w:pPr>
        <w:spacing w:after="0" w:line="240" w:lineRule="auto"/>
        <w:ind w:left="0" w:firstLine="0"/>
        <w:rPr>
          <w:color w:val="auto"/>
          <w:lang w:val="es-ES"/>
        </w:rPr>
      </w:pPr>
    </w:p>
    <w:p w14:paraId="0E7FCCAA" w14:textId="27959D1C" w:rsidR="00FB24C0" w:rsidRPr="00854119" w:rsidRDefault="00FB24C0" w:rsidP="00D161AB">
      <w:pPr>
        <w:keepNext/>
        <w:keepLines/>
        <w:spacing w:after="0" w:line="240" w:lineRule="auto"/>
        <w:ind w:left="0" w:firstLine="0"/>
        <w:rPr>
          <w:b/>
          <w:color w:val="auto"/>
          <w:lang w:val="es-ES"/>
        </w:rPr>
      </w:pPr>
      <w:r w:rsidRPr="00854119">
        <w:rPr>
          <w:b/>
          <w:color w:val="auto"/>
          <w:lang w:val="es-ES"/>
        </w:rPr>
        <w:lastRenderedPageBreak/>
        <w:t xml:space="preserve">Tabla </w:t>
      </w:r>
      <w:r w:rsidR="0071031C">
        <w:rPr>
          <w:b/>
          <w:color w:val="auto"/>
          <w:lang w:val="es-ES"/>
        </w:rPr>
        <w:t>21</w:t>
      </w:r>
      <w:r w:rsidR="00684760" w:rsidRPr="00854119">
        <w:rPr>
          <w:b/>
          <w:color w:val="auto"/>
          <w:lang w:val="es-ES"/>
        </w:rPr>
        <w:t>.</w:t>
      </w:r>
      <w:r w:rsidRPr="00854119">
        <w:rPr>
          <w:b/>
          <w:color w:val="auto"/>
          <w:lang w:val="es-ES"/>
        </w:rPr>
        <w:t xml:space="preserve"> Supervivencia libre de progresión clasificada por tiempo desde el último tratamiento con platino hasta recaída</w:t>
      </w:r>
    </w:p>
    <w:p w14:paraId="57DB5179" w14:textId="77777777" w:rsidR="00FB24C0" w:rsidRPr="00775BD9" w:rsidRDefault="00FB24C0" w:rsidP="00D161AB">
      <w:pPr>
        <w:keepNext/>
        <w:keepLines/>
        <w:spacing w:after="0" w:line="240" w:lineRule="auto"/>
        <w:ind w:left="0" w:firstLine="0"/>
        <w:rPr>
          <w:color w:val="auto"/>
          <w:lang w:val="es-ES"/>
        </w:rPr>
      </w:pPr>
    </w:p>
    <w:tbl>
      <w:tblPr>
        <w:tblW w:w="9020" w:type="dxa"/>
        <w:tblInd w:w="-5" w:type="dxa"/>
        <w:tblCellMar>
          <w:top w:w="55" w:type="dxa"/>
          <w:right w:w="115" w:type="dxa"/>
        </w:tblCellMar>
        <w:tblLook w:val="04A0" w:firstRow="1" w:lastRow="0" w:firstColumn="1" w:lastColumn="0" w:noHBand="0" w:noVBand="1"/>
      </w:tblPr>
      <w:tblGrid>
        <w:gridCol w:w="3006"/>
        <w:gridCol w:w="3007"/>
        <w:gridCol w:w="3007"/>
      </w:tblGrid>
      <w:tr w:rsidR="00FB24C0" w:rsidRPr="00443040" w14:paraId="75EB0013" w14:textId="77777777" w:rsidTr="00C33F4C">
        <w:trPr>
          <w:trHeight w:val="246"/>
          <w:tblHeader/>
        </w:trPr>
        <w:tc>
          <w:tcPr>
            <w:tcW w:w="3006" w:type="dxa"/>
            <w:tcBorders>
              <w:top w:val="single" w:sz="4" w:space="0" w:color="000000"/>
              <w:left w:val="single" w:sz="4" w:space="0" w:color="000000"/>
              <w:bottom w:val="single" w:sz="4" w:space="0" w:color="000000"/>
              <w:right w:val="single" w:sz="4" w:space="0" w:color="000000"/>
            </w:tcBorders>
          </w:tcPr>
          <w:p w14:paraId="13D1863F" w14:textId="77777777" w:rsidR="00FB24C0" w:rsidRPr="00C33F4C" w:rsidRDefault="00FB24C0" w:rsidP="00D161AB">
            <w:pPr>
              <w:keepNext/>
              <w:keepLines/>
              <w:spacing w:after="0" w:line="240" w:lineRule="auto"/>
              <w:ind w:left="0" w:firstLine="0"/>
              <w:rPr>
                <w:b/>
                <w:color w:val="auto"/>
                <w:lang w:val="es-ES"/>
              </w:rPr>
            </w:pPr>
            <w:r w:rsidRPr="00C33F4C">
              <w:rPr>
                <w:b/>
                <w:color w:val="auto"/>
                <w:lang w:val="es-ES"/>
              </w:rPr>
              <w:t xml:space="preserve"> </w:t>
            </w:r>
          </w:p>
        </w:tc>
        <w:tc>
          <w:tcPr>
            <w:tcW w:w="6014" w:type="dxa"/>
            <w:gridSpan w:val="2"/>
            <w:tcBorders>
              <w:top w:val="single" w:sz="4" w:space="0" w:color="000000"/>
              <w:left w:val="single" w:sz="4" w:space="0" w:color="000000"/>
              <w:bottom w:val="single" w:sz="4" w:space="0" w:color="000000"/>
              <w:right w:val="single" w:sz="4" w:space="0" w:color="000000"/>
            </w:tcBorders>
            <w:vAlign w:val="bottom"/>
          </w:tcPr>
          <w:p w14:paraId="6817D8F4" w14:textId="77777777" w:rsidR="00FB24C0" w:rsidRPr="00C33F4C" w:rsidRDefault="00FB24C0" w:rsidP="00D161AB">
            <w:pPr>
              <w:keepNext/>
              <w:keepLines/>
              <w:spacing w:after="0" w:line="240" w:lineRule="auto"/>
              <w:ind w:left="0" w:firstLine="0"/>
              <w:jc w:val="center"/>
              <w:rPr>
                <w:b/>
                <w:color w:val="auto"/>
                <w:lang w:val="es-ES"/>
              </w:rPr>
            </w:pPr>
            <w:r w:rsidRPr="00C33F4C">
              <w:rPr>
                <w:b/>
                <w:color w:val="auto"/>
                <w:lang w:val="es-ES"/>
              </w:rPr>
              <w:t>Evaluación de los investigadores</w:t>
            </w:r>
          </w:p>
        </w:tc>
      </w:tr>
      <w:tr w:rsidR="00FB24C0" w:rsidRPr="00443040" w14:paraId="25536AA4" w14:textId="77777777" w:rsidTr="00C33F4C">
        <w:trPr>
          <w:trHeight w:val="721"/>
          <w:tblHeader/>
        </w:trPr>
        <w:tc>
          <w:tcPr>
            <w:tcW w:w="3006" w:type="dxa"/>
            <w:tcBorders>
              <w:top w:val="single" w:sz="4" w:space="0" w:color="000000"/>
              <w:left w:val="single" w:sz="4" w:space="0" w:color="000000"/>
              <w:bottom w:val="single" w:sz="4" w:space="0" w:color="000000"/>
              <w:right w:val="single" w:sz="4" w:space="0" w:color="000000"/>
            </w:tcBorders>
            <w:vAlign w:val="bottom"/>
          </w:tcPr>
          <w:p w14:paraId="536EC745" w14:textId="77777777" w:rsidR="00FB24C0" w:rsidRPr="00C33F4C" w:rsidRDefault="00FB24C0" w:rsidP="00D161AB">
            <w:pPr>
              <w:keepNext/>
              <w:keepLines/>
              <w:spacing w:after="0" w:line="240" w:lineRule="auto"/>
              <w:ind w:left="0" w:firstLine="0"/>
              <w:rPr>
                <w:b/>
                <w:color w:val="auto"/>
                <w:lang w:val="es-ES"/>
              </w:rPr>
            </w:pPr>
            <w:r w:rsidRPr="00C33F4C">
              <w:rPr>
                <w:b/>
                <w:color w:val="auto"/>
                <w:lang w:val="es-ES"/>
              </w:rPr>
              <w:t xml:space="preserve">Tiempo desde el último tratamiento con platino hasta recaída </w:t>
            </w:r>
          </w:p>
        </w:tc>
        <w:tc>
          <w:tcPr>
            <w:tcW w:w="3007" w:type="dxa"/>
            <w:tcBorders>
              <w:top w:val="single" w:sz="4" w:space="0" w:color="000000"/>
              <w:left w:val="single" w:sz="4" w:space="0" w:color="000000"/>
              <w:bottom w:val="single" w:sz="4" w:space="0" w:color="000000"/>
              <w:right w:val="single" w:sz="4" w:space="0" w:color="000000"/>
            </w:tcBorders>
          </w:tcPr>
          <w:p w14:paraId="5BDF9155" w14:textId="77777777" w:rsidR="00FB24C0" w:rsidRPr="00C33F4C" w:rsidRDefault="00FB24C0" w:rsidP="00D161AB">
            <w:pPr>
              <w:keepNext/>
              <w:keepLines/>
              <w:spacing w:after="0" w:line="240" w:lineRule="auto"/>
              <w:ind w:left="0" w:firstLine="0"/>
              <w:jc w:val="center"/>
              <w:rPr>
                <w:b/>
                <w:color w:val="auto"/>
                <w:lang w:val="es-ES"/>
              </w:rPr>
            </w:pPr>
            <w:r w:rsidRPr="00C33F4C">
              <w:rPr>
                <w:b/>
                <w:color w:val="auto"/>
                <w:lang w:val="es-ES"/>
              </w:rPr>
              <w:t>Placebo + C/G</w:t>
            </w:r>
          </w:p>
          <w:p w14:paraId="2AD75FF8" w14:textId="77777777" w:rsidR="00FB24C0" w:rsidRPr="00C33F4C" w:rsidRDefault="00FB24C0" w:rsidP="00D161AB">
            <w:pPr>
              <w:keepNext/>
              <w:keepLines/>
              <w:spacing w:after="0" w:line="240" w:lineRule="auto"/>
              <w:ind w:left="0" w:firstLine="0"/>
              <w:jc w:val="center"/>
              <w:rPr>
                <w:b/>
                <w:color w:val="auto"/>
                <w:lang w:val="es-ES"/>
              </w:rPr>
            </w:pPr>
            <w:r w:rsidRPr="00C33F4C">
              <w:rPr>
                <w:b/>
                <w:color w:val="auto"/>
                <w:lang w:val="es-ES"/>
              </w:rPr>
              <w:t>(n</w:t>
            </w:r>
            <w:r w:rsidR="001629DA" w:rsidRPr="00E30038">
              <w:t> </w:t>
            </w:r>
            <w:r w:rsidRPr="00C33F4C">
              <w:rPr>
                <w:b/>
                <w:color w:val="auto"/>
                <w:lang w:val="es-ES"/>
              </w:rPr>
              <w:t>=</w:t>
            </w:r>
            <w:r w:rsidR="001629DA" w:rsidRPr="00E30038">
              <w:t> </w:t>
            </w:r>
            <w:r w:rsidRPr="00C33F4C">
              <w:rPr>
                <w:b/>
                <w:color w:val="auto"/>
                <w:lang w:val="es-ES"/>
              </w:rPr>
              <w:t>242)</w:t>
            </w:r>
          </w:p>
        </w:tc>
        <w:tc>
          <w:tcPr>
            <w:tcW w:w="3007" w:type="dxa"/>
            <w:tcBorders>
              <w:top w:val="single" w:sz="4" w:space="0" w:color="000000"/>
              <w:left w:val="single" w:sz="4" w:space="0" w:color="000000"/>
              <w:bottom w:val="single" w:sz="4" w:space="0" w:color="000000"/>
              <w:right w:val="single" w:sz="4" w:space="0" w:color="000000"/>
            </w:tcBorders>
          </w:tcPr>
          <w:p w14:paraId="23896AC3" w14:textId="77777777" w:rsidR="00FB24C0" w:rsidRPr="00C33F4C" w:rsidRDefault="00863B46" w:rsidP="00D161AB">
            <w:pPr>
              <w:keepNext/>
              <w:keepLines/>
              <w:spacing w:after="0" w:line="240" w:lineRule="auto"/>
              <w:ind w:left="0" w:firstLine="0"/>
              <w:jc w:val="center"/>
              <w:rPr>
                <w:b/>
                <w:color w:val="auto"/>
                <w:lang w:val="es-ES"/>
              </w:rPr>
            </w:pPr>
            <w:r w:rsidRPr="00C33F4C">
              <w:rPr>
                <w:b/>
                <w:color w:val="auto"/>
                <w:lang w:val="es-ES"/>
              </w:rPr>
              <w:t>Bevacizumab</w:t>
            </w:r>
            <w:r w:rsidR="00FB24C0" w:rsidRPr="00C33F4C">
              <w:rPr>
                <w:b/>
                <w:color w:val="auto"/>
                <w:lang w:val="es-ES"/>
              </w:rPr>
              <w:t xml:space="preserve"> + C/G</w:t>
            </w:r>
          </w:p>
          <w:p w14:paraId="69D1811F" w14:textId="77777777" w:rsidR="00FB24C0" w:rsidRPr="00C33F4C" w:rsidRDefault="00FB24C0" w:rsidP="00D161AB">
            <w:pPr>
              <w:keepNext/>
              <w:keepLines/>
              <w:spacing w:after="0" w:line="240" w:lineRule="auto"/>
              <w:ind w:left="0" w:firstLine="0"/>
              <w:jc w:val="center"/>
              <w:rPr>
                <w:b/>
                <w:color w:val="auto"/>
                <w:lang w:val="es-ES"/>
              </w:rPr>
            </w:pPr>
            <w:r w:rsidRPr="00C33F4C">
              <w:rPr>
                <w:b/>
                <w:color w:val="auto"/>
                <w:lang w:val="es-ES"/>
              </w:rPr>
              <w:t>(n</w:t>
            </w:r>
            <w:r w:rsidR="001629DA" w:rsidRPr="00E30038">
              <w:t> </w:t>
            </w:r>
            <w:r w:rsidRPr="00C33F4C">
              <w:rPr>
                <w:b/>
                <w:color w:val="auto"/>
                <w:lang w:val="es-ES"/>
              </w:rPr>
              <w:t>=</w:t>
            </w:r>
            <w:r w:rsidR="001629DA" w:rsidRPr="00E30038">
              <w:t> </w:t>
            </w:r>
            <w:r w:rsidRPr="00C33F4C">
              <w:rPr>
                <w:b/>
                <w:color w:val="auto"/>
                <w:lang w:val="es-ES"/>
              </w:rPr>
              <w:t>242)</w:t>
            </w:r>
          </w:p>
        </w:tc>
      </w:tr>
      <w:tr w:rsidR="00FB24C0" w:rsidRPr="00443040" w14:paraId="29942BA9" w14:textId="77777777" w:rsidTr="00C33F4C">
        <w:trPr>
          <w:trHeight w:val="246"/>
        </w:trPr>
        <w:tc>
          <w:tcPr>
            <w:tcW w:w="3006" w:type="dxa"/>
            <w:tcBorders>
              <w:top w:val="single" w:sz="4" w:space="0" w:color="000000"/>
              <w:left w:val="single" w:sz="4" w:space="0" w:color="000000"/>
              <w:bottom w:val="single" w:sz="4" w:space="0" w:color="000000"/>
              <w:right w:val="single" w:sz="4" w:space="0" w:color="000000"/>
            </w:tcBorders>
            <w:vAlign w:val="bottom"/>
          </w:tcPr>
          <w:p w14:paraId="0C2ECA08" w14:textId="4CEA0FFC" w:rsidR="00FB24C0" w:rsidRPr="00C33F4C" w:rsidRDefault="00FB24C0" w:rsidP="00D161AB">
            <w:pPr>
              <w:keepNext/>
              <w:keepLines/>
              <w:spacing w:after="0" w:line="240" w:lineRule="auto"/>
              <w:ind w:left="0" w:firstLine="0"/>
              <w:rPr>
                <w:color w:val="auto"/>
                <w:lang w:val="es-ES"/>
              </w:rPr>
            </w:pPr>
            <w:r w:rsidRPr="00C33F4C">
              <w:rPr>
                <w:color w:val="auto"/>
                <w:lang w:val="es-ES"/>
              </w:rPr>
              <w:t>6 - 12 meses (n</w:t>
            </w:r>
            <w:r w:rsidR="00D65695" w:rsidRPr="00E30038">
              <w:t> </w:t>
            </w:r>
            <w:r w:rsidRPr="00C33F4C">
              <w:rPr>
                <w:color w:val="auto"/>
                <w:lang w:val="es-ES"/>
              </w:rPr>
              <w:t>=</w:t>
            </w:r>
            <w:r w:rsidR="00D65695" w:rsidRPr="00E30038">
              <w:t> </w:t>
            </w:r>
            <w:r w:rsidRPr="00C33F4C">
              <w:rPr>
                <w:color w:val="auto"/>
                <w:lang w:val="es-ES"/>
              </w:rPr>
              <w:t xml:space="preserve">202) </w:t>
            </w:r>
          </w:p>
        </w:tc>
        <w:tc>
          <w:tcPr>
            <w:tcW w:w="3007" w:type="dxa"/>
            <w:tcBorders>
              <w:top w:val="single" w:sz="4" w:space="0" w:color="000000"/>
              <w:left w:val="single" w:sz="4" w:space="0" w:color="000000"/>
              <w:bottom w:val="single" w:sz="4" w:space="0" w:color="000000"/>
              <w:right w:val="single" w:sz="4" w:space="0" w:color="000000"/>
            </w:tcBorders>
            <w:vAlign w:val="bottom"/>
          </w:tcPr>
          <w:p w14:paraId="7A094E13" w14:textId="77777777" w:rsidR="00FB24C0" w:rsidRPr="00C33F4C" w:rsidRDefault="00FB24C0" w:rsidP="00D161AB">
            <w:pPr>
              <w:keepNext/>
              <w:keepLines/>
              <w:spacing w:after="0" w:line="240" w:lineRule="auto"/>
              <w:ind w:left="0" w:firstLine="0"/>
              <w:rPr>
                <w:color w:val="auto"/>
                <w:lang w:val="es-ES"/>
              </w:rPr>
            </w:pPr>
          </w:p>
        </w:tc>
        <w:tc>
          <w:tcPr>
            <w:tcW w:w="3007" w:type="dxa"/>
            <w:tcBorders>
              <w:top w:val="single" w:sz="4" w:space="0" w:color="000000"/>
              <w:left w:val="single" w:sz="4" w:space="0" w:color="000000"/>
              <w:bottom w:val="single" w:sz="4" w:space="0" w:color="000000"/>
              <w:right w:val="single" w:sz="4" w:space="0" w:color="000000"/>
            </w:tcBorders>
            <w:vAlign w:val="bottom"/>
          </w:tcPr>
          <w:p w14:paraId="52051F72" w14:textId="77777777" w:rsidR="00FB24C0" w:rsidRPr="00C33F4C" w:rsidRDefault="00FB24C0" w:rsidP="00D161AB">
            <w:pPr>
              <w:keepNext/>
              <w:keepLines/>
              <w:spacing w:after="0" w:line="240" w:lineRule="auto"/>
              <w:ind w:left="0" w:firstLine="0"/>
              <w:rPr>
                <w:color w:val="auto"/>
                <w:lang w:val="es-ES"/>
              </w:rPr>
            </w:pPr>
          </w:p>
        </w:tc>
      </w:tr>
      <w:tr w:rsidR="00FB24C0" w:rsidRPr="00443040" w14:paraId="6BDF744A" w14:textId="77777777" w:rsidTr="00C33F4C">
        <w:trPr>
          <w:trHeight w:val="246"/>
        </w:trPr>
        <w:tc>
          <w:tcPr>
            <w:tcW w:w="3006" w:type="dxa"/>
            <w:tcBorders>
              <w:top w:val="single" w:sz="4" w:space="0" w:color="000000"/>
              <w:left w:val="single" w:sz="4" w:space="0" w:color="000000"/>
              <w:bottom w:val="single" w:sz="4" w:space="0" w:color="000000"/>
              <w:right w:val="single" w:sz="4" w:space="0" w:color="000000"/>
            </w:tcBorders>
            <w:vAlign w:val="bottom"/>
          </w:tcPr>
          <w:p w14:paraId="345BC4AB" w14:textId="77777777" w:rsidR="00FB24C0" w:rsidRPr="00C33F4C" w:rsidRDefault="00FB24C0" w:rsidP="00D161AB">
            <w:pPr>
              <w:keepNext/>
              <w:keepLines/>
              <w:spacing w:after="0" w:line="240" w:lineRule="auto"/>
              <w:ind w:left="567" w:firstLine="0"/>
              <w:rPr>
                <w:color w:val="auto"/>
                <w:lang w:val="es-ES"/>
              </w:rPr>
            </w:pPr>
            <w:r w:rsidRPr="00C33F4C">
              <w:rPr>
                <w:color w:val="auto"/>
                <w:lang w:val="es-ES"/>
              </w:rPr>
              <w:t xml:space="preserve">Mediana </w:t>
            </w:r>
          </w:p>
        </w:tc>
        <w:tc>
          <w:tcPr>
            <w:tcW w:w="3007" w:type="dxa"/>
            <w:tcBorders>
              <w:top w:val="single" w:sz="4" w:space="0" w:color="000000"/>
              <w:left w:val="single" w:sz="4" w:space="0" w:color="000000"/>
              <w:bottom w:val="single" w:sz="4" w:space="0" w:color="000000"/>
              <w:right w:val="single" w:sz="4" w:space="0" w:color="000000"/>
            </w:tcBorders>
            <w:vAlign w:val="bottom"/>
          </w:tcPr>
          <w:p w14:paraId="3F949888" w14:textId="77777777" w:rsidR="00FB24C0" w:rsidRPr="00C33F4C" w:rsidRDefault="00FB24C0" w:rsidP="00D161AB">
            <w:pPr>
              <w:keepNext/>
              <w:keepLines/>
              <w:spacing w:after="0" w:line="240" w:lineRule="auto"/>
              <w:ind w:left="0" w:firstLine="0"/>
              <w:jc w:val="center"/>
              <w:rPr>
                <w:color w:val="auto"/>
                <w:lang w:val="es-ES"/>
              </w:rPr>
            </w:pPr>
            <w:r w:rsidRPr="00C33F4C">
              <w:rPr>
                <w:color w:val="auto"/>
                <w:lang w:val="es-ES"/>
              </w:rPr>
              <w:t>8,0</w:t>
            </w:r>
          </w:p>
        </w:tc>
        <w:tc>
          <w:tcPr>
            <w:tcW w:w="3007" w:type="dxa"/>
            <w:tcBorders>
              <w:top w:val="single" w:sz="4" w:space="0" w:color="000000"/>
              <w:left w:val="single" w:sz="4" w:space="0" w:color="000000"/>
              <w:bottom w:val="single" w:sz="4" w:space="0" w:color="000000"/>
              <w:right w:val="single" w:sz="4" w:space="0" w:color="000000"/>
            </w:tcBorders>
            <w:vAlign w:val="bottom"/>
          </w:tcPr>
          <w:p w14:paraId="42AC6D07" w14:textId="77777777" w:rsidR="00FB24C0" w:rsidRPr="00C33F4C" w:rsidRDefault="00FB24C0" w:rsidP="00D161AB">
            <w:pPr>
              <w:keepNext/>
              <w:keepLines/>
              <w:spacing w:after="0" w:line="240" w:lineRule="auto"/>
              <w:ind w:left="0" w:firstLine="0"/>
              <w:jc w:val="center"/>
              <w:rPr>
                <w:color w:val="auto"/>
                <w:lang w:val="es-ES"/>
              </w:rPr>
            </w:pPr>
            <w:r w:rsidRPr="00C33F4C">
              <w:rPr>
                <w:color w:val="auto"/>
                <w:lang w:val="es-ES"/>
              </w:rPr>
              <w:t>11,9</w:t>
            </w:r>
          </w:p>
        </w:tc>
      </w:tr>
      <w:tr w:rsidR="00FB24C0" w:rsidRPr="00443040" w14:paraId="3ABCAA52" w14:textId="77777777" w:rsidTr="00C33F4C">
        <w:trPr>
          <w:trHeight w:val="483"/>
        </w:trPr>
        <w:tc>
          <w:tcPr>
            <w:tcW w:w="3006" w:type="dxa"/>
            <w:tcBorders>
              <w:top w:val="single" w:sz="4" w:space="0" w:color="000000"/>
              <w:left w:val="single" w:sz="4" w:space="0" w:color="000000"/>
              <w:bottom w:val="single" w:sz="4" w:space="0" w:color="000000"/>
              <w:right w:val="single" w:sz="4" w:space="0" w:color="000000"/>
            </w:tcBorders>
            <w:vAlign w:val="bottom"/>
          </w:tcPr>
          <w:p w14:paraId="767D3769" w14:textId="77777777" w:rsidR="00FB24C0" w:rsidRPr="00C33F4C" w:rsidRDefault="00FB24C0" w:rsidP="00D161AB">
            <w:pPr>
              <w:keepNext/>
              <w:keepLines/>
              <w:spacing w:after="0" w:line="240" w:lineRule="auto"/>
              <w:ind w:left="567" w:firstLine="0"/>
              <w:rPr>
                <w:color w:val="auto"/>
                <w:lang w:val="es-ES"/>
              </w:rPr>
            </w:pPr>
            <w:r w:rsidRPr="00C33F4C">
              <w:rPr>
                <w:color w:val="auto"/>
                <w:lang w:val="es-ES"/>
              </w:rPr>
              <w:t xml:space="preserve">Razón de riesgo (IC del 95%) </w:t>
            </w:r>
          </w:p>
        </w:tc>
        <w:tc>
          <w:tcPr>
            <w:tcW w:w="6014" w:type="dxa"/>
            <w:gridSpan w:val="2"/>
            <w:tcBorders>
              <w:top w:val="single" w:sz="4" w:space="0" w:color="000000"/>
              <w:left w:val="single" w:sz="4" w:space="0" w:color="000000"/>
              <w:bottom w:val="single" w:sz="4" w:space="0" w:color="000000"/>
              <w:right w:val="single" w:sz="4" w:space="0" w:color="000000"/>
            </w:tcBorders>
            <w:vAlign w:val="bottom"/>
          </w:tcPr>
          <w:p w14:paraId="3CC3B327" w14:textId="77777777" w:rsidR="00FB24C0" w:rsidRPr="00C33F4C" w:rsidRDefault="00FB24C0" w:rsidP="00D161AB">
            <w:pPr>
              <w:keepNext/>
              <w:keepLines/>
              <w:spacing w:after="0" w:line="240" w:lineRule="auto"/>
              <w:ind w:left="0" w:firstLine="0"/>
              <w:jc w:val="center"/>
              <w:rPr>
                <w:color w:val="auto"/>
                <w:lang w:val="es-ES"/>
              </w:rPr>
            </w:pPr>
            <w:r w:rsidRPr="00C33F4C">
              <w:rPr>
                <w:color w:val="auto"/>
                <w:lang w:val="es-ES"/>
              </w:rPr>
              <w:t>0,41 (0,29 - 0,58)</w:t>
            </w:r>
          </w:p>
        </w:tc>
      </w:tr>
      <w:tr w:rsidR="00FB24C0" w:rsidRPr="00443040" w14:paraId="40F522F4" w14:textId="77777777" w:rsidTr="00C33F4C">
        <w:trPr>
          <w:trHeight w:val="247"/>
        </w:trPr>
        <w:tc>
          <w:tcPr>
            <w:tcW w:w="3006" w:type="dxa"/>
            <w:tcBorders>
              <w:top w:val="single" w:sz="4" w:space="0" w:color="000000"/>
              <w:left w:val="single" w:sz="4" w:space="0" w:color="000000"/>
              <w:bottom w:val="single" w:sz="4" w:space="0" w:color="000000"/>
              <w:right w:val="single" w:sz="4" w:space="0" w:color="000000"/>
            </w:tcBorders>
            <w:vAlign w:val="bottom"/>
          </w:tcPr>
          <w:p w14:paraId="72DEECBE" w14:textId="4A741EC6" w:rsidR="00FB24C0" w:rsidRPr="00C33F4C" w:rsidRDefault="00FB24C0" w:rsidP="00C33F4C">
            <w:pPr>
              <w:spacing w:after="0" w:line="240" w:lineRule="auto"/>
              <w:ind w:left="0" w:firstLine="0"/>
              <w:rPr>
                <w:color w:val="auto"/>
                <w:lang w:val="es-ES"/>
              </w:rPr>
            </w:pPr>
            <w:r w:rsidRPr="00C33F4C">
              <w:rPr>
                <w:color w:val="auto"/>
                <w:lang w:val="es-ES"/>
              </w:rPr>
              <w:t>&gt; 12 meses (n</w:t>
            </w:r>
            <w:r w:rsidR="00D65695" w:rsidRPr="00E30038">
              <w:t> </w:t>
            </w:r>
            <w:r w:rsidRPr="00C33F4C">
              <w:rPr>
                <w:color w:val="auto"/>
                <w:lang w:val="es-ES"/>
              </w:rPr>
              <w:t>=</w:t>
            </w:r>
            <w:r w:rsidR="00D65695" w:rsidRPr="00E30038">
              <w:t> </w:t>
            </w:r>
            <w:r w:rsidRPr="00C33F4C">
              <w:rPr>
                <w:color w:val="auto"/>
                <w:lang w:val="es-ES"/>
              </w:rPr>
              <w:t xml:space="preserve">282) </w:t>
            </w:r>
          </w:p>
        </w:tc>
        <w:tc>
          <w:tcPr>
            <w:tcW w:w="3007" w:type="dxa"/>
            <w:tcBorders>
              <w:top w:val="single" w:sz="4" w:space="0" w:color="000000"/>
              <w:left w:val="single" w:sz="4" w:space="0" w:color="000000"/>
              <w:bottom w:val="single" w:sz="4" w:space="0" w:color="000000"/>
              <w:right w:val="single" w:sz="4" w:space="0" w:color="000000"/>
            </w:tcBorders>
            <w:vAlign w:val="bottom"/>
          </w:tcPr>
          <w:p w14:paraId="6D2D36DF" w14:textId="77777777" w:rsidR="00FB24C0" w:rsidRPr="00C33F4C" w:rsidRDefault="00FB24C0" w:rsidP="00C33F4C">
            <w:pPr>
              <w:spacing w:after="0" w:line="240" w:lineRule="auto"/>
              <w:ind w:left="0" w:firstLine="0"/>
              <w:jc w:val="center"/>
              <w:rPr>
                <w:color w:val="auto"/>
                <w:lang w:val="es-ES"/>
              </w:rPr>
            </w:pPr>
          </w:p>
        </w:tc>
        <w:tc>
          <w:tcPr>
            <w:tcW w:w="3007" w:type="dxa"/>
            <w:tcBorders>
              <w:top w:val="single" w:sz="4" w:space="0" w:color="000000"/>
              <w:left w:val="single" w:sz="4" w:space="0" w:color="000000"/>
              <w:bottom w:val="single" w:sz="4" w:space="0" w:color="000000"/>
              <w:right w:val="single" w:sz="4" w:space="0" w:color="000000"/>
            </w:tcBorders>
            <w:vAlign w:val="bottom"/>
          </w:tcPr>
          <w:p w14:paraId="7A9F00F8" w14:textId="77777777" w:rsidR="00FB24C0" w:rsidRPr="00C33F4C" w:rsidRDefault="00FB24C0" w:rsidP="00C33F4C">
            <w:pPr>
              <w:spacing w:after="0" w:line="240" w:lineRule="auto"/>
              <w:ind w:left="0" w:firstLine="0"/>
              <w:jc w:val="center"/>
              <w:rPr>
                <w:color w:val="auto"/>
                <w:lang w:val="es-ES"/>
              </w:rPr>
            </w:pPr>
          </w:p>
        </w:tc>
      </w:tr>
      <w:tr w:rsidR="00FB24C0" w:rsidRPr="00443040" w14:paraId="55BA48C9" w14:textId="77777777" w:rsidTr="00C33F4C">
        <w:trPr>
          <w:trHeight w:val="261"/>
        </w:trPr>
        <w:tc>
          <w:tcPr>
            <w:tcW w:w="3006" w:type="dxa"/>
            <w:tcBorders>
              <w:top w:val="single" w:sz="4" w:space="0" w:color="000000"/>
              <w:left w:val="single" w:sz="4" w:space="0" w:color="000000"/>
              <w:bottom w:val="single" w:sz="4" w:space="0" w:color="000000"/>
              <w:right w:val="single" w:sz="4" w:space="0" w:color="000000"/>
            </w:tcBorders>
            <w:vAlign w:val="bottom"/>
          </w:tcPr>
          <w:p w14:paraId="174AC408" w14:textId="77777777" w:rsidR="00FB24C0" w:rsidRPr="00C33F4C" w:rsidRDefault="00FB24C0" w:rsidP="00C33F4C">
            <w:pPr>
              <w:spacing w:after="0" w:line="240" w:lineRule="auto"/>
              <w:ind w:left="567" w:firstLine="0"/>
              <w:rPr>
                <w:color w:val="auto"/>
                <w:lang w:val="es-ES"/>
              </w:rPr>
            </w:pPr>
            <w:r w:rsidRPr="00C33F4C">
              <w:rPr>
                <w:color w:val="auto"/>
                <w:lang w:val="es-ES"/>
              </w:rPr>
              <w:t xml:space="preserve">Mediana </w:t>
            </w:r>
          </w:p>
        </w:tc>
        <w:tc>
          <w:tcPr>
            <w:tcW w:w="3007" w:type="dxa"/>
            <w:tcBorders>
              <w:top w:val="single" w:sz="4" w:space="0" w:color="000000"/>
              <w:left w:val="single" w:sz="4" w:space="0" w:color="000000"/>
              <w:bottom w:val="single" w:sz="4" w:space="0" w:color="000000"/>
              <w:right w:val="single" w:sz="4" w:space="0" w:color="000000"/>
            </w:tcBorders>
            <w:vAlign w:val="bottom"/>
          </w:tcPr>
          <w:p w14:paraId="2A4F3522"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9,7</w:t>
            </w:r>
          </w:p>
        </w:tc>
        <w:tc>
          <w:tcPr>
            <w:tcW w:w="3007" w:type="dxa"/>
            <w:tcBorders>
              <w:top w:val="single" w:sz="4" w:space="0" w:color="000000"/>
              <w:left w:val="single" w:sz="4" w:space="0" w:color="000000"/>
              <w:bottom w:val="single" w:sz="4" w:space="0" w:color="000000"/>
              <w:right w:val="single" w:sz="4" w:space="0" w:color="000000"/>
            </w:tcBorders>
            <w:vAlign w:val="bottom"/>
          </w:tcPr>
          <w:p w14:paraId="3BB6251B"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12,4</w:t>
            </w:r>
          </w:p>
        </w:tc>
      </w:tr>
      <w:tr w:rsidR="00FB24C0" w:rsidRPr="00443040" w14:paraId="672EA754" w14:textId="77777777" w:rsidTr="00C33F4C">
        <w:trPr>
          <w:trHeight w:val="347"/>
        </w:trPr>
        <w:tc>
          <w:tcPr>
            <w:tcW w:w="3006" w:type="dxa"/>
            <w:tcBorders>
              <w:top w:val="single" w:sz="4" w:space="0" w:color="000000"/>
              <w:left w:val="single" w:sz="4" w:space="0" w:color="000000"/>
              <w:bottom w:val="single" w:sz="4" w:space="0" w:color="000000"/>
              <w:right w:val="single" w:sz="4" w:space="0" w:color="000000"/>
            </w:tcBorders>
            <w:vAlign w:val="bottom"/>
          </w:tcPr>
          <w:p w14:paraId="668727E6" w14:textId="77777777" w:rsidR="00FB24C0" w:rsidRPr="00C33F4C" w:rsidRDefault="0093102C" w:rsidP="00C33F4C">
            <w:pPr>
              <w:spacing w:after="0" w:line="240" w:lineRule="auto"/>
              <w:ind w:left="567" w:firstLine="0"/>
              <w:rPr>
                <w:color w:val="auto"/>
                <w:lang w:val="es-ES"/>
              </w:rPr>
            </w:pPr>
            <w:r w:rsidRPr="00C33F4C">
              <w:rPr>
                <w:color w:val="auto"/>
                <w:lang w:val="es-ES"/>
              </w:rPr>
              <w:t xml:space="preserve">Razón de riesgo (IC del 95%) </w:t>
            </w:r>
          </w:p>
        </w:tc>
        <w:tc>
          <w:tcPr>
            <w:tcW w:w="6014" w:type="dxa"/>
            <w:gridSpan w:val="2"/>
            <w:tcBorders>
              <w:top w:val="single" w:sz="4" w:space="0" w:color="000000"/>
              <w:left w:val="single" w:sz="4" w:space="0" w:color="000000"/>
              <w:bottom w:val="single" w:sz="4" w:space="0" w:color="000000"/>
              <w:right w:val="single" w:sz="4" w:space="0" w:color="000000"/>
            </w:tcBorders>
            <w:vAlign w:val="bottom"/>
          </w:tcPr>
          <w:p w14:paraId="6A129D6F"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0,55 (0,41 - 0,73)</w:t>
            </w:r>
          </w:p>
        </w:tc>
      </w:tr>
    </w:tbl>
    <w:p w14:paraId="03D632F6" w14:textId="77777777" w:rsidR="00FB24C0" w:rsidRPr="00775BD9" w:rsidRDefault="00FB24C0" w:rsidP="00FB24C0">
      <w:pPr>
        <w:spacing w:after="0" w:line="240" w:lineRule="auto"/>
        <w:ind w:left="0" w:firstLine="0"/>
        <w:rPr>
          <w:color w:val="auto"/>
          <w:lang w:val="es-ES"/>
        </w:rPr>
      </w:pPr>
    </w:p>
    <w:p w14:paraId="4B6DBAFE" w14:textId="77777777" w:rsidR="00FB24C0" w:rsidRPr="00775BD9" w:rsidRDefault="00FB24C0" w:rsidP="00684760">
      <w:pPr>
        <w:keepNext/>
        <w:spacing w:after="0" w:line="240" w:lineRule="auto"/>
        <w:ind w:left="0" w:firstLine="0"/>
        <w:rPr>
          <w:i/>
          <w:color w:val="auto"/>
          <w:lang w:val="es-ES"/>
        </w:rPr>
      </w:pPr>
      <w:r w:rsidRPr="00775BD9">
        <w:rPr>
          <w:i/>
          <w:color w:val="auto"/>
          <w:lang w:val="es-ES"/>
        </w:rPr>
        <w:t>GOG-0213</w:t>
      </w:r>
    </w:p>
    <w:p w14:paraId="4BAB81E2" w14:textId="63E87975" w:rsidR="00FB24C0" w:rsidRPr="00775BD9" w:rsidRDefault="00FB24C0" w:rsidP="00DD1599">
      <w:pPr>
        <w:spacing w:after="0" w:line="240" w:lineRule="auto"/>
        <w:ind w:left="0" w:firstLine="0"/>
        <w:rPr>
          <w:color w:val="auto"/>
          <w:lang w:val="es-ES"/>
        </w:rPr>
      </w:pPr>
      <w:r w:rsidRPr="00775BD9">
        <w:rPr>
          <w:color w:val="auto"/>
          <w:lang w:val="es-ES"/>
        </w:rPr>
        <w:t xml:space="preserve">En un ensayo clínico de fase III, aleatorizado, controlado, abierto (GOG-0213), se estudió la seguridad y eficacia de </w:t>
      </w:r>
      <w:r w:rsidR="00863B46">
        <w:rPr>
          <w:color w:val="auto"/>
          <w:lang w:val="es-ES"/>
        </w:rPr>
        <w:t>bevacizumab</w:t>
      </w:r>
      <w:r w:rsidRPr="00775BD9">
        <w:rPr>
          <w:color w:val="auto"/>
          <w:lang w:val="es-ES"/>
        </w:rPr>
        <w:t xml:space="preserve"> en el tratamiento de pacientes con cáncer de ovario epitelial recurrente sensible a platino, trompa de Falopio y peritoneal primario, que no recibieron quimioterapia previa durante la recaída. No se excluyeron pacientes que habían sido tratados previamente con terapia </w:t>
      </w:r>
      <w:proofErr w:type="spellStart"/>
      <w:r w:rsidRPr="00775BD9">
        <w:rPr>
          <w:color w:val="auto"/>
          <w:lang w:val="es-ES"/>
        </w:rPr>
        <w:t>antiangiogénica</w:t>
      </w:r>
      <w:proofErr w:type="spellEnd"/>
      <w:r w:rsidRPr="00775BD9">
        <w:rPr>
          <w:color w:val="auto"/>
          <w:lang w:val="es-ES"/>
        </w:rPr>
        <w:t xml:space="preserve">. El ensayo evaluó el efecto de la adición de </w:t>
      </w:r>
      <w:r w:rsidR="00863B46">
        <w:rPr>
          <w:color w:val="auto"/>
          <w:lang w:val="es-ES"/>
        </w:rPr>
        <w:t>bevacizumab</w:t>
      </w:r>
      <w:r w:rsidRPr="00775BD9">
        <w:rPr>
          <w:color w:val="auto"/>
          <w:lang w:val="es-ES"/>
        </w:rPr>
        <w:t xml:space="preserve"> a carboplatino</w:t>
      </w:r>
      <w:r w:rsidR="00DD1599">
        <w:rPr>
          <w:color w:val="auto"/>
          <w:lang w:val="es-ES"/>
        </w:rPr>
        <w:t> </w:t>
      </w:r>
      <w:r w:rsidRPr="00775BD9">
        <w:rPr>
          <w:color w:val="auto"/>
          <w:lang w:val="es-ES"/>
        </w:rPr>
        <w:t>+</w:t>
      </w:r>
      <w:r w:rsidR="00DD1599">
        <w:rPr>
          <w:color w:val="auto"/>
          <w:lang w:val="es-ES"/>
        </w:rPr>
        <w:t> </w:t>
      </w:r>
      <w:proofErr w:type="spellStart"/>
      <w:r w:rsidRPr="00775BD9">
        <w:rPr>
          <w:color w:val="auto"/>
          <w:lang w:val="es-ES"/>
        </w:rPr>
        <w:t>paclitaxel</w:t>
      </w:r>
      <w:proofErr w:type="spellEnd"/>
      <w:r w:rsidRPr="00775BD9">
        <w:rPr>
          <w:color w:val="auto"/>
          <w:lang w:val="es-ES"/>
        </w:rPr>
        <w:t xml:space="preserve"> y la continuación de </w:t>
      </w:r>
      <w:r w:rsidR="00863B46">
        <w:rPr>
          <w:color w:val="auto"/>
          <w:lang w:val="es-ES"/>
        </w:rPr>
        <w:t>bevacizumab</w:t>
      </w:r>
      <w:r w:rsidRPr="00775BD9">
        <w:rPr>
          <w:color w:val="auto"/>
          <w:lang w:val="es-ES"/>
        </w:rPr>
        <w:t xml:space="preserve"> en monoterapia hasta progresión de la enfermedad o toxicidad inaceptable en comparación con carboplatino</w:t>
      </w:r>
      <w:r w:rsidR="00DD1599">
        <w:rPr>
          <w:color w:val="auto"/>
          <w:lang w:val="es-ES"/>
        </w:rPr>
        <w:t> </w:t>
      </w:r>
      <w:r w:rsidRPr="00775BD9">
        <w:rPr>
          <w:color w:val="auto"/>
          <w:lang w:val="es-ES"/>
        </w:rPr>
        <w:t>+</w:t>
      </w:r>
      <w:r w:rsidR="00DD1599">
        <w:rPr>
          <w:color w:val="auto"/>
          <w:lang w:val="es-ES"/>
        </w:rPr>
        <w:t> </w:t>
      </w:r>
      <w:proofErr w:type="spellStart"/>
      <w:r w:rsidRPr="00775BD9">
        <w:rPr>
          <w:color w:val="auto"/>
          <w:lang w:val="es-ES"/>
        </w:rPr>
        <w:t>paclitaxel</w:t>
      </w:r>
      <w:proofErr w:type="spellEnd"/>
      <w:r w:rsidRPr="00775BD9">
        <w:rPr>
          <w:color w:val="auto"/>
          <w:lang w:val="es-ES"/>
        </w:rPr>
        <w:t xml:space="preserve"> solo.</w:t>
      </w:r>
    </w:p>
    <w:p w14:paraId="0DA28C41" w14:textId="77777777" w:rsidR="00FB24C0" w:rsidRPr="00775BD9" w:rsidRDefault="00FB24C0" w:rsidP="00FB24C0">
      <w:pPr>
        <w:spacing w:after="0" w:line="240" w:lineRule="auto"/>
        <w:ind w:left="0" w:firstLine="0"/>
        <w:rPr>
          <w:color w:val="auto"/>
          <w:lang w:val="es-ES"/>
        </w:rPr>
      </w:pPr>
    </w:p>
    <w:p w14:paraId="2FEB423A" w14:textId="77777777" w:rsidR="00FB24C0" w:rsidRPr="00775BD9" w:rsidRDefault="00FB24C0" w:rsidP="00684760">
      <w:pPr>
        <w:keepNext/>
        <w:spacing w:after="0" w:line="240" w:lineRule="auto"/>
        <w:ind w:left="0" w:firstLine="0"/>
        <w:rPr>
          <w:color w:val="auto"/>
          <w:lang w:val="es-ES"/>
        </w:rPr>
      </w:pPr>
      <w:r w:rsidRPr="00775BD9">
        <w:rPr>
          <w:color w:val="auto"/>
          <w:lang w:val="es-ES"/>
        </w:rPr>
        <w:t>Se aleatorizaron un total de 673 pacientes en proporciones iguales a los dos brazos de tratamiento siguientes:</w:t>
      </w:r>
    </w:p>
    <w:p w14:paraId="6F586FC7" w14:textId="77777777" w:rsidR="00FB24C0" w:rsidRPr="00443040" w:rsidRDefault="00FB24C0" w:rsidP="00FB24C0">
      <w:pPr>
        <w:numPr>
          <w:ilvl w:val="0"/>
          <w:numId w:val="15"/>
        </w:numPr>
        <w:spacing w:after="0" w:line="240" w:lineRule="auto"/>
        <w:ind w:left="567" w:hanging="567"/>
        <w:rPr>
          <w:color w:val="auto"/>
          <w:lang w:val="es-ES"/>
        </w:rPr>
      </w:pPr>
      <w:r w:rsidRPr="00443040">
        <w:rPr>
          <w:color w:val="auto"/>
          <w:lang w:val="es-ES"/>
        </w:rPr>
        <w:t xml:space="preserve">Brazo CP: Carboplatino (AUC5) y </w:t>
      </w:r>
      <w:proofErr w:type="spellStart"/>
      <w:r w:rsidRPr="00443040">
        <w:rPr>
          <w:color w:val="auto"/>
          <w:lang w:val="es-ES"/>
        </w:rPr>
        <w:t>paclitaxel</w:t>
      </w:r>
      <w:proofErr w:type="spellEnd"/>
      <w:r w:rsidRPr="00443040">
        <w:rPr>
          <w:color w:val="auto"/>
          <w:lang w:val="es-ES"/>
        </w:rPr>
        <w:t xml:space="preserve"> (175 mg/m</w:t>
      </w:r>
      <w:r w:rsidRPr="00443040">
        <w:rPr>
          <w:color w:val="auto"/>
          <w:vertAlign w:val="superscript"/>
          <w:lang w:val="es-ES"/>
        </w:rPr>
        <w:t xml:space="preserve">2 </w:t>
      </w:r>
      <w:proofErr w:type="spellStart"/>
      <w:r w:rsidRPr="00443040">
        <w:rPr>
          <w:color w:val="auto"/>
          <w:lang w:val="es-ES"/>
        </w:rPr>
        <w:t>iv</w:t>
      </w:r>
      <w:proofErr w:type="spellEnd"/>
      <w:r w:rsidRPr="00443040">
        <w:rPr>
          <w:color w:val="auto"/>
          <w:lang w:val="es-ES"/>
        </w:rPr>
        <w:t>) cad</w:t>
      </w:r>
      <w:r w:rsidR="00684760">
        <w:rPr>
          <w:color w:val="auto"/>
          <w:lang w:val="es-ES"/>
        </w:rPr>
        <w:t>a 3 semanas durante 6 y hasta 8 </w:t>
      </w:r>
      <w:r w:rsidRPr="00443040">
        <w:rPr>
          <w:color w:val="auto"/>
          <w:lang w:val="es-ES"/>
        </w:rPr>
        <w:t>ciclos.</w:t>
      </w:r>
    </w:p>
    <w:p w14:paraId="59BB47A6" w14:textId="47483B1A" w:rsidR="00FB24C0" w:rsidRPr="00844E05" w:rsidRDefault="00FB24C0" w:rsidP="00844E05">
      <w:pPr>
        <w:numPr>
          <w:ilvl w:val="0"/>
          <w:numId w:val="15"/>
        </w:numPr>
        <w:spacing w:after="0" w:line="240" w:lineRule="auto"/>
        <w:ind w:left="567" w:hanging="567"/>
        <w:rPr>
          <w:color w:val="auto"/>
          <w:lang w:val="es-ES"/>
        </w:rPr>
      </w:pPr>
      <w:r w:rsidRPr="00443040">
        <w:rPr>
          <w:color w:val="auto"/>
          <w:lang w:val="es-ES"/>
        </w:rPr>
        <w:t xml:space="preserve">Brazo CPB: Carboplatino (AUC5) y </w:t>
      </w:r>
      <w:proofErr w:type="spellStart"/>
      <w:r w:rsidRPr="00443040">
        <w:rPr>
          <w:color w:val="auto"/>
          <w:lang w:val="es-ES"/>
        </w:rPr>
        <w:t>paclitaxel</w:t>
      </w:r>
      <w:proofErr w:type="spellEnd"/>
      <w:r w:rsidRPr="00443040">
        <w:rPr>
          <w:color w:val="auto"/>
          <w:lang w:val="es-ES"/>
        </w:rPr>
        <w:t xml:space="preserve"> (175 mg/m</w:t>
      </w:r>
      <w:r w:rsidRPr="00443040">
        <w:rPr>
          <w:color w:val="auto"/>
          <w:vertAlign w:val="superscript"/>
          <w:lang w:val="es-ES"/>
        </w:rPr>
        <w:t xml:space="preserve">2 </w:t>
      </w:r>
      <w:proofErr w:type="spellStart"/>
      <w:r w:rsidRPr="00443040">
        <w:rPr>
          <w:color w:val="auto"/>
          <w:lang w:val="es-ES"/>
        </w:rPr>
        <w:t>iv</w:t>
      </w:r>
      <w:proofErr w:type="spellEnd"/>
      <w:r w:rsidRPr="00443040">
        <w:rPr>
          <w:color w:val="auto"/>
          <w:lang w:val="es-ES"/>
        </w:rPr>
        <w:t xml:space="preserve">) y </w:t>
      </w:r>
      <w:r w:rsidR="00863B46">
        <w:rPr>
          <w:color w:val="auto"/>
          <w:lang w:val="es-ES"/>
        </w:rPr>
        <w:t>bevacizumab</w:t>
      </w:r>
      <w:r w:rsidRPr="00443040">
        <w:rPr>
          <w:color w:val="auto"/>
          <w:lang w:val="es-ES"/>
        </w:rPr>
        <w:t xml:space="preserve"> concomitante (15 mg/kg) cada 3 semanas durante 6 y hasta 8 ciclos, seguido de </w:t>
      </w:r>
      <w:r w:rsidR="00863B46">
        <w:rPr>
          <w:color w:val="auto"/>
          <w:lang w:val="es-ES"/>
        </w:rPr>
        <w:t>bevacizumab</w:t>
      </w:r>
      <w:r w:rsidRPr="00443040">
        <w:rPr>
          <w:color w:val="auto"/>
          <w:lang w:val="es-ES"/>
        </w:rPr>
        <w:t xml:space="preserve"> (15 mg/kg ca</w:t>
      </w:r>
      <w:r w:rsidR="00684760">
        <w:rPr>
          <w:color w:val="auto"/>
          <w:lang w:val="es-ES"/>
        </w:rPr>
        <w:t>da 3 </w:t>
      </w:r>
      <w:r w:rsidRPr="00443040">
        <w:rPr>
          <w:color w:val="auto"/>
          <w:lang w:val="es-ES"/>
        </w:rPr>
        <w:t>semanas) en monoterapia hasta progresión de la enfermedad o toxicidad inaceptable.</w:t>
      </w:r>
    </w:p>
    <w:p w14:paraId="00B882FA" w14:textId="36C21D49" w:rsidR="00FB24C0" w:rsidRPr="00775BD9" w:rsidRDefault="00FB24C0" w:rsidP="00FB24C0">
      <w:pPr>
        <w:spacing w:after="0" w:line="240" w:lineRule="auto"/>
        <w:ind w:left="0" w:firstLine="0"/>
        <w:rPr>
          <w:color w:val="auto"/>
          <w:lang w:val="es-ES"/>
        </w:rPr>
      </w:pPr>
      <w:r w:rsidRPr="00775BD9">
        <w:rPr>
          <w:color w:val="auto"/>
          <w:lang w:val="es-ES"/>
        </w:rPr>
        <w:t>La mayoría de los pacientes, tanto en el brazo CP (80,4%) como en el brazo CPB (78,9%), eran de raza blanca. La mediana de edad era de 60</w:t>
      </w:r>
      <w:r w:rsidR="00445D58">
        <w:rPr>
          <w:color w:val="auto"/>
          <w:lang w:val="es-ES"/>
        </w:rPr>
        <w:t>,0</w:t>
      </w:r>
      <w:r w:rsidRPr="00775BD9">
        <w:rPr>
          <w:color w:val="auto"/>
          <w:lang w:val="es-ES"/>
        </w:rPr>
        <w:t xml:space="preserve"> años en el brazo CP y 59,0 años en el brazo CPB. La mayoría de los pacientes (CP: 64,6%; CPB: 68,8%) tenían &lt; 65 </w:t>
      </w:r>
      <w:proofErr w:type="gramStart"/>
      <w:r w:rsidRPr="00775BD9">
        <w:rPr>
          <w:color w:val="auto"/>
          <w:lang w:val="es-ES"/>
        </w:rPr>
        <w:t>años de edad</w:t>
      </w:r>
      <w:proofErr w:type="gramEnd"/>
      <w:r w:rsidRPr="00775BD9">
        <w:rPr>
          <w:color w:val="auto"/>
          <w:lang w:val="es-ES"/>
        </w:rPr>
        <w:t>. Al inicio, la mayoría de los pacientes tenían un GOG PS de 0 (CP: 82,4%; CPB: 80,7%) o 1 (CP: 16,7%; CPB: 18,1%). Al inicio, se notificó un GOG PS de 2 en el 0,9% de pacientes en el brazo CP y un 1,2% de pacientes en el brazo CPB.</w:t>
      </w:r>
    </w:p>
    <w:p w14:paraId="418551DD" w14:textId="77777777" w:rsidR="00FB24C0" w:rsidRPr="00775BD9" w:rsidRDefault="00FB24C0" w:rsidP="00FB24C0">
      <w:pPr>
        <w:spacing w:after="0" w:line="240" w:lineRule="auto"/>
        <w:ind w:left="0" w:firstLine="0"/>
        <w:rPr>
          <w:color w:val="auto"/>
          <w:lang w:val="es-ES"/>
        </w:rPr>
      </w:pPr>
    </w:p>
    <w:p w14:paraId="32A26919" w14:textId="15C1A5D4" w:rsidR="00FB24C0" w:rsidRPr="00775BD9" w:rsidRDefault="00FB24C0" w:rsidP="00FB24C0">
      <w:pPr>
        <w:spacing w:after="0" w:line="240" w:lineRule="auto"/>
        <w:ind w:left="0" w:firstLine="0"/>
        <w:rPr>
          <w:color w:val="auto"/>
          <w:lang w:val="es-ES"/>
        </w:rPr>
      </w:pPr>
      <w:r w:rsidRPr="00775BD9">
        <w:rPr>
          <w:color w:val="auto"/>
          <w:lang w:val="es-ES"/>
        </w:rPr>
        <w:t xml:space="preserve">La variable primaria de eficacia fue la supervivencia global (SG). La principal variable secundaria de eficacia fue la supervivencia libre de progresión (SLP). Los resultados se presentan en la </w:t>
      </w:r>
      <w:r w:rsidR="00471B84">
        <w:rPr>
          <w:color w:val="auto"/>
          <w:lang w:val="es-ES"/>
        </w:rPr>
        <w:t>t</w:t>
      </w:r>
      <w:r w:rsidRPr="00775BD9">
        <w:rPr>
          <w:color w:val="auto"/>
          <w:lang w:val="es-ES"/>
        </w:rPr>
        <w:t>abla 2</w:t>
      </w:r>
      <w:r w:rsidR="0071031C">
        <w:rPr>
          <w:color w:val="auto"/>
          <w:lang w:val="es-ES"/>
        </w:rPr>
        <w:t>2</w:t>
      </w:r>
      <w:r w:rsidRPr="00775BD9">
        <w:rPr>
          <w:color w:val="auto"/>
          <w:lang w:val="es-ES"/>
        </w:rPr>
        <w:t>.</w:t>
      </w:r>
    </w:p>
    <w:p w14:paraId="1BA6B2E9" w14:textId="77777777" w:rsidR="00FB24C0" w:rsidRPr="00775BD9" w:rsidRDefault="00FB24C0" w:rsidP="00FB24C0">
      <w:pPr>
        <w:spacing w:after="0" w:line="240" w:lineRule="auto"/>
        <w:ind w:left="0" w:firstLine="0"/>
        <w:rPr>
          <w:color w:val="auto"/>
          <w:lang w:val="es-ES"/>
        </w:rPr>
      </w:pPr>
    </w:p>
    <w:p w14:paraId="652A4B6A" w14:textId="1F3AC162" w:rsidR="00FB24C0" w:rsidRPr="00775BD9" w:rsidRDefault="00FB24C0" w:rsidP="00246678">
      <w:pPr>
        <w:keepNext/>
        <w:keepLines/>
        <w:spacing w:after="0" w:line="240" w:lineRule="auto"/>
        <w:ind w:left="0" w:firstLine="0"/>
        <w:rPr>
          <w:b/>
          <w:color w:val="auto"/>
          <w:lang w:val="es-ES"/>
        </w:rPr>
      </w:pPr>
      <w:r w:rsidRPr="00775BD9">
        <w:rPr>
          <w:b/>
          <w:color w:val="auto"/>
          <w:lang w:val="es-ES"/>
        </w:rPr>
        <w:lastRenderedPageBreak/>
        <w:t xml:space="preserve">Tabla </w:t>
      </w:r>
      <w:r w:rsidR="004943CA" w:rsidRPr="00775BD9">
        <w:rPr>
          <w:b/>
          <w:color w:val="auto"/>
          <w:lang w:val="es-ES"/>
        </w:rPr>
        <w:t>2</w:t>
      </w:r>
      <w:r w:rsidR="0071031C">
        <w:rPr>
          <w:b/>
          <w:color w:val="auto"/>
          <w:lang w:val="es-ES"/>
        </w:rPr>
        <w:t>2</w:t>
      </w:r>
      <w:r w:rsidR="00684760" w:rsidRPr="00775BD9">
        <w:rPr>
          <w:b/>
          <w:color w:val="auto"/>
          <w:lang w:val="es-ES"/>
        </w:rPr>
        <w:t>.</w:t>
      </w:r>
      <w:r w:rsidRPr="00775BD9">
        <w:rPr>
          <w:b/>
          <w:color w:val="auto"/>
          <w:lang w:val="es-ES"/>
        </w:rPr>
        <w:t xml:space="preserve"> Resultados de eficacia</w:t>
      </w:r>
      <w:r w:rsidRPr="0048506B">
        <w:rPr>
          <w:b/>
          <w:color w:val="auto"/>
          <w:vertAlign w:val="superscript"/>
          <w:lang w:val="es-ES"/>
        </w:rPr>
        <w:t>1,</w:t>
      </w:r>
      <w:r w:rsidR="00025F14">
        <w:rPr>
          <w:b/>
          <w:color w:val="auto"/>
          <w:vertAlign w:val="superscript"/>
          <w:lang w:val="es-ES"/>
        </w:rPr>
        <w:t xml:space="preserve"> </w:t>
      </w:r>
      <w:r w:rsidRPr="0048506B">
        <w:rPr>
          <w:b/>
          <w:color w:val="auto"/>
          <w:vertAlign w:val="superscript"/>
          <w:lang w:val="es-ES"/>
        </w:rPr>
        <w:t>2</w:t>
      </w:r>
      <w:r w:rsidRPr="00775BD9">
        <w:rPr>
          <w:b/>
          <w:color w:val="auto"/>
          <w:lang w:val="es-ES"/>
        </w:rPr>
        <w:t xml:space="preserve"> del ensayo GOG-0213</w:t>
      </w:r>
    </w:p>
    <w:p w14:paraId="229C193F" w14:textId="77777777" w:rsidR="00FB24C0" w:rsidRPr="00775BD9" w:rsidRDefault="00FB24C0" w:rsidP="00246678">
      <w:pPr>
        <w:keepNext/>
        <w:keepLines/>
        <w:spacing w:after="0" w:line="240" w:lineRule="auto"/>
        <w:ind w:left="0" w:firstLine="0"/>
        <w:rPr>
          <w:color w:val="auto"/>
          <w:lang w:val="es-ES"/>
        </w:rPr>
      </w:pPr>
    </w:p>
    <w:tbl>
      <w:tblPr>
        <w:tblW w:w="9000" w:type="dxa"/>
        <w:tblInd w:w="-5" w:type="dxa"/>
        <w:tblCellMar>
          <w:top w:w="83" w:type="dxa"/>
          <w:right w:w="115" w:type="dxa"/>
        </w:tblCellMar>
        <w:tblLook w:val="04A0" w:firstRow="1" w:lastRow="0" w:firstColumn="1" w:lastColumn="0" w:noHBand="0" w:noVBand="1"/>
      </w:tblPr>
      <w:tblGrid>
        <w:gridCol w:w="4182"/>
        <w:gridCol w:w="2250"/>
        <w:gridCol w:w="2568"/>
      </w:tblGrid>
      <w:tr w:rsidR="00AA30A0" w:rsidRPr="00BD3494" w14:paraId="4F03A520" w14:textId="77777777" w:rsidTr="00C33F4C">
        <w:trPr>
          <w:trHeight w:val="246"/>
        </w:trPr>
        <w:tc>
          <w:tcPr>
            <w:tcW w:w="9000" w:type="dxa"/>
            <w:gridSpan w:val="3"/>
            <w:tcBorders>
              <w:top w:val="single" w:sz="4" w:space="0" w:color="000000"/>
              <w:left w:val="single" w:sz="4" w:space="0" w:color="000000"/>
              <w:bottom w:val="single" w:sz="4" w:space="0" w:color="000000"/>
              <w:right w:val="single" w:sz="4" w:space="0" w:color="000000"/>
            </w:tcBorders>
            <w:vAlign w:val="bottom"/>
          </w:tcPr>
          <w:p w14:paraId="59814367" w14:textId="77777777" w:rsidR="00AA30A0" w:rsidRPr="00C33F4C" w:rsidRDefault="00684760" w:rsidP="00246678">
            <w:pPr>
              <w:keepNext/>
              <w:keepLines/>
              <w:spacing w:after="0" w:line="240" w:lineRule="auto"/>
              <w:ind w:left="0" w:firstLine="0"/>
              <w:rPr>
                <w:color w:val="auto"/>
                <w:lang w:val="es-ES"/>
              </w:rPr>
            </w:pPr>
            <w:r w:rsidRPr="00C33F4C">
              <w:rPr>
                <w:color w:val="auto"/>
                <w:lang w:val="es-ES"/>
              </w:rPr>
              <w:t>Variable primaria</w:t>
            </w:r>
          </w:p>
        </w:tc>
      </w:tr>
      <w:tr w:rsidR="00FB24C0" w:rsidRPr="00BD3494" w14:paraId="3E3AC706" w14:textId="77777777" w:rsidTr="00C33F4C">
        <w:trPr>
          <w:trHeight w:val="464"/>
        </w:trPr>
        <w:tc>
          <w:tcPr>
            <w:tcW w:w="4182" w:type="dxa"/>
            <w:tcBorders>
              <w:top w:val="single" w:sz="4" w:space="0" w:color="000000"/>
              <w:left w:val="single" w:sz="4" w:space="0" w:color="000000"/>
              <w:bottom w:val="single" w:sz="4" w:space="0" w:color="000000"/>
              <w:right w:val="single" w:sz="4" w:space="0" w:color="000000"/>
            </w:tcBorders>
          </w:tcPr>
          <w:p w14:paraId="59E2AD3E" w14:textId="77777777" w:rsidR="00FB24C0" w:rsidRPr="00C33F4C" w:rsidRDefault="00FB24C0" w:rsidP="00246678">
            <w:pPr>
              <w:keepNext/>
              <w:keepLines/>
              <w:spacing w:after="0" w:line="240" w:lineRule="auto"/>
              <w:ind w:left="0" w:firstLine="0"/>
              <w:rPr>
                <w:color w:val="auto"/>
                <w:lang w:val="es-ES"/>
              </w:rPr>
            </w:pPr>
            <w:r w:rsidRPr="00C33F4C">
              <w:rPr>
                <w:color w:val="auto"/>
                <w:u w:color="000000"/>
                <w:lang w:val="es-ES"/>
              </w:rPr>
              <w:t>Supervivencia global (SG)</w:t>
            </w:r>
          </w:p>
        </w:tc>
        <w:tc>
          <w:tcPr>
            <w:tcW w:w="2250" w:type="dxa"/>
            <w:tcBorders>
              <w:top w:val="single" w:sz="4" w:space="0" w:color="000000"/>
              <w:left w:val="single" w:sz="4" w:space="0" w:color="000000"/>
              <w:bottom w:val="single" w:sz="4" w:space="0" w:color="000000"/>
              <w:right w:val="single" w:sz="4" w:space="0" w:color="000000"/>
            </w:tcBorders>
          </w:tcPr>
          <w:p w14:paraId="681CFD96" w14:textId="77777777" w:rsidR="00FB24C0" w:rsidRPr="00C33F4C" w:rsidRDefault="00FB24C0" w:rsidP="00246678">
            <w:pPr>
              <w:keepNext/>
              <w:keepLines/>
              <w:spacing w:after="0" w:line="240" w:lineRule="auto"/>
              <w:ind w:left="0" w:firstLine="0"/>
              <w:jc w:val="center"/>
              <w:rPr>
                <w:color w:val="auto"/>
                <w:lang w:val="es-ES"/>
              </w:rPr>
            </w:pPr>
            <w:r w:rsidRPr="00C33F4C">
              <w:rPr>
                <w:color w:val="auto"/>
                <w:lang w:val="es-ES"/>
              </w:rPr>
              <w:t>CP (n</w:t>
            </w:r>
            <w:r w:rsidR="001629DA" w:rsidRPr="00E30038">
              <w:t> </w:t>
            </w:r>
            <w:r w:rsidRPr="00C33F4C">
              <w:rPr>
                <w:color w:val="auto"/>
                <w:lang w:val="es-ES"/>
              </w:rPr>
              <w:t>=</w:t>
            </w:r>
            <w:r w:rsidR="001629DA" w:rsidRPr="00E30038">
              <w:t> </w:t>
            </w:r>
            <w:r w:rsidRPr="00C33F4C">
              <w:rPr>
                <w:color w:val="auto"/>
                <w:lang w:val="es-ES"/>
              </w:rPr>
              <w:t>336)</w:t>
            </w:r>
          </w:p>
        </w:tc>
        <w:tc>
          <w:tcPr>
            <w:tcW w:w="2568" w:type="dxa"/>
            <w:tcBorders>
              <w:top w:val="single" w:sz="4" w:space="0" w:color="000000"/>
              <w:left w:val="single" w:sz="4" w:space="0" w:color="000000"/>
              <w:bottom w:val="single" w:sz="4" w:space="0" w:color="000000"/>
              <w:right w:val="single" w:sz="4" w:space="0" w:color="000000"/>
            </w:tcBorders>
          </w:tcPr>
          <w:p w14:paraId="3B394A12" w14:textId="77777777" w:rsidR="00FB24C0" w:rsidRPr="00C33F4C" w:rsidRDefault="00FB24C0" w:rsidP="00246678">
            <w:pPr>
              <w:keepNext/>
              <w:keepLines/>
              <w:spacing w:after="0" w:line="240" w:lineRule="auto"/>
              <w:ind w:left="0" w:firstLine="0"/>
              <w:jc w:val="center"/>
              <w:rPr>
                <w:color w:val="auto"/>
                <w:lang w:val="es-ES"/>
              </w:rPr>
            </w:pPr>
            <w:r w:rsidRPr="00C33F4C">
              <w:rPr>
                <w:color w:val="auto"/>
                <w:lang w:val="es-ES"/>
              </w:rPr>
              <w:t>CPB</w:t>
            </w:r>
          </w:p>
          <w:p w14:paraId="1FDB6191" w14:textId="77777777" w:rsidR="00FB24C0" w:rsidRPr="00C33F4C" w:rsidRDefault="00FB24C0" w:rsidP="00246678">
            <w:pPr>
              <w:keepNext/>
              <w:keepLines/>
              <w:spacing w:after="0" w:line="240" w:lineRule="auto"/>
              <w:ind w:left="0" w:firstLine="0"/>
              <w:jc w:val="center"/>
              <w:rPr>
                <w:color w:val="auto"/>
                <w:lang w:val="es-ES"/>
              </w:rPr>
            </w:pPr>
            <w:r w:rsidRPr="00C33F4C">
              <w:rPr>
                <w:color w:val="auto"/>
                <w:lang w:val="es-ES"/>
              </w:rPr>
              <w:t>(n</w:t>
            </w:r>
            <w:r w:rsidR="001629DA" w:rsidRPr="00E30038">
              <w:t> </w:t>
            </w:r>
            <w:r w:rsidRPr="00C33F4C">
              <w:rPr>
                <w:color w:val="auto"/>
                <w:lang w:val="es-ES"/>
              </w:rPr>
              <w:t>=</w:t>
            </w:r>
            <w:r w:rsidR="001629DA" w:rsidRPr="00E30038">
              <w:t> </w:t>
            </w:r>
            <w:r w:rsidRPr="00C33F4C">
              <w:rPr>
                <w:color w:val="auto"/>
                <w:lang w:val="es-ES"/>
              </w:rPr>
              <w:t>337)</w:t>
            </w:r>
          </w:p>
        </w:tc>
      </w:tr>
      <w:tr w:rsidR="00FB24C0" w:rsidRPr="00BD3494" w14:paraId="4B328FAD" w14:textId="77777777" w:rsidTr="00C33F4C">
        <w:trPr>
          <w:trHeight w:val="204"/>
        </w:trPr>
        <w:tc>
          <w:tcPr>
            <w:tcW w:w="4182" w:type="dxa"/>
            <w:tcBorders>
              <w:top w:val="single" w:sz="4" w:space="0" w:color="000000"/>
              <w:left w:val="single" w:sz="4" w:space="0" w:color="000000"/>
              <w:bottom w:val="single" w:sz="4" w:space="0" w:color="000000"/>
              <w:right w:val="single" w:sz="4" w:space="0" w:color="000000"/>
            </w:tcBorders>
            <w:vAlign w:val="bottom"/>
          </w:tcPr>
          <w:p w14:paraId="6FF218BA" w14:textId="77777777" w:rsidR="00FB24C0" w:rsidRPr="00C33F4C" w:rsidRDefault="00684760" w:rsidP="00246678">
            <w:pPr>
              <w:keepNext/>
              <w:keepLines/>
              <w:spacing w:after="0" w:line="240" w:lineRule="auto"/>
              <w:ind w:left="567" w:firstLine="0"/>
              <w:rPr>
                <w:color w:val="auto"/>
                <w:lang w:val="es-ES"/>
              </w:rPr>
            </w:pPr>
            <w:r w:rsidRPr="00C33F4C">
              <w:rPr>
                <w:color w:val="auto"/>
                <w:lang w:val="es-ES"/>
              </w:rPr>
              <w:t>Mediana de SG (meses)</w:t>
            </w:r>
          </w:p>
        </w:tc>
        <w:tc>
          <w:tcPr>
            <w:tcW w:w="2250" w:type="dxa"/>
            <w:tcBorders>
              <w:top w:val="single" w:sz="4" w:space="0" w:color="000000"/>
              <w:left w:val="single" w:sz="4" w:space="0" w:color="000000"/>
              <w:bottom w:val="single" w:sz="4" w:space="0" w:color="000000"/>
              <w:right w:val="single" w:sz="4" w:space="0" w:color="000000"/>
            </w:tcBorders>
            <w:vAlign w:val="bottom"/>
          </w:tcPr>
          <w:p w14:paraId="35AB98D3" w14:textId="77777777" w:rsidR="00FB24C0" w:rsidRPr="00C33F4C" w:rsidRDefault="00FB24C0" w:rsidP="00246678">
            <w:pPr>
              <w:keepNext/>
              <w:keepLines/>
              <w:spacing w:after="0" w:line="240" w:lineRule="auto"/>
              <w:ind w:left="0" w:firstLine="0"/>
              <w:jc w:val="center"/>
              <w:rPr>
                <w:color w:val="auto"/>
                <w:lang w:val="es-ES"/>
              </w:rPr>
            </w:pPr>
            <w:r w:rsidRPr="00C33F4C">
              <w:rPr>
                <w:color w:val="auto"/>
                <w:lang w:val="es-ES"/>
              </w:rPr>
              <w:t>37,3</w:t>
            </w:r>
          </w:p>
        </w:tc>
        <w:tc>
          <w:tcPr>
            <w:tcW w:w="2568" w:type="dxa"/>
            <w:tcBorders>
              <w:top w:val="single" w:sz="4" w:space="0" w:color="000000"/>
              <w:left w:val="single" w:sz="4" w:space="0" w:color="000000"/>
              <w:bottom w:val="single" w:sz="4" w:space="0" w:color="000000"/>
              <w:right w:val="single" w:sz="4" w:space="0" w:color="000000"/>
            </w:tcBorders>
            <w:vAlign w:val="bottom"/>
          </w:tcPr>
          <w:p w14:paraId="131296DE" w14:textId="77777777" w:rsidR="00FB24C0" w:rsidRPr="00C33F4C" w:rsidRDefault="00FB24C0" w:rsidP="00246678">
            <w:pPr>
              <w:keepNext/>
              <w:keepLines/>
              <w:spacing w:after="0" w:line="240" w:lineRule="auto"/>
              <w:ind w:left="0" w:firstLine="0"/>
              <w:jc w:val="center"/>
              <w:rPr>
                <w:color w:val="auto"/>
                <w:lang w:val="es-ES"/>
              </w:rPr>
            </w:pPr>
            <w:r w:rsidRPr="00C33F4C">
              <w:rPr>
                <w:color w:val="auto"/>
                <w:lang w:val="es-ES"/>
              </w:rPr>
              <w:t>42,6</w:t>
            </w:r>
          </w:p>
        </w:tc>
      </w:tr>
      <w:tr w:rsidR="00FB24C0" w:rsidRPr="00BD3494" w14:paraId="7B795F84" w14:textId="77777777" w:rsidTr="00C33F4C">
        <w:trPr>
          <w:trHeight w:val="281"/>
        </w:trPr>
        <w:tc>
          <w:tcPr>
            <w:tcW w:w="4182" w:type="dxa"/>
            <w:tcBorders>
              <w:top w:val="single" w:sz="4" w:space="0" w:color="000000"/>
              <w:left w:val="single" w:sz="4" w:space="0" w:color="000000"/>
              <w:bottom w:val="single" w:sz="4" w:space="0" w:color="000000"/>
              <w:right w:val="single" w:sz="4" w:space="0" w:color="000000"/>
            </w:tcBorders>
            <w:vAlign w:val="bottom"/>
          </w:tcPr>
          <w:p w14:paraId="6DBEAF32" w14:textId="77777777" w:rsidR="00FB24C0" w:rsidRPr="00C33F4C" w:rsidRDefault="00FB24C0" w:rsidP="00246678">
            <w:pPr>
              <w:keepNext/>
              <w:keepLines/>
              <w:spacing w:after="0" w:line="240" w:lineRule="auto"/>
              <w:ind w:left="567" w:firstLine="0"/>
              <w:rPr>
                <w:color w:val="auto"/>
                <w:lang w:val="en-US"/>
              </w:rPr>
            </w:pPr>
            <w:r w:rsidRPr="00C33F4C">
              <w:rPr>
                <w:color w:val="auto"/>
                <w:lang w:val="en-US"/>
              </w:rPr>
              <w:t>Hazard ratio (IC 95%) (eCRF)</w:t>
            </w:r>
            <w:r w:rsidRPr="00C33F4C">
              <w:rPr>
                <w:color w:val="auto"/>
                <w:vertAlign w:val="superscript"/>
                <w:lang w:val="en-US"/>
              </w:rPr>
              <w:t>a</w:t>
            </w:r>
          </w:p>
        </w:tc>
        <w:tc>
          <w:tcPr>
            <w:tcW w:w="4818" w:type="dxa"/>
            <w:gridSpan w:val="2"/>
            <w:tcBorders>
              <w:top w:val="single" w:sz="4" w:space="0" w:color="000000"/>
              <w:left w:val="single" w:sz="4" w:space="0" w:color="000000"/>
              <w:bottom w:val="single" w:sz="4" w:space="0" w:color="000000"/>
              <w:right w:val="single" w:sz="4" w:space="0" w:color="000000"/>
            </w:tcBorders>
            <w:vAlign w:val="center"/>
          </w:tcPr>
          <w:p w14:paraId="4753F8B7" w14:textId="77777777" w:rsidR="00FB24C0" w:rsidRPr="00C33F4C" w:rsidRDefault="00FB24C0" w:rsidP="00246678">
            <w:pPr>
              <w:keepNext/>
              <w:keepLines/>
              <w:spacing w:after="0" w:line="240" w:lineRule="auto"/>
              <w:ind w:left="0" w:firstLine="0"/>
              <w:jc w:val="center"/>
              <w:rPr>
                <w:color w:val="auto"/>
                <w:lang w:val="es-ES"/>
              </w:rPr>
            </w:pPr>
            <w:r w:rsidRPr="00C33F4C">
              <w:rPr>
                <w:color w:val="auto"/>
                <w:lang w:val="es-ES"/>
              </w:rPr>
              <w:t>0,823 [IC: 0,680; 0,996]</w:t>
            </w:r>
          </w:p>
        </w:tc>
      </w:tr>
      <w:tr w:rsidR="00FB24C0" w:rsidRPr="00BD3494" w14:paraId="5B9CE643" w14:textId="77777777" w:rsidTr="00C33F4C">
        <w:trPr>
          <w:trHeight w:val="186"/>
        </w:trPr>
        <w:tc>
          <w:tcPr>
            <w:tcW w:w="4182" w:type="dxa"/>
            <w:tcBorders>
              <w:top w:val="single" w:sz="4" w:space="0" w:color="000000"/>
              <w:left w:val="single" w:sz="4" w:space="0" w:color="000000"/>
              <w:bottom w:val="single" w:sz="4" w:space="0" w:color="000000"/>
              <w:right w:val="single" w:sz="4" w:space="0" w:color="000000"/>
            </w:tcBorders>
            <w:vAlign w:val="bottom"/>
          </w:tcPr>
          <w:p w14:paraId="7A523F63" w14:textId="77777777" w:rsidR="00FB24C0" w:rsidRPr="00C33F4C" w:rsidRDefault="00684760" w:rsidP="00246678">
            <w:pPr>
              <w:keepNext/>
              <w:keepLines/>
              <w:spacing w:after="0" w:line="240" w:lineRule="auto"/>
              <w:ind w:left="567" w:firstLine="0"/>
              <w:rPr>
                <w:color w:val="auto"/>
                <w:lang w:val="es-ES"/>
              </w:rPr>
            </w:pPr>
            <w:r w:rsidRPr="00C33F4C">
              <w:rPr>
                <w:color w:val="auto"/>
                <w:lang w:val="es-ES"/>
              </w:rPr>
              <w:t>Valor de p</w:t>
            </w:r>
          </w:p>
        </w:tc>
        <w:tc>
          <w:tcPr>
            <w:tcW w:w="4818" w:type="dxa"/>
            <w:gridSpan w:val="2"/>
            <w:tcBorders>
              <w:top w:val="single" w:sz="4" w:space="0" w:color="000000"/>
              <w:left w:val="single" w:sz="4" w:space="0" w:color="000000"/>
              <w:bottom w:val="single" w:sz="4" w:space="0" w:color="000000"/>
              <w:right w:val="single" w:sz="4" w:space="0" w:color="000000"/>
            </w:tcBorders>
            <w:vAlign w:val="center"/>
          </w:tcPr>
          <w:p w14:paraId="4056C3A8" w14:textId="77777777" w:rsidR="00FB24C0" w:rsidRPr="00C33F4C" w:rsidRDefault="00FB24C0" w:rsidP="00246678">
            <w:pPr>
              <w:keepNext/>
              <w:keepLines/>
              <w:spacing w:after="0" w:line="240" w:lineRule="auto"/>
              <w:ind w:left="0" w:firstLine="0"/>
              <w:jc w:val="center"/>
              <w:rPr>
                <w:color w:val="auto"/>
                <w:lang w:val="es-ES"/>
              </w:rPr>
            </w:pPr>
            <w:r w:rsidRPr="00C33F4C">
              <w:rPr>
                <w:color w:val="auto"/>
                <w:lang w:val="es-ES"/>
              </w:rPr>
              <w:t>0,0447</w:t>
            </w:r>
          </w:p>
        </w:tc>
      </w:tr>
      <w:tr w:rsidR="00FB24C0" w:rsidRPr="00BD3494" w14:paraId="71C3DFAA" w14:textId="77777777" w:rsidTr="00C33F4C">
        <w:trPr>
          <w:trHeight w:val="404"/>
        </w:trPr>
        <w:tc>
          <w:tcPr>
            <w:tcW w:w="4182" w:type="dxa"/>
            <w:tcBorders>
              <w:top w:val="single" w:sz="4" w:space="0" w:color="000000"/>
              <w:left w:val="single" w:sz="4" w:space="0" w:color="000000"/>
              <w:bottom w:val="single" w:sz="4" w:space="0" w:color="000000"/>
              <w:right w:val="single" w:sz="4" w:space="0" w:color="000000"/>
            </w:tcBorders>
            <w:vAlign w:val="bottom"/>
          </w:tcPr>
          <w:p w14:paraId="2D3A7733" w14:textId="77777777" w:rsidR="00FB24C0" w:rsidRPr="00C33F4C" w:rsidRDefault="00FB24C0" w:rsidP="002374EE">
            <w:pPr>
              <w:keepNext/>
              <w:keepLines/>
              <w:spacing w:after="0" w:line="240" w:lineRule="auto"/>
              <w:ind w:left="567" w:firstLine="0"/>
              <w:rPr>
                <w:color w:val="auto"/>
                <w:lang w:val="es-ES"/>
              </w:rPr>
            </w:pPr>
            <w:r w:rsidRPr="00C33F4C">
              <w:rPr>
                <w:color w:val="auto"/>
                <w:lang w:val="es-ES"/>
              </w:rPr>
              <w:t xml:space="preserve">Hazard ratio (IC 95%) (formulario de </w:t>
            </w:r>
            <w:proofErr w:type="gramStart"/>
            <w:r w:rsidRPr="00C33F4C">
              <w:rPr>
                <w:color w:val="auto"/>
                <w:lang w:val="es-ES"/>
              </w:rPr>
              <w:t>inscripción)</w:t>
            </w:r>
            <w:r w:rsidRPr="00C33F4C">
              <w:rPr>
                <w:color w:val="auto"/>
                <w:vertAlign w:val="superscript"/>
                <w:lang w:val="es-ES"/>
              </w:rPr>
              <w:t>b</w:t>
            </w:r>
            <w:proofErr w:type="gramEnd"/>
          </w:p>
        </w:tc>
        <w:tc>
          <w:tcPr>
            <w:tcW w:w="4818" w:type="dxa"/>
            <w:gridSpan w:val="2"/>
            <w:tcBorders>
              <w:top w:val="single" w:sz="4" w:space="0" w:color="000000"/>
              <w:left w:val="single" w:sz="4" w:space="0" w:color="000000"/>
              <w:bottom w:val="single" w:sz="4" w:space="0" w:color="000000"/>
              <w:right w:val="single" w:sz="4" w:space="0" w:color="000000"/>
            </w:tcBorders>
            <w:vAlign w:val="center"/>
          </w:tcPr>
          <w:p w14:paraId="36FBB7B8" w14:textId="77777777" w:rsidR="00FB24C0" w:rsidRPr="00C33F4C" w:rsidRDefault="00FB24C0" w:rsidP="002374EE">
            <w:pPr>
              <w:keepNext/>
              <w:keepLines/>
              <w:spacing w:after="0" w:line="240" w:lineRule="auto"/>
              <w:ind w:left="0" w:firstLine="0"/>
              <w:jc w:val="center"/>
              <w:rPr>
                <w:color w:val="auto"/>
                <w:lang w:val="es-ES"/>
              </w:rPr>
            </w:pPr>
            <w:r w:rsidRPr="00C33F4C">
              <w:rPr>
                <w:color w:val="auto"/>
                <w:lang w:val="es-ES"/>
              </w:rPr>
              <w:t>0,838 [IC: 0,693; 1,014]</w:t>
            </w:r>
          </w:p>
        </w:tc>
      </w:tr>
      <w:tr w:rsidR="00FB24C0" w:rsidRPr="00BD3494" w14:paraId="645BD431" w14:textId="77777777" w:rsidTr="00C33F4C">
        <w:trPr>
          <w:trHeight w:val="186"/>
        </w:trPr>
        <w:tc>
          <w:tcPr>
            <w:tcW w:w="4182" w:type="dxa"/>
            <w:tcBorders>
              <w:top w:val="single" w:sz="4" w:space="0" w:color="000000"/>
              <w:left w:val="single" w:sz="4" w:space="0" w:color="000000"/>
              <w:bottom w:val="single" w:sz="4" w:space="0" w:color="000000"/>
              <w:right w:val="single" w:sz="4" w:space="0" w:color="000000"/>
            </w:tcBorders>
          </w:tcPr>
          <w:p w14:paraId="02686417" w14:textId="77777777" w:rsidR="00FB24C0" w:rsidRPr="00C33F4C" w:rsidRDefault="00684760" w:rsidP="002374EE">
            <w:pPr>
              <w:keepNext/>
              <w:keepLines/>
              <w:spacing w:after="0" w:line="240" w:lineRule="auto"/>
              <w:ind w:left="567" w:firstLine="0"/>
              <w:rPr>
                <w:color w:val="auto"/>
                <w:lang w:val="es-ES"/>
              </w:rPr>
            </w:pPr>
            <w:r w:rsidRPr="00C33F4C">
              <w:rPr>
                <w:color w:val="auto"/>
                <w:lang w:val="es-ES"/>
              </w:rPr>
              <w:t>Valor de p</w:t>
            </w:r>
          </w:p>
        </w:tc>
        <w:tc>
          <w:tcPr>
            <w:tcW w:w="4818" w:type="dxa"/>
            <w:gridSpan w:val="2"/>
            <w:tcBorders>
              <w:top w:val="single" w:sz="4" w:space="0" w:color="000000"/>
              <w:left w:val="single" w:sz="4" w:space="0" w:color="000000"/>
              <w:bottom w:val="single" w:sz="4" w:space="0" w:color="000000"/>
              <w:right w:val="single" w:sz="4" w:space="0" w:color="000000"/>
            </w:tcBorders>
            <w:vAlign w:val="center"/>
          </w:tcPr>
          <w:p w14:paraId="79D4660C" w14:textId="77777777" w:rsidR="00FB24C0" w:rsidRPr="00C33F4C" w:rsidRDefault="00FB24C0" w:rsidP="002374EE">
            <w:pPr>
              <w:keepNext/>
              <w:keepLines/>
              <w:spacing w:after="0" w:line="240" w:lineRule="auto"/>
              <w:ind w:left="0" w:firstLine="0"/>
              <w:jc w:val="center"/>
              <w:rPr>
                <w:color w:val="auto"/>
                <w:lang w:val="es-ES"/>
              </w:rPr>
            </w:pPr>
            <w:r w:rsidRPr="00C33F4C">
              <w:rPr>
                <w:color w:val="auto"/>
                <w:lang w:val="es-ES"/>
              </w:rPr>
              <w:t>0,0683</w:t>
            </w:r>
          </w:p>
        </w:tc>
      </w:tr>
      <w:tr w:rsidR="00D424A6" w:rsidRPr="00BD3494" w14:paraId="39D3A766" w14:textId="77777777" w:rsidTr="00C33F4C">
        <w:trPr>
          <w:trHeight w:val="263"/>
        </w:trPr>
        <w:tc>
          <w:tcPr>
            <w:tcW w:w="9000" w:type="dxa"/>
            <w:gridSpan w:val="3"/>
            <w:tcBorders>
              <w:top w:val="single" w:sz="4" w:space="0" w:color="000000"/>
              <w:left w:val="single" w:sz="4" w:space="0" w:color="000000"/>
              <w:bottom w:val="single" w:sz="4" w:space="0" w:color="000000"/>
              <w:right w:val="single" w:sz="4" w:space="0" w:color="000000"/>
            </w:tcBorders>
            <w:vAlign w:val="bottom"/>
          </w:tcPr>
          <w:p w14:paraId="31E85A0E" w14:textId="77777777" w:rsidR="00D424A6" w:rsidRPr="00C33F4C" w:rsidRDefault="00684760" w:rsidP="00C33F4C">
            <w:pPr>
              <w:spacing w:after="0" w:line="240" w:lineRule="auto"/>
              <w:ind w:left="0" w:firstLine="0"/>
              <w:rPr>
                <w:color w:val="auto"/>
                <w:lang w:val="es-ES"/>
              </w:rPr>
            </w:pPr>
            <w:r w:rsidRPr="00C33F4C">
              <w:rPr>
                <w:color w:val="auto"/>
                <w:lang w:val="es-ES"/>
              </w:rPr>
              <w:t>Variable secundaria</w:t>
            </w:r>
          </w:p>
        </w:tc>
      </w:tr>
      <w:tr w:rsidR="00FB24C0" w:rsidRPr="00BD3494" w14:paraId="6EAE5053" w14:textId="77777777" w:rsidTr="00C33F4C">
        <w:trPr>
          <w:trHeight w:val="614"/>
        </w:trPr>
        <w:tc>
          <w:tcPr>
            <w:tcW w:w="4182" w:type="dxa"/>
            <w:tcBorders>
              <w:top w:val="single" w:sz="4" w:space="0" w:color="000000"/>
              <w:left w:val="single" w:sz="4" w:space="0" w:color="000000"/>
              <w:bottom w:val="single" w:sz="4" w:space="0" w:color="000000"/>
              <w:right w:val="single" w:sz="4" w:space="0" w:color="000000"/>
            </w:tcBorders>
            <w:vAlign w:val="center"/>
          </w:tcPr>
          <w:p w14:paraId="07C9C581" w14:textId="77777777" w:rsidR="00FB24C0" w:rsidRPr="00C33F4C" w:rsidRDefault="00FB24C0" w:rsidP="00C33F4C">
            <w:pPr>
              <w:spacing w:after="0" w:line="240" w:lineRule="auto"/>
              <w:ind w:left="567" w:firstLine="0"/>
              <w:rPr>
                <w:color w:val="auto"/>
                <w:lang w:val="es-ES"/>
              </w:rPr>
            </w:pPr>
            <w:r w:rsidRPr="00C33F4C">
              <w:rPr>
                <w:color w:val="auto"/>
                <w:lang w:val="es-ES"/>
              </w:rPr>
              <w:t>Superviv</w:t>
            </w:r>
            <w:r w:rsidR="00684760" w:rsidRPr="00C33F4C">
              <w:rPr>
                <w:color w:val="auto"/>
                <w:lang w:val="es-ES"/>
              </w:rPr>
              <w:t>encia libre de progresión (SLP)</w:t>
            </w:r>
          </w:p>
        </w:tc>
        <w:tc>
          <w:tcPr>
            <w:tcW w:w="2250" w:type="dxa"/>
            <w:tcBorders>
              <w:top w:val="single" w:sz="4" w:space="0" w:color="000000"/>
              <w:left w:val="single" w:sz="4" w:space="0" w:color="000000"/>
              <w:bottom w:val="single" w:sz="4" w:space="0" w:color="000000"/>
              <w:right w:val="single" w:sz="4" w:space="0" w:color="000000"/>
            </w:tcBorders>
          </w:tcPr>
          <w:p w14:paraId="62AAAA59"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CP (n</w:t>
            </w:r>
            <w:r w:rsidR="001629DA" w:rsidRPr="00E30038">
              <w:t> </w:t>
            </w:r>
            <w:r w:rsidRPr="00C33F4C">
              <w:rPr>
                <w:color w:val="auto"/>
                <w:lang w:val="es-ES"/>
              </w:rPr>
              <w:t>=</w:t>
            </w:r>
            <w:r w:rsidR="001629DA" w:rsidRPr="00E30038">
              <w:t> </w:t>
            </w:r>
            <w:r w:rsidRPr="00C33F4C">
              <w:rPr>
                <w:color w:val="auto"/>
                <w:lang w:val="es-ES"/>
              </w:rPr>
              <w:t>336)</w:t>
            </w:r>
          </w:p>
        </w:tc>
        <w:tc>
          <w:tcPr>
            <w:tcW w:w="2568" w:type="dxa"/>
            <w:tcBorders>
              <w:top w:val="single" w:sz="4" w:space="0" w:color="000000"/>
              <w:left w:val="single" w:sz="4" w:space="0" w:color="000000"/>
              <w:bottom w:val="single" w:sz="4" w:space="0" w:color="000000"/>
              <w:right w:val="single" w:sz="4" w:space="0" w:color="000000"/>
            </w:tcBorders>
          </w:tcPr>
          <w:p w14:paraId="4855F2EC"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CPB</w:t>
            </w:r>
          </w:p>
          <w:p w14:paraId="2455125D"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(n</w:t>
            </w:r>
            <w:r w:rsidR="001629DA" w:rsidRPr="00E30038">
              <w:t> </w:t>
            </w:r>
            <w:r w:rsidRPr="00C33F4C">
              <w:rPr>
                <w:color w:val="auto"/>
                <w:lang w:val="es-ES"/>
              </w:rPr>
              <w:t>=</w:t>
            </w:r>
            <w:r w:rsidR="001629DA" w:rsidRPr="00E30038">
              <w:t> </w:t>
            </w:r>
            <w:r w:rsidRPr="00C33F4C">
              <w:rPr>
                <w:color w:val="auto"/>
                <w:lang w:val="es-ES"/>
              </w:rPr>
              <w:t>337)</w:t>
            </w:r>
          </w:p>
        </w:tc>
      </w:tr>
      <w:tr w:rsidR="00FB24C0" w:rsidRPr="00BD3494" w14:paraId="1D33C3DF" w14:textId="77777777" w:rsidTr="00C33F4C">
        <w:trPr>
          <w:trHeight w:val="331"/>
        </w:trPr>
        <w:tc>
          <w:tcPr>
            <w:tcW w:w="4182" w:type="dxa"/>
            <w:tcBorders>
              <w:top w:val="single" w:sz="4" w:space="0" w:color="000000"/>
              <w:left w:val="single" w:sz="4" w:space="0" w:color="000000"/>
              <w:bottom w:val="single" w:sz="4" w:space="0" w:color="000000"/>
              <w:right w:val="single" w:sz="4" w:space="0" w:color="000000"/>
            </w:tcBorders>
            <w:vAlign w:val="bottom"/>
          </w:tcPr>
          <w:p w14:paraId="304C787D" w14:textId="77777777" w:rsidR="00FB24C0" w:rsidRPr="00C33F4C" w:rsidRDefault="00684760" w:rsidP="00C33F4C">
            <w:pPr>
              <w:spacing w:after="0" w:line="240" w:lineRule="auto"/>
              <w:ind w:left="567" w:firstLine="0"/>
              <w:rPr>
                <w:color w:val="auto"/>
                <w:lang w:val="es-ES"/>
              </w:rPr>
            </w:pPr>
            <w:r w:rsidRPr="00C33F4C">
              <w:rPr>
                <w:color w:val="auto"/>
                <w:lang w:val="es-ES"/>
              </w:rPr>
              <w:t xml:space="preserve">Mediana </w:t>
            </w:r>
            <w:proofErr w:type="spellStart"/>
            <w:r w:rsidRPr="00C33F4C">
              <w:rPr>
                <w:color w:val="auto"/>
                <w:lang w:val="es-ES"/>
              </w:rPr>
              <w:t>deSLP</w:t>
            </w:r>
            <w:proofErr w:type="spellEnd"/>
            <w:r w:rsidRPr="00C33F4C">
              <w:rPr>
                <w:color w:val="auto"/>
                <w:lang w:val="es-ES"/>
              </w:rPr>
              <w:t xml:space="preserve"> (meses)</w:t>
            </w:r>
          </w:p>
        </w:tc>
        <w:tc>
          <w:tcPr>
            <w:tcW w:w="2250" w:type="dxa"/>
            <w:tcBorders>
              <w:top w:val="single" w:sz="4" w:space="0" w:color="000000"/>
              <w:left w:val="single" w:sz="4" w:space="0" w:color="000000"/>
              <w:bottom w:val="single" w:sz="4" w:space="0" w:color="000000"/>
              <w:right w:val="single" w:sz="4" w:space="0" w:color="000000"/>
            </w:tcBorders>
            <w:vAlign w:val="center"/>
          </w:tcPr>
          <w:p w14:paraId="00B72277"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10,2</w:t>
            </w:r>
          </w:p>
        </w:tc>
        <w:tc>
          <w:tcPr>
            <w:tcW w:w="2568" w:type="dxa"/>
            <w:tcBorders>
              <w:top w:val="single" w:sz="4" w:space="0" w:color="000000"/>
              <w:left w:val="single" w:sz="4" w:space="0" w:color="000000"/>
              <w:bottom w:val="single" w:sz="4" w:space="0" w:color="000000"/>
              <w:right w:val="single" w:sz="4" w:space="0" w:color="000000"/>
            </w:tcBorders>
            <w:vAlign w:val="center"/>
          </w:tcPr>
          <w:p w14:paraId="0CB1D48C"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13,8</w:t>
            </w:r>
          </w:p>
        </w:tc>
      </w:tr>
      <w:tr w:rsidR="00FB24C0" w:rsidRPr="00BD3494" w14:paraId="735EB4FB" w14:textId="77777777" w:rsidTr="00C33F4C">
        <w:trPr>
          <w:trHeight w:val="181"/>
        </w:trPr>
        <w:tc>
          <w:tcPr>
            <w:tcW w:w="4182" w:type="dxa"/>
            <w:tcBorders>
              <w:top w:val="single" w:sz="4" w:space="0" w:color="000000"/>
              <w:left w:val="single" w:sz="4" w:space="0" w:color="000000"/>
              <w:bottom w:val="single" w:sz="4" w:space="0" w:color="000000"/>
              <w:right w:val="single" w:sz="4" w:space="0" w:color="000000"/>
            </w:tcBorders>
            <w:vAlign w:val="bottom"/>
          </w:tcPr>
          <w:p w14:paraId="65EE0C27" w14:textId="77777777" w:rsidR="00FB24C0" w:rsidRPr="00C33F4C" w:rsidRDefault="00684760" w:rsidP="00C33F4C">
            <w:pPr>
              <w:spacing w:after="0" w:line="240" w:lineRule="auto"/>
              <w:ind w:left="567" w:firstLine="0"/>
              <w:rPr>
                <w:color w:val="auto"/>
                <w:lang w:val="es-ES"/>
              </w:rPr>
            </w:pPr>
            <w:r w:rsidRPr="00C33F4C">
              <w:rPr>
                <w:color w:val="auto"/>
                <w:lang w:val="es-ES"/>
              </w:rPr>
              <w:t>Hazard ratio (IC 95%)</w:t>
            </w:r>
          </w:p>
        </w:tc>
        <w:tc>
          <w:tcPr>
            <w:tcW w:w="4818" w:type="dxa"/>
            <w:gridSpan w:val="2"/>
            <w:tcBorders>
              <w:top w:val="single" w:sz="4" w:space="0" w:color="000000"/>
              <w:left w:val="single" w:sz="4" w:space="0" w:color="000000"/>
              <w:bottom w:val="single" w:sz="4" w:space="0" w:color="000000"/>
              <w:right w:val="single" w:sz="4" w:space="0" w:color="000000"/>
            </w:tcBorders>
            <w:vAlign w:val="center"/>
          </w:tcPr>
          <w:p w14:paraId="785516F5"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0,613 [IC: 0,521; 0,721]</w:t>
            </w:r>
          </w:p>
        </w:tc>
      </w:tr>
      <w:tr w:rsidR="00FB24C0" w:rsidRPr="00BD3494" w14:paraId="61651CE5" w14:textId="77777777" w:rsidTr="00C33F4C">
        <w:trPr>
          <w:trHeight w:val="188"/>
        </w:trPr>
        <w:tc>
          <w:tcPr>
            <w:tcW w:w="4182" w:type="dxa"/>
            <w:tcBorders>
              <w:top w:val="single" w:sz="4" w:space="0" w:color="000000"/>
              <w:left w:val="single" w:sz="4" w:space="0" w:color="000000"/>
              <w:bottom w:val="single" w:sz="4" w:space="0" w:color="000000"/>
              <w:right w:val="single" w:sz="4" w:space="0" w:color="000000"/>
            </w:tcBorders>
            <w:vAlign w:val="bottom"/>
          </w:tcPr>
          <w:p w14:paraId="1351E451" w14:textId="77777777" w:rsidR="00FB24C0" w:rsidRPr="00C33F4C" w:rsidRDefault="00684760" w:rsidP="00C33F4C">
            <w:pPr>
              <w:spacing w:after="0" w:line="240" w:lineRule="auto"/>
              <w:ind w:left="567" w:firstLine="0"/>
              <w:rPr>
                <w:color w:val="auto"/>
                <w:lang w:val="es-ES"/>
              </w:rPr>
            </w:pPr>
            <w:r w:rsidRPr="00C33F4C">
              <w:rPr>
                <w:color w:val="auto"/>
                <w:lang w:val="es-ES"/>
              </w:rPr>
              <w:t>Valor de p</w:t>
            </w:r>
          </w:p>
        </w:tc>
        <w:tc>
          <w:tcPr>
            <w:tcW w:w="4818" w:type="dxa"/>
            <w:gridSpan w:val="2"/>
            <w:tcBorders>
              <w:top w:val="single" w:sz="4" w:space="0" w:color="000000"/>
              <w:left w:val="single" w:sz="4" w:space="0" w:color="000000"/>
              <w:bottom w:val="single" w:sz="4" w:space="0" w:color="000000"/>
              <w:right w:val="single" w:sz="4" w:space="0" w:color="000000"/>
            </w:tcBorders>
            <w:vAlign w:val="center"/>
          </w:tcPr>
          <w:p w14:paraId="47B0B6E4"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&lt; 0,0001</w:t>
            </w:r>
          </w:p>
        </w:tc>
      </w:tr>
    </w:tbl>
    <w:p w14:paraId="7F1275BF" w14:textId="77777777" w:rsidR="00A63266" w:rsidRDefault="00FB24C0" w:rsidP="00FB24C0">
      <w:pPr>
        <w:tabs>
          <w:tab w:val="center" w:pos="1149"/>
        </w:tabs>
        <w:spacing w:after="0" w:line="240" w:lineRule="auto"/>
        <w:ind w:left="567" w:hanging="567"/>
        <w:rPr>
          <w:color w:val="auto"/>
          <w:sz w:val="20"/>
          <w:lang w:val="es-ES"/>
        </w:rPr>
      </w:pPr>
      <w:r w:rsidRPr="00443040">
        <w:rPr>
          <w:color w:val="auto"/>
          <w:sz w:val="20"/>
          <w:vertAlign w:val="superscript"/>
          <w:lang w:val="es-ES"/>
        </w:rPr>
        <w:t>1</w:t>
      </w:r>
      <w:r w:rsidR="00A63266">
        <w:rPr>
          <w:color w:val="auto"/>
          <w:sz w:val="20"/>
          <w:lang w:val="es-ES"/>
        </w:rPr>
        <w:tab/>
      </w:r>
      <w:proofErr w:type="gramStart"/>
      <w:r w:rsidR="00A63266">
        <w:rPr>
          <w:color w:val="auto"/>
          <w:sz w:val="20"/>
          <w:lang w:val="es-ES"/>
        </w:rPr>
        <w:t>Análisis</w:t>
      </w:r>
      <w:proofErr w:type="gramEnd"/>
      <w:r w:rsidR="00A63266">
        <w:rPr>
          <w:color w:val="auto"/>
          <w:sz w:val="20"/>
          <w:lang w:val="es-ES"/>
        </w:rPr>
        <w:t xml:space="preserve"> final</w:t>
      </w:r>
      <w:r w:rsidR="00A6341E">
        <w:rPr>
          <w:color w:val="auto"/>
          <w:sz w:val="20"/>
          <w:lang w:val="es-ES"/>
        </w:rPr>
        <w:t>.</w:t>
      </w:r>
    </w:p>
    <w:p w14:paraId="5B5942B6" w14:textId="77777777" w:rsidR="002A28A4" w:rsidRDefault="00D6120D" w:rsidP="00D1096C">
      <w:pPr>
        <w:tabs>
          <w:tab w:val="center" w:pos="1149"/>
        </w:tabs>
        <w:spacing w:after="0" w:line="240" w:lineRule="auto"/>
        <w:ind w:left="567" w:hanging="567"/>
        <w:rPr>
          <w:color w:val="auto"/>
          <w:sz w:val="20"/>
          <w:lang w:val="es-ES"/>
        </w:rPr>
      </w:pPr>
      <w:r w:rsidRPr="00D6120D">
        <w:rPr>
          <w:color w:val="auto"/>
          <w:sz w:val="20"/>
          <w:vertAlign w:val="superscript"/>
          <w:lang w:val="es-ES"/>
        </w:rPr>
        <w:t>2</w:t>
      </w:r>
      <w:r>
        <w:rPr>
          <w:color w:val="auto"/>
          <w:sz w:val="20"/>
          <w:lang w:val="es-ES"/>
        </w:rPr>
        <w:tab/>
      </w:r>
      <w:proofErr w:type="gramStart"/>
      <w:r w:rsidR="00FB24C0" w:rsidRPr="00443040">
        <w:rPr>
          <w:color w:val="auto"/>
          <w:sz w:val="20"/>
          <w:lang w:val="es-ES"/>
        </w:rPr>
        <w:t>Se</w:t>
      </w:r>
      <w:proofErr w:type="gramEnd"/>
      <w:r w:rsidR="00FB24C0" w:rsidRPr="00443040">
        <w:rPr>
          <w:color w:val="auto"/>
          <w:sz w:val="20"/>
          <w:lang w:val="es-ES"/>
        </w:rPr>
        <w:t xml:space="preserve"> determinaron valoraciones de tumor y evaluaciones de la respuesta por parte de los investigadores utilizando el criterio GOG RECIST (guía revisada RECIST (versión 1.1). </w:t>
      </w:r>
      <w:proofErr w:type="spellStart"/>
      <w:r w:rsidR="00FB24C0" w:rsidRPr="00443040">
        <w:rPr>
          <w:color w:val="auto"/>
          <w:sz w:val="20"/>
          <w:lang w:val="es-ES"/>
        </w:rPr>
        <w:t>Eur</w:t>
      </w:r>
      <w:proofErr w:type="spellEnd"/>
      <w:r w:rsidR="00FB24C0" w:rsidRPr="00443040">
        <w:rPr>
          <w:color w:val="auto"/>
          <w:sz w:val="20"/>
          <w:lang w:val="es-ES"/>
        </w:rPr>
        <w:t xml:space="preserve"> J </w:t>
      </w:r>
      <w:proofErr w:type="spellStart"/>
      <w:r w:rsidR="00FB24C0" w:rsidRPr="00443040">
        <w:rPr>
          <w:color w:val="auto"/>
          <w:sz w:val="20"/>
          <w:lang w:val="es-ES"/>
        </w:rPr>
        <w:t>Cancer</w:t>
      </w:r>
      <w:proofErr w:type="spellEnd"/>
      <w:r w:rsidR="00FB24C0" w:rsidRPr="00443040">
        <w:rPr>
          <w:color w:val="auto"/>
          <w:sz w:val="20"/>
          <w:lang w:val="es-ES"/>
        </w:rPr>
        <w:t>. 2009; 45:228Y247).</w:t>
      </w:r>
    </w:p>
    <w:p w14:paraId="4D807765" w14:textId="77777777" w:rsidR="002A28A4" w:rsidRDefault="002A28A4" w:rsidP="00D1096C">
      <w:pPr>
        <w:tabs>
          <w:tab w:val="center" w:pos="1149"/>
        </w:tabs>
        <w:spacing w:after="0" w:line="240" w:lineRule="auto"/>
        <w:ind w:left="567" w:hanging="567"/>
        <w:rPr>
          <w:color w:val="auto"/>
          <w:sz w:val="20"/>
          <w:lang w:val="es-ES"/>
        </w:rPr>
      </w:pPr>
    </w:p>
    <w:p w14:paraId="023C2A8F" w14:textId="58BAEC9C" w:rsidR="00775BD9" w:rsidRDefault="00FB24C0" w:rsidP="00D1096C">
      <w:pPr>
        <w:tabs>
          <w:tab w:val="center" w:pos="1149"/>
        </w:tabs>
        <w:spacing w:after="0" w:line="240" w:lineRule="auto"/>
        <w:ind w:left="567" w:hanging="567"/>
        <w:rPr>
          <w:color w:val="auto"/>
          <w:sz w:val="20"/>
          <w:lang w:val="es-ES"/>
        </w:rPr>
      </w:pPr>
      <w:proofErr w:type="spellStart"/>
      <w:r w:rsidRPr="00443040">
        <w:rPr>
          <w:color w:val="auto"/>
          <w:sz w:val="20"/>
          <w:vertAlign w:val="superscript"/>
          <w:lang w:val="es-ES"/>
        </w:rPr>
        <w:t>a</w:t>
      </w:r>
      <w:proofErr w:type="spellEnd"/>
      <w:r w:rsidRPr="00443040">
        <w:rPr>
          <w:color w:val="auto"/>
          <w:sz w:val="20"/>
          <w:lang w:val="es-ES"/>
        </w:rPr>
        <w:tab/>
        <w:t xml:space="preserve">Se estimó el Hazard ratio a partir de modelos de </w:t>
      </w:r>
      <w:proofErr w:type="spellStart"/>
      <w:r w:rsidRPr="00443040">
        <w:rPr>
          <w:color w:val="auto"/>
          <w:sz w:val="20"/>
          <w:lang w:val="es-ES"/>
        </w:rPr>
        <w:t>hazard</w:t>
      </w:r>
      <w:proofErr w:type="spellEnd"/>
      <w:r w:rsidRPr="00443040">
        <w:rPr>
          <w:color w:val="auto"/>
          <w:sz w:val="20"/>
          <w:lang w:val="es-ES"/>
        </w:rPr>
        <w:t xml:space="preserve"> proporcionales de Cox estratificados por la duración del intervalo libre de platino antes de inscribirse en este ensayo por </w:t>
      </w:r>
      <w:proofErr w:type="spellStart"/>
      <w:r w:rsidRPr="00443040">
        <w:rPr>
          <w:color w:val="auto"/>
          <w:sz w:val="20"/>
          <w:lang w:val="es-ES"/>
        </w:rPr>
        <w:t>eCRF</w:t>
      </w:r>
      <w:proofErr w:type="spellEnd"/>
      <w:r w:rsidRPr="00443040">
        <w:rPr>
          <w:color w:val="auto"/>
          <w:sz w:val="20"/>
          <w:lang w:val="es-ES"/>
        </w:rPr>
        <w:t xml:space="preserve"> (formulario electrónico del informe del caso) y condición de la extirpación quirúrgica secundaria Yes/No (Yes</w:t>
      </w:r>
      <w:r w:rsidR="002A28A4">
        <w:rPr>
          <w:color w:val="auto"/>
          <w:sz w:val="20"/>
          <w:lang w:val="es-ES"/>
        </w:rPr>
        <w:t> </w:t>
      </w:r>
      <w:r w:rsidRPr="00443040">
        <w:rPr>
          <w:color w:val="auto"/>
          <w:sz w:val="20"/>
          <w:lang w:val="es-ES"/>
        </w:rPr>
        <w:t>=</w:t>
      </w:r>
      <w:r w:rsidR="002A28A4">
        <w:rPr>
          <w:color w:val="auto"/>
          <w:sz w:val="20"/>
          <w:lang w:val="es-ES"/>
        </w:rPr>
        <w:t> </w:t>
      </w:r>
      <w:r w:rsidRPr="00443040">
        <w:rPr>
          <w:color w:val="auto"/>
          <w:sz w:val="20"/>
          <w:lang w:val="es-ES"/>
        </w:rPr>
        <w:t xml:space="preserve">aleatorizado para someterse a </w:t>
      </w:r>
      <w:proofErr w:type="spellStart"/>
      <w:r w:rsidRPr="00443040">
        <w:rPr>
          <w:color w:val="auto"/>
          <w:sz w:val="20"/>
          <w:lang w:val="es-ES"/>
        </w:rPr>
        <w:t>citorreducción</w:t>
      </w:r>
      <w:proofErr w:type="spellEnd"/>
      <w:r w:rsidRPr="00443040">
        <w:rPr>
          <w:color w:val="auto"/>
          <w:sz w:val="20"/>
          <w:lang w:val="es-ES"/>
        </w:rPr>
        <w:t xml:space="preserve"> o aleatorizado para no someterse a </w:t>
      </w:r>
      <w:proofErr w:type="spellStart"/>
      <w:r w:rsidRPr="00443040">
        <w:rPr>
          <w:color w:val="auto"/>
          <w:sz w:val="20"/>
          <w:lang w:val="es-ES"/>
        </w:rPr>
        <w:t>citorreducción</w:t>
      </w:r>
      <w:proofErr w:type="spellEnd"/>
      <w:r w:rsidRPr="00443040">
        <w:rPr>
          <w:color w:val="auto"/>
          <w:sz w:val="20"/>
          <w:lang w:val="es-ES"/>
        </w:rPr>
        <w:t>; No</w:t>
      </w:r>
      <w:r w:rsidR="002A28A4">
        <w:rPr>
          <w:color w:val="auto"/>
          <w:sz w:val="20"/>
          <w:lang w:val="es-ES"/>
        </w:rPr>
        <w:t> </w:t>
      </w:r>
      <w:r w:rsidRPr="00443040">
        <w:rPr>
          <w:color w:val="auto"/>
          <w:sz w:val="20"/>
          <w:lang w:val="es-ES"/>
        </w:rPr>
        <w:t>=</w:t>
      </w:r>
      <w:r w:rsidR="002A28A4">
        <w:rPr>
          <w:color w:val="auto"/>
          <w:sz w:val="20"/>
          <w:lang w:val="es-ES"/>
        </w:rPr>
        <w:t> </w:t>
      </w:r>
      <w:r w:rsidRPr="00443040">
        <w:rPr>
          <w:color w:val="auto"/>
          <w:sz w:val="20"/>
          <w:lang w:val="es-ES"/>
        </w:rPr>
        <w:t xml:space="preserve">no candidato </w:t>
      </w:r>
      <w:r w:rsidR="00775BD9">
        <w:rPr>
          <w:color w:val="auto"/>
          <w:sz w:val="20"/>
          <w:lang w:val="es-ES"/>
        </w:rPr>
        <w:t xml:space="preserve">o no aceptó la </w:t>
      </w:r>
      <w:proofErr w:type="spellStart"/>
      <w:r w:rsidR="00775BD9">
        <w:rPr>
          <w:color w:val="auto"/>
          <w:sz w:val="20"/>
          <w:lang w:val="es-ES"/>
        </w:rPr>
        <w:t>citorreducción</w:t>
      </w:r>
      <w:proofErr w:type="spellEnd"/>
      <w:r w:rsidR="00775BD9">
        <w:rPr>
          <w:color w:val="auto"/>
          <w:sz w:val="20"/>
          <w:lang w:val="es-ES"/>
        </w:rPr>
        <w:t>).</w:t>
      </w:r>
    </w:p>
    <w:p w14:paraId="59396153" w14:textId="77777777" w:rsidR="00FB24C0" w:rsidRPr="00443040" w:rsidRDefault="00FB24C0" w:rsidP="00FB24C0">
      <w:pPr>
        <w:spacing w:after="0" w:line="240" w:lineRule="auto"/>
        <w:ind w:left="567" w:hanging="567"/>
        <w:rPr>
          <w:color w:val="auto"/>
          <w:sz w:val="20"/>
          <w:lang w:val="es-ES"/>
        </w:rPr>
      </w:pPr>
      <w:r w:rsidRPr="00443040">
        <w:rPr>
          <w:color w:val="auto"/>
          <w:sz w:val="20"/>
          <w:vertAlign w:val="superscript"/>
          <w:lang w:val="es-ES"/>
        </w:rPr>
        <w:t>b</w:t>
      </w:r>
      <w:r w:rsidR="00775BD9">
        <w:rPr>
          <w:color w:val="auto"/>
          <w:sz w:val="20"/>
          <w:vertAlign w:val="superscript"/>
          <w:lang w:val="es-ES"/>
        </w:rPr>
        <w:tab/>
      </w:r>
      <w:r w:rsidR="00B42BC4" w:rsidRPr="00251B88">
        <w:rPr>
          <w:color w:val="auto"/>
          <w:sz w:val="20"/>
          <w:lang w:val="es-ES"/>
        </w:rPr>
        <w:t xml:space="preserve">Estratificado </w:t>
      </w:r>
      <w:r w:rsidRPr="00251B88">
        <w:rPr>
          <w:color w:val="auto"/>
          <w:sz w:val="20"/>
          <w:lang w:val="es-ES"/>
        </w:rPr>
        <w:t>por la duración del tratamiento de intervalo libre antes de inscribirse en este ensayo por el formulario de registro, y la condición de la extirpación quirúrgica secundaria Sí / No.</w:t>
      </w:r>
    </w:p>
    <w:p w14:paraId="0957A1E6" w14:textId="77777777" w:rsidR="00FB24C0" w:rsidRPr="004C0A80" w:rsidRDefault="00FB24C0" w:rsidP="00FB24C0">
      <w:pPr>
        <w:spacing w:after="0" w:line="240" w:lineRule="auto"/>
        <w:ind w:left="0" w:firstLine="0"/>
        <w:rPr>
          <w:color w:val="auto"/>
          <w:lang w:val="es-ES"/>
        </w:rPr>
      </w:pPr>
    </w:p>
    <w:p w14:paraId="01EA9886" w14:textId="410363CC" w:rsidR="00FB24C0" w:rsidRPr="004C0A80" w:rsidRDefault="00FB24C0" w:rsidP="00FB24C0">
      <w:pPr>
        <w:spacing w:after="0" w:line="240" w:lineRule="auto"/>
        <w:ind w:left="0" w:firstLine="0"/>
        <w:rPr>
          <w:color w:val="auto"/>
          <w:lang w:val="es-ES"/>
        </w:rPr>
      </w:pPr>
      <w:r w:rsidRPr="004C0A80">
        <w:rPr>
          <w:color w:val="auto"/>
          <w:lang w:val="es-ES"/>
        </w:rPr>
        <w:t xml:space="preserve">El ensayo cumplió su </w:t>
      </w:r>
      <w:r w:rsidR="00322361">
        <w:rPr>
          <w:color w:val="auto"/>
          <w:lang w:val="es-ES"/>
        </w:rPr>
        <w:t>variable</w:t>
      </w:r>
      <w:r w:rsidRPr="004C0A80">
        <w:rPr>
          <w:color w:val="auto"/>
          <w:lang w:val="es-ES"/>
        </w:rPr>
        <w:t xml:space="preserve"> principal de mejorar la SG. El tratamiento con 15 mg/kg de </w:t>
      </w:r>
      <w:r w:rsidR="00863B46">
        <w:rPr>
          <w:color w:val="auto"/>
          <w:lang w:val="es-ES"/>
        </w:rPr>
        <w:t>bevacizumab</w:t>
      </w:r>
      <w:r w:rsidRPr="004C0A80">
        <w:rPr>
          <w:color w:val="auto"/>
          <w:lang w:val="es-ES"/>
        </w:rPr>
        <w:t xml:space="preserve"> cada 3 semanas en combinación con quimioterapia (carboplatino y </w:t>
      </w:r>
      <w:proofErr w:type="spellStart"/>
      <w:r w:rsidRPr="004C0A80">
        <w:rPr>
          <w:color w:val="auto"/>
          <w:lang w:val="es-ES"/>
        </w:rPr>
        <w:t>paclitaxel</w:t>
      </w:r>
      <w:proofErr w:type="spellEnd"/>
      <w:r w:rsidRPr="004C0A80">
        <w:rPr>
          <w:color w:val="auto"/>
          <w:lang w:val="es-ES"/>
        </w:rPr>
        <w:t xml:space="preserve">) durante 6 y hasta 8 ciclos, seguido de </w:t>
      </w:r>
      <w:r w:rsidR="00863B46">
        <w:rPr>
          <w:color w:val="auto"/>
          <w:lang w:val="es-ES"/>
        </w:rPr>
        <w:t>bevacizumab</w:t>
      </w:r>
      <w:r w:rsidRPr="004C0A80">
        <w:rPr>
          <w:color w:val="auto"/>
          <w:lang w:val="es-ES"/>
        </w:rPr>
        <w:t xml:space="preserve"> hasta progresión de la enfermedad o toxicidad inaceptable, resultó en una mejoría </w:t>
      </w:r>
      <w:proofErr w:type="gramStart"/>
      <w:r w:rsidRPr="004C0A80">
        <w:rPr>
          <w:color w:val="auto"/>
          <w:lang w:val="es-ES"/>
        </w:rPr>
        <w:t>clínicamente y estadísticamente</w:t>
      </w:r>
      <w:proofErr w:type="gramEnd"/>
      <w:r w:rsidRPr="004C0A80">
        <w:rPr>
          <w:color w:val="auto"/>
          <w:lang w:val="es-ES"/>
        </w:rPr>
        <w:t xml:space="preserve"> significativa en la SG comparada con el tratamiento con carboplatino y </w:t>
      </w:r>
      <w:proofErr w:type="spellStart"/>
      <w:r w:rsidRPr="004C0A80">
        <w:rPr>
          <w:color w:val="auto"/>
          <w:lang w:val="es-ES"/>
        </w:rPr>
        <w:t>paclitaxel</w:t>
      </w:r>
      <w:proofErr w:type="spellEnd"/>
      <w:r w:rsidRPr="004C0A80">
        <w:rPr>
          <w:color w:val="auto"/>
          <w:lang w:val="es-ES"/>
        </w:rPr>
        <w:t xml:space="preserve"> solo, </w:t>
      </w:r>
      <w:proofErr w:type="gramStart"/>
      <w:r w:rsidRPr="004C0A80">
        <w:rPr>
          <w:color w:val="auto"/>
          <w:lang w:val="es-ES"/>
        </w:rPr>
        <w:t>de acuerdo a</w:t>
      </w:r>
      <w:proofErr w:type="gramEnd"/>
      <w:r w:rsidRPr="004C0A80">
        <w:rPr>
          <w:color w:val="auto"/>
          <w:lang w:val="es-ES"/>
        </w:rPr>
        <w:t xml:space="preserve"> los datos derivados de </w:t>
      </w:r>
      <w:proofErr w:type="spellStart"/>
      <w:r w:rsidRPr="004C0A80">
        <w:rPr>
          <w:color w:val="auto"/>
          <w:lang w:val="es-ES"/>
        </w:rPr>
        <w:t>eCRF</w:t>
      </w:r>
      <w:proofErr w:type="spellEnd"/>
      <w:r w:rsidRPr="004C0A80">
        <w:rPr>
          <w:color w:val="auto"/>
          <w:lang w:val="es-ES"/>
        </w:rPr>
        <w:t>.</w:t>
      </w:r>
    </w:p>
    <w:p w14:paraId="1FEA075A" w14:textId="77777777" w:rsidR="00684760" w:rsidRPr="004C0A80" w:rsidRDefault="00684760" w:rsidP="00FB24C0">
      <w:pPr>
        <w:spacing w:after="0" w:line="240" w:lineRule="auto"/>
        <w:ind w:left="0" w:firstLine="0"/>
        <w:rPr>
          <w:i/>
          <w:color w:val="auto"/>
          <w:lang w:val="es-ES"/>
        </w:rPr>
      </w:pPr>
    </w:p>
    <w:p w14:paraId="7028C3CA" w14:textId="77777777" w:rsidR="00FB24C0" w:rsidRPr="004C0A80" w:rsidRDefault="00FB24C0" w:rsidP="00684760">
      <w:pPr>
        <w:keepNext/>
        <w:spacing w:after="0" w:line="240" w:lineRule="auto"/>
        <w:ind w:left="0" w:firstLine="0"/>
        <w:rPr>
          <w:i/>
          <w:color w:val="auto"/>
          <w:lang w:val="es-ES"/>
        </w:rPr>
      </w:pPr>
      <w:r w:rsidRPr="00E760A4">
        <w:rPr>
          <w:i/>
          <w:color w:val="auto"/>
          <w:lang w:val="es-ES"/>
        </w:rPr>
        <w:t>MO22224</w:t>
      </w:r>
    </w:p>
    <w:p w14:paraId="66EC00C9" w14:textId="77777777" w:rsidR="00FB24C0" w:rsidRPr="004C0A80" w:rsidRDefault="00FB24C0" w:rsidP="00FB24C0">
      <w:pPr>
        <w:spacing w:after="0" w:line="240" w:lineRule="auto"/>
        <w:ind w:left="0" w:firstLine="0"/>
        <w:rPr>
          <w:color w:val="auto"/>
          <w:lang w:val="es-ES"/>
        </w:rPr>
      </w:pPr>
      <w:r w:rsidRPr="004C0A80">
        <w:rPr>
          <w:color w:val="auto"/>
          <w:lang w:val="es-ES"/>
        </w:rPr>
        <w:t xml:space="preserve">El ensayo clínico MO22224 evaluó la eficacia y seguridad de bevacizumab en combinación con quimioterapia para cáncer de ovario epitelial recurrente resistente a platino, trompa de Falopio o peritoneal primario. Este ensayo clínico fue diseñado como </w:t>
      </w:r>
      <w:proofErr w:type="gramStart"/>
      <w:r w:rsidRPr="004C0A80">
        <w:rPr>
          <w:color w:val="auto"/>
          <w:lang w:val="es-ES"/>
        </w:rPr>
        <w:t>un fase</w:t>
      </w:r>
      <w:proofErr w:type="gramEnd"/>
      <w:r w:rsidRPr="004C0A80">
        <w:rPr>
          <w:color w:val="auto"/>
          <w:lang w:val="es-ES"/>
        </w:rPr>
        <w:t xml:space="preserve"> III, abierto, aleatorizado y de dos brazos para la evaluación de bevacizumab más quimioterapia (QT</w:t>
      </w:r>
      <w:r w:rsidR="00D07FAF">
        <w:rPr>
          <w:color w:val="auto"/>
          <w:lang w:val="es-ES"/>
        </w:rPr>
        <w:t xml:space="preserve"> </w:t>
      </w:r>
      <w:r w:rsidRPr="004C0A80">
        <w:rPr>
          <w:color w:val="auto"/>
          <w:lang w:val="es-ES"/>
        </w:rPr>
        <w:t>+</w:t>
      </w:r>
      <w:r w:rsidR="00D07FAF">
        <w:rPr>
          <w:color w:val="auto"/>
          <w:lang w:val="es-ES"/>
        </w:rPr>
        <w:t xml:space="preserve"> </w:t>
      </w:r>
      <w:r w:rsidRPr="004C0A80">
        <w:rPr>
          <w:color w:val="auto"/>
          <w:lang w:val="es-ES"/>
        </w:rPr>
        <w:t>BV) frente a quimioterapia sola (QT).</w:t>
      </w:r>
    </w:p>
    <w:p w14:paraId="06E70826" w14:textId="77777777" w:rsidR="00684760" w:rsidRPr="004C0A80" w:rsidRDefault="00684760" w:rsidP="00FB24C0">
      <w:pPr>
        <w:spacing w:after="0" w:line="240" w:lineRule="auto"/>
        <w:ind w:left="0" w:firstLine="0"/>
        <w:rPr>
          <w:color w:val="auto"/>
          <w:lang w:val="es-ES"/>
        </w:rPr>
      </w:pPr>
    </w:p>
    <w:p w14:paraId="68304736" w14:textId="77777777" w:rsidR="00FB24C0" w:rsidRPr="004C0A80" w:rsidRDefault="00FB24C0" w:rsidP="00684760">
      <w:pPr>
        <w:keepNext/>
        <w:spacing w:after="0" w:line="240" w:lineRule="auto"/>
        <w:ind w:left="0" w:firstLine="0"/>
        <w:rPr>
          <w:color w:val="auto"/>
          <w:lang w:val="es-ES"/>
        </w:rPr>
      </w:pPr>
      <w:r w:rsidRPr="004C0A80">
        <w:rPr>
          <w:color w:val="auto"/>
          <w:lang w:val="es-ES"/>
        </w:rPr>
        <w:t>En este ensayo clínico se reclutó un total de 361 pacientes a los cuales se les administró o bien quimioterapia (</w:t>
      </w:r>
      <w:proofErr w:type="spellStart"/>
      <w:r w:rsidRPr="004C0A80">
        <w:rPr>
          <w:color w:val="auto"/>
          <w:lang w:val="es-ES"/>
        </w:rPr>
        <w:t>paclitaxel</w:t>
      </w:r>
      <w:proofErr w:type="spellEnd"/>
      <w:r w:rsidRPr="004C0A80">
        <w:rPr>
          <w:color w:val="auto"/>
          <w:lang w:val="es-ES"/>
        </w:rPr>
        <w:t xml:space="preserve">, </w:t>
      </w:r>
      <w:proofErr w:type="spellStart"/>
      <w:r w:rsidRPr="004C0A80">
        <w:rPr>
          <w:color w:val="auto"/>
          <w:lang w:val="es-ES"/>
        </w:rPr>
        <w:t>topotecán</w:t>
      </w:r>
      <w:proofErr w:type="spellEnd"/>
      <w:r w:rsidRPr="004C0A80">
        <w:rPr>
          <w:color w:val="auto"/>
          <w:lang w:val="es-ES"/>
        </w:rPr>
        <w:t xml:space="preserve"> o doxorrubicina </w:t>
      </w:r>
      <w:proofErr w:type="spellStart"/>
      <w:r w:rsidRPr="004C0A80">
        <w:rPr>
          <w:color w:val="auto"/>
          <w:lang w:val="es-ES"/>
        </w:rPr>
        <w:t>liposomal</w:t>
      </w:r>
      <w:proofErr w:type="spellEnd"/>
      <w:r w:rsidRPr="004C0A80">
        <w:rPr>
          <w:color w:val="auto"/>
          <w:lang w:val="es-ES"/>
        </w:rPr>
        <w:t xml:space="preserve"> </w:t>
      </w:r>
      <w:proofErr w:type="spellStart"/>
      <w:r w:rsidRPr="004C0A80">
        <w:rPr>
          <w:color w:val="auto"/>
          <w:lang w:val="es-ES"/>
        </w:rPr>
        <w:t>pegilada</w:t>
      </w:r>
      <w:proofErr w:type="spellEnd"/>
      <w:r w:rsidRPr="004C0A80">
        <w:rPr>
          <w:color w:val="auto"/>
          <w:lang w:val="es-ES"/>
        </w:rPr>
        <w:t xml:space="preserve"> (DLP) sola o en combinación con bevacizumab:</w:t>
      </w:r>
    </w:p>
    <w:p w14:paraId="1F28BF4E" w14:textId="77777777" w:rsidR="00FB24C0" w:rsidRPr="004C0A80" w:rsidRDefault="00FB24C0" w:rsidP="00684760">
      <w:pPr>
        <w:keepNext/>
        <w:spacing w:after="0" w:line="240" w:lineRule="auto"/>
        <w:ind w:left="0" w:firstLine="0"/>
        <w:rPr>
          <w:color w:val="auto"/>
          <w:lang w:val="es-ES"/>
        </w:rPr>
      </w:pPr>
    </w:p>
    <w:p w14:paraId="793FE142" w14:textId="77777777" w:rsidR="00FB24C0" w:rsidRPr="004C0A80" w:rsidRDefault="00FB24C0" w:rsidP="00FB24C0">
      <w:pPr>
        <w:numPr>
          <w:ilvl w:val="0"/>
          <w:numId w:val="16"/>
        </w:numPr>
        <w:spacing w:after="0" w:line="240" w:lineRule="auto"/>
        <w:ind w:left="567" w:hanging="567"/>
        <w:rPr>
          <w:color w:val="auto"/>
          <w:lang w:val="es-ES"/>
        </w:rPr>
      </w:pPr>
      <w:r w:rsidRPr="004C0A80">
        <w:rPr>
          <w:color w:val="auto"/>
          <w:lang w:val="es-ES"/>
        </w:rPr>
        <w:t>Brazo QT (quimioterapia sola):</w:t>
      </w:r>
    </w:p>
    <w:p w14:paraId="22B19D96" w14:textId="77777777" w:rsidR="00FB24C0" w:rsidRPr="004C0A80" w:rsidRDefault="00FB24C0" w:rsidP="00170A1F">
      <w:pPr>
        <w:numPr>
          <w:ilvl w:val="0"/>
          <w:numId w:val="16"/>
        </w:numPr>
        <w:spacing w:after="0" w:line="240" w:lineRule="auto"/>
        <w:ind w:left="1134" w:hanging="567"/>
        <w:rPr>
          <w:color w:val="auto"/>
          <w:lang w:val="es-ES"/>
        </w:rPr>
      </w:pPr>
      <w:proofErr w:type="spellStart"/>
      <w:r w:rsidRPr="004C0A80">
        <w:rPr>
          <w:color w:val="auto"/>
          <w:lang w:val="es-ES"/>
        </w:rPr>
        <w:t>Paclitaxel</w:t>
      </w:r>
      <w:proofErr w:type="spellEnd"/>
      <w:r w:rsidRPr="004C0A80">
        <w:rPr>
          <w:color w:val="auto"/>
          <w:lang w:val="es-ES"/>
        </w:rPr>
        <w:t xml:space="preserve"> 80 mg/m</w:t>
      </w:r>
      <w:r w:rsidRPr="004C0A80">
        <w:rPr>
          <w:color w:val="auto"/>
          <w:vertAlign w:val="superscript"/>
          <w:lang w:val="es-ES"/>
        </w:rPr>
        <w:t>2</w:t>
      </w:r>
      <w:r w:rsidRPr="004C0A80">
        <w:rPr>
          <w:color w:val="auto"/>
          <w:lang w:val="es-ES"/>
        </w:rPr>
        <w:t xml:space="preserve"> como perfusión IV durante 1 hora los días 1, 8, 15, y 22 cada 4 semanas.</w:t>
      </w:r>
    </w:p>
    <w:p w14:paraId="12F739AB" w14:textId="77777777" w:rsidR="00FB24C0" w:rsidRPr="004C0A80" w:rsidRDefault="00FB24C0" w:rsidP="00170A1F">
      <w:pPr>
        <w:numPr>
          <w:ilvl w:val="0"/>
          <w:numId w:val="16"/>
        </w:numPr>
        <w:spacing w:after="0" w:line="240" w:lineRule="auto"/>
        <w:ind w:left="1134" w:hanging="567"/>
        <w:rPr>
          <w:color w:val="auto"/>
          <w:lang w:val="es-ES"/>
        </w:rPr>
      </w:pPr>
      <w:proofErr w:type="spellStart"/>
      <w:r w:rsidRPr="004C0A80">
        <w:rPr>
          <w:color w:val="auto"/>
          <w:lang w:val="es-ES"/>
        </w:rPr>
        <w:t>Topotecán</w:t>
      </w:r>
      <w:proofErr w:type="spellEnd"/>
      <w:r w:rsidRPr="004C0A80">
        <w:rPr>
          <w:color w:val="auto"/>
          <w:lang w:val="es-ES"/>
        </w:rPr>
        <w:t xml:space="preserve"> 4 mg/m</w:t>
      </w:r>
      <w:r w:rsidRPr="004C0A80">
        <w:rPr>
          <w:color w:val="auto"/>
          <w:vertAlign w:val="superscript"/>
          <w:lang w:val="es-ES"/>
        </w:rPr>
        <w:t>2</w:t>
      </w:r>
      <w:r w:rsidRPr="004C0A80">
        <w:rPr>
          <w:color w:val="auto"/>
          <w:lang w:val="es-ES"/>
        </w:rPr>
        <w:t xml:space="preserve"> como perfusión IV durante 30 minutos los días 1, 8, y 15 cada 4 semanas. Alternativamente, se puede administrar una dosis de 1,25 mg/m</w:t>
      </w:r>
      <w:r w:rsidRPr="004C0A80">
        <w:rPr>
          <w:color w:val="auto"/>
          <w:vertAlign w:val="superscript"/>
          <w:lang w:val="es-ES"/>
        </w:rPr>
        <w:t xml:space="preserve">2 </w:t>
      </w:r>
      <w:r w:rsidR="00684760" w:rsidRPr="004C0A80">
        <w:rPr>
          <w:color w:val="auto"/>
          <w:lang w:val="es-ES"/>
        </w:rPr>
        <w:t>durante 30 minutos los días </w:t>
      </w:r>
      <w:r w:rsidRPr="004C0A80">
        <w:rPr>
          <w:color w:val="auto"/>
          <w:lang w:val="es-ES"/>
        </w:rPr>
        <w:t>1-5 cada 3 semanas.</w:t>
      </w:r>
    </w:p>
    <w:p w14:paraId="316C151C" w14:textId="77777777" w:rsidR="00FB24C0" w:rsidRPr="004C0A80" w:rsidRDefault="00FB24C0" w:rsidP="00170A1F">
      <w:pPr>
        <w:numPr>
          <w:ilvl w:val="0"/>
          <w:numId w:val="16"/>
        </w:numPr>
        <w:spacing w:after="0" w:line="240" w:lineRule="auto"/>
        <w:ind w:left="1134" w:hanging="567"/>
        <w:rPr>
          <w:color w:val="auto"/>
          <w:lang w:val="es-ES"/>
        </w:rPr>
      </w:pPr>
      <w:r w:rsidRPr="004C0A80">
        <w:rPr>
          <w:color w:val="auto"/>
          <w:lang w:val="es-ES"/>
        </w:rPr>
        <w:lastRenderedPageBreak/>
        <w:t>DLP 40 mg/m</w:t>
      </w:r>
      <w:r w:rsidRPr="004C0A80">
        <w:rPr>
          <w:color w:val="auto"/>
          <w:vertAlign w:val="superscript"/>
          <w:lang w:val="es-ES"/>
        </w:rPr>
        <w:t>2</w:t>
      </w:r>
      <w:r w:rsidRPr="004C0A80">
        <w:rPr>
          <w:color w:val="auto"/>
          <w:lang w:val="es-ES"/>
        </w:rPr>
        <w:t xml:space="preserve"> como una perfusión IV de 1 mg/min sólo el día 1 cada 4 semanas. Después del ciclo 1, el </w:t>
      </w:r>
      <w:r w:rsidR="004943CA">
        <w:rPr>
          <w:color w:val="auto"/>
          <w:lang w:val="es-ES"/>
        </w:rPr>
        <w:t>medicamento</w:t>
      </w:r>
      <w:r w:rsidR="004943CA" w:rsidRPr="004C0A80">
        <w:rPr>
          <w:color w:val="auto"/>
          <w:lang w:val="es-ES"/>
        </w:rPr>
        <w:t xml:space="preserve"> </w:t>
      </w:r>
      <w:r w:rsidRPr="004C0A80">
        <w:rPr>
          <w:color w:val="auto"/>
          <w:lang w:val="es-ES"/>
        </w:rPr>
        <w:t>se puede administrar como perfusión durante 1 hora.</w:t>
      </w:r>
    </w:p>
    <w:p w14:paraId="1A72B1A9" w14:textId="77777777" w:rsidR="00FB24C0" w:rsidRPr="004C0A80" w:rsidRDefault="00FB24C0" w:rsidP="00FB24C0">
      <w:pPr>
        <w:numPr>
          <w:ilvl w:val="0"/>
          <w:numId w:val="16"/>
        </w:numPr>
        <w:spacing w:after="0" w:line="240" w:lineRule="auto"/>
        <w:ind w:left="567" w:hanging="567"/>
        <w:rPr>
          <w:color w:val="auto"/>
          <w:lang w:val="es-ES"/>
        </w:rPr>
      </w:pPr>
      <w:r w:rsidRPr="004C0A80">
        <w:rPr>
          <w:color w:val="auto"/>
          <w:lang w:val="es-ES"/>
        </w:rPr>
        <w:t>Brazo QT</w:t>
      </w:r>
      <w:r w:rsidR="00D07FAF">
        <w:rPr>
          <w:color w:val="auto"/>
          <w:lang w:val="es-ES"/>
        </w:rPr>
        <w:t xml:space="preserve"> </w:t>
      </w:r>
      <w:r w:rsidRPr="004C0A80">
        <w:rPr>
          <w:color w:val="auto"/>
          <w:lang w:val="es-ES"/>
        </w:rPr>
        <w:t>+</w:t>
      </w:r>
      <w:r w:rsidR="00D07FAF">
        <w:rPr>
          <w:color w:val="auto"/>
          <w:lang w:val="es-ES"/>
        </w:rPr>
        <w:t xml:space="preserve"> </w:t>
      </w:r>
      <w:r w:rsidRPr="004C0A80">
        <w:rPr>
          <w:color w:val="auto"/>
          <w:lang w:val="es-ES"/>
        </w:rPr>
        <w:t>BV (quimioterapia más bevacizumab)</w:t>
      </w:r>
    </w:p>
    <w:p w14:paraId="3D1655BE" w14:textId="77777777" w:rsidR="00FB24C0" w:rsidRPr="004C0A80" w:rsidRDefault="00FB24C0" w:rsidP="003272D4">
      <w:pPr>
        <w:numPr>
          <w:ilvl w:val="0"/>
          <w:numId w:val="16"/>
        </w:numPr>
        <w:spacing w:after="0" w:line="240" w:lineRule="auto"/>
        <w:ind w:left="1134" w:hanging="567"/>
        <w:rPr>
          <w:color w:val="auto"/>
          <w:lang w:val="es-ES"/>
        </w:rPr>
      </w:pPr>
      <w:r w:rsidRPr="004C0A80">
        <w:rPr>
          <w:color w:val="auto"/>
          <w:lang w:val="es-ES"/>
        </w:rPr>
        <w:t xml:space="preserve">La quimioterapia elegida se combinó con bevacizumab 10 mg/kg IV cada 2 semanas (o bevacizumab 15 mg/kg cada 3 semanas si se usa en combinación con </w:t>
      </w:r>
      <w:proofErr w:type="spellStart"/>
      <w:r w:rsidRPr="004C0A80">
        <w:rPr>
          <w:color w:val="auto"/>
          <w:lang w:val="es-ES"/>
        </w:rPr>
        <w:t>topotecán</w:t>
      </w:r>
      <w:proofErr w:type="spellEnd"/>
      <w:r w:rsidRPr="004C0A80">
        <w:rPr>
          <w:color w:val="auto"/>
          <w:lang w:val="es-ES"/>
        </w:rPr>
        <w:t xml:space="preserve"> 1,25 mg/m</w:t>
      </w:r>
      <w:r w:rsidRPr="004C0A80">
        <w:rPr>
          <w:color w:val="auto"/>
          <w:vertAlign w:val="superscript"/>
          <w:lang w:val="es-ES"/>
        </w:rPr>
        <w:t>2</w:t>
      </w:r>
      <w:r w:rsidRPr="004C0A80">
        <w:rPr>
          <w:color w:val="auto"/>
          <w:lang w:val="es-ES"/>
        </w:rPr>
        <w:t xml:space="preserve"> los días 1-5 cada 3 semanas).</w:t>
      </w:r>
    </w:p>
    <w:p w14:paraId="1CE44074" w14:textId="77777777" w:rsidR="00FB24C0" w:rsidRPr="002C7985" w:rsidRDefault="00FB24C0" w:rsidP="00FB24C0">
      <w:pPr>
        <w:spacing w:after="0" w:line="240" w:lineRule="auto"/>
        <w:ind w:left="0" w:firstLine="0"/>
        <w:rPr>
          <w:color w:val="auto"/>
          <w:lang w:val="es-ES"/>
        </w:rPr>
      </w:pPr>
    </w:p>
    <w:p w14:paraId="0BAB90C7" w14:textId="49CDF653" w:rsidR="00D2158B" w:rsidRDefault="00FB24C0" w:rsidP="00DD1599">
      <w:pPr>
        <w:spacing w:after="0" w:line="240" w:lineRule="auto"/>
        <w:ind w:left="0" w:firstLine="0"/>
        <w:rPr>
          <w:color w:val="auto"/>
          <w:lang w:val="es-ES"/>
        </w:rPr>
      </w:pPr>
      <w:r w:rsidRPr="002C7985">
        <w:rPr>
          <w:color w:val="auto"/>
          <w:lang w:val="es-ES"/>
        </w:rPr>
        <w:t>Los pacientes seleccionados tenían cáncer de ovario epitelial, de trompa de Falopio o peritoneal primario que mejoraron dentro de los 6 meses de terapia previa con platino consistente en un mínimo de 4 ciclos de tratamiento. Los pacientes debían tener una esperanza de vida ≥ 12 semanas y ninguna radioterapia previa sobre la pelvis o el abdomen. La mayoría de los pacientes eran FIGO Fase IIIC o Fase IV. La mayoría de los pacientes en ambos brazos tenían una puntuación de ECOG PS de 0 (QT:</w:t>
      </w:r>
      <w:r w:rsidR="00684760" w:rsidRPr="002C7985">
        <w:rPr>
          <w:color w:val="auto"/>
          <w:lang w:val="es-ES"/>
        </w:rPr>
        <w:t xml:space="preserve"> </w:t>
      </w:r>
      <w:r w:rsidRPr="002C7985">
        <w:rPr>
          <w:color w:val="auto"/>
          <w:lang w:val="es-ES"/>
        </w:rPr>
        <w:t>56,4% vs. QT + BV: 61,2%). El porcentaje de pacientes con una puntuación de ECOG PS de 1 o ≥ 2 fue del 38,7% y de un 5,0% en el brazo QT, y 29,8% y 9,0% en el brazo QT + BV. Se dispone de información sobre la raza en el 29,3% de los pacientes y casi todos ellos eran blancos. La edad media de los pacientes era de 61,0 años (rango: 25-84). Un total de 16 pacientes (4,4%) e</w:t>
      </w:r>
      <w:r w:rsidR="00DB6D52">
        <w:rPr>
          <w:color w:val="auto"/>
          <w:lang w:val="es-ES"/>
        </w:rPr>
        <w:t>ran &gt; </w:t>
      </w:r>
      <w:r w:rsidRPr="002C7985">
        <w:rPr>
          <w:color w:val="auto"/>
          <w:lang w:val="es-ES"/>
        </w:rPr>
        <w:t xml:space="preserve">75 años. La tasa global de interrupción, debido a </w:t>
      </w:r>
      <w:r w:rsidR="00DD1599">
        <w:rPr>
          <w:color w:val="auto"/>
          <w:lang w:val="es-ES"/>
        </w:rPr>
        <w:t xml:space="preserve">reacciones </w:t>
      </w:r>
      <w:r w:rsidRPr="002C7985">
        <w:rPr>
          <w:color w:val="auto"/>
          <w:lang w:val="es-ES"/>
        </w:rPr>
        <w:t>advers</w:t>
      </w:r>
      <w:r w:rsidR="00DD1599">
        <w:rPr>
          <w:color w:val="auto"/>
          <w:lang w:val="es-ES"/>
        </w:rPr>
        <w:t>a</w:t>
      </w:r>
      <w:r w:rsidRPr="002C7985">
        <w:rPr>
          <w:color w:val="auto"/>
          <w:lang w:val="es-ES"/>
        </w:rPr>
        <w:t xml:space="preserve">s fue del 8,8% en el brazo QT y del 43,6% en el brazo QT + BV (principalmente debido a </w:t>
      </w:r>
      <w:r w:rsidR="00DD1599">
        <w:rPr>
          <w:color w:val="auto"/>
          <w:lang w:val="es-ES"/>
        </w:rPr>
        <w:t>reacciones</w:t>
      </w:r>
      <w:r w:rsidRPr="002C7985">
        <w:rPr>
          <w:color w:val="auto"/>
          <w:lang w:val="es-ES"/>
        </w:rPr>
        <w:t xml:space="preserve"> advers</w:t>
      </w:r>
      <w:r w:rsidR="00DD1599">
        <w:rPr>
          <w:color w:val="auto"/>
          <w:lang w:val="es-ES"/>
        </w:rPr>
        <w:t>a</w:t>
      </w:r>
      <w:r w:rsidRPr="002C7985">
        <w:rPr>
          <w:color w:val="auto"/>
          <w:lang w:val="es-ES"/>
        </w:rPr>
        <w:t xml:space="preserve">s de Grado 2-3) y el tiempo medio de interrupción en el brazo QT + BV fue de 5,2 meses comparado con los 2,4 meses del brazo QT. La tasa de interrupción debida a </w:t>
      </w:r>
      <w:r w:rsidR="00DD1599">
        <w:rPr>
          <w:color w:val="auto"/>
          <w:lang w:val="es-ES"/>
        </w:rPr>
        <w:t>reacciones</w:t>
      </w:r>
      <w:r w:rsidRPr="002C7985">
        <w:rPr>
          <w:color w:val="auto"/>
          <w:lang w:val="es-ES"/>
        </w:rPr>
        <w:t xml:space="preserve"> advers</w:t>
      </w:r>
      <w:r w:rsidR="00DD1599">
        <w:rPr>
          <w:color w:val="auto"/>
          <w:lang w:val="es-ES"/>
        </w:rPr>
        <w:t>a</w:t>
      </w:r>
      <w:r w:rsidR="00DB6D52">
        <w:rPr>
          <w:color w:val="auto"/>
          <w:lang w:val="es-ES"/>
        </w:rPr>
        <w:t>s en el subgrupo de pacientes &gt; </w:t>
      </w:r>
      <w:r w:rsidRPr="002C7985">
        <w:rPr>
          <w:color w:val="auto"/>
          <w:lang w:val="es-ES"/>
        </w:rPr>
        <w:t xml:space="preserve">65 años fue del 8,8% en el brazo QT y del 50,0% en el brazo QT + BV. El HR para SLP fue de 0,47 (IC 95%: 0,35, 0,62) y de 0,45 (IC 95%: 0,31, 0,67) para los subgrupos de &lt; 65 y ≥ 65 respectivamente. </w:t>
      </w:r>
    </w:p>
    <w:p w14:paraId="0ED71BCA" w14:textId="77777777" w:rsidR="00D2158B" w:rsidRDefault="00D2158B" w:rsidP="00FB24C0">
      <w:pPr>
        <w:spacing w:after="0" w:line="240" w:lineRule="auto"/>
        <w:ind w:left="0" w:firstLine="0"/>
        <w:rPr>
          <w:color w:val="auto"/>
          <w:lang w:val="es-ES"/>
        </w:rPr>
      </w:pPr>
    </w:p>
    <w:p w14:paraId="7B89613A" w14:textId="3A186246" w:rsidR="00FB24C0" w:rsidRPr="002C7985" w:rsidRDefault="00FB24C0" w:rsidP="00FB24C0">
      <w:pPr>
        <w:spacing w:after="0" w:line="240" w:lineRule="auto"/>
        <w:ind w:left="0" w:firstLine="0"/>
        <w:rPr>
          <w:color w:val="auto"/>
          <w:lang w:val="es-ES"/>
        </w:rPr>
      </w:pPr>
      <w:r w:rsidRPr="002C7985">
        <w:rPr>
          <w:color w:val="auto"/>
          <w:lang w:val="es-ES"/>
        </w:rPr>
        <w:t xml:space="preserve">La variable principal fue la supervivencia libre de progresión, con variables secundarias que incluyen tasa de respuesta objetiva y supervivencia global. Los resultados se presentan en la </w:t>
      </w:r>
      <w:r w:rsidR="00471B84">
        <w:rPr>
          <w:color w:val="auto"/>
          <w:lang w:val="es-ES"/>
        </w:rPr>
        <w:t>t</w:t>
      </w:r>
      <w:r w:rsidRPr="002C7985">
        <w:rPr>
          <w:color w:val="auto"/>
          <w:lang w:val="es-ES"/>
        </w:rPr>
        <w:t xml:space="preserve">abla </w:t>
      </w:r>
      <w:r w:rsidR="004943CA" w:rsidRPr="002C7985">
        <w:rPr>
          <w:color w:val="auto"/>
          <w:lang w:val="es-ES"/>
        </w:rPr>
        <w:t>2</w:t>
      </w:r>
      <w:r w:rsidR="0071031C">
        <w:rPr>
          <w:color w:val="auto"/>
          <w:lang w:val="es-ES"/>
        </w:rPr>
        <w:t>3</w:t>
      </w:r>
      <w:r w:rsidRPr="002C7985">
        <w:rPr>
          <w:color w:val="auto"/>
          <w:lang w:val="es-ES"/>
        </w:rPr>
        <w:t>.</w:t>
      </w:r>
    </w:p>
    <w:p w14:paraId="6063EC06" w14:textId="77777777" w:rsidR="00FB24C0" w:rsidRPr="002C7985" w:rsidRDefault="00FB24C0" w:rsidP="00FB24C0">
      <w:pPr>
        <w:spacing w:after="0" w:line="240" w:lineRule="auto"/>
        <w:ind w:left="0" w:firstLine="0"/>
        <w:rPr>
          <w:color w:val="auto"/>
          <w:lang w:val="es-ES"/>
        </w:rPr>
      </w:pPr>
    </w:p>
    <w:p w14:paraId="7462890E" w14:textId="6C418F2E" w:rsidR="00FB24C0" w:rsidRPr="002C7985" w:rsidRDefault="00FB24C0" w:rsidP="00684760">
      <w:pPr>
        <w:keepNext/>
        <w:spacing w:after="0" w:line="240" w:lineRule="auto"/>
        <w:ind w:left="0" w:firstLine="0"/>
        <w:rPr>
          <w:b/>
          <w:color w:val="auto"/>
          <w:lang w:val="es-ES"/>
        </w:rPr>
      </w:pPr>
      <w:r w:rsidRPr="002C7985">
        <w:rPr>
          <w:b/>
          <w:color w:val="auto"/>
          <w:lang w:val="es-ES"/>
        </w:rPr>
        <w:t xml:space="preserve">Tabla </w:t>
      </w:r>
      <w:r w:rsidR="004943CA" w:rsidRPr="002C7985">
        <w:rPr>
          <w:b/>
          <w:color w:val="auto"/>
          <w:lang w:val="es-ES"/>
        </w:rPr>
        <w:t>2</w:t>
      </w:r>
      <w:r w:rsidR="0071031C">
        <w:rPr>
          <w:b/>
          <w:color w:val="auto"/>
          <w:lang w:val="es-ES"/>
        </w:rPr>
        <w:t>3</w:t>
      </w:r>
      <w:r w:rsidR="00684760" w:rsidRPr="002C7985">
        <w:rPr>
          <w:b/>
          <w:color w:val="auto"/>
          <w:lang w:val="es-ES"/>
        </w:rPr>
        <w:t>.</w:t>
      </w:r>
      <w:r w:rsidRPr="002C7985">
        <w:rPr>
          <w:b/>
          <w:color w:val="auto"/>
          <w:lang w:val="es-ES"/>
        </w:rPr>
        <w:t xml:space="preserve"> Resultados de Eficacia del Ensayo MO22224</w:t>
      </w:r>
    </w:p>
    <w:p w14:paraId="0330C6FD" w14:textId="77777777" w:rsidR="00FB24C0" w:rsidRPr="002C7985" w:rsidRDefault="00FB24C0" w:rsidP="00684760">
      <w:pPr>
        <w:keepNext/>
        <w:spacing w:after="0" w:line="240" w:lineRule="auto"/>
        <w:ind w:left="0" w:firstLine="0"/>
        <w:rPr>
          <w:color w:val="auto"/>
          <w:lang w:val="es-ES"/>
        </w:rPr>
      </w:pPr>
    </w:p>
    <w:tbl>
      <w:tblPr>
        <w:tblW w:w="9049"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7" w:type="dxa"/>
          <w:right w:w="115" w:type="dxa"/>
        </w:tblCellMar>
        <w:tblLook w:val="04A0" w:firstRow="1" w:lastRow="0" w:firstColumn="1" w:lastColumn="0" w:noHBand="0" w:noVBand="1"/>
      </w:tblPr>
      <w:tblGrid>
        <w:gridCol w:w="4452"/>
        <w:gridCol w:w="2071"/>
        <w:gridCol w:w="2526"/>
      </w:tblGrid>
      <w:tr w:rsidR="00FB24C0" w:rsidRPr="009C2213" w14:paraId="3EFB12FB" w14:textId="77777777" w:rsidTr="00C33F4C">
        <w:trPr>
          <w:trHeight w:val="307"/>
          <w:tblHeader/>
        </w:trPr>
        <w:tc>
          <w:tcPr>
            <w:tcW w:w="9049" w:type="dxa"/>
            <w:gridSpan w:val="3"/>
            <w:vAlign w:val="bottom"/>
          </w:tcPr>
          <w:p w14:paraId="014E96C7"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Variable Primaria</w:t>
            </w:r>
          </w:p>
        </w:tc>
      </w:tr>
      <w:tr w:rsidR="00FB24C0" w:rsidRPr="009C2213" w14:paraId="38F62A2F" w14:textId="77777777" w:rsidTr="00C33F4C">
        <w:trPr>
          <w:trHeight w:val="272"/>
          <w:tblHeader/>
        </w:trPr>
        <w:tc>
          <w:tcPr>
            <w:tcW w:w="9049" w:type="dxa"/>
            <w:gridSpan w:val="3"/>
            <w:vAlign w:val="bottom"/>
          </w:tcPr>
          <w:p w14:paraId="41140AFC" w14:textId="76D6EC85" w:rsidR="00FB24C0" w:rsidRPr="00C33F4C" w:rsidRDefault="00FB24C0" w:rsidP="00C33F4C">
            <w:pPr>
              <w:spacing w:after="0" w:line="240" w:lineRule="auto"/>
              <w:ind w:left="0" w:firstLine="0"/>
              <w:rPr>
                <w:color w:val="auto"/>
                <w:lang w:val="es-ES"/>
              </w:rPr>
            </w:pPr>
            <w:r w:rsidRPr="00C33F4C">
              <w:rPr>
                <w:color w:val="auto"/>
                <w:lang w:val="es-ES"/>
              </w:rPr>
              <w:t>Supervivencia libre de progresión*</w:t>
            </w:r>
          </w:p>
        </w:tc>
      </w:tr>
      <w:tr w:rsidR="00FB24C0" w:rsidRPr="009C2213" w14:paraId="11DE3D35" w14:textId="77777777" w:rsidTr="00C33F4C">
        <w:trPr>
          <w:trHeight w:val="584"/>
          <w:tblHeader/>
        </w:trPr>
        <w:tc>
          <w:tcPr>
            <w:tcW w:w="4452" w:type="dxa"/>
            <w:vAlign w:val="center"/>
          </w:tcPr>
          <w:p w14:paraId="56BD0F3C" w14:textId="77777777" w:rsidR="00FB24C0" w:rsidRPr="00C33F4C" w:rsidRDefault="00FB24C0" w:rsidP="00C33F4C">
            <w:pPr>
              <w:spacing w:after="0" w:line="240" w:lineRule="auto"/>
              <w:ind w:left="0" w:firstLine="0"/>
              <w:rPr>
                <w:color w:val="auto"/>
                <w:lang w:val="es-ES"/>
              </w:rPr>
            </w:pPr>
            <w:r w:rsidRPr="00C33F4C">
              <w:rPr>
                <w:color w:val="auto"/>
                <w:lang w:val="es-ES"/>
              </w:rPr>
              <w:t xml:space="preserve"> </w:t>
            </w:r>
          </w:p>
        </w:tc>
        <w:tc>
          <w:tcPr>
            <w:tcW w:w="2071" w:type="dxa"/>
          </w:tcPr>
          <w:p w14:paraId="2DFE598C"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QT</w:t>
            </w:r>
          </w:p>
          <w:p w14:paraId="11BE2727"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(n</w:t>
            </w:r>
            <w:r w:rsidR="00A704E8" w:rsidRPr="00E30038">
              <w:t> </w:t>
            </w:r>
            <w:r w:rsidRPr="00C33F4C">
              <w:rPr>
                <w:color w:val="auto"/>
                <w:lang w:val="es-ES"/>
              </w:rPr>
              <w:t>=</w:t>
            </w:r>
            <w:r w:rsidR="00A704E8" w:rsidRPr="00E30038">
              <w:t> </w:t>
            </w:r>
            <w:r w:rsidRPr="00C33F4C">
              <w:rPr>
                <w:color w:val="auto"/>
                <w:lang w:val="es-ES"/>
              </w:rPr>
              <w:t>182)</w:t>
            </w:r>
          </w:p>
        </w:tc>
        <w:tc>
          <w:tcPr>
            <w:tcW w:w="2526" w:type="dxa"/>
          </w:tcPr>
          <w:p w14:paraId="46F0CE19"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QT</w:t>
            </w:r>
            <w:r w:rsidR="00D07FAF" w:rsidRPr="00C33F4C">
              <w:rPr>
                <w:color w:val="auto"/>
                <w:lang w:val="es-ES"/>
              </w:rPr>
              <w:t xml:space="preserve"> </w:t>
            </w:r>
            <w:r w:rsidRPr="00C33F4C">
              <w:rPr>
                <w:color w:val="auto"/>
                <w:lang w:val="es-ES"/>
              </w:rPr>
              <w:t>+</w:t>
            </w:r>
            <w:r w:rsidR="00D07FAF" w:rsidRPr="00C33F4C">
              <w:rPr>
                <w:color w:val="auto"/>
                <w:lang w:val="es-ES"/>
              </w:rPr>
              <w:t xml:space="preserve"> </w:t>
            </w:r>
            <w:r w:rsidRPr="00C33F4C">
              <w:rPr>
                <w:color w:val="auto"/>
                <w:lang w:val="es-ES"/>
              </w:rPr>
              <w:t>BV</w:t>
            </w:r>
          </w:p>
          <w:p w14:paraId="1F1F6123"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(n</w:t>
            </w:r>
            <w:r w:rsidR="00A704E8" w:rsidRPr="00E30038">
              <w:t> </w:t>
            </w:r>
            <w:r w:rsidRPr="00C33F4C">
              <w:rPr>
                <w:color w:val="auto"/>
                <w:lang w:val="es-ES"/>
              </w:rPr>
              <w:t>=</w:t>
            </w:r>
            <w:r w:rsidR="00A704E8" w:rsidRPr="00E30038">
              <w:t> </w:t>
            </w:r>
            <w:r w:rsidRPr="00C33F4C">
              <w:rPr>
                <w:color w:val="auto"/>
                <w:lang w:val="es-ES"/>
              </w:rPr>
              <w:t>179)</w:t>
            </w:r>
          </w:p>
        </w:tc>
      </w:tr>
      <w:tr w:rsidR="00FB24C0" w:rsidRPr="009C2213" w14:paraId="09D2DEB5" w14:textId="77777777" w:rsidTr="00C33F4C">
        <w:trPr>
          <w:trHeight w:val="272"/>
        </w:trPr>
        <w:tc>
          <w:tcPr>
            <w:tcW w:w="4452" w:type="dxa"/>
            <w:vAlign w:val="center"/>
          </w:tcPr>
          <w:p w14:paraId="15DEC44B" w14:textId="77777777" w:rsidR="00FB24C0" w:rsidRPr="00C33F4C" w:rsidRDefault="00DB174C" w:rsidP="00C33F4C">
            <w:pPr>
              <w:spacing w:after="0" w:line="240" w:lineRule="auto"/>
              <w:ind w:left="567" w:firstLine="0"/>
              <w:rPr>
                <w:color w:val="auto"/>
                <w:lang w:val="es-ES"/>
              </w:rPr>
            </w:pPr>
            <w:r w:rsidRPr="00C33F4C">
              <w:rPr>
                <w:color w:val="auto"/>
                <w:lang w:val="es-ES"/>
              </w:rPr>
              <w:t>Mediana (meses)</w:t>
            </w:r>
          </w:p>
        </w:tc>
        <w:tc>
          <w:tcPr>
            <w:tcW w:w="2071" w:type="dxa"/>
            <w:vAlign w:val="bottom"/>
          </w:tcPr>
          <w:p w14:paraId="1E1D20E7"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3,4</w:t>
            </w:r>
          </w:p>
        </w:tc>
        <w:tc>
          <w:tcPr>
            <w:tcW w:w="2526" w:type="dxa"/>
            <w:vAlign w:val="bottom"/>
          </w:tcPr>
          <w:p w14:paraId="5E840579"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6,7</w:t>
            </w:r>
          </w:p>
        </w:tc>
      </w:tr>
      <w:tr w:rsidR="00FB24C0" w:rsidRPr="009C2213" w14:paraId="27AD7C0C" w14:textId="77777777" w:rsidTr="00C33F4C">
        <w:trPr>
          <w:trHeight w:val="287"/>
        </w:trPr>
        <w:tc>
          <w:tcPr>
            <w:tcW w:w="4452" w:type="dxa"/>
            <w:vAlign w:val="center"/>
          </w:tcPr>
          <w:p w14:paraId="79B680DE" w14:textId="77777777" w:rsidR="00FB24C0" w:rsidRPr="00C33F4C" w:rsidRDefault="00DB174C" w:rsidP="00C33F4C">
            <w:pPr>
              <w:spacing w:after="0" w:line="240" w:lineRule="auto"/>
              <w:ind w:left="567" w:firstLine="0"/>
              <w:rPr>
                <w:color w:val="auto"/>
                <w:lang w:val="es-ES"/>
              </w:rPr>
            </w:pPr>
            <w:r w:rsidRPr="00C33F4C">
              <w:rPr>
                <w:color w:val="auto"/>
                <w:lang w:val="es-ES"/>
              </w:rPr>
              <w:t>Razón de riesgo (IC del 95%)</w:t>
            </w:r>
          </w:p>
        </w:tc>
        <w:tc>
          <w:tcPr>
            <w:tcW w:w="4597" w:type="dxa"/>
            <w:gridSpan w:val="2"/>
            <w:vAlign w:val="center"/>
          </w:tcPr>
          <w:p w14:paraId="697AD0E9" w14:textId="42A0CA9C" w:rsidR="00FB24C0" w:rsidRPr="00C33F4C" w:rsidRDefault="00AC160C" w:rsidP="00C33F4C">
            <w:pPr>
              <w:spacing w:after="0" w:line="240" w:lineRule="auto"/>
              <w:ind w:left="0" w:firstLine="0"/>
              <w:jc w:val="center"/>
              <w:rPr>
                <w:color w:val="auto"/>
                <w:lang w:val="es-ES"/>
              </w:rPr>
            </w:pPr>
            <w:r w:rsidRPr="00C33F4C">
              <w:rPr>
                <w:color w:val="auto"/>
                <w:lang w:val="es-ES"/>
              </w:rPr>
              <w:t>0,379 [0,296;</w:t>
            </w:r>
            <w:r w:rsidR="00FB24C0" w:rsidRPr="00C33F4C">
              <w:rPr>
                <w:color w:val="auto"/>
                <w:lang w:val="es-ES"/>
              </w:rPr>
              <w:t xml:space="preserve"> 0,485]</w:t>
            </w:r>
          </w:p>
        </w:tc>
      </w:tr>
      <w:tr w:rsidR="00FB24C0" w:rsidRPr="009C2213" w14:paraId="462A2D15" w14:textId="77777777" w:rsidTr="00C33F4C">
        <w:trPr>
          <w:trHeight w:val="209"/>
        </w:trPr>
        <w:tc>
          <w:tcPr>
            <w:tcW w:w="4452" w:type="dxa"/>
            <w:vAlign w:val="center"/>
          </w:tcPr>
          <w:p w14:paraId="457CA66F" w14:textId="77777777" w:rsidR="00FB24C0" w:rsidRPr="00C33F4C" w:rsidRDefault="00DB174C" w:rsidP="00C33F4C">
            <w:pPr>
              <w:spacing w:after="0" w:line="240" w:lineRule="auto"/>
              <w:ind w:left="567" w:firstLine="0"/>
              <w:rPr>
                <w:color w:val="auto"/>
                <w:lang w:val="es-ES"/>
              </w:rPr>
            </w:pPr>
            <w:r w:rsidRPr="00C33F4C">
              <w:rPr>
                <w:color w:val="auto"/>
                <w:lang w:val="es-ES"/>
              </w:rPr>
              <w:t>valor-p</w:t>
            </w:r>
          </w:p>
        </w:tc>
        <w:tc>
          <w:tcPr>
            <w:tcW w:w="4597" w:type="dxa"/>
            <w:gridSpan w:val="2"/>
            <w:vAlign w:val="bottom"/>
          </w:tcPr>
          <w:p w14:paraId="5A09D481"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&lt;</w:t>
            </w:r>
            <w:r w:rsidR="00A704E8" w:rsidRPr="00E30038">
              <w:t> </w:t>
            </w:r>
            <w:r w:rsidRPr="00C33F4C">
              <w:rPr>
                <w:color w:val="auto"/>
                <w:lang w:val="es-ES"/>
              </w:rPr>
              <w:t>0,0001</w:t>
            </w:r>
          </w:p>
        </w:tc>
      </w:tr>
      <w:tr w:rsidR="00FB24C0" w:rsidRPr="009C2213" w14:paraId="1E103A68" w14:textId="77777777" w:rsidTr="00C33F4C">
        <w:trPr>
          <w:trHeight w:val="311"/>
        </w:trPr>
        <w:tc>
          <w:tcPr>
            <w:tcW w:w="9049" w:type="dxa"/>
            <w:gridSpan w:val="3"/>
            <w:vAlign w:val="bottom"/>
          </w:tcPr>
          <w:p w14:paraId="5B105EC3" w14:textId="77777777" w:rsidR="00FB24C0" w:rsidRPr="00C33F4C" w:rsidRDefault="00FB24C0" w:rsidP="00C33F4C">
            <w:pPr>
              <w:keepNext/>
              <w:spacing w:after="0" w:line="240" w:lineRule="auto"/>
              <w:ind w:left="0" w:firstLine="0"/>
              <w:jc w:val="center"/>
              <w:rPr>
                <w:color w:val="auto"/>
                <w:lang w:val="es-ES"/>
              </w:rPr>
            </w:pPr>
            <w:r w:rsidRPr="00C33F4C">
              <w:rPr>
                <w:color w:val="auto"/>
                <w:lang w:val="es-ES"/>
              </w:rPr>
              <w:t>Variables secundarias</w:t>
            </w:r>
          </w:p>
        </w:tc>
      </w:tr>
      <w:tr w:rsidR="00FB24C0" w:rsidRPr="009C2213" w14:paraId="028F06FB" w14:textId="77777777" w:rsidTr="00C33F4C">
        <w:trPr>
          <w:trHeight w:val="287"/>
        </w:trPr>
        <w:tc>
          <w:tcPr>
            <w:tcW w:w="9049" w:type="dxa"/>
            <w:gridSpan w:val="3"/>
            <w:vAlign w:val="bottom"/>
          </w:tcPr>
          <w:p w14:paraId="6F9D59E8" w14:textId="77777777" w:rsidR="00FB24C0" w:rsidRPr="00C33F4C" w:rsidRDefault="00FB24C0" w:rsidP="00C33F4C">
            <w:pPr>
              <w:keepNext/>
              <w:spacing w:after="0" w:line="240" w:lineRule="auto"/>
              <w:ind w:left="0" w:firstLine="0"/>
              <w:rPr>
                <w:color w:val="auto"/>
                <w:lang w:val="es-ES"/>
              </w:rPr>
            </w:pPr>
            <w:r w:rsidRPr="00C33F4C">
              <w:rPr>
                <w:color w:val="auto"/>
                <w:lang w:val="es-ES"/>
              </w:rPr>
              <w:t>Tasa de respuesta objetiva**</w:t>
            </w:r>
          </w:p>
        </w:tc>
      </w:tr>
      <w:tr w:rsidR="00FB24C0" w:rsidRPr="009C2213" w14:paraId="716C0D9A" w14:textId="77777777" w:rsidTr="00C33F4C">
        <w:trPr>
          <w:trHeight w:val="455"/>
        </w:trPr>
        <w:tc>
          <w:tcPr>
            <w:tcW w:w="4452" w:type="dxa"/>
            <w:vAlign w:val="center"/>
          </w:tcPr>
          <w:p w14:paraId="440B7BAA" w14:textId="77777777" w:rsidR="00FB24C0" w:rsidRPr="00C33F4C" w:rsidRDefault="00FB24C0" w:rsidP="00C33F4C">
            <w:pPr>
              <w:spacing w:after="0" w:line="240" w:lineRule="auto"/>
              <w:ind w:left="0" w:firstLine="0"/>
              <w:rPr>
                <w:color w:val="auto"/>
                <w:lang w:val="es-ES"/>
              </w:rPr>
            </w:pPr>
            <w:r w:rsidRPr="00C33F4C">
              <w:rPr>
                <w:color w:val="auto"/>
                <w:lang w:val="es-ES"/>
              </w:rPr>
              <w:t xml:space="preserve"> </w:t>
            </w:r>
          </w:p>
        </w:tc>
        <w:tc>
          <w:tcPr>
            <w:tcW w:w="2071" w:type="dxa"/>
            <w:vAlign w:val="bottom"/>
          </w:tcPr>
          <w:p w14:paraId="0793F03F"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QT</w:t>
            </w:r>
          </w:p>
          <w:p w14:paraId="51744FF1"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(n</w:t>
            </w:r>
            <w:r w:rsidR="00A704E8" w:rsidRPr="00E30038">
              <w:t> </w:t>
            </w:r>
            <w:r w:rsidRPr="00C33F4C">
              <w:rPr>
                <w:color w:val="auto"/>
                <w:lang w:val="es-ES"/>
              </w:rPr>
              <w:t>=</w:t>
            </w:r>
            <w:r w:rsidR="00A704E8" w:rsidRPr="00E30038">
              <w:t> </w:t>
            </w:r>
            <w:r w:rsidRPr="00C33F4C">
              <w:rPr>
                <w:color w:val="auto"/>
                <w:lang w:val="es-ES"/>
              </w:rPr>
              <w:t>144)</w:t>
            </w:r>
          </w:p>
        </w:tc>
        <w:tc>
          <w:tcPr>
            <w:tcW w:w="2526" w:type="dxa"/>
            <w:vAlign w:val="bottom"/>
          </w:tcPr>
          <w:p w14:paraId="762BAD16"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QT</w:t>
            </w:r>
            <w:r w:rsidR="00D07FAF" w:rsidRPr="00C33F4C">
              <w:rPr>
                <w:color w:val="auto"/>
                <w:lang w:val="es-ES"/>
              </w:rPr>
              <w:t xml:space="preserve"> </w:t>
            </w:r>
            <w:r w:rsidRPr="00C33F4C">
              <w:rPr>
                <w:color w:val="auto"/>
                <w:lang w:val="es-ES"/>
              </w:rPr>
              <w:t>+</w:t>
            </w:r>
            <w:r w:rsidR="00D07FAF" w:rsidRPr="00C33F4C">
              <w:rPr>
                <w:color w:val="auto"/>
                <w:lang w:val="es-ES"/>
              </w:rPr>
              <w:t xml:space="preserve"> </w:t>
            </w:r>
            <w:r w:rsidRPr="00C33F4C">
              <w:rPr>
                <w:color w:val="auto"/>
                <w:lang w:val="es-ES"/>
              </w:rPr>
              <w:t>BV</w:t>
            </w:r>
          </w:p>
          <w:p w14:paraId="049C0B59"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(n</w:t>
            </w:r>
            <w:r w:rsidR="00A704E8" w:rsidRPr="00E30038">
              <w:t> </w:t>
            </w:r>
            <w:r w:rsidRPr="00C33F4C">
              <w:rPr>
                <w:color w:val="auto"/>
                <w:lang w:val="es-ES"/>
              </w:rPr>
              <w:t>=</w:t>
            </w:r>
            <w:r w:rsidR="00A704E8" w:rsidRPr="00E30038">
              <w:t> </w:t>
            </w:r>
            <w:r w:rsidRPr="00C33F4C">
              <w:rPr>
                <w:color w:val="auto"/>
                <w:lang w:val="es-ES"/>
              </w:rPr>
              <w:t>142)</w:t>
            </w:r>
          </w:p>
        </w:tc>
      </w:tr>
      <w:tr w:rsidR="00FB24C0" w:rsidRPr="009C2213" w14:paraId="1F357418" w14:textId="77777777" w:rsidTr="00C33F4C">
        <w:trPr>
          <w:trHeight w:val="272"/>
        </w:trPr>
        <w:tc>
          <w:tcPr>
            <w:tcW w:w="4452" w:type="dxa"/>
            <w:vAlign w:val="bottom"/>
          </w:tcPr>
          <w:p w14:paraId="5952B698" w14:textId="77777777" w:rsidR="00FB24C0" w:rsidRPr="00C33F4C" w:rsidRDefault="00FB24C0" w:rsidP="00C33F4C">
            <w:pPr>
              <w:spacing w:after="0" w:line="240" w:lineRule="auto"/>
              <w:rPr>
                <w:color w:val="auto"/>
                <w:lang w:val="es-ES"/>
              </w:rPr>
            </w:pPr>
            <w:r w:rsidRPr="00C33F4C">
              <w:rPr>
                <w:color w:val="auto"/>
                <w:lang w:val="es-ES"/>
              </w:rPr>
              <w:t xml:space="preserve">% de pacientes con respuesta objetiva </w:t>
            </w:r>
          </w:p>
        </w:tc>
        <w:tc>
          <w:tcPr>
            <w:tcW w:w="2071" w:type="dxa"/>
            <w:vAlign w:val="bottom"/>
          </w:tcPr>
          <w:p w14:paraId="5533C38D"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18 (12,5%)</w:t>
            </w:r>
          </w:p>
        </w:tc>
        <w:tc>
          <w:tcPr>
            <w:tcW w:w="2526" w:type="dxa"/>
            <w:vAlign w:val="bottom"/>
          </w:tcPr>
          <w:p w14:paraId="3DE1EC5D"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40 (28,2%)</w:t>
            </w:r>
          </w:p>
        </w:tc>
      </w:tr>
      <w:tr w:rsidR="00FB24C0" w:rsidRPr="009C2213" w14:paraId="61BC8847" w14:textId="77777777" w:rsidTr="00C33F4C">
        <w:trPr>
          <w:trHeight w:val="242"/>
        </w:trPr>
        <w:tc>
          <w:tcPr>
            <w:tcW w:w="4452" w:type="dxa"/>
            <w:vAlign w:val="bottom"/>
          </w:tcPr>
          <w:p w14:paraId="60B37B0F" w14:textId="77777777" w:rsidR="00FB24C0" w:rsidRPr="00C33F4C" w:rsidRDefault="00FB24C0" w:rsidP="00C33F4C">
            <w:pPr>
              <w:spacing w:after="0" w:line="240" w:lineRule="auto"/>
              <w:ind w:left="567" w:firstLine="0"/>
              <w:rPr>
                <w:color w:val="auto"/>
                <w:lang w:val="es-ES"/>
              </w:rPr>
            </w:pPr>
            <w:r w:rsidRPr="00C33F4C">
              <w:rPr>
                <w:color w:val="auto"/>
                <w:lang w:val="es-ES"/>
              </w:rPr>
              <w:t xml:space="preserve">valor-p </w:t>
            </w:r>
          </w:p>
        </w:tc>
        <w:tc>
          <w:tcPr>
            <w:tcW w:w="4597" w:type="dxa"/>
            <w:gridSpan w:val="2"/>
            <w:vAlign w:val="bottom"/>
          </w:tcPr>
          <w:p w14:paraId="6084CD15" w14:textId="77777777" w:rsidR="00FB24C0" w:rsidRPr="00C33F4C" w:rsidRDefault="00FB24C0" w:rsidP="00C33F4C">
            <w:pPr>
              <w:spacing w:after="0" w:line="240" w:lineRule="auto"/>
              <w:ind w:left="0" w:firstLine="0"/>
              <w:jc w:val="center"/>
              <w:rPr>
                <w:color w:val="auto"/>
                <w:lang w:val="es-ES"/>
              </w:rPr>
            </w:pPr>
            <w:r w:rsidRPr="00C33F4C">
              <w:rPr>
                <w:color w:val="auto"/>
                <w:lang w:val="es-ES"/>
              </w:rPr>
              <w:t>0,0007</w:t>
            </w:r>
          </w:p>
        </w:tc>
      </w:tr>
      <w:tr w:rsidR="00DB174C" w:rsidRPr="009C2213" w14:paraId="413C7386" w14:textId="77777777" w:rsidTr="00C33F4C">
        <w:trPr>
          <w:trHeight w:val="270"/>
        </w:trPr>
        <w:tc>
          <w:tcPr>
            <w:tcW w:w="4452" w:type="dxa"/>
            <w:vAlign w:val="bottom"/>
          </w:tcPr>
          <w:p w14:paraId="18C4E9FB" w14:textId="77777777" w:rsidR="00DB174C" w:rsidRPr="00C33F4C" w:rsidRDefault="00DB174C" w:rsidP="00C33F4C">
            <w:pPr>
              <w:keepNext/>
              <w:spacing w:after="0" w:line="240" w:lineRule="auto"/>
              <w:rPr>
                <w:color w:val="auto"/>
                <w:lang w:val="es-ES"/>
              </w:rPr>
            </w:pPr>
            <w:r w:rsidRPr="00C33F4C">
              <w:rPr>
                <w:color w:val="auto"/>
                <w:lang w:val="es-ES"/>
              </w:rPr>
              <w:t xml:space="preserve">Supervivencia global (análisis </w:t>
            </w:r>
            <w:proofErr w:type="gramStart"/>
            <w:r w:rsidRPr="00C33F4C">
              <w:rPr>
                <w:color w:val="auto"/>
                <w:lang w:val="es-ES"/>
              </w:rPr>
              <w:t>final)*</w:t>
            </w:r>
            <w:proofErr w:type="gramEnd"/>
            <w:r w:rsidRPr="00C33F4C">
              <w:rPr>
                <w:color w:val="auto"/>
                <w:lang w:val="es-ES"/>
              </w:rPr>
              <w:t>**</w:t>
            </w:r>
          </w:p>
        </w:tc>
        <w:tc>
          <w:tcPr>
            <w:tcW w:w="2071" w:type="dxa"/>
          </w:tcPr>
          <w:p w14:paraId="55510206" w14:textId="77777777" w:rsidR="00DB174C" w:rsidRPr="00C33F4C" w:rsidRDefault="00DB174C" w:rsidP="00C33F4C">
            <w:pPr>
              <w:keepNext/>
              <w:spacing w:after="0" w:line="240" w:lineRule="auto"/>
              <w:ind w:left="0" w:firstLine="0"/>
              <w:rPr>
                <w:color w:val="auto"/>
                <w:lang w:val="es-ES"/>
              </w:rPr>
            </w:pPr>
          </w:p>
        </w:tc>
        <w:tc>
          <w:tcPr>
            <w:tcW w:w="2526" w:type="dxa"/>
          </w:tcPr>
          <w:p w14:paraId="1FC770BB" w14:textId="77777777" w:rsidR="00DB174C" w:rsidRPr="00C33F4C" w:rsidRDefault="00DB174C" w:rsidP="00C33F4C">
            <w:pPr>
              <w:keepNext/>
              <w:spacing w:after="0" w:line="240" w:lineRule="auto"/>
              <w:ind w:left="0" w:firstLine="0"/>
              <w:rPr>
                <w:color w:val="auto"/>
                <w:lang w:val="es-ES"/>
              </w:rPr>
            </w:pPr>
          </w:p>
        </w:tc>
      </w:tr>
      <w:tr w:rsidR="00FB24C0" w:rsidRPr="009C2213" w14:paraId="7994C490" w14:textId="77777777" w:rsidTr="00C33F4C">
        <w:trPr>
          <w:trHeight w:val="401"/>
        </w:trPr>
        <w:tc>
          <w:tcPr>
            <w:tcW w:w="4452" w:type="dxa"/>
          </w:tcPr>
          <w:p w14:paraId="4728C15B" w14:textId="77777777" w:rsidR="00FB24C0" w:rsidRPr="00C33F4C" w:rsidRDefault="00FB24C0" w:rsidP="00C33F4C">
            <w:pPr>
              <w:keepNext/>
              <w:spacing w:after="0" w:line="240" w:lineRule="auto"/>
              <w:ind w:left="0" w:firstLine="0"/>
              <w:rPr>
                <w:color w:val="auto"/>
                <w:lang w:val="es-ES"/>
              </w:rPr>
            </w:pPr>
          </w:p>
        </w:tc>
        <w:tc>
          <w:tcPr>
            <w:tcW w:w="2071" w:type="dxa"/>
            <w:vAlign w:val="bottom"/>
          </w:tcPr>
          <w:p w14:paraId="018EAC8F" w14:textId="77777777" w:rsidR="00FB24C0" w:rsidRPr="00C33F4C" w:rsidRDefault="00FB24C0" w:rsidP="00C33F4C">
            <w:pPr>
              <w:keepNext/>
              <w:spacing w:after="0" w:line="240" w:lineRule="auto"/>
              <w:ind w:left="0" w:firstLine="0"/>
              <w:jc w:val="center"/>
              <w:rPr>
                <w:color w:val="auto"/>
                <w:lang w:val="es-ES"/>
              </w:rPr>
            </w:pPr>
            <w:r w:rsidRPr="00C33F4C">
              <w:rPr>
                <w:color w:val="auto"/>
                <w:lang w:val="es-ES"/>
              </w:rPr>
              <w:t>QT</w:t>
            </w:r>
          </w:p>
          <w:p w14:paraId="597E9E06" w14:textId="77777777" w:rsidR="00FB24C0" w:rsidRPr="00C33F4C" w:rsidRDefault="00FB24C0" w:rsidP="00C33F4C">
            <w:pPr>
              <w:keepNext/>
              <w:spacing w:after="0" w:line="240" w:lineRule="auto"/>
              <w:ind w:left="0" w:firstLine="0"/>
              <w:jc w:val="center"/>
              <w:rPr>
                <w:color w:val="auto"/>
                <w:lang w:val="es-ES"/>
              </w:rPr>
            </w:pPr>
            <w:r w:rsidRPr="00C33F4C">
              <w:rPr>
                <w:color w:val="auto"/>
                <w:lang w:val="es-ES"/>
              </w:rPr>
              <w:t>(n</w:t>
            </w:r>
            <w:r w:rsidR="00A704E8" w:rsidRPr="00E30038">
              <w:t> </w:t>
            </w:r>
            <w:r w:rsidRPr="00C33F4C">
              <w:rPr>
                <w:color w:val="auto"/>
                <w:lang w:val="es-ES"/>
              </w:rPr>
              <w:t>=</w:t>
            </w:r>
            <w:r w:rsidR="00A704E8" w:rsidRPr="00E30038">
              <w:t> </w:t>
            </w:r>
            <w:r w:rsidRPr="00C33F4C">
              <w:rPr>
                <w:color w:val="auto"/>
                <w:lang w:val="es-ES"/>
              </w:rPr>
              <w:t>182)</w:t>
            </w:r>
          </w:p>
        </w:tc>
        <w:tc>
          <w:tcPr>
            <w:tcW w:w="2526" w:type="dxa"/>
            <w:vAlign w:val="bottom"/>
          </w:tcPr>
          <w:p w14:paraId="69812F3C" w14:textId="77777777" w:rsidR="00FB24C0" w:rsidRPr="00C33F4C" w:rsidRDefault="00FB24C0" w:rsidP="00C33F4C">
            <w:pPr>
              <w:keepNext/>
              <w:spacing w:after="0" w:line="240" w:lineRule="auto"/>
              <w:ind w:left="0" w:firstLine="0"/>
              <w:jc w:val="center"/>
              <w:rPr>
                <w:color w:val="auto"/>
                <w:lang w:val="es-ES"/>
              </w:rPr>
            </w:pPr>
            <w:r w:rsidRPr="00C33F4C">
              <w:rPr>
                <w:color w:val="auto"/>
                <w:lang w:val="es-ES"/>
              </w:rPr>
              <w:t>QT</w:t>
            </w:r>
            <w:r w:rsidR="00D07FAF" w:rsidRPr="00C33F4C">
              <w:rPr>
                <w:color w:val="auto"/>
                <w:lang w:val="es-ES"/>
              </w:rPr>
              <w:t xml:space="preserve"> </w:t>
            </w:r>
            <w:r w:rsidRPr="00C33F4C">
              <w:rPr>
                <w:color w:val="auto"/>
                <w:lang w:val="es-ES"/>
              </w:rPr>
              <w:t>+</w:t>
            </w:r>
            <w:r w:rsidR="00D07FAF" w:rsidRPr="00C33F4C">
              <w:rPr>
                <w:color w:val="auto"/>
                <w:lang w:val="es-ES"/>
              </w:rPr>
              <w:t xml:space="preserve"> </w:t>
            </w:r>
            <w:r w:rsidRPr="00C33F4C">
              <w:rPr>
                <w:color w:val="auto"/>
                <w:lang w:val="es-ES"/>
              </w:rPr>
              <w:t>BV</w:t>
            </w:r>
          </w:p>
          <w:p w14:paraId="1BFDFB0C" w14:textId="77777777" w:rsidR="00FB24C0" w:rsidRPr="00C33F4C" w:rsidRDefault="00FB24C0" w:rsidP="00C33F4C">
            <w:pPr>
              <w:keepNext/>
              <w:spacing w:after="0" w:line="240" w:lineRule="auto"/>
              <w:ind w:left="0" w:firstLine="0"/>
              <w:jc w:val="center"/>
              <w:rPr>
                <w:color w:val="auto"/>
                <w:lang w:val="es-ES"/>
              </w:rPr>
            </w:pPr>
            <w:r w:rsidRPr="00C33F4C">
              <w:rPr>
                <w:color w:val="auto"/>
                <w:lang w:val="es-ES"/>
              </w:rPr>
              <w:t>(n</w:t>
            </w:r>
            <w:r w:rsidR="00A704E8" w:rsidRPr="00E30038">
              <w:t> </w:t>
            </w:r>
            <w:r w:rsidRPr="00C33F4C">
              <w:rPr>
                <w:color w:val="auto"/>
                <w:lang w:val="es-ES"/>
              </w:rPr>
              <w:t>=</w:t>
            </w:r>
            <w:r w:rsidR="00A704E8" w:rsidRPr="00E30038">
              <w:t> </w:t>
            </w:r>
            <w:r w:rsidRPr="00C33F4C">
              <w:rPr>
                <w:color w:val="auto"/>
                <w:lang w:val="es-ES"/>
              </w:rPr>
              <w:t>179)</w:t>
            </w:r>
          </w:p>
        </w:tc>
      </w:tr>
      <w:tr w:rsidR="00FB24C0" w:rsidRPr="009C2213" w14:paraId="0D031E6C" w14:textId="77777777" w:rsidTr="00C33F4C">
        <w:trPr>
          <w:trHeight w:val="218"/>
        </w:trPr>
        <w:tc>
          <w:tcPr>
            <w:tcW w:w="4452" w:type="dxa"/>
            <w:vAlign w:val="bottom"/>
          </w:tcPr>
          <w:p w14:paraId="5B45B3E8" w14:textId="77777777" w:rsidR="00FB24C0" w:rsidRPr="00C33F4C" w:rsidRDefault="00FB24C0" w:rsidP="00C33F4C">
            <w:pPr>
              <w:keepNext/>
              <w:spacing w:after="0" w:line="240" w:lineRule="auto"/>
              <w:ind w:left="567" w:firstLine="0"/>
              <w:rPr>
                <w:color w:val="auto"/>
                <w:lang w:val="es-ES"/>
              </w:rPr>
            </w:pPr>
            <w:r w:rsidRPr="00C33F4C">
              <w:rPr>
                <w:color w:val="auto"/>
                <w:lang w:val="es-ES"/>
              </w:rPr>
              <w:t xml:space="preserve">Mediana SG (meses) </w:t>
            </w:r>
          </w:p>
        </w:tc>
        <w:tc>
          <w:tcPr>
            <w:tcW w:w="2071" w:type="dxa"/>
            <w:vAlign w:val="bottom"/>
          </w:tcPr>
          <w:p w14:paraId="1C13C531" w14:textId="77777777" w:rsidR="00FB24C0" w:rsidRPr="00C33F4C" w:rsidRDefault="00FB24C0" w:rsidP="00C33F4C">
            <w:pPr>
              <w:keepNext/>
              <w:spacing w:after="0" w:line="240" w:lineRule="auto"/>
              <w:ind w:left="0" w:firstLine="0"/>
              <w:jc w:val="center"/>
              <w:rPr>
                <w:color w:val="auto"/>
                <w:lang w:val="es-ES"/>
              </w:rPr>
            </w:pPr>
            <w:r w:rsidRPr="00C33F4C">
              <w:rPr>
                <w:color w:val="auto"/>
                <w:lang w:val="es-ES"/>
              </w:rPr>
              <w:t>13,3</w:t>
            </w:r>
          </w:p>
        </w:tc>
        <w:tc>
          <w:tcPr>
            <w:tcW w:w="2526" w:type="dxa"/>
            <w:vAlign w:val="bottom"/>
          </w:tcPr>
          <w:p w14:paraId="3D80B095" w14:textId="77777777" w:rsidR="00FB24C0" w:rsidRPr="00C33F4C" w:rsidRDefault="00FB24C0" w:rsidP="00C33F4C">
            <w:pPr>
              <w:keepNext/>
              <w:spacing w:after="0" w:line="240" w:lineRule="auto"/>
              <w:ind w:left="0" w:firstLine="0"/>
              <w:jc w:val="center"/>
              <w:rPr>
                <w:color w:val="auto"/>
                <w:lang w:val="es-ES"/>
              </w:rPr>
            </w:pPr>
            <w:r w:rsidRPr="00C33F4C">
              <w:rPr>
                <w:color w:val="auto"/>
                <w:lang w:val="es-ES"/>
              </w:rPr>
              <w:t>16,6</w:t>
            </w:r>
          </w:p>
        </w:tc>
      </w:tr>
      <w:tr w:rsidR="00FB24C0" w:rsidRPr="009C2213" w14:paraId="6DD872A8" w14:textId="77777777" w:rsidTr="00C33F4C">
        <w:trPr>
          <w:trHeight w:val="308"/>
        </w:trPr>
        <w:tc>
          <w:tcPr>
            <w:tcW w:w="4452" w:type="dxa"/>
            <w:vAlign w:val="bottom"/>
          </w:tcPr>
          <w:p w14:paraId="4BB2C3FD" w14:textId="77777777" w:rsidR="00FB24C0" w:rsidRPr="00C33F4C" w:rsidRDefault="00FB24C0" w:rsidP="00C33F4C">
            <w:pPr>
              <w:keepNext/>
              <w:spacing w:after="0" w:line="240" w:lineRule="auto"/>
              <w:ind w:left="567" w:firstLine="0"/>
              <w:rPr>
                <w:color w:val="auto"/>
                <w:lang w:val="es-ES"/>
              </w:rPr>
            </w:pPr>
            <w:r w:rsidRPr="00C33F4C">
              <w:rPr>
                <w:color w:val="auto"/>
                <w:lang w:val="es-ES"/>
              </w:rPr>
              <w:t xml:space="preserve">Razón de riesgo (IC del 95%) </w:t>
            </w:r>
          </w:p>
        </w:tc>
        <w:tc>
          <w:tcPr>
            <w:tcW w:w="4597" w:type="dxa"/>
            <w:gridSpan w:val="2"/>
            <w:vAlign w:val="center"/>
          </w:tcPr>
          <w:p w14:paraId="2415A7F0" w14:textId="77777777" w:rsidR="00FB24C0" w:rsidRPr="00C33F4C" w:rsidRDefault="00FB24C0" w:rsidP="00C33F4C">
            <w:pPr>
              <w:keepNext/>
              <w:spacing w:after="0" w:line="240" w:lineRule="auto"/>
              <w:ind w:left="0" w:firstLine="0"/>
              <w:jc w:val="center"/>
              <w:rPr>
                <w:color w:val="auto"/>
                <w:lang w:val="es-ES"/>
              </w:rPr>
            </w:pPr>
            <w:r w:rsidRPr="00C33F4C">
              <w:rPr>
                <w:color w:val="auto"/>
                <w:lang w:val="es-ES"/>
              </w:rPr>
              <w:t>0,870 [0,678</w:t>
            </w:r>
            <w:r w:rsidR="00AC160C" w:rsidRPr="00C33F4C">
              <w:rPr>
                <w:color w:val="auto"/>
                <w:lang w:val="es-ES"/>
              </w:rPr>
              <w:t>;</w:t>
            </w:r>
            <w:r w:rsidRPr="00C33F4C">
              <w:rPr>
                <w:color w:val="auto"/>
                <w:lang w:val="es-ES"/>
              </w:rPr>
              <w:t xml:space="preserve"> 1,116]</w:t>
            </w:r>
          </w:p>
        </w:tc>
      </w:tr>
      <w:tr w:rsidR="00FB24C0" w:rsidRPr="009C2213" w14:paraId="0DD1D644" w14:textId="77777777" w:rsidTr="00C33F4C">
        <w:trPr>
          <w:trHeight w:val="125"/>
        </w:trPr>
        <w:tc>
          <w:tcPr>
            <w:tcW w:w="4452" w:type="dxa"/>
            <w:vAlign w:val="bottom"/>
          </w:tcPr>
          <w:p w14:paraId="23B39A62" w14:textId="77777777" w:rsidR="00FB24C0" w:rsidRPr="00C33F4C" w:rsidRDefault="00FB24C0" w:rsidP="00C33F4C">
            <w:pPr>
              <w:keepNext/>
              <w:spacing w:after="0" w:line="240" w:lineRule="auto"/>
              <w:ind w:left="567" w:firstLine="0"/>
              <w:rPr>
                <w:color w:val="auto"/>
                <w:lang w:val="es-ES"/>
              </w:rPr>
            </w:pPr>
            <w:r w:rsidRPr="00C33F4C">
              <w:rPr>
                <w:color w:val="auto"/>
                <w:lang w:val="es-ES"/>
              </w:rPr>
              <w:t xml:space="preserve">valor-p </w:t>
            </w:r>
          </w:p>
        </w:tc>
        <w:tc>
          <w:tcPr>
            <w:tcW w:w="4597" w:type="dxa"/>
            <w:gridSpan w:val="2"/>
            <w:vAlign w:val="bottom"/>
          </w:tcPr>
          <w:p w14:paraId="3C36651D" w14:textId="77777777" w:rsidR="00FB24C0" w:rsidRPr="00C33F4C" w:rsidRDefault="00FB24C0" w:rsidP="00C33F4C">
            <w:pPr>
              <w:keepNext/>
              <w:spacing w:after="0" w:line="240" w:lineRule="auto"/>
              <w:ind w:left="0" w:firstLine="0"/>
              <w:jc w:val="center"/>
              <w:rPr>
                <w:color w:val="auto"/>
                <w:lang w:val="es-ES"/>
              </w:rPr>
            </w:pPr>
            <w:r w:rsidRPr="00C33F4C">
              <w:rPr>
                <w:color w:val="auto"/>
                <w:lang w:val="es-ES"/>
              </w:rPr>
              <w:t>0,2711</w:t>
            </w:r>
          </w:p>
        </w:tc>
      </w:tr>
    </w:tbl>
    <w:p w14:paraId="4615A22E" w14:textId="77777777" w:rsidR="00FB24C0" w:rsidRPr="00684760" w:rsidRDefault="00FB24C0" w:rsidP="00FB24C0">
      <w:pPr>
        <w:spacing w:after="0" w:line="240" w:lineRule="auto"/>
        <w:ind w:left="0" w:firstLine="0"/>
        <w:rPr>
          <w:color w:val="auto"/>
          <w:sz w:val="20"/>
          <w:szCs w:val="20"/>
          <w:lang w:val="es-ES"/>
        </w:rPr>
      </w:pPr>
      <w:r w:rsidRPr="00684760">
        <w:rPr>
          <w:color w:val="auto"/>
          <w:sz w:val="20"/>
          <w:szCs w:val="20"/>
          <w:lang w:val="es-ES"/>
        </w:rPr>
        <w:t>Todos los análisis presentados en esta tabla son análisis estratificados.</w:t>
      </w:r>
    </w:p>
    <w:p w14:paraId="46FB9062" w14:textId="77777777" w:rsidR="00FB24C0" w:rsidRPr="00684760" w:rsidRDefault="00FB24C0" w:rsidP="00FB24C0">
      <w:pPr>
        <w:spacing w:after="0" w:line="240" w:lineRule="auto"/>
        <w:ind w:left="567" w:hanging="567"/>
        <w:rPr>
          <w:color w:val="auto"/>
          <w:sz w:val="20"/>
          <w:szCs w:val="20"/>
          <w:lang w:val="es-ES"/>
        </w:rPr>
      </w:pPr>
      <w:r w:rsidRPr="00684760">
        <w:rPr>
          <w:color w:val="auto"/>
          <w:sz w:val="20"/>
          <w:szCs w:val="20"/>
          <w:lang w:val="es-ES"/>
        </w:rPr>
        <w:t>*</w:t>
      </w:r>
      <w:r w:rsidRPr="00684760">
        <w:rPr>
          <w:color w:val="auto"/>
          <w:sz w:val="20"/>
          <w:szCs w:val="20"/>
          <w:lang w:val="es-ES"/>
        </w:rPr>
        <w:tab/>
        <w:t>El análisis primario se realizó con una fecha de corte del 14 de noviembre de 2011.</w:t>
      </w:r>
    </w:p>
    <w:p w14:paraId="3BDED8FE" w14:textId="77777777" w:rsidR="00FB24C0" w:rsidRPr="00684760" w:rsidRDefault="00FB24C0" w:rsidP="00FB24C0">
      <w:pPr>
        <w:spacing w:after="0" w:line="240" w:lineRule="auto"/>
        <w:ind w:left="567" w:hanging="567"/>
        <w:rPr>
          <w:color w:val="auto"/>
          <w:sz w:val="20"/>
          <w:szCs w:val="20"/>
          <w:lang w:val="es-ES"/>
        </w:rPr>
      </w:pPr>
      <w:r w:rsidRPr="00684760">
        <w:rPr>
          <w:color w:val="auto"/>
          <w:sz w:val="20"/>
          <w:szCs w:val="20"/>
          <w:lang w:val="es-ES"/>
        </w:rPr>
        <w:t>**</w:t>
      </w:r>
      <w:r w:rsidRPr="00684760">
        <w:rPr>
          <w:color w:val="auto"/>
          <w:sz w:val="20"/>
          <w:szCs w:val="20"/>
          <w:lang w:val="es-ES"/>
        </w:rPr>
        <w:tab/>
        <w:t>Pacientes aleatorizados con enfermedad medible al inicio.</w:t>
      </w:r>
    </w:p>
    <w:p w14:paraId="6F37567F" w14:textId="77777777" w:rsidR="00FB24C0" w:rsidRPr="00684760" w:rsidRDefault="00FB24C0" w:rsidP="00FB24C0">
      <w:pPr>
        <w:spacing w:after="0" w:line="240" w:lineRule="auto"/>
        <w:ind w:left="567" w:hanging="567"/>
        <w:rPr>
          <w:color w:val="auto"/>
          <w:sz w:val="20"/>
          <w:szCs w:val="20"/>
          <w:lang w:val="es-ES"/>
        </w:rPr>
      </w:pPr>
      <w:r w:rsidRPr="00684760">
        <w:rPr>
          <w:color w:val="auto"/>
          <w:sz w:val="20"/>
          <w:szCs w:val="20"/>
          <w:lang w:val="es-ES"/>
        </w:rPr>
        <w:t>***</w:t>
      </w:r>
      <w:r w:rsidRPr="00684760">
        <w:rPr>
          <w:color w:val="auto"/>
          <w:sz w:val="20"/>
          <w:szCs w:val="20"/>
          <w:lang w:val="es-ES"/>
        </w:rPr>
        <w:tab/>
        <w:t>El análisis final de supervivencia global se realizó cuando se observaron 266 muertes, que representan el 73,7% de los pacientes participantes.</w:t>
      </w:r>
    </w:p>
    <w:p w14:paraId="38FE3841" w14:textId="77777777" w:rsidR="00FB24C0" w:rsidRPr="006563D1" w:rsidRDefault="00FB24C0" w:rsidP="00FB24C0">
      <w:pPr>
        <w:spacing w:after="0" w:line="240" w:lineRule="auto"/>
        <w:ind w:left="0" w:firstLine="0"/>
        <w:contextualSpacing/>
        <w:rPr>
          <w:color w:val="auto"/>
          <w:lang w:val="es-ES"/>
        </w:rPr>
      </w:pPr>
    </w:p>
    <w:p w14:paraId="0BC0E1AB" w14:textId="611E6096" w:rsidR="00FB24C0" w:rsidRPr="006563D1" w:rsidRDefault="00FB24C0" w:rsidP="00FB24C0">
      <w:pPr>
        <w:spacing w:after="0" w:line="240" w:lineRule="auto"/>
        <w:ind w:left="0" w:firstLine="0"/>
        <w:contextualSpacing/>
        <w:rPr>
          <w:color w:val="auto"/>
          <w:lang w:val="es-ES"/>
        </w:rPr>
      </w:pPr>
      <w:r w:rsidRPr="006563D1">
        <w:rPr>
          <w:color w:val="auto"/>
          <w:lang w:val="es-ES"/>
        </w:rPr>
        <w:t>El ensayo alcanzó su variable principal de mejoría en la SLP. Los pacientes recurrentes resistentes a platino tratados únicamente con quimioterapia (</w:t>
      </w:r>
      <w:proofErr w:type="spellStart"/>
      <w:r w:rsidRPr="006563D1">
        <w:rPr>
          <w:color w:val="auto"/>
          <w:lang w:val="es-ES"/>
        </w:rPr>
        <w:t>paclitaxel</w:t>
      </w:r>
      <w:proofErr w:type="spellEnd"/>
      <w:r w:rsidRPr="006563D1">
        <w:rPr>
          <w:color w:val="auto"/>
          <w:lang w:val="es-ES"/>
        </w:rPr>
        <w:t xml:space="preserve">, </w:t>
      </w:r>
      <w:proofErr w:type="spellStart"/>
      <w:r w:rsidRPr="006563D1">
        <w:rPr>
          <w:color w:val="auto"/>
          <w:lang w:val="es-ES"/>
        </w:rPr>
        <w:t>topotecán</w:t>
      </w:r>
      <w:proofErr w:type="spellEnd"/>
      <w:r w:rsidRPr="006563D1">
        <w:rPr>
          <w:color w:val="auto"/>
          <w:lang w:val="es-ES"/>
        </w:rPr>
        <w:t xml:space="preserve"> o DLP) en comparación con los pacientes que recibieron bevacizumab en una dosis de 10 mg/kg ca</w:t>
      </w:r>
      <w:r w:rsidR="006C0675">
        <w:rPr>
          <w:color w:val="auto"/>
          <w:lang w:val="es-ES"/>
        </w:rPr>
        <w:t>da 2 semanas (o 15 mg/kg cada 3 </w:t>
      </w:r>
      <w:r w:rsidRPr="006563D1">
        <w:rPr>
          <w:color w:val="auto"/>
          <w:lang w:val="es-ES"/>
        </w:rPr>
        <w:t xml:space="preserve">semanas si se usaba en combinación con </w:t>
      </w:r>
      <w:proofErr w:type="spellStart"/>
      <w:r w:rsidRPr="006563D1">
        <w:rPr>
          <w:color w:val="auto"/>
          <w:lang w:val="es-ES"/>
        </w:rPr>
        <w:t>topotecán</w:t>
      </w:r>
      <w:proofErr w:type="spellEnd"/>
      <w:r w:rsidRPr="006563D1">
        <w:rPr>
          <w:color w:val="auto"/>
          <w:lang w:val="es-ES"/>
        </w:rPr>
        <w:t xml:space="preserve"> 1,25 mg/m</w:t>
      </w:r>
      <w:r w:rsidRPr="006563D1">
        <w:rPr>
          <w:color w:val="auto"/>
          <w:vertAlign w:val="superscript"/>
          <w:lang w:val="es-ES"/>
        </w:rPr>
        <w:t>2</w:t>
      </w:r>
      <w:r w:rsidRPr="006563D1">
        <w:rPr>
          <w:color w:val="auto"/>
          <w:lang w:val="es-ES"/>
        </w:rPr>
        <w:t xml:space="preserve"> los días 1-5 cada 3 semanas) en combinación con quimioterapia y que continuaron con bevacizumab hasta progresión de la enfermedad o una toxicidad inaceptable, tuvieron una mejoría estadística significativa de la SLP. Los análisis exploratorios de la SLP y de SG </w:t>
      </w:r>
      <w:r w:rsidR="003748F3">
        <w:rPr>
          <w:color w:val="auto"/>
          <w:lang w:val="es-ES"/>
        </w:rPr>
        <w:t>por</w:t>
      </w:r>
      <w:r w:rsidRPr="006563D1">
        <w:rPr>
          <w:color w:val="auto"/>
          <w:lang w:val="es-ES"/>
        </w:rPr>
        <w:t xml:space="preserve"> cohorte </w:t>
      </w:r>
      <w:r w:rsidR="003748F3">
        <w:rPr>
          <w:color w:val="auto"/>
          <w:lang w:val="es-ES"/>
        </w:rPr>
        <w:t>de</w:t>
      </w:r>
      <w:r w:rsidRPr="006563D1">
        <w:rPr>
          <w:color w:val="auto"/>
          <w:lang w:val="es-ES"/>
        </w:rPr>
        <w:t xml:space="preserve"> quimioterapia (</w:t>
      </w:r>
      <w:proofErr w:type="spellStart"/>
      <w:r w:rsidRPr="006563D1">
        <w:rPr>
          <w:color w:val="auto"/>
          <w:lang w:val="es-ES"/>
        </w:rPr>
        <w:t>paclitaxel</w:t>
      </w:r>
      <w:proofErr w:type="spellEnd"/>
      <w:r w:rsidRPr="006563D1">
        <w:rPr>
          <w:color w:val="auto"/>
          <w:lang w:val="es-ES"/>
        </w:rPr>
        <w:t xml:space="preserve">, </w:t>
      </w:r>
      <w:proofErr w:type="spellStart"/>
      <w:r w:rsidRPr="006563D1">
        <w:rPr>
          <w:color w:val="auto"/>
          <w:lang w:val="es-ES"/>
        </w:rPr>
        <w:t>topotecán</w:t>
      </w:r>
      <w:proofErr w:type="spellEnd"/>
      <w:r w:rsidRPr="006563D1">
        <w:rPr>
          <w:color w:val="auto"/>
          <w:lang w:val="es-ES"/>
        </w:rPr>
        <w:t xml:space="preserve"> y DLP) se resumen en la </w:t>
      </w:r>
      <w:r w:rsidR="003748F3">
        <w:rPr>
          <w:color w:val="auto"/>
          <w:lang w:val="es-ES"/>
        </w:rPr>
        <w:t>t</w:t>
      </w:r>
      <w:r w:rsidRPr="006563D1">
        <w:rPr>
          <w:color w:val="auto"/>
          <w:lang w:val="es-ES"/>
        </w:rPr>
        <w:t>abla 2</w:t>
      </w:r>
      <w:r w:rsidR="0071031C">
        <w:rPr>
          <w:color w:val="auto"/>
          <w:lang w:val="es-ES"/>
        </w:rPr>
        <w:t>4</w:t>
      </w:r>
      <w:r w:rsidRPr="006563D1">
        <w:rPr>
          <w:color w:val="auto"/>
          <w:lang w:val="es-ES"/>
        </w:rPr>
        <w:t>.</w:t>
      </w:r>
    </w:p>
    <w:p w14:paraId="019E1E9D" w14:textId="77777777" w:rsidR="00FB24C0" w:rsidRPr="006563D1" w:rsidRDefault="00FB24C0" w:rsidP="00FB24C0">
      <w:pPr>
        <w:spacing w:after="0" w:line="240" w:lineRule="auto"/>
        <w:ind w:left="0" w:firstLine="0"/>
        <w:contextualSpacing/>
        <w:rPr>
          <w:color w:val="auto"/>
          <w:lang w:val="es-ES"/>
        </w:rPr>
      </w:pPr>
    </w:p>
    <w:p w14:paraId="2A091712" w14:textId="7C06210F" w:rsidR="00FB24C0" w:rsidRPr="006563D1" w:rsidRDefault="00FD7378" w:rsidP="00FD7378">
      <w:pPr>
        <w:keepNext/>
        <w:spacing w:after="0" w:line="240" w:lineRule="auto"/>
        <w:ind w:left="0" w:firstLine="0"/>
        <w:rPr>
          <w:b/>
          <w:color w:val="auto"/>
          <w:lang w:val="es-ES"/>
        </w:rPr>
      </w:pPr>
      <w:r w:rsidRPr="006563D1">
        <w:rPr>
          <w:b/>
          <w:color w:val="auto"/>
          <w:lang w:val="es-ES"/>
        </w:rPr>
        <w:t xml:space="preserve">Tabla </w:t>
      </w:r>
      <w:r w:rsidR="004943CA" w:rsidRPr="006563D1">
        <w:rPr>
          <w:b/>
          <w:color w:val="auto"/>
          <w:lang w:val="es-ES"/>
        </w:rPr>
        <w:t>2</w:t>
      </w:r>
      <w:r w:rsidR="0071031C">
        <w:rPr>
          <w:b/>
          <w:color w:val="auto"/>
          <w:lang w:val="es-ES"/>
        </w:rPr>
        <w:t>4</w:t>
      </w:r>
      <w:r w:rsidRPr="006563D1">
        <w:rPr>
          <w:b/>
          <w:color w:val="auto"/>
          <w:lang w:val="es-ES"/>
        </w:rPr>
        <w:t>.</w:t>
      </w:r>
      <w:r w:rsidR="00FB24C0" w:rsidRPr="006563D1">
        <w:rPr>
          <w:b/>
          <w:color w:val="auto"/>
          <w:lang w:val="es-ES"/>
        </w:rPr>
        <w:t xml:space="preserve"> Análisis exploratorio de la SLP y SG en la cohorte con quimioterapia</w:t>
      </w:r>
    </w:p>
    <w:p w14:paraId="39C6E38F" w14:textId="77777777" w:rsidR="00FB24C0" w:rsidRPr="006563D1" w:rsidRDefault="00FB24C0" w:rsidP="00A8451D">
      <w:pPr>
        <w:keepNext/>
        <w:spacing w:after="0" w:line="240" w:lineRule="auto"/>
        <w:ind w:left="0" w:firstLine="0"/>
        <w:rPr>
          <w:color w:val="auto"/>
          <w:lang w:val="es-ES"/>
        </w:rPr>
      </w:pPr>
    </w:p>
    <w:tbl>
      <w:tblPr>
        <w:tblW w:w="89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2946"/>
        <w:gridCol w:w="2525"/>
      </w:tblGrid>
      <w:tr w:rsidR="00A8451D" w:rsidRPr="00FD7378" w14:paraId="26C9A024" w14:textId="77777777" w:rsidTr="006D35C1">
        <w:trPr>
          <w:trHeight w:val="437"/>
          <w:tblHeader/>
        </w:trPr>
        <w:tc>
          <w:tcPr>
            <w:tcW w:w="3507" w:type="dxa"/>
            <w:noWrap/>
            <w:vAlign w:val="bottom"/>
          </w:tcPr>
          <w:p w14:paraId="1E14B802" w14:textId="77777777" w:rsidR="00A8451D" w:rsidRPr="00FD7378" w:rsidRDefault="00A8451D" w:rsidP="00FD7378">
            <w:pPr>
              <w:spacing w:after="0" w:line="240" w:lineRule="auto"/>
              <w:ind w:left="0" w:firstLine="0"/>
              <w:rPr>
                <w:b/>
                <w:lang w:val="es-ES"/>
              </w:rPr>
            </w:pPr>
          </w:p>
        </w:tc>
        <w:tc>
          <w:tcPr>
            <w:tcW w:w="2946" w:type="dxa"/>
            <w:noWrap/>
          </w:tcPr>
          <w:p w14:paraId="1BE3F8CC" w14:textId="77777777" w:rsidR="00A8451D" w:rsidRPr="00FD7378" w:rsidRDefault="00A8451D" w:rsidP="00FD7378">
            <w:pPr>
              <w:spacing w:after="0" w:line="240" w:lineRule="auto"/>
              <w:ind w:left="0" w:firstLine="0"/>
              <w:jc w:val="center"/>
              <w:rPr>
                <w:b/>
                <w:lang w:val="es-ES"/>
              </w:rPr>
            </w:pPr>
            <w:r w:rsidRPr="00A8451D">
              <w:rPr>
                <w:b/>
                <w:color w:val="auto"/>
                <w:lang w:val="es-ES"/>
              </w:rPr>
              <w:t>QT</w:t>
            </w:r>
          </w:p>
        </w:tc>
        <w:tc>
          <w:tcPr>
            <w:tcW w:w="2524" w:type="dxa"/>
            <w:noWrap/>
          </w:tcPr>
          <w:p w14:paraId="13CC7C4F" w14:textId="77777777" w:rsidR="00A8451D" w:rsidRPr="00FD7378" w:rsidRDefault="00A8451D" w:rsidP="00FD7378">
            <w:pPr>
              <w:spacing w:after="0" w:line="240" w:lineRule="auto"/>
              <w:ind w:left="0" w:firstLine="0"/>
              <w:jc w:val="center"/>
              <w:rPr>
                <w:b/>
                <w:lang w:val="es-ES"/>
              </w:rPr>
            </w:pPr>
            <w:r w:rsidRPr="00A8451D">
              <w:rPr>
                <w:b/>
                <w:color w:val="auto"/>
                <w:lang w:val="es-ES"/>
              </w:rPr>
              <w:t>QT</w:t>
            </w:r>
            <w:r w:rsidR="00D07FAF">
              <w:rPr>
                <w:b/>
                <w:color w:val="auto"/>
                <w:lang w:val="es-ES"/>
              </w:rPr>
              <w:t xml:space="preserve"> </w:t>
            </w:r>
            <w:r w:rsidRPr="00A8451D">
              <w:rPr>
                <w:b/>
                <w:color w:val="auto"/>
                <w:lang w:val="es-ES"/>
              </w:rPr>
              <w:t>+</w:t>
            </w:r>
            <w:r w:rsidR="00D07FAF">
              <w:rPr>
                <w:b/>
                <w:color w:val="auto"/>
                <w:lang w:val="es-ES"/>
              </w:rPr>
              <w:t xml:space="preserve"> </w:t>
            </w:r>
            <w:r w:rsidRPr="00A8451D">
              <w:rPr>
                <w:b/>
                <w:color w:val="auto"/>
                <w:lang w:val="es-ES"/>
              </w:rPr>
              <w:t>BV</w:t>
            </w:r>
          </w:p>
        </w:tc>
      </w:tr>
      <w:tr w:rsidR="00A8451D" w:rsidRPr="00FD7378" w14:paraId="2F2CFD73" w14:textId="77777777" w:rsidTr="006D35C1">
        <w:trPr>
          <w:trHeight w:val="293"/>
        </w:trPr>
        <w:tc>
          <w:tcPr>
            <w:tcW w:w="3507" w:type="dxa"/>
            <w:noWrap/>
            <w:vAlign w:val="bottom"/>
          </w:tcPr>
          <w:p w14:paraId="20115CD2" w14:textId="77777777" w:rsidR="00A8451D" w:rsidRPr="00FD7378" w:rsidRDefault="00A8451D" w:rsidP="00FD7378">
            <w:pPr>
              <w:spacing w:after="0" w:line="240" w:lineRule="auto"/>
              <w:ind w:left="0" w:firstLine="0"/>
              <w:rPr>
                <w:lang w:val="es-ES"/>
              </w:rPr>
            </w:pPr>
            <w:proofErr w:type="spellStart"/>
            <w:r w:rsidRPr="00A8451D">
              <w:rPr>
                <w:color w:val="auto"/>
                <w:lang w:val="es-ES"/>
              </w:rPr>
              <w:t>Paclitaxel</w:t>
            </w:r>
            <w:proofErr w:type="spellEnd"/>
          </w:p>
        </w:tc>
        <w:tc>
          <w:tcPr>
            <w:tcW w:w="5471" w:type="dxa"/>
            <w:gridSpan w:val="2"/>
            <w:noWrap/>
            <w:vAlign w:val="bottom"/>
          </w:tcPr>
          <w:p w14:paraId="5522B2AA" w14:textId="5ED9D1B8" w:rsidR="00A8451D" w:rsidRPr="00FD7378" w:rsidRDefault="00241E7E" w:rsidP="00241E7E">
            <w:pPr>
              <w:spacing w:after="0" w:line="240" w:lineRule="auto"/>
              <w:ind w:left="0" w:firstLine="0"/>
              <w:jc w:val="center"/>
              <w:rPr>
                <w:lang w:val="es-ES"/>
              </w:rPr>
            </w:pPr>
            <w:r w:rsidRPr="00241E7E">
              <w:rPr>
                <w:color w:val="auto"/>
                <w:lang w:val="es-ES"/>
              </w:rPr>
              <w:t>n</w:t>
            </w:r>
            <w:r w:rsidR="00A704E8" w:rsidRPr="00241E7E">
              <w:t> </w:t>
            </w:r>
            <w:r w:rsidR="00A8451D" w:rsidRPr="00241E7E">
              <w:rPr>
                <w:color w:val="auto"/>
                <w:lang w:val="es-ES"/>
              </w:rPr>
              <w:t>=</w:t>
            </w:r>
            <w:r w:rsidR="00A704E8" w:rsidRPr="00241E7E">
              <w:t> </w:t>
            </w:r>
            <w:r w:rsidR="00A8451D" w:rsidRPr="00241E7E">
              <w:rPr>
                <w:color w:val="auto"/>
                <w:lang w:val="es-ES"/>
              </w:rPr>
              <w:t>115</w:t>
            </w:r>
          </w:p>
        </w:tc>
      </w:tr>
      <w:tr w:rsidR="00A8451D" w:rsidRPr="00FD7378" w14:paraId="087918D2" w14:textId="77777777" w:rsidTr="006D35C1">
        <w:trPr>
          <w:trHeight w:val="293"/>
        </w:trPr>
        <w:tc>
          <w:tcPr>
            <w:tcW w:w="3507" w:type="dxa"/>
            <w:noWrap/>
            <w:vAlign w:val="bottom"/>
          </w:tcPr>
          <w:p w14:paraId="6C03E883" w14:textId="77777777" w:rsidR="00A8451D" w:rsidRPr="00FD7378" w:rsidRDefault="00A8451D" w:rsidP="00FD7378">
            <w:pPr>
              <w:tabs>
                <w:tab w:val="left" w:pos="567"/>
              </w:tabs>
              <w:spacing w:after="0" w:line="240" w:lineRule="auto"/>
              <w:ind w:left="567" w:firstLine="0"/>
              <w:rPr>
                <w:lang w:val="es-ES"/>
              </w:rPr>
            </w:pPr>
            <w:r w:rsidRPr="00A8451D">
              <w:rPr>
                <w:color w:val="auto"/>
                <w:lang w:val="es-ES"/>
              </w:rPr>
              <w:t>Mediana de SLP (meses)</w:t>
            </w:r>
          </w:p>
        </w:tc>
        <w:tc>
          <w:tcPr>
            <w:tcW w:w="2946" w:type="dxa"/>
            <w:noWrap/>
            <w:vAlign w:val="bottom"/>
          </w:tcPr>
          <w:p w14:paraId="6CFBCB38" w14:textId="77777777" w:rsidR="00A8451D" w:rsidRPr="00FD7378" w:rsidRDefault="00A8451D" w:rsidP="00FD7378">
            <w:pPr>
              <w:spacing w:after="0" w:line="240" w:lineRule="auto"/>
              <w:ind w:left="0" w:firstLine="0"/>
              <w:jc w:val="center"/>
              <w:rPr>
                <w:lang w:val="es-ES"/>
              </w:rPr>
            </w:pPr>
            <w:r w:rsidRPr="00A8451D">
              <w:rPr>
                <w:lang w:val="es-ES"/>
              </w:rPr>
              <w:t>3,9</w:t>
            </w:r>
          </w:p>
        </w:tc>
        <w:tc>
          <w:tcPr>
            <w:tcW w:w="2524" w:type="dxa"/>
            <w:noWrap/>
            <w:vAlign w:val="bottom"/>
          </w:tcPr>
          <w:p w14:paraId="12B01743" w14:textId="77777777" w:rsidR="00A8451D" w:rsidRPr="00FD7378" w:rsidRDefault="00A8451D" w:rsidP="00FD7378">
            <w:pPr>
              <w:spacing w:after="0" w:line="240" w:lineRule="auto"/>
              <w:ind w:left="0" w:firstLine="0"/>
              <w:jc w:val="center"/>
              <w:rPr>
                <w:lang w:val="es-ES"/>
              </w:rPr>
            </w:pPr>
            <w:r w:rsidRPr="00A8451D">
              <w:rPr>
                <w:lang w:val="es-ES"/>
              </w:rPr>
              <w:t>9,2</w:t>
            </w:r>
          </w:p>
        </w:tc>
      </w:tr>
      <w:tr w:rsidR="00A8451D" w:rsidRPr="00FD7378" w14:paraId="5C30FFAE" w14:textId="77777777" w:rsidTr="006D35C1">
        <w:trPr>
          <w:trHeight w:val="293"/>
        </w:trPr>
        <w:tc>
          <w:tcPr>
            <w:tcW w:w="3507" w:type="dxa"/>
            <w:noWrap/>
            <w:vAlign w:val="bottom"/>
          </w:tcPr>
          <w:p w14:paraId="28B9DB99" w14:textId="77777777" w:rsidR="00A8451D" w:rsidRPr="000B4BEF" w:rsidRDefault="00A8451D" w:rsidP="00FD7378">
            <w:pPr>
              <w:tabs>
                <w:tab w:val="left" w:pos="567"/>
              </w:tabs>
              <w:spacing w:after="0" w:line="240" w:lineRule="auto"/>
              <w:ind w:left="567" w:firstLine="0"/>
              <w:rPr>
                <w:color w:val="auto"/>
                <w:lang w:val="es-ES"/>
              </w:rPr>
            </w:pPr>
            <w:r w:rsidRPr="00A8451D">
              <w:rPr>
                <w:color w:val="auto"/>
                <w:lang w:val="es-ES"/>
              </w:rPr>
              <w:t>Razón de riesgo (IC del 95</w:t>
            </w:r>
            <w:proofErr w:type="gramStart"/>
            <w:r w:rsidRPr="00A8451D">
              <w:rPr>
                <w:color w:val="auto"/>
                <w:lang w:val="es-ES"/>
              </w:rPr>
              <w:t>%)*</w:t>
            </w:r>
            <w:proofErr w:type="gramEnd"/>
          </w:p>
        </w:tc>
        <w:tc>
          <w:tcPr>
            <w:tcW w:w="5471" w:type="dxa"/>
            <w:gridSpan w:val="2"/>
            <w:noWrap/>
            <w:vAlign w:val="bottom"/>
          </w:tcPr>
          <w:p w14:paraId="7D2A55F8" w14:textId="77777777" w:rsidR="00A8451D" w:rsidRPr="00A8451D" w:rsidRDefault="00AC160C" w:rsidP="00FD7378">
            <w:pPr>
              <w:spacing w:after="0" w:line="240" w:lineRule="auto"/>
              <w:ind w:left="0" w:firstLine="0"/>
              <w:jc w:val="center"/>
              <w:rPr>
                <w:lang w:val="nb-NO"/>
              </w:rPr>
            </w:pPr>
            <w:r>
              <w:rPr>
                <w:color w:val="auto"/>
                <w:lang w:val="es-ES"/>
              </w:rPr>
              <w:t>0,47 [0,31;</w:t>
            </w:r>
            <w:r w:rsidR="00A8451D" w:rsidRPr="00A8451D">
              <w:rPr>
                <w:color w:val="auto"/>
                <w:lang w:val="es-ES"/>
              </w:rPr>
              <w:t xml:space="preserve"> 0,72]</w:t>
            </w:r>
          </w:p>
        </w:tc>
      </w:tr>
      <w:tr w:rsidR="00A8451D" w:rsidRPr="00A8451D" w14:paraId="4C07B58D" w14:textId="77777777" w:rsidTr="006D35C1">
        <w:trPr>
          <w:trHeight w:val="293"/>
        </w:trPr>
        <w:tc>
          <w:tcPr>
            <w:tcW w:w="3507" w:type="dxa"/>
            <w:noWrap/>
            <w:vAlign w:val="bottom"/>
          </w:tcPr>
          <w:p w14:paraId="5ECDA853" w14:textId="77777777" w:rsidR="00A8451D" w:rsidRPr="000B4BEF" w:rsidRDefault="00A8451D" w:rsidP="00FD7378">
            <w:pPr>
              <w:tabs>
                <w:tab w:val="left" w:pos="567"/>
              </w:tabs>
              <w:spacing w:after="0" w:line="240" w:lineRule="auto"/>
              <w:ind w:left="567" w:firstLine="0"/>
              <w:rPr>
                <w:color w:val="auto"/>
                <w:lang w:val="es-ES"/>
              </w:rPr>
            </w:pPr>
            <w:r w:rsidRPr="000B4BEF">
              <w:rPr>
                <w:color w:val="auto"/>
                <w:lang w:val="es-ES"/>
              </w:rPr>
              <w:t>Mediana SG (meses)</w:t>
            </w:r>
          </w:p>
        </w:tc>
        <w:tc>
          <w:tcPr>
            <w:tcW w:w="2946" w:type="dxa"/>
            <w:noWrap/>
            <w:vAlign w:val="bottom"/>
          </w:tcPr>
          <w:p w14:paraId="12BF6A7F" w14:textId="77777777" w:rsidR="00A8451D" w:rsidRPr="00A8451D" w:rsidRDefault="00A8451D" w:rsidP="00FD7378">
            <w:pPr>
              <w:spacing w:after="0" w:line="240" w:lineRule="auto"/>
              <w:ind w:left="0" w:firstLine="0"/>
              <w:jc w:val="center"/>
              <w:rPr>
                <w:lang w:val="nb-NO"/>
              </w:rPr>
            </w:pPr>
            <w:r w:rsidRPr="00A8451D">
              <w:rPr>
                <w:lang w:val="es-ES"/>
              </w:rPr>
              <w:t>13,2</w:t>
            </w:r>
          </w:p>
        </w:tc>
        <w:tc>
          <w:tcPr>
            <w:tcW w:w="2524" w:type="dxa"/>
            <w:noWrap/>
            <w:vAlign w:val="bottom"/>
          </w:tcPr>
          <w:p w14:paraId="546544A8" w14:textId="77777777" w:rsidR="00A8451D" w:rsidRPr="00A8451D" w:rsidRDefault="00A8451D" w:rsidP="00FD7378">
            <w:pPr>
              <w:spacing w:after="0" w:line="240" w:lineRule="auto"/>
              <w:ind w:left="0" w:firstLine="0"/>
              <w:jc w:val="center"/>
              <w:rPr>
                <w:lang w:val="nb-NO"/>
              </w:rPr>
            </w:pPr>
            <w:r w:rsidRPr="00A8451D">
              <w:rPr>
                <w:lang w:val="es-ES"/>
              </w:rPr>
              <w:t>22,4</w:t>
            </w:r>
          </w:p>
        </w:tc>
      </w:tr>
      <w:tr w:rsidR="00A8451D" w:rsidRPr="00A8451D" w14:paraId="6BF4DB8F" w14:textId="77777777" w:rsidTr="006D35C1">
        <w:trPr>
          <w:trHeight w:val="323"/>
        </w:trPr>
        <w:tc>
          <w:tcPr>
            <w:tcW w:w="3507" w:type="dxa"/>
            <w:noWrap/>
          </w:tcPr>
          <w:p w14:paraId="5ECCB7DD" w14:textId="77777777" w:rsidR="00A8451D" w:rsidRPr="000B4BEF" w:rsidRDefault="00A8451D" w:rsidP="00FD7378">
            <w:pPr>
              <w:tabs>
                <w:tab w:val="left" w:pos="567"/>
              </w:tabs>
              <w:spacing w:after="0" w:line="240" w:lineRule="auto"/>
              <w:ind w:left="567" w:firstLine="0"/>
              <w:rPr>
                <w:color w:val="auto"/>
                <w:lang w:val="es-ES"/>
              </w:rPr>
            </w:pPr>
            <w:r w:rsidRPr="000B4BEF">
              <w:rPr>
                <w:color w:val="auto"/>
                <w:lang w:val="es-ES"/>
              </w:rPr>
              <w:t>Razón de riesgo (IC del 95%)</w:t>
            </w:r>
          </w:p>
        </w:tc>
        <w:tc>
          <w:tcPr>
            <w:tcW w:w="5471" w:type="dxa"/>
            <w:gridSpan w:val="2"/>
            <w:noWrap/>
          </w:tcPr>
          <w:p w14:paraId="6EB68AB9" w14:textId="77777777" w:rsidR="00A8451D" w:rsidRPr="00A8451D" w:rsidRDefault="00AC160C" w:rsidP="00FD7378">
            <w:pPr>
              <w:spacing w:after="0" w:line="240" w:lineRule="auto"/>
              <w:ind w:left="0" w:firstLine="0"/>
              <w:jc w:val="center"/>
              <w:rPr>
                <w:lang w:val="nb-NO"/>
              </w:rPr>
            </w:pPr>
            <w:r>
              <w:rPr>
                <w:lang w:val="es-ES"/>
              </w:rPr>
              <w:t>0,64 [0,41;</w:t>
            </w:r>
            <w:r w:rsidR="00A8451D" w:rsidRPr="00A8451D">
              <w:rPr>
                <w:lang w:val="es-ES"/>
              </w:rPr>
              <w:t xml:space="preserve"> 0,99]</w:t>
            </w:r>
          </w:p>
        </w:tc>
      </w:tr>
      <w:tr w:rsidR="00A8451D" w:rsidRPr="00A8451D" w14:paraId="75CC76D1" w14:textId="77777777" w:rsidTr="006D35C1">
        <w:trPr>
          <w:trHeight w:val="293"/>
        </w:trPr>
        <w:tc>
          <w:tcPr>
            <w:tcW w:w="3507" w:type="dxa"/>
            <w:noWrap/>
            <w:vAlign w:val="bottom"/>
          </w:tcPr>
          <w:p w14:paraId="2B97DCA2" w14:textId="77777777" w:rsidR="00A8451D" w:rsidRPr="00A8451D" w:rsidRDefault="00A8451D" w:rsidP="00DD0762">
            <w:pPr>
              <w:keepNext/>
              <w:spacing w:after="0" w:line="240" w:lineRule="auto"/>
              <w:ind w:left="0" w:firstLine="0"/>
              <w:rPr>
                <w:lang w:val="nb-NO"/>
              </w:rPr>
            </w:pPr>
            <w:proofErr w:type="spellStart"/>
            <w:r w:rsidRPr="00A8451D">
              <w:rPr>
                <w:lang w:val="es-ES"/>
              </w:rPr>
              <w:t>Topotecán</w:t>
            </w:r>
            <w:proofErr w:type="spellEnd"/>
          </w:p>
        </w:tc>
        <w:tc>
          <w:tcPr>
            <w:tcW w:w="5471" w:type="dxa"/>
            <w:gridSpan w:val="2"/>
            <w:noWrap/>
            <w:vAlign w:val="bottom"/>
          </w:tcPr>
          <w:p w14:paraId="7BF80B0A" w14:textId="30B1BA6D" w:rsidR="00A8451D" w:rsidRPr="00A8451D" w:rsidRDefault="00241E7E" w:rsidP="00DD0762">
            <w:pPr>
              <w:keepNext/>
              <w:spacing w:after="0" w:line="240" w:lineRule="auto"/>
              <w:ind w:left="0" w:firstLine="0"/>
              <w:jc w:val="center"/>
              <w:rPr>
                <w:lang w:val="nb-NO"/>
              </w:rPr>
            </w:pPr>
            <w:r>
              <w:rPr>
                <w:color w:val="auto"/>
                <w:lang w:val="es-ES"/>
              </w:rPr>
              <w:t>n</w:t>
            </w:r>
            <w:r w:rsidR="00A704E8" w:rsidRPr="00E30038">
              <w:t> </w:t>
            </w:r>
            <w:r w:rsidR="00A8451D" w:rsidRPr="00A8451D">
              <w:rPr>
                <w:color w:val="auto"/>
                <w:lang w:val="es-ES"/>
              </w:rPr>
              <w:t>=</w:t>
            </w:r>
            <w:r w:rsidR="00A704E8" w:rsidRPr="00E30038">
              <w:t> </w:t>
            </w:r>
            <w:r w:rsidR="00A8451D" w:rsidRPr="00A8451D">
              <w:rPr>
                <w:color w:val="auto"/>
                <w:lang w:val="es-ES"/>
              </w:rPr>
              <w:t>120</w:t>
            </w:r>
          </w:p>
        </w:tc>
      </w:tr>
      <w:tr w:rsidR="00A8451D" w:rsidRPr="00A8451D" w14:paraId="121C5AD2" w14:textId="77777777" w:rsidTr="006D35C1">
        <w:trPr>
          <w:trHeight w:val="293"/>
        </w:trPr>
        <w:tc>
          <w:tcPr>
            <w:tcW w:w="3507" w:type="dxa"/>
            <w:noWrap/>
            <w:vAlign w:val="bottom"/>
          </w:tcPr>
          <w:p w14:paraId="3FF71741" w14:textId="77777777" w:rsidR="00A8451D" w:rsidRPr="00A8451D" w:rsidRDefault="00A8451D" w:rsidP="00DD0762">
            <w:pPr>
              <w:keepNext/>
              <w:spacing w:after="0" w:line="240" w:lineRule="auto"/>
              <w:ind w:left="567" w:firstLine="0"/>
              <w:rPr>
                <w:lang w:val="nb-NO"/>
              </w:rPr>
            </w:pPr>
            <w:r w:rsidRPr="00A8451D">
              <w:rPr>
                <w:color w:val="auto"/>
                <w:lang w:val="es-ES"/>
              </w:rPr>
              <w:t>Mediana SLP (meses)</w:t>
            </w:r>
          </w:p>
        </w:tc>
        <w:tc>
          <w:tcPr>
            <w:tcW w:w="2946" w:type="dxa"/>
            <w:noWrap/>
            <w:vAlign w:val="bottom"/>
          </w:tcPr>
          <w:p w14:paraId="0543DEAD" w14:textId="77777777" w:rsidR="00A8451D" w:rsidRPr="00A8451D" w:rsidRDefault="00A8451D" w:rsidP="00DD0762">
            <w:pPr>
              <w:keepNext/>
              <w:spacing w:after="0" w:line="240" w:lineRule="auto"/>
              <w:ind w:left="0" w:firstLine="0"/>
              <w:jc w:val="center"/>
              <w:rPr>
                <w:lang w:val="nb-NO"/>
              </w:rPr>
            </w:pPr>
            <w:r w:rsidRPr="00A8451D">
              <w:rPr>
                <w:lang w:val="es-ES"/>
              </w:rPr>
              <w:t>2,1</w:t>
            </w:r>
          </w:p>
        </w:tc>
        <w:tc>
          <w:tcPr>
            <w:tcW w:w="2524" w:type="dxa"/>
            <w:noWrap/>
            <w:vAlign w:val="bottom"/>
          </w:tcPr>
          <w:p w14:paraId="17C23FF5" w14:textId="77777777" w:rsidR="00A8451D" w:rsidRPr="00A8451D" w:rsidRDefault="00A8451D" w:rsidP="00DD0762">
            <w:pPr>
              <w:keepNext/>
              <w:spacing w:after="0" w:line="240" w:lineRule="auto"/>
              <w:ind w:left="0" w:firstLine="0"/>
              <w:jc w:val="center"/>
              <w:rPr>
                <w:lang w:val="nb-NO"/>
              </w:rPr>
            </w:pPr>
            <w:r w:rsidRPr="00A8451D">
              <w:rPr>
                <w:color w:val="auto"/>
                <w:lang w:val="es-ES"/>
              </w:rPr>
              <w:t>6,2</w:t>
            </w:r>
          </w:p>
        </w:tc>
      </w:tr>
      <w:tr w:rsidR="00A8451D" w:rsidRPr="00A8451D" w14:paraId="38B39B18" w14:textId="77777777" w:rsidTr="006D35C1">
        <w:trPr>
          <w:trHeight w:val="293"/>
        </w:trPr>
        <w:tc>
          <w:tcPr>
            <w:tcW w:w="3507" w:type="dxa"/>
            <w:noWrap/>
            <w:vAlign w:val="bottom"/>
          </w:tcPr>
          <w:p w14:paraId="64D4E255" w14:textId="77777777" w:rsidR="00A8451D" w:rsidRPr="00A8451D" w:rsidRDefault="00A8451D" w:rsidP="00DD0762">
            <w:pPr>
              <w:keepNext/>
              <w:spacing w:after="0" w:line="240" w:lineRule="auto"/>
              <w:ind w:left="567" w:firstLine="0"/>
              <w:rPr>
                <w:lang w:val="nb-NO"/>
              </w:rPr>
            </w:pPr>
            <w:r w:rsidRPr="00A8451D">
              <w:rPr>
                <w:lang w:val="es-ES"/>
              </w:rPr>
              <w:t>Razón de riesgo (IC del 95</w:t>
            </w:r>
            <w:proofErr w:type="gramStart"/>
            <w:r w:rsidRPr="00A8451D">
              <w:rPr>
                <w:lang w:val="es-ES"/>
              </w:rPr>
              <w:t>%)*</w:t>
            </w:r>
            <w:proofErr w:type="gramEnd"/>
          </w:p>
        </w:tc>
        <w:tc>
          <w:tcPr>
            <w:tcW w:w="5471" w:type="dxa"/>
            <w:gridSpan w:val="2"/>
            <w:noWrap/>
            <w:vAlign w:val="bottom"/>
          </w:tcPr>
          <w:p w14:paraId="55FBD1FC" w14:textId="77777777" w:rsidR="00A8451D" w:rsidRPr="00A8451D" w:rsidRDefault="00A8451D" w:rsidP="00DD0762">
            <w:pPr>
              <w:keepNext/>
              <w:spacing w:after="0" w:line="240" w:lineRule="auto"/>
              <w:ind w:left="0" w:firstLine="0"/>
              <w:jc w:val="center"/>
              <w:rPr>
                <w:lang w:val="nb-NO"/>
              </w:rPr>
            </w:pPr>
            <w:r w:rsidRPr="00A8451D">
              <w:rPr>
                <w:lang w:val="es-ES"/>
              </w:rPr>
              <w:t>0,28 [0,18</w:t>
            </w:r>
            <w:r w:rsidR="00AC160C">
              <w:rPr>
                <w:lang w:val="es-ES"/>
              </w:rPr>
              <w:t>;</w:t>
            </w:r>
            <w:r w:rsidRPr="00A8451D">
              <w:rPr>
                <w:lang w:val="es-ES"/>
              </w:rPr>
              <w:t xml:space="preserve"> 0,44]</w:t>
            </w:r>
          </w:p>
        </w:tc>
      </w:tr>
      <w:tr w:rsidR="00A8451D" w:rsidRPr="00A8451D" w14:paraId="3391B9CF" w14:textId="77777777" w:rsidTr="006D35C1">
        <w:trPr>
          <w:trHeight w:val="293"/>
        </w:trPr>
        <w:tc>
          <w:tcPr>
            <w:tcW w:w="3507" w:type="dxa"/>
            <w:noWrap/>
            <w:vAlign w:val="bottom"/>
          </w:tcPr>
          <w:p w14:paraId="5D51CCCC" w14:textId="77777777" w:rsidR="00A8451D" w:rsidRPr="00A8451D" w:rsidRDefault="00A8451D" w:rsidP="00FD7378">
            <w:pPr>
              <w:spacing w:after="0" w:line="240" w:lineRule="auto"/>
              <w:ind w:left="567" w:firstLine="0"/>
              <w:rPr>
                <w:lang w:val="nb-NO"/>
              </w:rPr>
            </w:pPr>
            <w:r w:rsidRPr="00A8451D">
              <w:rPr>
                <w:color w:val="auto"/>
                <w:lang w:val="es-ES"/>
              </w:rPr>
              <w:t>Mediana SG (meses)</w:t>
            </w:r>
          </w:p>
        </w:tc>
        <w:tc>
          <w:tcPr>
            <w:tcW w:w="2946" w:type="dxa"/>
            <w:noWrap/>
            <w:vAlign w:val="bottom"/>
          </w:tcPr>
          <w:p w14:paraId="262A8939" w14:textId="77777777" w:rsidR="00A8451D" w:rsidRPr="00A8451D" w:rsidRDefault="00A8451D" w:rsidP="00FD7378">
            <w:pPr>
              <w:spacing w:after="0" w:line="240" w:lineRule="auto"/>
              <w:ind w:left="0" w:firstLine="0"/>
              <w:jc w:val="center"/>
              <w:rPr>
                <w:lang w:val="nb-NO"/>
              </w:rPr>
            </w:pPr>
            <w:r w:rsidRPr="00A8451D">
              <w:rPr>
                <w:color w:val="auto"/>
                <w:lang w:val="es-ES"/>
              </w:rPr>
              <w:t>13,3</w:t>
            </w:r>
          </w:p>
        </w:tc>
        <w:tc>
          <w:tcPr>
            <w:tcW w:w="2524" w:type="dxa"/>
            <w:noWrap/>
            <w:vAlign w:val="bottom"/>
          </w:tcPr>
          <w:p w14:paraId="48DF24C0" w14:textId="77777777" w:rsidR="00A8451D" w:rsidRPr="00A8451D" w:rsidRDefault="00A8451D" w:rsidP="00FD7378">
            <w:pPr>
              <w:spacing w:after="0" w:line="240" w:lineRule="auto"/>
              <w:ind w:left="0" w:firstLine="0"/>
              <w:jc w:val="center"/>
              <w:rPr>
                <w:lang w:val="nb-NO"/>
              </w:rPr>
            </w:pPr>
            <w:r w:rsidRPr="00A8451D">
              <w:rPr>
                <w:color w:val="auto"/>
                <w:lang w:val="es-ES"/>
              </w:rPr>
              <w:t>13,8</w:t>
            </w:r>
          </w:p>
        </w:tc>
      </w:tr>
      <w:tr w:rsidR="00A8451D" w:rsidRPr="00A8451D" w14:paraId="5786B661" w14:textId="77777777" w:rsidTr="006D35C1">
        <w:trPr>
          <w:trHeight w:val="444"/>
        </w:trPr>
        <w:tc>
          <w:tcPr>
            <w:tcW w:w="3507" w:type="dxa"/>
            <w:noWrap/>
          </w:tcPr>
          <w:p w14:paraId="78920ECA" w14:textId="77777777" w:rsidR="00A8451D" w:rsidRPr="00A8451D" w:rsidRDefault="00A8451D" w:rsidP="00FD7378">
            <w:pPr>
              <w:spacing w:after="0" w:line="240" w:lineRule="auto"/>
              <w:ind w:left="567" w:firstLine="0"/>
              <w:rPr>
                <w:lang w:val="nb-NO"/>
              </w:rPr>
            </w:pPr>
            <w:r w:rsidRPr="00A8451D">
              <w:rPr>
                <w:lang w:val="es-ES"/>
              </w:rPr>
              <w:t>Razón de riesgo (IC del 95%)</w:t>
            </w:r>
          </w:p>
        </w:tc>
        <w:tc>
          <w:tcPr>
            <w:tcW w:w="5471" w:type="dxa"/>
            <w:gridSpan w:val="2"/>
            <w:noWrap/>
          </w:tcPr>
          <w:p w14:paraId="164E5E5C" w14:textId="77777777" w:rsidR="00A8451D" w:rsidRPr="00A8451D" w:rsidRDefault="00A8451D" w:rsidP="00FD7378">
            <w:pPr>
              <w:spacing w:after="0" w:line="240" w:lineRule="auto"/>
              <w:ind w:left="0" w:firstLine="0"/>
              <w:jc w:val="center"/>
              <w:rPr>
                <w:lang w:val="nb-NO"/>
              </w:rPr>
            </w:pPr>
            <w:r w:rsidRPr="00A8451D">
              <w:rPr>
                <w:color w:val="auto"/>
                <w:lang w:val="es-ES"/>
              </w:rPr>
              <w:t>1,07 [0,70</w:t>
            </w:r>
            <w:r w:rsidR="00AC160C">
              <w:rPr>
                <w:color w:val="auto"/>
                <w:lang w:val="es-ES"/>
              </w:rPr>
              <w:t>;</w:t>
            </w:r>
            <w:r w:rsidRPr="00A8451D">
              <w:rPr>
                <w:color w:val="auto"/>
                <w:lang w:val="es-ES"/>
              </w:rPr>
              <w:t xml:space="preserve"> 1,63]</w:t>
            </w:r>
          </w:p>
        </w:tc>
      </w:tr>
      <w:tr w:rsidR="00A8451D" w:rsidRPr="00A8451D" w14:paraId="20258ED0" w14:textId="77777777" w:rsidTr="006D35C1">
        <w:trPr>
          <w:trHeight w:val="293"/>
        </w:trPr>
        <w:tc>
          <w:tcPr>
            <w:tcW w:w="3507" w:type="dxa"/>
            <w:noWrap/>
            <w:vAlign w:val="bottom"/>
          </w:tcPr>
          <w:p w14:paraId="660F819A" w14:textId="77777777" w:rsidR="00A8451D" w:rsidRPr="00A8451D" w:rsidRDefault="00A8451D" w:rsidP="00FD7378">
            <w:pPr>
              <w:spacing w:after="0" w:line="240" w:lineRule="auto"/>
              <w:ind w:left="0" w:firstLine="0"/>
              <w:rPr>
                <w:lang w:val="nb-NO"/>
              </w:rPr>
            </w:pPr>
            <w:r w:rsidRPr="00A8451D">
              <w:rPr>
                <w:lang w:val="es-ES"/>
              </w:rPr>
              <w:t>DLP</w:t>
            </w:r>
          </w:p>
        </w:tc>
        <w:tc>
          <w:tcPr>
            <w:tcW w:w="5471" w:type="dxa"/>
            <w:gridSpan w:val="2"/>
            <w:noWrap/>
            <w:vAlign w:val="bottom"/>
          </w:tcPr>
          <w:p w14:paraId="7BEBCD07" w14:textId="77777777" w:rsidR="00A8451D" w:rsidRPr="00A8451D" w:rsidRDefault="00A8451D" w:rsidP="00A704E8">
            <w:pPr>
              <w:spacing w:after="0" w:line="240" w:lineRule="auto"/>
              <w:ind w:left="0" w:firstLine="0"/>
              <w:jc w:val="center"/>
              <w:rPr>
                <w:lang w:val="nb-NO"/>
              </w:rPr>
            </w:pPr>
            <w:r w:rsidRPr="00A8451D">
              <w:rPr>
                <w:color w:val="auto"/>
                <w:lang w:val="es-ES"/>
              </w:rPr>
              <w:t>N</w:t>
            </w:r>
            <w:r w:rsidR="00A704E8" w:rsidRPr="00E30038">
              <w:t> </w:t>
            </w:r>
            <w:r w:rsidRPr="00A8451D">
              <w:rPr>
                <w:color w:val="auto"/>
                <w:lang w:val="es-ES"/>
              </w:rPr>
              <w:t>=</w:t>
            </w:r>
            <w:r w:rsidR="00A704E8" w:rsidRPr="00E30038">
              <w:t> </w:t>
            </w:r>
            <w:r w:rsidRPr="00A8451D">
              <w:rPr>
                <w:color w:val="auto"/>
                <w:lang w:val="es-ES"/>
              </w:rPr>
              <w:t>126</w:t>
            </w:r>
          </w:p>
        </w:tc>
      </w:tr>
      <w:tr w:rsidR="00A8451D" w:rsidRPr="00A8451D" w14:paraId="192C245C" w14:textId="77777777" w:rsidTr="006D35C1">
        <w:trPr>
          <w:trHeight w:val="293"/>
        </w:trPr>
        <w:tc>
          <w:tcPr>
            <w:tcW w:w="3507" w:type="dxa"/>
            <w:noWrap/>
            <w:vAlign w:val="bottom"/>
          </w:tcPr>
          <w:p w14:paraId="5BE49269" w14:textId="77777777" w:rsidR="00A8451D" w:rsidRPr="00A8451D" w:rsidRDefault="00A8451D" w:rsidP="00FD7378">
            <w:pPr>
              <w:spacing w:after="0" w:line="240" w:lineRule="auto"/>
              <w:ind w:left="567" w:firstLine="0"/>
              <w:rPr>
                <w:lang w:val="nb-NO"/>
              </w:rPr>
            </w:pPr>
            <w:r w:rsidRPr="00A8451D">
              <w:rPr>
                <w:color w:val="auto"/>
                <w:lang w:val="es-ES"/>
              </w:rPr>
              <w:t>Mediana SLP (meses)</w:t>
            </w:r>
          </w:p>
        </w:tc>
        <w:tc>
          <w:tcPr>
            <w:tcW w:w="2946" w:type="dxa"/>
            <w:noWrap/>
            <w:vAlign w:val="bottom"/>
          </w:tcPr>
          <w:p w14:paraId="6AD19F9B" w14:textId="77777777" w:rsidR="00A8451D" w:rsidRPr="00A8451D" w:rsidRDefault="00A8451D" w:rsidP="00FD7378">
            <w:pPr>
              <w:spacing w:after="0" w:line="240" w:lineRule="auto"/>
              <w:ind w:left="0" w:firstLine="0"/>
              <w:jc w:val="center"/>
              <w:rPr>
                <w:lang w:val="nb-NO"/>
              </w:rPr>
            </w:pPr>
            <w:r w:rsidRPr="00A8451D">
              <w:rPr>
                <w:lang w:val="es-ES"/>
              </w:rPr>
              <w:t>3,5</w:t>
            </w:r>
          </w:p>
        </w:tc>
        <w:tc>
          <w:tcPr>
            <w:tcW w:w="2524" w:type="dxa"/>
            <w:noWrap/>
            <w:vAlign w:val="bottom"/>
          </w:tcPr>
          <w:p w14:paraId="06E4F8DF" w14:textId="77777777" w:rsidR="00A8451D" w:rsidRPr="00A8451D" w:rsidRDefault="00A8451D" w:rsidP="00FD7378">
            <w:pPr>
              <w:spacing w:after="0" w:line="240" w:lineRule="auto"/>
              <w:ind w:left="0" w:firstLine="0"/>
              <w:jc w:val="center"/>
              <w:rPr>
                <w:lang w:val="nb-NO"/>
              </w:rPr>
            </w:pPr>
            <w:r w:rsidRPr="00A8451D">
              <w:rPr>
                <w:color w:val="auto"/>
                <w:lang w:val="es-ES"/>
              </w:rPr>
              <w:t>5,1</w:t>
            </w:r>
          </w:p>
        </w:tc>
      </w:tr>
      <w:tr w:rsidR="00A8451D" w:rsidRPr="00A8451D" w14:paraId="057F22FA" w14:textId="77777777" w:rsidTr="006D35C1">
        <w:trPr>
          <w:trHeight w:val="293"/>
        </w:trPr>
        <w:tc>
          <w:tcPr>
            <w:tcW w:w="3507" w:type="dxa"/>
            <w:noWrap/>
            <w:vAlign w:val="bottom"/>
          </w:tcPr>
          <w:p w14:paraId="4D7B8A61" w14:textId="77777777" w:rsidR="00A8451D" w:rsidRPr="00A8451D" w:rsidRDefault="00A8451D" w:rsidP="00FD7378">
            <w:pPr>
              <w:spacing w:after="0" w:line="240" w:lineRule="auto"/>
              <w:ind w:left="567" w:firstLine="0"/>
              <w:rPr>
                <w:lang w:val="nb-NO"/>
              </w:rPr>
            </w:pPr>
            <w:r w:rsidRPr="00A8451D">
              <w:rPr>
                <w:color w:val="auto"/>
                <w:lang w:val="es-ES"/>
              </w:rPr>
              <w:t>Razón de riesgo (IC del 95</w:t>
            </w:r>
            <w:proofErr w:type="gramStart"/>
            <w:r w:rsidRPr="00A8451D">
              <w:rPr>
                <w:color w:val="auto"/>
                <w:lang w:val="es-ES"/>
              </w:rPr>
              <w:t>%)*</w:t>
            </w:r>
            <w:proofErr w:type="gramEnd"/>
          </w:p>
        </w:tc>
        <w:tc>
          <w:tcPr>
            <w:tcW w:w="5471" w:type="dxa"/>
            <w:gridSpan w:val="2"/>
            <w:noWrap/>
            <w:vAlign w:val="bottom"/>
          </w:tcPr>
          <w:p w14:paraId="1778847B" w14:textId="77777777" w:rsidR="00A8451D" w:rsidRPr="00A8451D" w:rsidRDefault="00A8451D" w:rsidP="00FD7378">
            <w:pPr>
              <w:spacing w:after="0" w:line="240" w:lineRule="auto"/>
              <w:ind w:left="0" w:firstLine="0"/>
              <w:jc w:val="center"/>
              <w:rPr>
                <w:lang w:val="nb-NO"/>
              </w:rPr>
            </w:pPr>
            <w:r w:rsidRPr="00A8451D">
              <w:rPr>
                <w:color w:val="auto"/>
                <w:lang w:val="es-ES"/>
              </w:rPr>
              <w:t>0,53 [0,36</w:t>
            </w:r>
            <w:r w:rsidR="00AC160C">
              <w:rPr>
                <w:color w:val="auto"/>
                <w:lang w:val="es-ES"/>
              </w:rPr>
              <w:t>;</w:t>
            </w:r>
            <w:r w:rsidRPr="00A8451D">
              <w:rPr>
                <w:color w:val="auto"/>
                <w:lang w:val="es-ES"/>
              </w:rPr>
              <w:t xml:space="preserve"> 0,77]</w:t>
            </w:r>
          </w:p>
        </w:tc>
      </w:tr>
      <w:tr w:rsidR="00A8451D" w:rsidRPr="00A8451D" w14:paraId="5E0FC158" w14:textId="77777777" w:rsidTr="006D35C1">
        <w:trPr>
          <w:trHeight w:val="293"/>
        </w:trPr>
        <w:tc>
          <w:tcPr>
            <w:tcW w:w="3507" w:type="dxa"/>
            <w:noWrap/>
            <w:vAlign w:val="bottom"/>
          </w:tcPr>
          <w:p w14:paraId="796D7E73" w14:textId="77777777" w:rsidR="00A8451D" w:rsidRPr="00A8451D" w:rsidRDefault="00A8451D" w:rsidP="00FD7378">
            <w:pPr>
              <w:spacing w:after="0" w:line="240" w:lineRule="auto"/>
              <w:ind w:left="567" w:firstLine="0"/>
              <w:rPr>
                <w:lang w:val="nb-NO"/>
              </w:rPr>
            </w:pPr>
            <w:r w:rsidRPr="00A8451D">
              <w:rPr>
                <w:color w:val="auto"/>
                <w:lang w:val="es-ES"/>
              </w:rPr>
              <w:t>Mediana SG (meses)</w:t>
            </w:r>
          </w:p>
        </w:tc>
        <w:tc>
          <w:tcPr>
            <w:tcW w:w="2946" w:type="dxa"/>
            <w:noWrap/>
            <w:vAlign w:val="bottom"/>
          </w:tcPr>
          <w:p w14:paraId="7898F35E" w14:textId="77777777" w:rsidR="00A8451D" w:rsidRPr="00A8451D" w:rsidRDefault="00A8451D" w:rsidP="00FD7378">
            <w:pPr>
              <w:spacing w:after="0" w:line="240" w:lineRule="auto"/>
              <w:ind w:left="0" w:firstLine="0"/>
              <w:jc w:val="center"/>
              <w:rPr>
                <w:lang w:val="nb-NO"/>
              </w:rPr>
            </w:pPr>
            <w:r w:rsidRPr="00A8451D">
              <w:rPr>
                <w:color w:val="auto"/>
                <w:lang w:val="es-ES"/>
              </w:rPr>
              <w:t>14,1</w:t>
            </w:r>
          </w:p>
        </w:tc>
        <w:tc>
          <w:tcPr>
            <w:tcW w:w="2524" w:type="dxa"/>
            <w:noWrap/>
            <w:vAlign w:val="bottom"/>
          </w:tcPr>
          <w:p w14:paraId="1EBD4514" w14:textId="77777777" w:rsidR="00A8451D" w:rsidRPr="00A8451D" w:rsidRDefault="00A8451D" w:rsidP="00FD7378">
            <w:pPr>
              <w:spacing w:after="0" w:line="240" w:lineRule="auto"/>
              <w:ind w:left="0" w:firstLine="0"/>
              <w:jc w:val="center"/>
              <w:rPr>
                <w:lang w:val="nb-NO"/>
              </w:rPr>
            </w:pPr>
            <w:r w:rsidRPr="00A8451D">
              <w:rPr>
                <w:color w:val="auto"/>
                <w:lang w:val="es-ES"/>
              </w:rPr>
              <w:t>13,7</w:t>
            </w:r>
          </w:p>
        </w:tc>
      </w:tr>
      <w:tr w:rsidR="00A8451D" w:rsidRPr="00A8451D" w14:paraId="517877D2" w14:textId="77777777" w:rsidTr="006D35C1">
        <w:trPr>
          <w:trHeight w:val="293"/>
        </w:trPr>
        <w:tc>
          <w:tcPr>
            <w:tcW w:w="3507" w:type="dxa"/>
            <w:noWrap/>
            <w:vAlign w:val="bottom"/>
          </w:tcPr>
          <w:p w14:paraId="1D7925D6" w14:textId="77777777" w:rsidR="00A8451D" w:rsidRPr="00A8451D" w:rsidRDefault="00A8451D" w:rsidP="00FD7378">
            <w:pPr>
              <w:spacing w:after="0" w:line="240" w:lineRule="auto"/>
              <w:ind w:left="567" w:firstLine="0"/>
              <w:rPr>
                <w:lang w:val="nb-NO"/>
              </w:rPr>
            </w:pPr>
            <w:r w:rsidRPr="00A8451D">
              <w:rPr>
                <w:color w:val="auto"/>
                <w:lang w:val="es-ES"/>
              </w:rPr>
              <w:t>Razón de riesgo (IC del 95</w:t>
            </w:r>
            <w:proofErr w:type="gramStart"/>
            <w:r w:rsidRPr="00A8451D">
              <w:rPr>
                <w:color w:val="auto"/>
                <w:lang w:val="es-ES"/>
              </w:rPr>
              <w:t>%)*</w:t>
            </w:r>
            <w:proofErr w:type="gramEnd"/>
          </w:p>
        </w:tc>
        <w:tc>
          <w:tcPr>
            <w:tcW w:w="5471" w:type="dxa"/>
            <w:gridSpan w:val="2"/>
            <w:noWrap/>
            <w:vAlign w:val="bottom"/>
          </w:tcPr>
          <w:p w14:paraId="4BAD468D" w14:textId="77777777" w:rsidR="00A8451D" w:rsidRPr="00A8451D" w:rsidRDefault="00A8451D" w:rsidP="00FD7378">
            <w:pPr>
              <w:spacing w:after="0" w:line="240" w:lineRule="auto"/>
              <w:ind w:left="0" w:firstLine="0"/>
              <w:jc w:val="center"/>
              <w:rPr>
                <w:lang w:val="nb-NO"/>
              </w:rPr>
            </w:pPr>
            <w:r w:rsidRPr="00A8451D">
              <w:rPr>
                <w:color w:val="auto"/>
                <w:lang w:val="es-ES"/>
              </w:rPr>
              <w:t>0,91 [0,61</w:t>
            </w:r>
            <w:r w:rsidR="00AC160C">
              <w:rPr>
                <w:color w:val="auto"/>
                <w:lang w:val="es-ES"/>
              </w:rPr>
              <w:t>;</w:t>
            </w:r>
            <w:r w:rsidRPr="00A8451D">
              <w:rPr>
                <w:color w:val="auto"/>
                <w:lang w:val="es-ES"/>
              </w:rPr>
              <w:t xml:space="preserve"> 1,35]</w:t>
            </w:r>
          </w:p>
        </w:tc>
      </w:tr>
    </w:tbl>
    <w:p w14:paraId="1599A303" w14:textId="77777777" w:rsidR="00FB24C0" w:rsidRPr="006D35C1" w:rsidRDefault="00FB24C0" w:rsidP="00FB24C0">
      <w:pPr>
        <w:spacing w:after="0" w:line="240" w:lineRule="auto"/>
        <w:ind w:left="0" w:firstLine="0"/>
        <w:rPr>
          <w:i/>
          <w:color w:val="auto"/>
          <w:lang w:val="es-ES"/>
        </w:rPr>
      </w:pPr>
    </w:p>
    <w:p w14:paraId="420F56E6" w14:textId="77777777" w:rsidR="00FB24C0" w:rsidRPr="006D35C1" w:rsidRDefault="00FB24C0" w:rsidP="00FB24C0">
      <w:pPr>
        <w:keepNext/>
        <w:spacing w:after="0" w:line="240" w:lineRule="auto"/>
        <w:ind w:left="0" w:firstLine="0"/>
        <w:rPr>
          <w:color w:val="auto"/>
          <w:lang w:val="es-ES"/>
        </w:rPr>
      </w:pPr>
      <w:r w:rsidRPr="006D35C1">
        <w:rPr>
          <w:i/>
          <w:color w:val="auto"/>
          <w:u w:val="single" w:color="000000"/>
          <w:lang w:val="es-ES"/>
        </w:rPr>
        <w:t>Cáncer de cérvix</w:t>
      </w:r>
    </w:p>
    <w:p w14:paraId="618580DB" w14:textId="77777777" w:rsidR="00FB24C0" w:rsidRPr="006D35C1" w:rsidRDefault="00FB24C0" w:rsidP="00FB24C0">
      <w:pPr>
        <w:keepNext/>
        <w:spacing w:after="0" w:line="240" w:lineRule="auto"/>
        <w:ind w:left="0" w:firstLine="0"/>
        <w:rPr>
          <w:color w:val="auto"/>
          <w:lang w:val="es-ES"/>
        </w:rPr>
      </w:pPr>
    </w:p>
    <w:p w14:paraId="59AD4074" w14:textId="77777777" w:rsidR="00FB24C0" w:rsidRPr="006D35C1" w:rsidRDefault="00FB24C0" w:rsidP="000578B6">
      <w:pPr>
        <w:keepNext/>
        <w:spacing w:after="0" w:line="240" w:lineRule="auto"/>
        <w:ind w:left="0" w:firstLine="0"/>
        <w:rPr>
          <w:i/>
          <w:color w:val="auto"/>
          <w:lang w:val="es-ES"/>
        </w:rPr>
      </w:pPr>
      <w:r w:rsidRPr="006D35C1">
        <w:rPr>
          <w:i/>
          <w:color w:val="auto"/>
          <w:lang w:val="es-ES"/>
        </w:rPr>
        <w:t>GOG-0240</w:t>
      </w:r>
    </w:p>
    <w:p w14:paraId="668E7562" w14:textId="77777777" w:rsidR="00FB24C0" w:rsidRPr="006D35C1" w:rsidRDefault="00FB24C0" w:rsidP="00FB24C0">
      <w:pPr>
        <w:spacing w:after="0" w:line="240" w:lineRule="auto"/>
        <w:ind w:left="0" w:firstLine="0"/>
        <w:rPr>
          <w:color w:val="auto"/>
          <w:lang w:val="es-ES"/>
        </w:rPr>
      </w:pPr>
      <w:r w:rsidRPr="006D35C1">
        <w:rPr>
          <w:color w:val="auto"/>
          <w:lang w:val="es-ES"/>
        </w:rPr>
        <w:t xml:space="preserve">El ensayo GOG-0240, fase III aleatorizado, de cuatro brazos, abierto y multicéntrico se ha evaluado la eficacia y seguridad de </w:t>
      </w:r>
      <w:r w:rsidR="00863B46">
        <w:rPr>
          <w:color w:val="auto"/>
          <w:lang w:val="es-ES"/>
        </w:rPr>
        <w:t>bevacizumab</w:t>
      </w:r>
      <w:r w:rsidRPr="006D35C1">
        <w:rPr>
          <w:color w:val="auto"/>
          <w:lang w:val="es-ES"/>
        </w:rPr>
        <w:t xml:space="preserve"> en combinación con quimioterapia (</w:t>
      </w:r>
      <w:proofErr w:type="spellStart"/>
      <w:r w:rsidRPr="006D35C1">
        <w:rPr>
          <w:color w:val="auto"/>
          <w:lang w:val="es-ES"/>
        </w:rPr>
        <w:t>paclitaxel</w:t>
      </w:r>
      <w:proofErr w:type="spellEnd"/>
      <w:r w:rsidRPr="006D35C1">
        <w:rPr>
          <w:color w:val="auto"/>
          <w:lang w:val="es-ES"/>
        </w:rPr>
        <w:t xml:space="preserve"> y cisplatino o </w:t>
      </w:r>
      <w:proofErr w:type="spellStart"/>
      <w:r w:rsidRPr="006D35C1">
        <w:rPr>
          <w:color w:val="auto"/>
          <w:lang w:val="es-ES"/>
        </w:rPr>
        <w:t>paclitaxel</w:t>
      </w:r>
      <w:proofErr w:type="spellEnd"/>
      <w:r w:rsidRPr="006D35C1">
        <w:rPr>
          <w:color w:val="auto"/>
          <w:lang w:val="es-ES"/>
        </w:rPr>
        <w:t xml:space="preserve"> y </w:t>
      </w:r>
      <w:proofErr w:type="spellStart"/>
      <w:r w:rsidRPr="006D35C1">
        <w:rPr>
          <w:color w:val="auto"/>
          <w:lang w:val="es-ES"/>
        </w:rPr>
        <w:t>topotecán</w:t>
      </w:r>
      <w:proofErr w:type="spellEnd"/>
      <w:r w:rsidRPr="006D35C1">
        <w:rPr>
          <w:color w:val="auto"/>
          <w:lang w:val="es-ES"/>
        </w:rPr>
        <w:t>) en el tratamiento de pacientes con carcinoma de cérvix persistente, recurrente o metastásico.</w:t>
      </w:r>
    </w:p>
    <w:p w14:paraId="023A293D" w14:textId="77777777" w:rsidR="00FB24C0" w:rsidRPr="006D35C1" w:rsidRDefault="00FB24C0" w:rsidP="00FB24C0">
      <w:pPr>
        <w:spacing w:after="0" w:line="240" w:lineRule="auto"/>
        <w:ind w:left="0" w:firstLine="0"/>
        <w:rPr>
          <w:color w:val="auto"/>
          <w:lang w:val="es-ES"/>
        </w:rPr>
      </w:pPr>
    </w:p>
    <w:p w14:paraId="0C4CCD93" w14:textId="77777777" w:rsidR="00FB24C0" w:rsidRPr="006D35C1" w:rsidRDefault="00FB24C0" w:rsidP="00FB24C0">
      <w:pPr>
        <w:spacing w:after="0" w:line="240" w:lineRule="auto"/>
        <w:ind w:left="0" w:firstLine="0"/>
        <w:rPr>
          <w:color w:val="auto"/>
          <w:lang w:val="es-ES"/>
        </w:rPr>
      </w:pPr>
      <w:r w:rsidRPr="006D35C1">
        <w:rPr>
          <w:color w:val="auto"/>
          <w:lang w:val="es-ES"/>
        </w:rPr>
        <w:t>Un total de 452 pacientes fueron aleatorizados para recibir tanto:</w:t>
      </w:r>
    </w:p>
    <w:p w14:paraId="79772DA8" w14:textId="77777777" w:rsidR="00FB24C0" w:rsidRPr="006D35C1" w:rsidRDefault="00FB24C0" w:rsidP="00FB24C0">
      <w:pPr>
        <w:spacing w:after="0" w:line="240" w:lineRule="auto"/>
        <w:ind w:left="0" w:firstLine="0"/>
        <w:rPr>
          <w:color w:val="auto"/>
          <w:lang w:val="es-ES"/>
        </w:rPr>
      </w:pPr>
    </w:p>
    <w:p w14:paraId="6C1F9223" w14:textId="77777777" w:rsidR="00FB24C0" w:rsidRPr="00443040" w:rsidRDefault="00FB24C0" w:rsidP="00FB24C0">
      <w:pPr>
        <w:numPr>
          <w:ilvl w:val="0"/>
          <w:numId w:val="17"/>
        </w:numPr>
        <w:spacing w:after="0" w:line="240" w:lineRule="auto"/>
        <w:ind w:left="567" w:hanging="567"/>
        <w:rPr>
          <w:color w:val="auto"/>
          <w:lang w:val="es-ES"/>
        </w:rPr>
      </w:pPr>
      <w:proofErr w:type="spellStart"/>
      <w:r w:rsidRPr="00443040">
        <w:rPr>
          <w:color w:val="auto"/>
          <w:lang w:val="es-ES"/>
        </w:rPr>
        <w:t>Paclitaxel</w:t>
      </w:r>
      <w:proofErr w:type="spellEnd"/>
      <w:r w:rsidRPr="00443040">
        <w:rPr>
          <w:color w:val="auto"/>
          <w:lang w:val="es-ES"/>
        </w:rPr>
        <w:t xml:space="preserve"> 135 mg/m</w:t>
      </w:r>
      <w:r w:rsidRPr="00443040">
        <w:rPr>
          <w:color w:val="auto"/>
          <w:vertAlign w:val="superscript"/>
          <w:lang w:val="es-ES"/>
        </w:rPr>
        <w:t xml:space="preserve">2 </w:t>
      </w:r>
      <w:r w:rsidRPr="00443040">
        <w:rPr>
          <w:color w:val="auto"/>
          <w:lang w:val="es-ES"/>
        </w:rPr>
        <w:t>IV durante 24 horas el día 1 y cisplatino 50 mg/m</w:t>
      </w:r>
      <w:r w:rsidRPr="00443040">
        <w:rPr>
          <w:color w:val="auto"/>
          <w:vertAlign w:val="superscript"/>
          <w:lang w:val="es-ES"/>
        </w:rPr>
        <w:t>2</w:t>
      </w:r>
      <w:r w:rsidRPr="00443040">
        <w:rPr>
          <w:color w:val="auto"/>
          <w:lang w:val="es-ES"/>
        </w:rPr>
        <w:t xml:space="preserve"> el día 2, cada 3 semana; </w:t>
      </w:r>
      <w:proofErr w:type="spellStart"/>
      <w:r w:rsidRPr="00443040">
        <w:rPr>
          <w:color w:val="auto"/>
          <w:lang w:val="es-ES"/>
        </w:rPr>
        <w:t>ó</w:t>
      </w:r>
      <w:proofErr w:type="spellEnd"/>
    </w:p>
    <w:p w14:paraId="12362D0C" w14:textId="77777777" w:rsidR="00FB24C0" w:rsidRPr="00443040" w:rsidRDefault="00FB24C0" w:rsidP="00FB24C0">
      <w:pPr>
        <w:spacing w:after="0" w:line="240" w:lineRule="auto"/>
        <w:ind w:left="567" w:firstLine="0"/>
        <w:rPr>
          <w:color w:val="auto"/>
          <w:lang w:val="es-ES"/>
        </w:rPr>
      </w:pPr>
      <w:proofErr w:type="spellStart"/>
      <w:r w:rsidRPr="00443040">
        <w:rPr>
          <w:color w:val="auto"/>
          <w:lang w:val="es-ES"/>
        </w:rPr>
        <w:t>Paclitaxel</w:t>
      </w:r>
      <w:proofErr w:type="spellEnd"/>
      <w:r w:rsidRPr="00443040">
        <w:rPr>
          <w:color w:val="auto"/>
          <w:lang w:val="es-ES"/>
        </w:rPr>
        <w:t xml:space="preserve"> 175 mg/m</w:t>
      </w:r>
      <w:r w:rsidRPr="00443040">
        <w:rPr>
          <w:color w:val="auto"/>
          <w:vertAlign w:val="superscript"/>
          <w:lang w:val="es-ES"/>
        </w:rPr>
        <w:t>2</w:t>
      </w:r>
      <w:r w:rsidRPr="00443040">
        <w:rPr>
          <w:color w:val="auto"/>
          <w:lang w:val="es-ES"/>
        </w:rPr>
        <w:t xml:space="preserve"> IV durante 3 horas el día 1 y cisplatino 50 mg/ m</w:t>
      </w:r>
      <w:r w:rsidRPr="00443040">
        <w:rPr>
          <w:color w:val="auto"/>
          <w:vertAlign w:val="superscript"/>
          <w:lang w:val="es-ES"/>
        </w:rPr>
        <w:t>2</w:t>
      </w:r>
      <w:r w:rsidRPr="00443040">
        <w:rPr>
          <w:color w:val="auto"/>
          <w:lang w:val="es-ES"/>
        </w:rPr>
        <w:t xml:space="preserve"> IV el día 2 (cada 3 semanas); </w:t>
      </w:r>
      <w:proofErr w:type="spellStart"/>
      <w:r w:rsidRPr="00443040">
        <w:rPr>
          <w:color w:val="auto"/>
          <w:lang w:val="es-ES"/>
        </w:rPr>
        <w:t>ó</w:t>
      </w:r>
      <w:proofErr w:type="spellEnd"/>
    </w:p>
    <w:p w14:paraId="436AE13A" w14:textId="77777777" w:rsidR="00FB24C0" w:rsidRPr="00443040" w:rsidRDefault="00FB24C0" w:rsidP="00FB24C0">
      <w:pPr>
        <w:spacing w:after="0" w:line="240" w:lineRule="auto"/>
        <w:ind w:left="567" w:firstLine="0"/>
        <w:rPr>
          <w:color w:val="auto"/>
          <w:lang w:val="es-ES"/>
        </w:rPr>
      </w:pPr>
      <w:proofErr w:type="spellStart"/>
      <w:r w:rsidRPr="00443040">
        <w:rPr>
          <w:color w:val="auto"/>
          <w:lang w:val="es-ES"/>
        </w:rPr>
        <w:t>Paclitaxel</w:t>
      </w:r>
      <w:proofErr w:type="spellEnd"/>
      <w:r w:rsidRPr="00443040">
        <w:rPr>
          <w:color w:val="auto"/>
          <w:lang w:val="es-ES"/>
        </w:rPr>
        <w:t xml:space="preserve"> 175 mg/ m</w:t>
      </w:r>
      <w:r w:rsidRPr="00443040">
        <w:rPr>
          <w:color w:val="auto"/>
          <w:vertAlign w:val="superscript"/>
          <w:lang w:val="es-ES"/>
        </w:rPr>
        <w:t>2</w:t>
      </w:r>
      <w:r w:rsidRPr="00443040">
        <w:rPr>
          <w:color w:val="auto"/>
          <w:lang w:val="es-ES"/>
        </w:rPr>
        <w:t xml:space="preserve"> IV durante 3 horas el día 1 y cisplatino 50 mg/ m</w:t>
      </w:r>
      <w:r w:rsidRPr="00443040">
        <w:rPr>
          <w:color w:val="auto"/>
          <w:vertAlign w:val="superscript"/>
          <w:lang w:val="es-ES"/>
        </w:rPr>
        <w:t>2</w:t>
      </w:r>
      <w:r w:rsidRPr="00443040">
        <w:rPr>
          <w:color w:val="auto"/>
          <w:lang w:val="es-ES"/>
        </w:rPr>
        <w:t xml:space="preserve"> IV el día 1 (cada 3 semanas)</w:t>
      </w:r>
    </w:p>
    <w:p w14:paraId="764F4CED" w14:textId="77777777" w:rsidR="00FB24C0" w:rsidRPr="00443040" w:rsidRDefault="00FB24C0" w:rsidP="006D35C1">
      <w:pPr>
        <w:spacing w:after="0" w:line="240" w:lineRule="auto"/>
        <w:ind w:left="0" w:firstLine="0"/>
        <w:rPr>
          <w:color w:val="auto"/>
          <w:lang w:val="es-ES"/>
        </w:rPr>
      </w:pPr>
    </w:p>
    <w:p w14:paraId="5B471EA6" w14:textId="77777777" w:rsidR="00FB24C0" w:rsidRPr="00443040" w:rsidRDefault="00FB24C0" w:rsidP="00FB24C0">
      <w:pPr>
        <w:numPr>
          <w:ilvl w:val="0"/>
          <w:numId w:val="17"/>
        </w:numPr>
        <w:spacing w:after="0" w:line="240" w:lineRule="auto"/>
        <w:ind w:left="567" w:hanging="567"/>
        <w:rPr>
          <w:color w:val="auto"/>
          <w:lang w:val="es-ES"/>
        </w:rPr>
      </w:pPr>
      <w:proofErr w:type="spellStart"/>
      <w:r w:rsidRPr="00443040">
        <w:rPr>
          <w:color w:val="auto"/>
          <w:lang w:val="es-ES"/>
        </w:rPr>
        <w:t>Paclitaxel</w:t>
      </w:r>
      <w:proofErr w:type="spellEnd"/>
      <w:r w:rsidRPr="00443040">
        <w:rPr>
          <w:color w:val="auto"/>
          <w:lang w:val="es-ES"/>
        </w:rPr>
        <w:t xml:space="preserve"> 135 mg/m</w:t>
      </w:r>
      <w:r w:rsidRPr="00443040">
        <w:rPr>
          <w:color w:val="auto"/>
          <w:vertAlign w:val="superscript"/>
          <w:lang w:val="es-ES"/>
        </w:rPr>
        <w:t xml:space="preserve">2 </w:t>
      </w:r>
      <w:r w:rsidRPr="00443040">
        <w:rPr>
          <w:color w:val="auto"/>
          <w:lang w:val="es-ES"/>
        </w:rPr>
        <w:t>IV durante 24 horas el día 1 y cisplatino 50 mg/m</w:t>
      </w:r>
      <w:r w:rsidRPr="00443040">
        <w:rPr>
          <w:color w:val="auto"/>
          <w:vertAlign w:val="superscript"/>
          <w:lang w:val="es-ES"/>
        </w:rPr>
        <w:t>2</w:t>
      </w:r>
      <w:r w:rsidRPr="00443040">
        <w:rPr>
          <w:color w:val="auto"/>
          <w:lang w:val="es-ES"/>
        </w:rPr>
        <w:t xml:space="preserve"> el día 2 más bevacizumab 15 mg/kg IV en el día 2 (cada 3 semanas); </w:t>
      </w:r>
      <w:proofErr w:type="spellStart"/>
      <w:r w:rsidRPr="00443040">
        <w:rPr>
          <w:color w:val="auto"/>
          <w:lang w:val="es-ES"/>
        </w:rPr>
        <w:t>ó</w:t>
      </w:r>
      <w:proofErr w:type="spellEnd"/>
    </w:p>
    <w:p w14:paraId="526FBE90" w14:textId="77777777" w:rsidR="00FB24C0" w:rsidRPr="00443040" w:rsidRDefault="00FB24C0" w:rsidP="00FB24C0">
      <w:pPr>
        <w:spacing w:after="0" w:line="240" w:lineRule="auto"/>
        <w:ind w:left="567" w:firstLine="0"/>
        <w:rPr>
          <w:color w:val="auto"/>
          <w:lang w:val="es-ES"/>
        </w:rPr>
      </w:pPr>
      <w:proofErr w:type="spellStart"/>
      <w:r w:rsidRPr="00443040">
        <w:rPr>
          <w:color w:val="auto"/>
          <w:lang w:val="es-ES"/>
        </w:rPr>
        <w:t>Paclitaxel</w:t>
      </w:r>
      <w:proofErr w:type="spellEnd"/>
      <w:r w:rsidRPr="00443040">
        <w:rPr>
          <w:color w:val="auto"/>
          <w:lang w:val="es-ES"/>
        </w:rPr>
        <w:t xml:space="preserve"> 175 mg/m</w:t>
      </w:r>
      <w:r w:rsidRPr="00443040">
        <w:rPr>
          <w:color w:val="auto"/>
          <w:vertAlign w:val="superscript"/>
          <w:lang w:val="es-ES"/>
        </w:rPr>
        <w:t>2</w:t>
      </w:r>
      <w:r w:rsidRPr="00443040">
        <w:rPr>
          <w:color w:val="auto"/>
          <w:lang w:val="es-ES"/>
        </w:rPr>
        <w:t xml:space="preserve"> IV durante 3 horas el día 1 y cisplatino 50 mg/ m</w:t>
      </w:r>
      <w:r w:rsidRPr="00443040">
        <w:rPr>
          <w:color w:val="auto"/>
          <w:vertAlign w:val="superscript"/>
          <w:lang w:val="es-ES"/>
        </w:rPr>
        <w:t>2</w:t>
      </w:r>
      <w:r w:rsidRPr="00443040">
        <w:rPr>
          <w:color w:val="auto"/>
          <w:lang w:val="es-ES"/>
        </w:rPr>
        <w:t xml:space="preserve"> IV el día 2 más</w:t>
      </w:r>
    </w:p>
    <w:p w14:paraId="23EE889C" w14:textId="77777777" w:rsidR="00FB24C0" w:rsidRPr="00443040" w:rsidRDefault="00FB24C0" w:rsidP="00FB24C0">
      <w:pPr>
        <w:spacing w:after="0" w:line="240" w:lineRule="auto"/>
        <w:ind w:left="567" w:firstLine="0"/>
        <w:rPr>
          <w:color w:val="auto"/>
          <w:lang w:val="es-ES"/>
        </w:rPr>
      </w:pPr>
      <w:r w:rsidRPr="00443040">
        <w:rPr>
          <w:color w:val="auto"/>
          <w:lang w:val="es-ES"/>
        </w:rPr>
        <w:lastRenderedPageBreak/>
        <w:t xml:space="preserve">Bevacizumab 15 mg/kg IV en el día 2 (cada 3 semanas); </w:t>
      </w:r>
      <w:proofErr w:type="spellStart"/>
      <w:r w:rsidRPr="00443040">
        <w:rPr>
          <w:color w:val="auto"/>
          <w:lang w:val="es-ES"/>
        </w:rPr>
        <w:t>ó</w:t>
      </w:r>
      <w:proofErr w:type="spellEnd"/>
    </w:p>
    <w:p w14:paraId="10FB8A89" w14:textId="77777777" w:rsidR="00FB24C0" w:rsidRPr="00443040" w:rsidRDefault="00FB24C0" w:rsidP="00FB24C0">
      <w:pPr>
        <w:spacing w:after="0" w:line="240" w:lineRule="auto"/>
        <w:ind w:left="567" w:firstLine="0"/>
        <w:rPr>
          <w:color w:val="auto"/>
          <w:lang w:val="es-ES"/>
        </w:rPr>
      </w:pPr>
      <w:proofErr w:type="spellStart"/>
      <w:r w:rsidRPr="00443040">
        <w:rPr>
          <w:color w:val="auto"/>
          <w:lang w:val="es-ES"/>
        </w:rPr>
        <w:t>Paclitaxel</w:t>
      </w:r>
      <w:proofErr w:type="spellEnd"/>
      <w:r w:rsidRPr="00443040">
        <w:rPr>
          <w:color w:val="auto"/>
          <w:lang w:val="es-ES"/>
        </w:rPr>
        <w:t xml:space="preserve"> 175 mg/m</w:t>
      </w:r>
      <w:r w:rsidRPr="00443040">
        <w:rPr>
          <w:color w:val="auto"/>
          <w:vertAlign w:val="superscript"/>
          <w:lang w:val="es-ES"/>
        </w:rPr>
        <w:t>2</w:t>
      </w:r>
      <w:r w:rsidRPr="00443040">
        <w:rPr>
          <w:color w:val="auto"/>
          <w:lang w:val="es-ES"/>
        </w:rPr>
        <w:t xml:space="preserve"> IV durante 3 horas el día 1 y cisplatino 50 mg/ m</w:t>
      </w:r>
      <w:r w:rsidRPr="00443040">
        <w:rPr>
          <w:color w:val="auto"/>
          <w:vertAlign w:val="superscript"/>
          <w:lang w:val="es-ES"/>
        </w:rPr>
        <w:t>2</w:t>
      </w:r>
      <w:r w:rsidRPr="00443040">
        <w:rPr>
          <w:color w:val="auto"/>
          <w:lang w:val="es-ES"/>
        </w:rPr>
        <w:t xml:space="preserve"> IV el día 1 más</w:t>
      </w:r>
    </w:p>
    <w:p w14:paraId="1CFE76A6" w14:textId="77777777" w:rsidR="00FB24C0" w:rsidRPr="00443040" w:rsidRDefault="00FB24C0" w:rsidP="00FB24C0">
      <w:pPr>
        <w:spacing w:after="0" w:line="240" w:lineRule="auto"/>
        <w:ind w:left="567" w:firstLine="0"/>
        <w:rPr>
          <w:color w:val="auto"/>
          <w:lang w:val="es-ES"/>
        </w:rPr>
      </w:pPr>
      <w:r w:rsidRPr="00443040">
        <w:rPr>
          <w:color w:val="auto"/>
          <w:lang w:val="es-ES"/>
        </w:rPr>
        <w:t>Bevacizumab 15 mg/kg IV en el día 1 (cada 3 semanas)</w:t>
      </w:r>
    </w:p>
    <w:p w14:paraId="691A7FB7" w14:textId="77777777" w:rsidR="00FB24C0" w:rsidRPr="00443040" w:rsidRDefault="00FB24C0" w:rsidP="006D35C1">
      <w:pPr>
        <w:spacing w:after="0" w:line="240" w:lineRule="auto"/>
        <w:ind w:left="0" w:firstLine="0"/>
        <w:rPr>
          <w:color w:val="auto"/>
          <w:lang w:val="es-ES"/>
        </w:rPr>
      </w:pPr>
    </w:p>
    <w:p w14:paraId="38A27F46" w14:textId="7823C67D" w:rsidR="00FB24C0" w:rsidRPr="00443040" w:rsidRDefault="00FB24C0" w:rsidP="00FB24C0">
      <w:pPr>
        <w:numPr>
          <w:ilvl w:val="0"/>
          <w:numId w:val="17"/>
        </w:numPr>
        <w:spacing w:after="0" w:line="240" w:lineRule="auto"/>
        <w:ind w:left="567" w:hanging="567"/>
        <w:rPr>
          <w:color w:val="auto"/>
          <w:lang w:val="es-ES"/>
        </w:rPr>
      </w:pPr>
      <w:proofErr w:type="spellStart"/>
      <w:r w:rsidRPr="00443040">
        <w:rPr>
          <w:color w:val="auto"/>
          <w:lang w:val="es-ES"/>
        </w:rPr>
        <w:t>Paclitaxel</w:t>
      </w:r>
      <w:proofErr w:type="spellEnd"/>
      <w:r w:rsidRPr="00443040">
        <w:rPr>
          <w:color w:val="auto"/>
          <w:lang w:val="es-ES"/>
        </w:rPr>
        <w:t xml:space="preserve"> 175 mg/m</w:t>
      </w:r>
      <w:r w:rsidRPr="00443040">
        <w:rPr>
          <w:color w:val="auto"/>
          <w:vertAlign w:val="superscript"/>
          <w:lang w:val="es-ES"/>
        </w:rPr>
        <w:t xml:space="preserve">2 </w:t>
      </w:r>
      <w:r w:rsidRPr="00443040">
        <w:rPr>
          <w:color w:val="auto"/>
          <w:lang w:val="es-ES"/>
        </w:rPr>
        <w:t xml:space="preserve">IV durante 3 horas el día 1 y </w:t>
      </w:r>
      <w:proofErr w:type="spellStart"/>
      <w:r w:rsidRPr="00443040">
        <w:rPr>
          <w:color w:val="auto"/>
          <w:lang w:val="es-ES"/>
        </w:rPr>
        <w:t>topotecán</w:t>
      </w:r>
      <w:proofErr w:type="spellEnd"/>
      <w:r w:rsidRPr="00443040">
        <w:rPr>
          <w:color w:val="auto"/>
          <w:lang w:val="es-ES"/>
        </w:rPr>
        <w:t xml:space="preserve"> 0,75</w:t>
      </w:r>
      <w:r w:rsidR="00D27378">
        <w:rPr>
          <w:color w:val="auto"/>
          <w:lang w:val="es-ES"/>
        </w:rPr>
        <w:t> </w:t>
      </w:r>
      <w:r w:rsidRPr="00443040">
        <w:rPr>
          <w:color w:val="auto"/>
          <w:lang w:val="es-ES"/>
        </w:rPr>
        <w:t>mg/m</w:t>
      </w:r>
      <w:r w:rsidRPr="00443040">
        <w:rPr>
          <w:color w:val="auto"/>
          <w:vertAlign w:val="superscript"/>
          <w:lang w:val="es-ES"/>
        </w:rPr>
        <w:t>2</w:t>
      </w:r>
      <w:r w:rsidRPr="00443040">
        <w:rPr>
          <w:color w:val="auto"/>
          <w:lang w:val="es-ES"/>
        </w:rPr>
        <w:t xml:space="preserve"> IV durante 30 minutos los días 1-3 (cada 3 semanas)</w:t>
      </w:r>
    </w:p>
    <w:p w14:paraId="4CF97A91" w14:textId="77777777" w:rsidR="00FB24C0" w:rsidRPr="00443040" w:rsidRDefault="00FB24C0" w:rsidP="006D35C1">
      <w:pPr>
        <w:spacing w:after="0" w:line="240" w:lineRule="auto"/>
        <w:ind w:left="0" w:firstLine="0"/>
        <w:rPr>
          <w:color w:val="auto"/>
          <w:lang w:val="es-ES"/>
        </w:rPr>
      </w:pPr>
    </w:p>
    <w:p w14:paraId="19DFFA39" w14:textId="74458E99" w:rsidR="00FB24C0" w:rsidRPr="00443040" w:rsidRDefault="00FB24C0" w:rsidP="00FB24C0">
      <w:pPr>
        <w:numPr>
          <w:ilvl w:val="0"/>
          <w:numId w:val="17"/>
        </w:numPr>
        <w:spacing w:after="0" w:line="240" w:lineRule="auto"/>
        <w:ind w:left="567" w:hanging="567"/>
        <w:rPr>
          <w:color w:val="auto"/>
          <w:lang w:val="es-ES"/>
        </w:rPr>
      </w:pPr>
      <w:proofErr w:type="spellStart"/>
      <w:r w:rsidRPr="00443040">
        <w:rPr>
          <w:color w:val="auto"/>
          <w:lang w:val="es-ES"/>
        </w:rPr>
        <w:t>Paclitaxel</w:t>
      </w:r>
      <w:proofErr w:type="spellEnd"/>
      <w:r w:rsidRPr="00443040">
        <w:rPr>
          <w:color w:val="auto"/>
          <w:lang w:val="es-ES"/>
        </w:rPr>
        <w:t xml:space="preserve"> 175 mg/m</w:t>
      </w:r>
      <w:r w:rsidRPr="00443040">
        <w:rPr>
          <w:color w:val="auto"/>
          <w:vertAlign w:val="superscript"/>
          <w:lang w:val="es-ES"/>
        </w:rPr>
        <w:t xml:space="preserve">2 </w:t>
      </w:r>
      <w:r w:rsidRPr="00443040">
        <w:rPr>
          <w:color w:val="auto"/>
          <w:lang w:val="es-ES"/>
        </w:rPr>
        <w:t xml:space="preserve">IV durante 3 horas el día 1 y </w:t>
      </w:r>
      <w:proofErr w:type="spellStart"/>
      <w:r w:rsidRPr="00443040">
        <w:rPr>
          <w:color w:val="auto"/>
          <w:lang w:val="es-ES"/>
        </w:rPr>
        <w:t>topotecán</w:t>
      </w:r>
      <w:proofErr w:type="spellEnd"/>
      <w:r w:rsidRPr="00443040">
        <w:rPr>
          <w:color w:val="auto"/>
          <w:lang w:val="es-ES"/>
        </w:rPr>
        <w:t xml:space="preserve"> 0,75</w:t>
      </w:r>
      <w:r w:rsidR="00D27378">
        <w:rPr>
          <w:color w:val="auto"/>
          <w:lang w:val="es-ES"/>
        </w:rPr>
        <w:t> </w:t>
      </w:r>
      <w:r w:rsidRPr="00443040">
        <w:rPr>
          <w:color w:val="auto"/>
          <w:lang w:val="es-ES"/>
        </w:rPr>
        <w:t>mg/m</w:t>
      </w:r>
      <w:r w:rsidRPr="00443040">
        <w:rPr>
          <w:color w:val="auto"/>
          <w:vertAlign w:val="superscript"/>
          <w:lang w:val="es-ES"/>
        </w:rPr>
        <w:t>2</w:t>
      </w:r>
      <w:r w:rsidRPr="00443040">
        <w:rPr>
          <w:color w:val="auto"/>
          <w:lang w:val="es-ES"/>
        </w:rPr>
        <w:t xml:space="preserve"> IV durante 30 minutos los días 1-3 más bevacizumab 15</w:t>
      </w:r>
      <w:r w:rsidR="00D27378">
        <w:rPr>
          <w:color w:val="auto"/>
          <w:lang w:val="es-ES"/>
        </w:rPr>
        <w:t> </w:t>
      </w:r>
      <w:r w:rsidRPr="00443040">
        <w:rPr>
          <w:color w:val="auto"/>
          <w:lang w:val="es-ES"/>
        </w:rPr>
        <w:t>mg/kg IV en el día 1 (cada 3 semanas)</w:t>
      </w:r>
    </w:p>
    <w:p w14:paraId="408F259D" w14:textId="77777777" w:rsidR="00FB24C0" w:rsidRPr="006D35C1" w:rsidRDefault="00FB24C0" w:rsidP="00FB24C0">
      <w:pPr>
        <w:spacing w:after="0" w:line="240" w:lineRule="auto"/>
        <w:ind w:left="0" w:firstLine="0"/>
        <w:rPr>
          <w:color w:val="auto"/>
          <w:lang w:val="es-ES"/>
        </w:rPr>
      </w:pPr>
    </w:p>
    <w:p w14:paraId="4EA2C7C2" w14:textId="77777777" w:rsidR="00FB24C0" w:rsidRPr="006D35C1" w:rsidRDefault="00FB24C0" w:rsidP="00FB24C0">
      <w:pPr>
        <w:spacing w:after="0" w:line="240" w:lineRule="auto"/>
        <w:ind w:left="0" w:firstLine="0"/>
        <w:rPr>
          <w:color w:val="auto"/>
          <w:lang w:val="es-ES"/>
        </w:rPr>
      </w:pPr>
      <w:r w:rsidRPr="006D35C1">
        <w:rPr>
          <w:color w:val="auto"/>
          <w:lang w:val="es-ES"/>
        </w:rPr>
        <w:t xml:space="preserve">Los pacientes seleccionados tenían carcinoma de células escamosas persistente, recurrente o metastásico, carcinoma </w:t>
      </w:r>
      <w:proofErr w:type="spellStart"/>
      <w:r w:rsidRPr="006D35C1">
        <w:rPr>
          <w:color w:val="auto"/>
          <w:lang w:val="es-ES"/>
        </w:rPr>
        <w:t>adenoescamoso</w:t>
      </w:r>
      <w:proofErr w:type="spellEnd"/>
      <w:r w:rsidRPr="006D35C1">
        <w:rPr>
          <w:color w:val="auto"/>
          <w:lang w:val="es-ES"/>
        </w:rPr>
        <w:t>, o adenocarcinoma de cérvix que no fuese susceptible de tratamiento curativo con cirugía y/o radioterapia y que no hubieran recibido tratamiento previo con bevacizumab u otros inhibidores VEFG o agentes dirigidos frente a receptores VEGF.</w:t>
      </w:r>
    </w:p>
    <w:p w14:paraId="55D64181" w14:textId="77777777" w:rsidR="000578B6" w:rsidRPr="006D35C1" w:rsidRDefault="000578B6" w:rsidP="00FB24C0">
      <w:pPr>
        <w:spacing w:after="0" w:line="240" w:lineRule="auto"/>
        <w:ind w:left="0" w:firstLine="0"/>
        <w:rPr>
          <w:color w:val="auto"/>
          <w:lang w:val="es-ES"/>
        </w:rPr>
      </w:pPr>
    </w:p>
    <w:p w14:paraId="179BDE83" w14:textId="6A78CE82" w:rsidR="000578B6" w:rsidRPr="006D35C1" w:rsidRDefault="00FB24C0" w:rsidP="00FB24C0">
      <w:pPr>
        <w:spacing w:after="0" w:line="240" w:lineRule="auto"/>
        <w:ind w:left="0" w:firstLine="0"/>
        <w:rPr>
          <w:color w:val="auto"/>
          <w:lang w:val="es-ES"/>
        </w:rPr>
      </w:pPr>
      <w:r w:rsidRPr="006D35C1">
        <w:rPr>
          <w:color w:val="auto"/>
          <w:lang w:val="es-ES"/>
        </w:rPr>
        <w:t>La media de edad era de 46,0 años (rango: 20-83) en el grupo de quimioterapia sola y de 48</w:t>
      </w:r>
      <w:r w:rsidR="00445D58">
        <w:rPr>
          <w:color w:val="auto"/>
          <w:lang w:val="es-ES"/>
        </w:rPr>
        <w:t>,0</w:t>
      </w:r>
      <w:r w:rsidRPr="006D35C1">
        <w:rPr>
          <w:color w:val="auto"/>
          <w:lang w:val="es-ES"/>
        </w:rPr>
        <w:t xml:space="preserve"> años (rango: 22-85) en el grupo de quimioterapia + </w:t>
      </w:r>
      <w:r w:rsidR="00863B46">
        <w:rPr>
          <w:color w:val="auto"/>
          <w:lang w:val="es-ES"/>
        </w:rPr>
        <w:t>bevacizumab</w:t>
      </w:r>
      <w:r w:rsidRPr="006D35C1">
        <w:rPr>
          <w:color w:val="auto"/>
          <w:lang w:val="es-ES"/>
        </w:rPr>
        <w:t>; y mayores de 65 años un 9,3% de los pacientes del grupo de quimioterapia sola y un 7,5% de los pacientes del gr</w:t>
      </w:r>
      <w:r w:rsidR="000578B6" w:rsidRPr="006D35C1">
        <w:rPr>
          <w:color w:val="auto"/>
          <w:lang w:val="es-ES"/>
        </w:rPr>
        <w:t xml:space="preserve">upo de quimioterapia + </w:t>
      </w:r>
      <w:r w:rsidR="00863B46">
        <w:rPr>
          <w:color w:val="auto"/>
          <w:lang w:val="es-ES"/>
        </w:rPr>
        <w:t>bevacizumab</w:t>
      </w:r>
      <w:r w:rsidR="000578B6" w:rsidRPr="006D35C1">
        <w:rPr>
          <w:color w:val="auto"/>
          <w:lang w:val="es-ES"/>
        </w:rPr>
        <w:t>.</w:t>
      </w:r>
    </w:p>
    <w:p w14:paraId="51B4099A" w14:textId="77777777" w:rsidR="000578B6" w:rsidRPr="006D35C1" w:rsidRDefault="000578B6" w:rsidP="00FB24C0">
      <w:pPr>
        <w:spacing w:after="0" w:line="240" w:lineRule="auto"/>
        <w:ind w:left="0" w:firstLine="0"/>
        <w:rPr>
          <w:color w:val="auto"/>
          <w:lang w:val="es-ES"/>
        </w:rPr>
      </w:pPr>
    </w:p>
    <w:p w14:paraId="02E133C3" w14:textId="77777777" w:rsidR="00FB24C0" w:rsidRPr="006D35C1" w:rsidRDefault="00FB24C0" w:rsidP="00FB24C0">
      <w:pPr>
        <w:spacing w:after="0" w:line="240" w:lineRule="auto"/>
        <w:ind w:left="0" w:firstLine="0"/>
        <w:rPr>
          <w:color w:val="auto"/>
          <w:lang w:val="es-ES"/>
        </w:rPr>
      </w:pPr>
      <w:r w:rsidRPr="006D35C1">
        <w:rPr>
          <w:color w:val="auto"/>
          <w:lang w:val="es-ES"/>
        </w:rPr>
        <w:t xml:space="preserve">De los 452 pacientes aleatorizados al inicio del estudio, la mayoría de los pacientes eran de raza blanca (80,0% en el grupo de quimioterapia sola y el 75,3% en el grupo de quimioterapia + </w:t>
      </w:r>
      <w:r w:rsidR="00863B46">
        <w:rPr>
          <w:color w:val="auto"/>
          <w:lang w:val="es-ES"/>
        </w:rPr>
        <w:t>bevacizumab</w:t>
      </w:r>
      <w:r w:rsidRPr="006D35C1">
        <w:rPr>
          <w:color w:val="auto"/>
          <w:lang w:val="es-ES"/>
        </w:rPr>
        <w:t xml:space="preserve">), tenían carcinoma de células escamosas (67,1% en el grupo de quimioterapia sola y 69,6% en el grupo de quimioterapia + </w:t>
      </w:r>
      <w:r w:rsidR="00863B46">
        <w:rPr>
          <w:color w:val="auto"/>
          <w:lang w:val="es-ES"/>
        </w:rPr>
        <w:t>bevacizumab</w:t>
      </w:r>
      <w:r w:rsidRPr="006D35C1">
        <w:rPr>
          <w:color w:val="auto"/>
          <w:lang w:val="es-ES"/>
        </w:rPr>
        <w:t xml:space="preserve">), tenían enfermedad persistente/recurrente (83,6% en el grupo de quimioterapia sola y 82,8% en el grupo de quimioterapia + </w:t>
      </w:r>
      <w:r w:rsidR="00863B46">
        <w:rPr>
          <w:color w:val="auto"/>
          <w:lang w:val="es-ES"/>
        </w:rPr>
        <w:t>bevacizumab</w:t>
      </w:r>
      <w:r w:rsidRPr="006D35C1">
        <w:rPr>
          <w:color w:val="auto"/>
          <w:lang w:val="es-ES"/>
        </w:rPr>
        <w:t>), tenían 1-2 localizaciones metastásicas (72,0% en el grupo de quimioterapia sola y 76,2%</w:t>
      </w:r>
      <w:r w:rsidR="00D07FAF">
        <w:rPr>
          <w:color w:val="auto"/>
          <w:lang w:val="es-ES"/>
        </w:rPr>
        <w:t xml:space="preserve"> en el grupo de quimioterapia + </w:t>
      </w:r>
      <w:r w:rsidR="00863B46">
        <w:rPr>
          <w:color w:val="auto"/>
          <w:lang w:val="es-ES"/>
        </w:rPr>
        <w:t>bevacizumab</w:t>
      </w:r>
      <w:r w:rsidRPr="006D35C1">
        <w:rPr>
          <w:color w:val="auto"/>
          <w:lang w:val="es-ES"/>
        </w:rPr>
        <w:t xml:space="preserve">), tenían implicación de los ganglios linfáticos (50,2% en el grupo de quimioterapia sola y 56,4% en el grupo de quimioterapia + </w:t>
      </w:r>
      <w:r w:rsidR="00863B46">
        <w:rPr>
          <w:color w:val="auto"/>
          <w:lang w:val="es-ES"/>
        </w:rPr>
        <w:t>bevacizumab</w:t>
      </w:r>
      <w:r w:rsidRPr="006D35C1">
        <w:rPr>
          <w:color w:val="auto"/>
          <w:lang w:val="es-ES"/>
        </w:rPr>
        <w:t xml:space="preserve">), y con un intervalo libre de platino </w:t>
      </w:r>
      <w:r w:rsidRPr="006D35C1">
        <w:rPr>
          <w:rFonts w:eastAsia="Segoe UI Symbol"/>
          <w:color w:val="auto"/>
          <w:lang w:val="es-ES"/>
        </w:rPr>
        <w:t>≥</w:t>
      </w:r>
      <w:r w:rsidRPr="006D35C1">
        <w:rPr>
          <w:color w:val="auto"/>
          <w:lang w:val="es-ES"/>
        </w:rPr>
        <w:t> 6 meses (72,5% en el grupo de quimioterapia sola y 64,4%</w:t>
      </w:r>
      <w:r w:rsidR="00D07FAF">
        <w:rPr>
          <w:color w:val="auto"/>
          <w:lang w:val="es-ES"/>
        </w:rPr>
        <w:t xml:space="preserve"> en el grupo de quimioterapia + </w:t>
      </w:r>
      <w:r w:rsidR="00863B46">
        <w:rPr>
          <w:color w:val="auto"/>
          <w:lang w:val="es-ES"/>
        </w:rPr>
        <w:t>bevacizumab</w:t>
      </w:r>
      <w:r w:rsidRPr="006D35C1">
        <w:rPr>
          <w:color w:val="auto"/>
          <w:lang w:val="es-ES"/>
        </w:rPr>
        <w:t>).</w:t>
      </w:r>
    </w:p>
    <w:p w14:paraId="148B7903" w14:textId="77777777" w:rsidR="00FB24C0" w:rsidRPr="006D35C1" w:rsidRDefault="00FB24C0" w:rsidP="00FB24C0">
      <w:pPr>
        <w:spacing w:after="0" w:line="240" w:lineRule="auto"/>
        <w:ind w:left="0" w:firstLine="0"/>
        <w:rPr>
          <w:color w:val="auto"/>
          <w:lang w:val="es-ES"/>
        </w:rPr>
      </w:pPr>
    </w:p>
    <w:p w14:paraId="45AE3245" w14:textId="0314F312" w:rsidR="00FB24C0" w:rsidRPr="006D35C1" w:rsidRDefault="00FB24C0" w:rsidP="00FB24C0">
      <w:pPr>
        <w:spacing w:after="0" w:line="240" w:lineRule="auto"/>
        <w:ind w:left="0" w:firstLine="0"/>
        <w:rPr>
          <w:color w:val="auto"/>
          <w:lang w:val="es-ES"/>
        </w:rPr>
      </w:pPr>
      <w:r w:rsidRPr="006D35C1">
        <w:rPr>
          <w:color w:val="auto"/>
          <w:lang w:val="es-ES"/>
        </w:rPr>
        <w:t>La variable principal de eficacia fue la supervivencia global. Las variables secundarias de eficacia incluían supervivencia libre de progresión y tasa de respuesta objetiva. Los resultados del análisis</w:t>
      </w:r>
      <w:r w:rsidRPr="00443040">
        <w:rPr>
          <w:color w:val="auto"/>
          <w:lang w:val="es-ES"/>
        </w:rPr>
        <w:t xml:space="preserve"> </w:t>
      </w:r>
      <w:r w:rsidRPr="006D35C1">
        <w:rPr>
          <w:color w:val="auto"/>
          <w:lang w:val="es-ES"/>
        </w:rPr>
        <w:t xml:space="preserve">primario y del análisis de seguimiento se presentan para el tratamiento con </w:t>
      </w:r>
      <w:r w:rsidR="00863B46">
        <w:rPr>
          <w:color w:val="auto"/>
          <w:lang w:val="es-ES"/>
        </w:rPr>
        <w:t>bevacizumab</w:t>
      </w:r>
      <w:r w:rsidRPr="006D35C1">
        <w:rPr>
          <w:color w:val="auto"/>
          <w:lang w:val="es-ES"/>
        </w:rPr>
        <w:t xml:space="preserve"> y para el tratamiento de ensayo en la </w:t>
      </w:r>
      <w:r w:rsidR="00471B84">
        <w:rPr>
          <w:color w:val="auto"/>
          <w:lang w:val="es-ES"/>
        </w:rPr>
        <w:t>t</w:t>
      </w:r>
      <w:r w:rsidRPr="006D35C1">
        <w:rPr>
          <w:color w:val="auto"/>
          <w:lang w:val="es-ES"/>
        </w:rPr>
        <w:t xml:space="preserve">abla </w:t>
      </w:r>
      <w:r w:rsidR="00B04A14" w:rsidRPr="006D35C1">
        <w:rPr>
          <w:color w:val="auto"/>
          <w:lang w:val="es-ES"/>
        </w:rPr>
        <w:t>2</w:t>
      </w:r>
      <w:r w:rsidR="0071031C">
        <w:rPr>
          <w:color w:val="auto"/>
          <w:lang w:val="es-ES"/>
        </w:rPr>
        <w:t>5</w:t>
      </w:r>
      <w:r w:rsidR="00B04A14" w:rsidRPr="006D35C1">
        <w:rPr>
          <w:color w:val="auto"/>
          <w:lang w:val="es-ES"/>
        </w:rPr>
        <w:t xml:space="preserve"> </w:t>
      </w:r>
      <w:r w:rsidRPr="006D35C1">
        <w:rPr>
          <w:color w:val="auto"/>
          <w:lang w:val="es-ES"/>
        </w:rPr>
        <w:t xml:space="preserve">y en la </w:t>
      </w:r>
      <w:r w:rsidR="00471B84">
        <w:rPr>
          <w:color w:val="auto"/>
          <w:lang w:val="es-ES"/>
        </w:rPr>
        <w:t>t</w:t>
      </w:r>
      <w:r w:rsidRPr="006D35C1">
        <w:rPr>
          <w:color w:val="auto"/>
          <w:lang w:val="es-ES"/>
        </w:rPr>
        <w:t xml:space="preserve">abla </w:t>
      </w:r>
      <w:r w:rsidR="00B04A14" w:rsidRPr="006D35C1">
        <w:rPr>
          <w:color w:val="auto"/>
          <w:lang w:val="es-ES"/>
        </w:rPr>
        <w:t>2</w:t>
      </w:r>
      <w:r w:rsidR="0071031C">
        <w:rPr>
          <w:color w:val="auto"/>
          <w:lang w:val="es-ES"/>
        </w:rPr>
        <w:t>6</w:t>
      </w:r>
      <w:r w:rsidRPr="006D35C1">
        <w:rPr>
          <w:color w:val="auto"/>
          <w:lang w:val="es-ES"/>
        </w:rPr>
        <w:t>, respectivamente.</w:t>
      </w:r>
    </w:p>
    <w:p w14:paraId="46CB6B2A" w14:textId="77777777" w:rsidR="00FB24C0" w:rsidRPr="006D35C1" w:rsidRDefault="00FB24C0" w:rsidP="00FB24C0">
      <w:pPr>
        <w:spacing w:after="0" w:line="240" w:lineRule="auto"/>
        <w:ind w:left="0" w:firstLine="0"/>
        <w:rPr>
          <w:color w:val="auto"/>
          <w:lang w:val="es-ES"/>
        </w:rPr>
      </w:pPr>
    </w:p>
    <w:p w14:paraId="04DB0BE5" w14:textId="2F8B12A9" w:rsidR="00FB24C0" w:rsidRPr="006D35C1" w:rsidRDefault="00FB24C0" w:rsidP="000578B6">
      <w:pPr>
        <w:keepNext/>
        <w:spacing w:after="0" w:line="240" w:lineRule="auto"/>
        <w:ind w:left="0" w:firstLine="0"/>
        <w:rPr>
          <w:b/>
          <w:color w:val="auto"/>
          <w:lang w:val="es-ES"/>
        </w:rPr>
      </w:pPr>
      <w:r w:rsidRPr="006D35C1">
        <w:rPr>
          <w:b/>
          <w:color w:val="auto"/>
          <w:lang w:val="es-ES"/>
        </w:rPr>
        <w:t xml:space="preserve">Tabla </w:t>
      </w:r>
      <w:r w:rsidR="004943CA" w:rsidRPr="006D35C1">
        <w:rPr>
          <w:b/>
          <w:color w:val="auto"/>
          <w:lang w:val="es-ES"/>
        </w:rPr>
        <w:t>2</w:t>
      </w:r>
      <w:r w:rsidR="0071031C">
        <w:rPr>
          <w:b/>
          <w:color w:val="auto"/>
          <w:lang w:val="es-ES"/>
        </w:rPr>
        <w:t>5</w:t>
      </w:r>
      <w:r w:rsidR="000578B6" w:rsidRPr="006D35C1">
        <w:rPr>
          <w:b/>
          <w:color w:val="auto"/>
          <w:lang w:val="es-ES"/>
        </w:rPr>
        <w:t xml:space="preserve">. </w:t>
      </w:r>
      <w:r w:rsidRPr="006D35C1">
        <w:rPr>
          <w:b/>
          <w:color w:val="auto"/>
          <w:lang w:val="es-ES"/>
        </w:rPr>
        <w:t xml:space="preserve">Resultados de eficacia del ensayo GOG-0240 del tratamiento con </w:t>
      </w:r>
      <w:r w:rsidR="00863B46">
        <w:rPr>
          <w:b/>
          <w:color w:val="auto"/>
          <w:lang w:val="es-ES"/>
        </w:rPr>
        <w:t>bevacizumab</w:t>
      </w:r>
    </w:p>
    <w:p w14:paraId="6263F74D" w14:textId="77777777" w:rsidR="00FB24C0" w:rsidRPr="006D35C1" w:rsidRDefault="00FB24C0" w:rsidP="000578B6">
      <w:pPr>
        <w:keepNext/>
        <w:spacing w:after="0" w:line="240" w:lineRule="auto"/>
        <w:ind w:left="0" w:firstLine="0"/>
        <w:rPr>
          <w:color w:val="auto"/>
          <w:lang w:val="es-ES"/>
        </w:rPr>
      </w:pPr>
    </w:p>
    <w:tbl>
      <w:tblPr>
        <w:tblW w:w="8931" w:type="dxa"/>
        <w:tblInd w:w="-5" w:type="dxa"/>
        <w:tblLook w:val="04A0" w:firstRow="1" w:lastRow="0" w:firstColumn="1" w:lastColumn="0" w:noHBand="0" w:noVBand="1"/>
      </w:tblPr>
      <w:tblGrid>
        <w:gridCol w:w="4478"/>
        <w:gridCol w:w="2185"/>
        <w:gridCol w:w="2268"/>
      </w:tblGrid>
      <w:tr w:rsidR="005F0B76" w:rsidRPr="00E30038" w14:paraId="504FE459" w14:textId="77777777" w:rsidTr="001F0FE8">
        <w:trPr>
          <w:trHeight w:val="300"/>
          <w:tblHeader/>
        </w:trPr>
        <w:tc>
          <w:tcPr>
            <w:tcW w:w="4478" w:type="dxa"/>
            <w:tcBorders>
              <w:top w:val="single" w:sz="4" w:space="0" w:color="auto"/>
              <w:left w:val="single" w:sz="4" w:space="0" w:color="auto"/>
              <w:bottom w:val="single" w:sz="4" w:space="0" w:color="auto"/>
              <w:right w:val="single" w:sz="4" w:space="0" w:color="auto"/>
            </w:tcBorders>
            <w:noWrap/>
            <w:vAlign w:val="bottom"/>
          </w:tcPr>
          <w:p w14:paraId="30133E22" w14:textId="77777777" w:rsidR="005F0B76" w:rsidRPr="00A51019" w:rsidRDefault="005F0B76" w:rsidP="00B43B7E">
            <w:pPr>
              <w:spacing w:after="0" w:line="240" w:lineRule="auto"/>
              <w:ind w:left="0" w:firstLine="0"/>
              <w:rPr>
                <w:b/>
                <w:lang w:val="es-ES"/>
              </w:rPr>
            </w:pPr>
          </w:p>
        </w:tc>
        <w:tc>
          <w:tcPr>
            <w:tcW w:w="2185" w:type="dxa"/>
            <w:tcBorders>
              <w:top w:val="single" w:sz="4" w:space="0" w:color="auto"/>
              <w:left w:val="single" w:sz="4" w:space="0" w:color="auto"/>
              <w:bottom w:val="single" w:sz="4" w:space="0" w:color="auto"/>
              <w:right w:val="single" w:sz="4" w:space="0" w:color="auto"/>
            </w:tcBorders>
            <w:noWrap/>
          </w:tcPr>
          <w:p w14:paraId="6D436D2C" w14:textId="77777777" w:rsidR="005F0B76" w:rsidRPr="005F0B76" w:rsidRDefault="005F0B76" w:rsidP="00B664ED">
            <w:pPr>
              <w:spacing w:after="0" w:line="240" w:lineRule="auto"/>
              <w:ind w:left="0" w:firstLine="0"/>
              <w:jc w:val="center"/>
              <w:rPr>
                <w:b/>
                <w:lang w:val="es-ES"/>
              </w:rPr>
            </w:pPr>
            <w:r w:rsidRPr="005F0B76">
              <w:rPr>
                <w:b/>
                <w:lang w:val="es-ES"/>
              </w:rPr>
              <w:t>Quimioterapia</w:t>
            </w:r>
          </w:p>
          <w:p w14:paraId="4EC0347C" w14:textId="77777777" w:rsidR="005F0B76" w:rsidRPr="005F0B76" w:rsidRDefault="005F0B76" w:rsidP="00A704E8">
            <w:pPr>
              <w:spacing w:after="0" w:line="240" w:lineRule="auto"/>
              <w:ind w:left="0" w:firstLine="0"/>
              <w:jc w:val="center"/>
              <w:rPr>
                <w:b/>
              </w:rPr>
            </w:pPr>
            <w:r w:rsidRPr="005F0B76">
              <w:rPr>
                <w:b/>
                <w:lang w:val="es-ES"/>
              </w:rPr>
              <w:t>(n</w:t>
            </w:r>
            <w:r w:rsidR="00A704E8" w:rsidRPr="00E30038">
              <w:t> </w:t>
            </w:r>
            <w:r w:rsidRPr="005F0B76">
              <w:rPr>
                <w:b/>
                <w:lang w:val="es-ES"/>
              </w:rPr>
              <w:t>=</w:t>
            </w:r>
            <w:r w:rsidR="00A704E8" w:rsidRPr="00E30038">
              <w:t> </w:t>
            </w:r>
            <w:r w:rsidRPr="005F0B76">
              <w:rPr>
                <w:b/>
                <w:lang w:val="es-ES"/>
              </w:rPr>
              <w:t>225)</w:t>
            </w:r>
          </w:p>
        </w:tc>
        <w:tc>
          <w:tcPr>
            <w:tcW w:w="2268" w:type="dxa"/>
            <w:tcBorders>
              <w:top w:val="single" w:sz="4" w:space="0" w:color="auto"/>
              <w:left w:val="single" w:sz="4" w:space="0" w:color="auto"/>
              <w:bottom w:val="single" w:sz="4" w:space="0" w:color="auto"/>
              <w:right w:val="single" w:sz="4" w:space="0" w:color="auto"/>
            </w:tcBorders>
            <w:noWrap/>
          </w:tcPr>
          <w:p w14:paraId="3EAA4A7F" w14:textId="77777777" w:rsidR="005F0B76" w:rsidRPr="005F0B76" w:rsidRDefault="005F0B76" w:rsidP="00B664ED">
            <w:pPr>
              <w:spacing w:after="0" w:line="240" w:lineRule="auto"/>
              <w:ind w:left="0" w:firstLine="0"/>
              <w:jc w:val="center"/>
              <w:rPr>
                <w:b/>
                <w:u w:color="000000"/>
                <w:lang w:val="es-ES"/>
              </w:rPr>
            </w:pPr>
            <w:r w:rsidRPr="005F0B76">
              <w:rPr>
                <w:b/>
                <w:lang w:val="es-ES"/>
              </w:rPr>
              <w:t xml:space="preserve">Quimioterapia + </w:t>
            </w:r>
            <w:r w:rsidR="00863B46">
              <w:rPr>
                <w:b/>
                <w:u w:color="000000"/>
                <w:lang w:val="es-ES"/>
              </w:rPr>
              <w:t>bevacizumab</w:t>
            </w:r>
          </w:p>
          <w:p w14:paraId="25F8AEA0" w14:textId="77777777" w:rsidR="005F0B76" w:rsidRPr="005F0B76" w:rsidRDefault="005F0B76" w:rsidP="00A704E8">
            <w:pPr>
              <w:spacing w:after="0" w:line="240" w:lineRule="auto"/>
              <w:ind w:left="0" w:firstLine="0"/>
              <w:jc w:val="center"/>
              <w:rPr>
                <w:b/>
              </w:rPr>
            </w:pPr>
            <w:r w:rsidRPr="005F0B76">
              <w:rPr>
                <w:b/>
                <w:lang w:val="es-ES"/>
              </w:rPr>
              <w:t>(n</w:t>
            </w:r>
            <w:r w:rsidR="00A704E8" w:rsidRPr="00E30038">
              <w:t> </w:t>
            </w:r>
            <w:r w:rsidRPr="005F0B76">
              <w:rPr>
                <w:b/>
                <w:lang w:val="es-ES"/>
              </w:rPr>
              <w:t>=</w:t>
            </w:r>
            <w:r w:rsidR="00A704E8" w:rsidRPr="00E30038">
              <w:t> </w:t>
            </w:r>
            <w:r w:rsidRPr="005F0B76">
              <w:rPr>
                <w:b/>
                <w:lang w:val="es-ES"/>
              </w:rPr>
              <w:t>227)</w:t>
            </w:r>
          </w:p>
        </w:tc>
      </w:tr>
      <w:tr w:rsidR="005F0B76" w:rsidRPr="00E30038" w14:paraId="003D15B3" w14:textId="77777777" w:rsidTr="00ED2888">
        <w:trPr>
          <w:trHeight w:val="320"/>
        </w:trPr>
        <w:tc>
          <w:tcPr>
            <w:tcW w:w="8931" w:type="dxa"/>
            <w:gridSpan w:val="3"/>
            <w:tcBorders>
              <w:top w:val="single" w:sz="4" w:space="0" w:color="auto"/>
              <w:left w:val="single" w:sz="4" w:space="0" w:color="auto"/>
              <w:bottom w:val="single" w:sz="4" w:space="0" w:color="auto"/>
              <w:right w:val="single" w:sz="4" w:space="0" w:color="auto"/>
            </w:tcBorders>
            <w:noWrap/>
            <w:vAlign w:val="center"/>
          </w:tcPr>
          <w:p w14:paraId="23F81B53" w14:textId="77777777" w:rsidR="005F0B76" w:rsidRPr="00E30038" w:rsidRDefault="005F0B76" w:rsidP="00ED2888">
            <w:pPr>
              <w:spacing w:after="0" w:line="240" w:lineRule="auto"/>
              <w:ind w:left="0" w:firstLine="0"/>
              <w:jc w:val="center"/>
            </w:pPr>
            <w:r w:rsidRPr="00D17B5D">
              <w:rPr>
                <w:u w:color="000000"/>
                <w:lang w:val="es-ES"/>
              </w:rPr>
              <w:t>Variable primaria</w:t>
            </w:r>
          </w:p>
        </w:tc>
      </w:tr>
      <w:tr w:rsidR="005F0B76" w:rsidRPr="00E30038" w14:paraId="48A87F1E" w14:textId="77777777" w:rsidTr="00ED2888">
        <w:trPr>
          <w:trHeight w:val="454"/>
        </w:trPr>
        <w:tc>
          <w:tcPr>
            <w:tcW w:w="8931" w:type="dxa"/>
            <w:gridSpan w:val="3"/>
            <w:tcBorders>
              <w:top w:val="single" w:sz="4" w:space="0" w:color="auto"/>
              <w:left w:val="single" w:sz="4" w:space="0" w:color="auto"/>
              <w:bottom w:val="single" w:sz="4" w:space="0" w:color="auto"/>
              <w:right w:val="single" w:sz="4" w:space="0" w:color="auto"/>
            </w:tcBorders>
            <w:noWrap/>
            <w:vAlign w:val="center"/>
          </w:tcPr>
          <w:p w14:paraId="42761FA3" w14:textId="77777777" w:rsidR="005F0B76" w:rsidRPr="002342C7" w:rsidRDefault="005F0B76" w:rsidP="00ED2888">
            <w:pPr>
              <w:spacing w:after="0" w:line="240" w:lineRule="auto"/>
              <w:ind w:left="0" w:firstLine="0"/>
            </w:pPr>
            <w:r w:rsidRPr="00D17B5D">
              <w:rPr>
                <w:lang w:val="es-ES"/>
              </w:rPr>
              <w:t>Supervivencia global – Análisis primario</w:t>
            </w:r>
            <w:r w:rsidRPr="00D17B5D">
              <w:rPr>
                <w:vertAlign w:val="superscript"/>
                <w:lang w:val="es-ES"/>
              </w:rPr>
              <w:t>6</w:t>
            </w:r>
          </w:p>
        </w:tc>
      </w:tr>
      <w:tr w:rsidR="005F0B76" w:rsidRPr="00E30038" w14:paraId="0BBA1031" w14:textId="77777777" w:rsidTr="001F0FE8">
        <w:trPr>
          <w:trHeight w:val="300"/>
        </w:trPr>
        <w:tc>
          <w:tcPr>
            <w:tcW w:w="4478" w:type="dxa"/>
            <w:tcBorders>
              <w:top w:val="single" w:sz="4" w:space="0" w:color="auto"/>
              <w:left w:val="single" w:sz="4" w:space="0" w:color="auto"/>
              <w:bottom w:val="single" w:sz="4" w:space="0" w:color="auto"/>
              <w:right w:val="single" w:sz="4" w:space="0" w:color="auto"/>
            </w:tcBorders>
            <w:noWrap/>
            <w:vAlign w:val="bottom"/>
          </w:tcPr>
          <w:p w14:paraId="03216E08" w14:textId="77777777" w:rsidR="005F0B76" w:rsidRPr="00D17B5D" w:rsidRDefault="005F0B76" w:rsidP="00ED2888">
            <w:pPr>
              <w:spacing w:after="0" w:line="240" w:lineRule="auto"/>
              <w:ind w:left="567" w:firstLine="0"/>
              <w:rPr>
                <w:lang w:val="es-ES"/>
              </w:rPr>
            </w:pPr>
            <w:r w:rsidRPr="00D17B5D">
              <w:rPr>
                <w:lang w:val="es-ES"/>
              </w:rPr>
              <w:t>Mediana (meses)</w:t>
            </w:r>
            <w:r w:rsidRPr="00D17B5D">
              <w:rPr>
                <w:vertAlign w:val="superscript"/>
                <w:lang w:val="es-ES"/>
              </w:rPr>
              <w:t>1</w:t>
            </w:r>
            <w:r w:rsidRPr="00D17B5D">
              <w:rPr>
                <w:lang w:val="es-ES"/>
              </w:rPr>
              <w:t xml:space="preserve"> </w:t>
            </w:r>
          </w:p>
        </w:tc>
        <w:tc>
          <w:tcPr>
            <w:tcW w:w="2185" w:type="dxa"/>
            <w:tcBorders>
              <w:top w:val="single" w:sz="4" w:space="0" w:color="auto"/>
              <w:left w:val="single" w:sz="4" w:space="0" w:color="auto"/>
              <w:bottom w:val="single" w:sz="4" w:space="0" w:color="auto"/>
              <w:right w:val="single" w:sz="4" w:space="0" w:color="auto"/>
            </w:tcBorders>
            <w:noWrap/>
            <w:vAlign w:val="bottom"/>
          </w:tcPr>
          <w:p w14:paraId="3486CB00" w14:textId="77777777" w:rsidR="005F0B76" w:rsidRPr="00E30038" w:rsidRDefault="005F0B76" w:rsidP="00ED2888">
            <w:pPr>
              <w:spacing w:after="0" w:line="240" w:lineRule="auto"/>
              <w:ind w:left="0" w:firstLine="0"/>
              <w:jc w:val="center"/>
            </w:pPr>
            <w:r w:rsidRPr="00D17B5D">
              <w:rPr>
                <w:lang w:val="es-ES"/>
              </w:rPr>
              <w:t>12,9</w:t>
            </w:r>
          </w:p>
        </w:tc>
        <w:tc>
          <w:tcPr>
            <w:tcW w:w="2268" w:type="dxa"/>
            <w:tcBorders>
              <w:top w:val="single" w:sz="4" w:space="0" w:color="auto"/>
              <w:left w:val="single" w:sz="4" w:space="0" w:color="auto"/>
              <w:bottom w:val="single" w:sz="4" w:space="0" w:color="auto"/>
              <w:right w:val="single" w:sz="4" w:space="0" w:color="auto"/>
            </w:tcBorders>
            <w:noWrap/>
            <w:vAlign w:val="bottom"/>
          </w:tcPr>
          <w:p w14:paraId="32268B48" w14:textId="77777777" w:rsidR="005F0B76" w:rsidRPr="00E30038" w:rsidRDefault="005F0B76" w:rsidP="00ED2888">
            <w:pPr>
              <w:spacing w:after="0" w:line="240" w:lineRule="auto"/>
              <w:ind w:left="0" w:firstLine="0"/>
              <w:jc w:val="center"/>
            </w:pPr>
            <w:r w:rsidRPr="00D17B5D">
              <w:rPr>
                <w:lang w:val="es-ES"/>
              </w:rPr>
              <w:t>16,8</w:t>
            </w:r>
          </w:p>
        </w:tc>
      </w:tr>
      <w:tr w:rsidR="005F0B76" w:rsidRPr="005B6FB6" w14:paraId="5F121014" w14:textId="77777777" w:rsidTr="00ED2888">
        <w:trPr>
          <w:trHeight w:val="377"/>
        </w:trPr>
        <w:tc>
          <w:tcPr>
            <w:tcW w:w="4478" w:type="dxa"/>
            <w:tcBorders>
              <w:top w:val="single" w:sz="4" w:space="0" w:color="auto"/>
              <w:left w:val="single" w:sz="4" w:space="0" w:color="auto"/>
              <w:bottom w:val="single" w:sz="4" w:space="0" w:color="auto"/>
              <w:right w:val="single" w:sz="4" w:space="0" w:color="auto"/>
            </w:tcBorders>
            <w:noWrap/>
          </w:tcPr>
          <w:p w14:paraId="7C0BE2C4" w14:textId="77777777" w:rsidR="005F0B76" w:rsidRPr="005B6FB6" w:rsidRDefault="005F0B76" w:rsidP="00ED2888">
            <w:pPr>
              <w:spacing w:after="0" w:line="240" w:lineRule="auto"/>
              <w:ind w:left="567" w:firstLine="0"/>
              <w:rPr>
                <w:lang w:val="nb-NO"/>
              </w:rPr>
            </w:pPr>
            <w:r w:rsidRPr="005B6FB6">
              <w:rPr>
                <w:lang w:val="es-ES"/>
              </w:rPr>
              <w:t>Razón de riesgo [IC del 95%]</w:t>
            </w:r>
          </w:p>
        </w:tc>
        <w:tc>
          <w:tcPr>
            <w:tcW w:w="4453" w:type="dxa"/>
            <w:gridSpan w:val="2"/>
            <w:tcBorders>
              <w:top w:val="single" w:sz="4" w:space="0" w:color="auto"/>
              <w:left w:val="single" w:sz="4" w:space="0" w:color="auto"/>
              <w:bottom w:val="single" w:sz="4" w:space="0" w:color="auto"/>
              <w:right w:val="single" w:sz="4" w:space="0" w:color="auto"/>
            </w:tcBorders>
            <w:noWrap/>
            <w:vAlign w:val="bottom"/>
          </w:tcPr>
          <w:p w14:paraId="6F077788" w14:textId="77777777" w:rsidR="005F0B76" w:rsidRPr="005B6FB6" w:rsidRDefault="005F0B76" w:rsidP="00ED2888">
            <w:pPr>
              <w:spacing w:after="0" w:line="240" w:lineRule="auto"/>
              <w:ind w:left="0" w:firstLine="0"/>
              <w:jc w:val="center"/>
              <w:rPr>
                <w:lang w:val="es-ES"/>
              </w:rPr>
            </w:pPr>
            <w:r w:rsidRPr="005B6FB6">
              <w:rPr>
                <w:lang w:val="es-ES"/>
              </w:rPr>
              <w:t>0,74 [0,58</w:t>
            </w:r>
            <w:r w:rsidR="00AC160C">
              <w:rPr>
                <w:lang w:val="es-ES"/>
              </w:rPr>
              <w:t>;</w:t>
            </w:r>
            <w:r w:rsidRPr="005B6FB6">
              <w:rPr>
                <w:lang w:val="es-ES"/>
              </w:rPr>
              <w:t xml:space="preserve"> 0,94]</w:t>
            </w:r>
          </w:p>
          <w:p w14:paraId="0C817FD7" w14:textId="77777777" w:rsidR="005F0B76" w:rsidRPr="005B6FB6" w:rsidRDefault="005F0B76" w:rsidP="00ED2888">
            <w:pPr>
              <w:spacing w:after="0" w:line="240" w:lineRule="auto"/>
              <w:ind w:left="0" w:firstLine="0"/>
              <w:jc w:val="center"/>
              <w:rPr>
                <w:lang w:val="nb-NO"/>
              </w:rPr>
            </w:pPr>
            <w:r w:rsidRPr="005B6FB6">
              <w:rPr>
                <w:lang w:val="es-ES"/>
              </w:rPr>
              <w:t>(valor-p</w:t>
            </w:r>
            <w:r w:rsidRPr="005B6FB6">
              <w:rPr>
                <w:vertAlign w:val="superscript"/>
                <w:lang w:val="es-ES"/>
              </w:rPr>
              <w:t>5</w:t>
            </w:r>
            <w:r w:rsidRPr="005B6FB6">
              <w:rPr>
                <w:lang w:val="es-ES"/>
              </w:rPr>
              <w:t xml:space="preserve"> = 0,0132)</w:t>
            </w:r>
          </w:p>
        </w:tc>
      </w:tr>
      <w:tr w:rsidR="005F0B76" w:rsidRPr="00714463" w14:paraId="377146AD" w14:textId="77777777" w:rsidTr="00ED2888">
        <w:trPr>
          <w:trHeight w:val="454"/>
        </w:trPr>
        <w:tc>
          <w:tcPr>
            <w:tcW w:w="8931" w:type="dxa"/>
            <w:gridSpan w:val="3"/>
            <w:tcBorders>
              <w:top w:val="single" w:sz="4" w:space="0" w:color="auto"/>
              <w:left w:val="single" w:sz="4" w:space="0" w:color="auto"/>
              <w:bottom w:val="single" w:sz="4" w:space="0" w:color="auto"/>
              <w:right w:val="single" w:sz="4" w:space="0" w:color="auto"/>
            </w:tcBorders>
            <w:noWrap/>
            <w:vAlign w:val="center"/>
          </w:tcPr>
          <w:p w14:paraId="52FFB937" w14:textId="77777777" w:rsidR="005F0B76" w:rsidRPr="00A51019" w:rsidRDefault="005F0B76" w:rsidP="00ED2888">
            <w:pPr>
              <w:spacing w:after="0" w:line="240" w:lineRule="auto"/>
              <w:ind w:left="0" w:firstLine="0"/>
              <w:rPr>
                <w:lang w:val="es-ES"/>
              </w:rPr>
            </w:pPr>
            <w:r w:rsidRPr="005B6FB6">
              <w:rPr>
                <w:lang w:val="es-ES"/>
              </w:rPr>
              <w:t>Supervivencia global – Análisis de seguimiento</w:t>
            </w:r>
            <w:r w:rsidRPr="005B6FB6">
              <w:rPr>
                <w:vertAlign w:val="superscript"/>
                <w:lang w:val="es-ES"/>
              </w:rPr>
              <w:t>7</w:t>
            </w:r>
          </w:p>
        </w:tc>
      </w:tr>
      <w:tr w:rsidR="005F0B76" w:rsidRPr="005B6FB6" w14:paraId="0D7787E4" w14:textId="77777777" w:rsidTr="001F0FE8">
        <w:trPr>
          <w:trHeight w:val="300"/>
        </w:trPr>
        <w:tc>
          <w:tcPr>
            <w:tcW w:w="4478" w:type="dxa"/>
            <w:tcBorders>
              <w:top w:val="single" w:sz="4" w:space="0" w:color="auto"/>
              <w:left w:val="single" w:sz="4" w:space="0" w:color="auto"/>
              <w:bottom w:val="single" w:sz="4" w:space="0" w:color="auto"/>
              <w:right w:val="single" w:sz="4" w:space="0" w:color="auto"/>
            </w:tcBorders>
            <w:noWrap/>
            <w:vAlign w:val="bottom"/>
          </w:tcPr>
          <w:p w14:paraId="0FB13092" w14:textId="77777777" w:rsidR="005F0B76" w:rsidRPr="005B6FB6" w:rsidRDefault="005F0B76" w:rsidP="00ED2888">
            <w:pPr>
              <w:spacing w:after="0" w:line="240" w:lineRule="auto"/>
              <w:ind w:left="567" w:firstLine="0"/>
            </w:pPr>
            <w:r w:rsidRPr="005B6FB6">
              <w:rPr>
                <w:lang w:val="es-ES"/>
              </w:rPr>
              <w:t>Mediana (meses)</w:t>
            </w:r>
            <w:r w:rsidRPr="005B6FB6">
              <w:rPr>
                <w:vertAlign w:val="superscript"/>
                <w:lang w:val="es-ES"/>
              </w:rPr>
              <w:t>1</w:t>
            </w:r>
          </w:p>
        </w:tc>
        <w:tc>
          <w:tcPr>
            <w:tcW w:w="2185" w:type="dxa"/>
            <w:tcBorders>
              <w:top w:val="single" w:sz="4" w:space="0" w:color="auto"/>
              <w:left w:val="single" w:sz="4" w:space="0" w:color="auto"/>
              <w:bottom w:val="single" w:sz="4" w:space="0" w:color="auto"/>
              <w:right w:val="single" w:sz="4" w:space="0" w:color="auto"/>
            </w:tcBorders>
            <w:noWrap/>
            <w:vAlign w:val="bottom"/>
          </w:tcPr>
          <w:p w14:paraId="1BA0FCBA" w14:textId="77777777" w:rsidR="005F0B76" w:rsidRPr="005B6FB6" w:rsidRDefault="005F0B76" w:rsidP="00ED2888">
            <w:pPr>
              <w:spacing w:after="0" w:line="240" w:lineRule="auto"/>
              <w:ind w:left="0" w:firstLine="0"/>
              <w:jc w:val="center"/>
            </w:pPr>
            <w:r w:rsidRPr="00D17B5D">
              <w:rPr>
                <w:color w:val="auto"/>
                <w:lang w:val="es-ES"/>
              </w:rPr>
              <w:t>13,3</w:t>
            </w:r>
          </w:p>
        </w:tc>
        <w:tc>
          <w:tcPr>
            <w:tcW w:w="2268" w:type="dxa"/>
            <w:tcBorders>
              <w:top w:val="single" w:sz="4" w:space="0" w:color="auto"/>
              <w:left w:val="single" w:sz="4" w:space="0" w:color="auto"/>
              <w:bottom w:val="single" w:sz="4" w:space="0" w:color="auto"/>
              <w:right w:val="single" w:sz="4" w:space="0" w:color="auto"/>
            </w:tcBorders>
            <w:noWrap/>
            <w:vAlign w:val="bottom"/>
          </w:tcPr>
          <w:p w14:paraId="0A0C1B14" w14:textId="77777777" w:rsidR="005F0B76" w:rsidRPr="005B6FB6" w:rsidRDefault="005F0B76" w:rsidP="00ED2888">
            <w:pPr>
              <w:spacing w:after="0" w:line="240" w:lineRule="auto"/>
              <w:ind w:left="0" w:firstLine="0"/>
              <w:jc w:val="center"/>
            </w:pPr>
            <w:r w:rsidRPr="00D17B5D">
              <w:rPr>
                <w:color w:val="auto"/>
                <w:lang w:val="es-ES"/>
              </w:rPr>
              <w:t>16,8</w:t>
            </w:r>
          </w:p>
        </w:tc>
      </w:tr>
      <w:tr w:rsidR="005F0B76" w:rsidRPr="005B6FB6" w14:paraId="3A5DA939" w14:textId="77777777" w:rsidTr="00ED2888">
        <w:trPr>
          <w:trHeight w:val="300"/>
        </w:trPr>
        <w:tc>
          <w:tcPr>
            <w:tcW w:w="4478" w:type="dxa"/>
            <w:tcBorders>
              <w:top w:val="single" w:sz="4" w:space="0" w:color="auto"/>
              <w:left w:val="single" w:sz="4" w:space="0" w:color="auto"/>
              <w:bottom w:val="single" w:sz="4" w:space="0" w:color="auto"/>
              <w:right w:val="single" w:sz="4" w:space="0" w:color="auto"/>
            </w:tcBorders>
            <w:noWrap/>
          </w:tcPr>
          <w:p w14:paraId="3DA4DD17" w14:textId="77777777" w:rsidR="005F0B76" w:rsidRPr="00577D92" w:rsidRDefault="005F0B76" w:rsidP="00ED2888">
            <w:pPr>
              <w:spacing w:after="0" w:line="240" w:lineRule="auto"/>
              <w:ind w:left="567" w:firstLine="0"/>
              <w:rPr>
                <w:lang w:val="nb-NO"/>
              </w:rPr>
            </w:pPr>
            <w:r w:rsidRPr="00D17B5D">
              <w:rPr>
                <w:color w:val="auto"/>
                <w:lang w:val="es-ES"/>
              </w:rPr>
              <w:t>Razón de riesgo [IC del 95%]</w:t>
            </w:r>
          </w:p>
        </w:tc>
        <w:tc>
          <w:tcPr>
            <w:tcW w:w="4453" w:type="dxa"/>
            <w:gridSpan w:val="2"/>
            <w:tcBorders>
              <w:top w:val="single" w:sz="4" w:space="0" w:color="auto"/>
              <w:left w:val="single" w:sz="4" w:space="0" w:color="auto"/>
              <w:bottom w:val="single" w:sz="4" w:space="0" w:color="auto"/>
              <w:right w:val="single" w:sz="4" w:space="0" w:color="auto"/>
            </w:tcBorders>
            <w:noWrap/>
            <w:vAlign w:val="bottom"/>
          </w:tcPr>
          <w:p w14:paraId="78C29C16" w14:textId="77777777" w:rsidR="005F0B76" w:rsidRPr="00D17B5D" w:rsidRDefault="005F0B76" w:rsidP="00ED2888">
            <w:pPr>
              <w:spacing w:after="0" w:line="240" w:lineRule="auto"/>
              <w:ind w:left="0" w:firstLine="0"/>
              <w:jc w:val="center"/>
              <w:rPr>
                <w:color w:val="auto"/>
                <w:lang w:val="es-ES"/>
              </w:rPr>
            </w:pPr>
            <w:r w:rsidRPr="00D17B5D">
              <w:rPr>
                <w:color w:val="auto"/>
                <w:lang w:val="es-ES"/>
              </w:rPr>
              <w:t>0,76 [0,62</w:t>
            </w:r>
            <w:r w:rsidR="00AC160C">
              <w:rPr>
                <w:color w:val="auto"/>
                <w:lang w:val="es-ES"/>
              </w:rPr>
              <w:t>;</w:t>
            </w:r>
            <w:r w:rsidRPr="00D17B5D">
              <w:rPr>
                <w:color w:val="auto"/>
                <w:lang w:val="es-ES"/>
              </w:rPr>
              <w:t xml:space="preserve"> 0,94]</w:t>
            </w:r>
          </w:p>
          <w:p w14:paraId="5CEAE4F0" w14:textId="77777777" w:rsidR="005F0B76" w:rsidRPr="005B6FB6" w:rsidRDefault="005F0B76" w:rsidP="00ED2888">
            <w:pPr>
              <w:spacing w:after="0" w:line="240" w:lineRule="auto"/>
              <w:ind w:left="0" w:firstLine="0"/>
              <w:jc w:val="center"/>
            </w:pPr>
            <w:r w:rsidRPr="00D17B5D">
              <w:rPr>
                <w:color w:val="auto"/>
                <w:lang w:val="es-ES"/>
              </w:rPr>
              <w:t>(valor-p</w:t>
            </w:r>
            <w:r w:rsidRPr="00D17B5D">
              <w:rPr>
                <w:color w:val="auto"/>
                <w:vertAlign w:val="superscript"/>
                <w:lang w:val="es-ES"/>
              </w:rPr>
              <w:t xml:space="preserve"> 5,8</w:t>
            </w:r>
            <w:r w:rsidRPr="00D17B5D">
              <w:rPr>
                <w:color w:val="auto"/>
                <w:lang w:val="es-ES"/>
              </w:rPr>
              <w:t xml:space="preserve"> = 0,0126)</w:t>
            </w:r>
          </w:p>
        </w:tc>
      </w:tr>
      <w:tr w:rsidR="005F0B76" w:rsidRPr="005B6FB6" w14:paraId="2ED17440" w14:textId="77777777" w:rsidTr="00ED2888">
        <w:trPr>
          <w:trHeight w:val="390"/>
        </w:trPr>
        <w:tc>
          <w:tcPr>
            <w:tcW w:w="8931" w:type="dxa"/>
            <w:gridSpan w:val="3"/>
            <w:tcBorders>
              <w:top w:val="single" w:sz="4" w:space="0" w:color="auto"/>
              <w:left w:val="single" w:sz="4" w:space="0" w:color="auto"/>
              <w:bottom w:val="single" w:sz="4" w:space="0" w:color="auto"/>
              <w:right w:val="single" w:sz="4" w:space="0" w:color="auto"/>
            </w:tcBorders>
            <w:noWrap/>
            <w:vAlign w:val="center"/>
          </w:tcPr>
          <w:p w14:paraId="3631C7F9" w14:textId="77777777" w:rsidR="005F0B76" w:rsidRPr="005B6FB6" w:rsidRDefault="005F0B76" w:rsidP="00246678">
            <w:pPr>
              <w:keepNext/>
              <w:keepLines/>
              <w:spacing w:after="0" w:line="240" w:lineRule="auto"/>
              <w:ind w:left="0" w:firstLine="0"/>
              <w:jc w:val="center"/>
            </w:pPr>
            <w:r w:rsidRPr="00D17B5D">
              <w:rPr>
                <w:color w:val="auto"/>
                <w:u w:color="000000"/>
                <w:lang w:val="es-ES"/>
              </w:rPr>
              <w:lastRenderedPageBreak/>
              <w:t>Variables secundarias</w:t>
            </w:r>
          </w:p>
        </w:tc>
      </w:tr>
      <w:tr w:rsidR="005F0B76" w:rsidRPr="00714463" w14:paraId="33BCF714" w14:textId="77777777" w:rsidTr="00ED2888">
        <w:trPr>
          <w:trHeight w:val="410"/>
        </w:trPr>
        <w:tc>
          <w:tcPr>
            <w:tcW w:w="8931" w:type="dxa"/>
            <w:gridSpan w:val="3"/>
            <w:tcBorders>
              <w:top w:val="single" w:sz="4" w:space="0" w:color="auto"/>
              <w:left w:val="single" w:sz="4" w:space="0" w:color="auto"/>
              <w:bottom w:val="single" w:sz="4" w:space="0" w:color="auto"/>
              <w:right w:val="single" w:sz="4" w:space="0" w:color="auto"/>
            </w:tcBorders>
            <w:noWrap/>
            <w:vAlign w:val="center"/>
          </w:tcPr>
          <w:p w14:paraId="34657818" w14:textId="77777777" w:rsidR="005F0B76" w:rsidRPr="00A51019" w:rsidRDefault="005F0B76" w:rsidP="00246678">
            <w:pPr>
              <w:keepNext/>
              <w:keepLines/>
              <w:spacing w:after="0" w:line="240" w:lineRule="auto"/>
              <w:ind w:left="0" w:firstLine="0"/>
              <w:rPr>
                <w:lang w:val="es-ES"/>
              </w:rPr>
            </w:pPr>
            <w:r w:rsidRPr="00D17B5D">
              <w:rPr>
                <w:color w:val="auto"/>
                <w:lang w:val="es-ES"/>
              </w:rPr>
              <w:t>Supervivencia libre de progresión– Análisis primario</w:t>
            </w:r>
            <w:r w:rsidRPr="00D17B5D">
              <w:rPr>
                <w:color w:val="auto"/>
                <w:vertAlign w:val="superscript"/>
                <w:lang w:val="es-ES"/>
              </w:rPr>
              <w:t>6</w:t>
            </w:r>
          </w:p>
        </w:tc>
      </w:tr>
      <w:tr w:rsidR="005F0B76" w:rsidRPr="005B6FB6" w14:paraId="32F19A60" w14:textId="77777777" w:rsidTr="001F0FE8">
        <w:trPr>
          <w:trHeight w:val="300"/>
        </w:trPr>
        <w:tc>
          <w:tcPr>
            <w:tcW w:w="4478" w:type="dxa"/>
            <w:tcBorders>
              <w:top w:val="single" w:sz="4" w:space="0" w:color="auto"/>
              <w:left w:val="single" w:sz="4" w:space="0" w:color="auto"/>
              <w:bottom w:val="single" w:sz="4" w:space="0" w:color="auto"/>
              <w:right w:val="single" w:sz="4" w:space="0" w:color="auto"/>
            </w:tcBorders>
            <w:noWrap/>
            <w:vAlign w:val="bottom"/>
          </w:tcPr>
          <w:p w14:paraId="735F833E" w14:textId="77777777" w:rsidR="005F0B76" w:rsidRPr="005B6FB6" w:rsidRDefault="005F0B76" w:rsidP="00246678">
            <w:pPr>
              <w:keepNext/>
              <w:keepLines/>
              <w:spacing w:after="0" w:line="240" w:lineRule="auto"/>
              <w:ind w:left="567" w:firstLine="0"/>
            </w:pPr>
            <w:r w:rsidRPr="00D17B5D">
              <w:rPr>
                <w:color w:val="auto"/>
                <w:lang w:val="es-ES"/>
              </w:rPr>
              <w:t>Mediana SLP (meses)</w:t>
            </w:r>
            <w:r w:rsidRPr="00D17B5D">
              <w:rPr>
                <w:color w:val="auto"/>
                <w:vertAlign w:val="superscript"/>
                <w:lang w:val="es-ES"/>
              </w:rPr>
              <w:t>1</w:t>
            </w:r>
          </w:p>
        </w:tc>
        <w:tc>
          <w:tcPr>
            <w:tcW w:w="2185" w:type="dxa"/>
            <w:tcBorders>
              <w:top w:val="single" w:sz="4" w:space="0" w:color="auto"/>
              <w:left w:val="single" w:sz="4" w:space="0" w:color="auto"/>
              <w:bottom w:val="single" w:sz="4" w:space="0" w:color="auto"/>
              <w:right w:val="single" w:sz="4" w:space="0" w:color="auto"/>
            </w:tcBorders>
            <w:noWrap/>
            <w:vAlign w:val="bottom"/>
          </w:tcPr>
          <w:p w14:paraId="323ADE94" w14:textId="77777777" w:rsidR="005F0B76" w:rsidRPr="005B6FB6" w:rsidRDefault="005F0B76" w:rsidP="00ED2888">
            <w:pPr>
              <w:spacing w:after="0" w:line="240" w:lineRule="auto"/>
              <w:ind w:left="0" w:firstLine="0"/>
              <w:jc w:val="center"/>
            </w:pPr>
            <w:r w:rsidRPr="00D17B5D">
              <w:rPr>
                <w:color w:val="auto"/>
                <w:lang w:val="es-ES"/>
              </w:rPr>
              <w:t>6,0</w:t>
            </w:r>
          </w:p>
        </w:tc>
        <w:tc>
          <w:tcPr>
            <w:tcW w:w="2268" w:type="dxa"/>
            <w:tcBorders>
              <w:top w:val="single" w:sz="4" w:space="0" w:color="auto"/>
              <w:left w:val="single" w:sz="4" w:space="0" w:color="auto"/>
              <w:bottom w:val="single" w:sz="4" w:space="0" w:color="auto"/>
              <w:right w:val="single" w:sz="4" w:space="0" w:color="auto"/>
            </w:tcBorders>
            <w:noWrap/>
            <w:vAlign w:val="bottom"/>
          </w:tcPr>
          <w:p w14:paraId="1779B3C0" w14:textId="77777777" w:rsidR="005F0B76" w:rsidRPr="005B6FB6" w:rsidRDefault="005F0B76" w:rsidP="00ED2888">
            <w:pPr>
              <w:spacing w:after="0" w:line="240" w:lineRule="auto"/>
              <w:ind w:left="0" w:firstLine="0"/>
              <w:jc w:val="center"/>
            </w:pPr>
            <w:r w:rsidRPr="00D17B5D">
              <w:rPr>
                <w:color w:val="auto"/>
                <w:lang w:val="es-ES"/>
              </w:rPr>
              <w:t>8,3</w:t>
            </w:r>
          </w:p>
        </w:tc>
      </w:tr>
      <w:tr w:rsidR="005F0B76" w:rsidRPr="005B6FB6" w14:paraId="7FA0AF91" w14:textId="77777777" w:rsidTr="00ED2888">
        <w:trPr>
          <w:trHeight w:val="300"/>
        </w:trPr>
        <w:tc>
          <w:tcPr>
            <w:tcW w:w="4478" w:type="dxa"/>
            <w:tcBorders>
              <w:top w:val="single" w:sz="4" w:space="0" w:color="auto"/>
              <w:left w:val="single" w:sz="4" w:space="0" w:color="auto"/>
              <w:bottom w:val="single" w:sz="4" w:space="0" w:color="auto"/>
              <w:right w:val="single" w:sz="4" w:space="0" w:color="auto"/>
            </w:tcBorders>
            <w:noWrap/>
          </w:tcPr>
          <w:p w14:paraId="79BC359B" w14:textId="77777777" w:rsidR="005F0B76" w:rsidRPr="00577D92" w:rsidRDefault="005F0B76" w:rsidP="00246678">
            <w:pPr>
              <w:keepNext/>
              <w:keepLines/>
              <w:spacing w:after="0" w:line="240" w:lineRule="auto"/>
              <w:ind w:left="567" w:firstLine="0"/>
              <w:rPr>
                <w:lang w:val="nb-NO"/>
              </w:rPr>
            </w:pPr>
            <w:r w:rsidRPr="005F0B76">
              <w:rPr>
                <w:lang w:val="es-ES"/>
              </w:rPr>
              <w:t>Razón</w:t>
            </w:r>
            <w:r w:rsidRPr="00D17B5D">
              <w:rPr>
                <w:color w:val="auto"/>
                <w:lang w:val="es-ES"/>
              </w:rPr>
              <w:t xml:space="preserve"> de riesgo [IC del 95%]</w:t>
            </w:r>
          </w:p>
        </w:tc>
        <w:tc>
          <w:tcPr>
            <w:tcW w:w="4453" w:type="dxa"/>
            <w:gridSpan w:val="2"/>
            <w:tcBorders>
              <w:top w:val="single" w:sz="4" w:space="0" w:color="auto"/>
              <w:left w:val="single" w:sz="4" w:space="0" w:color="auto"/>
              <w:bottom w:val="single" w:sz="4" w:space="0" w:color="auto"/>
              <w:right w:val="single" w:sz="4" w:space="0" w:color="auto"/>
            </w:tcBorders>
            <w:noWrap/>
            <w:vAlign w:val="bottom"/>
          </w:tcPr>
          <w:p w14:paraId="44616841" w14:textId="77777777" w:rsidR="005F0B76" w:rsidRPr="00D17B5D" w:rsidRDefault="00AC160C" w:rsidP="00ED2888">
            <w:pPr>
              <w:spacing w:after="0" w:line="240" w:lineRule="auto"/>
              <w:ind w:left="0" w:firstLine="0"/>
              <w:jc w:val="center"/>
              <w:rPr>
                <w:color w:val="auto"/>
                <w:lang w:val="es-ES"/>
              </w:rPr>
            </w:pPr>
            <w:r>
              <w:rPr>
                <w:color w:val="auto"/>
                <w:lang w:val="es-ES"/>
              </w:rPr>
              <w:t>0,66 [0,54;</w:t>
            </w:r>
            <w:r w:rsidR="005F0B76" w:rsidRPr="00D17B5D">
              <w:rPr>
                <w:color w:val="auto"/>
                <w:lang w:val="es-ES"/>
              </w:rPr>
              <w:t xml:space="preserve"> 0,81]</w:t>
            </w:r>
          </w:p>
          <w:p w14:paraId="67E963A5" w14:textId="77777777" w:rsidR="005F0B76" w:rsidRPr="005B6FB6" w:rsidRDefault="005F0B76" w:rsidP="00ED2888">
            <w:pPr>
              <w:spacing w:after="0" w:line="240" w:lineRule="auto"/>
              <w:ind w:left="0" w:firstLine="0"/>
              <w:jc w:val="center"/>
            </w:pPr>
            <w:r w:rsidRPr="00D17B5D">
              <w:rPr>
                <w:color w:val="auto"/>
                <w:lang w:val="es-ES"/>
              </w:rPr>
              <w:t>(valor-p</w:t>
            </w:r>
            <w:r w:rsidRPr="00D17B5D">
              <w:rPr>
                <w:color w:val="auto"/>
                <w:vertAlign w:val="superscript"/>
                <w:lang w:val="es-ES"/>
              </w:rPr>
              <w:t>5</w:t>
            </w:r>
            <w:r w:rsidRPr="00D17B5D">
              <w:rPr>
                <w:color w:val="auto"/>
                <w:lang w:val="es-ES"/>
              </w:rPr>
              <w:t xml:space="preserve"> &lt; 0,0001)</w:t>
            </w:r>
          </w:p>
        </w:tc>
      </w:tr>
      <w:tr w:rsidR="005F0B76" w:rsidRPr="00714463" w14:paraId="059C444D" w14:textId="77777777" w:rsidTr="00ED2888">
        <w:trPr>
          <w:trHeight w:val="400"/>
        </w:trPr>
        <w:tc>
          <w:tcPr>
            <w:tcW w:w="8931" w:type="dxa"/>
            <w:gridSpan w:val="3"/>
            <w:tcBorders>
              <w:top w:val="single" w:sz="4" w:space="0" w:color="auto"/>
              <w:left w:val="single" w:sz="4" w:space="0" w:color="auto"/>
              <w:bottom w:val="single" w:sz="4" w:space="0" w:color="auto"/>
              <w:right w:val="single" w:sz="4" w:space="0" w:color="auto"/>
            </w:tcBorders>
            <w:noWrap/>
            <w:vAlign w:val="center"/>
          </w:tcPr>
          <w:p w14:paraId="527C4CD4" w14:textId="77777777" w:rsidR="005F0B76" w:rsidRPr="00A51019" w:rsidRDefault="005F0B76" w:rsidP="002374EE">
            <w:pPr>
              <w:keepNext/>
              <w:keepLines/>
              <w:spacing w:after="0" w:line="240" w:lineRule="auto"/>
              <w:ind w:left="0" w:firstLine="0"/>
              <w:rPr>
                <w:lang w:val="es-ES"/>
              </w:rPr>
            </w:pPr>
            <w:r w:rsidRPr="00D17B5D">
              <w:rPr>
                <w:color w:val="auto"/>
                <w:lang w:val="es-ES"/>
              </w:rPr>
              <w:t>Mejor respuesta global– Análisis primario</w:t>
            </w:r>
            <w:r w:rsidRPr="00D17B5D">
              <w:rPr>
                <w:color w:val="auto"/>
                <w:vertAlign w:val="superscript"/>
                <w:lang w:val="es-ES"/>
              </w:rPr>
              <w:t>6</w:t>
            </w:r>
          </w:p>
        </w:tc>
      </w:tr>
      <w:tr w:rsidR="005F0B76" w:rsidRPr="005B6FB6" w14:paraId="249878FC" w14:textId="77777777" w:rsidTr="001F0FE8">
        <w:trPr>
          <w:trHeight w:val="300"/>
        </w:trPr>
        <w:tc>
          <w:tcPr>
            <w:tcW w:w="4478" w:type="dxa"/>
            <w:tcBorders>
              <w:top w:val="single" w:sz="4" w:space="0" w:color="auto"/>
              <w:left w:val="single" w:sz="4" w:space="0" w:color="auto"/>
              <w:bottom w:val="single" w:sz="4" w:space="0" w:color="auto"/>
              <w:right w:val="single" w:sz="4" w:space="0" w:color="auto"/>
            </w:tcBorders>
            <w:noWrap/>
            <w:vAlign w:val="bottom"/>
          </w:tcPr>
          <w:p w14:paraId="56F4E4EF" w14:textId="77777777" w:rsidR="005F0B76" w:rsidRPr="005B6FB6" w:rsidRDefault="005F0B76" w:rsidP="002374EE">
            <w:pPr>
              <w:keepNext/>
              <w:keepLines/>
              <w:spacing w:after="0" w:line="240" w:lineRule="auto"/>
              <w:ind w:left="567" w:firstLine="0"/>
            </w:pPr>
            <w:r w:rsidRPr="00D17B5D">
              <w:rPr>
                <w:color w:val="auto"/>
                <w:lang w:val="es-ES"/>
              </w:rPr>
              <w:t>Respuestas (Tasa de respuesta</w:t>
            </w:r>
            <w:r w:rsidRPr="00D17B5D">
              <w:rPr>
                <w:color w:val="auto"/>
                <w:vertAlign w:val="superscript"/>
                <w:lang w:val="es-ES"/>
              </w:rPr>
              <w:t>2</w:t>
            </w:r>
            <w:r w:rsidRPr="00D17B5D">
              <w:rPr>
                <w:color w:val="auto"/>
                <w:lang w:val="es-ES"/>
              </w:rPr>
              <w:t>)</w:t>
            </w:r>
          </w:p>
        </w:tc>
        <w:tc>
          <w:tcPr>
            <w:tcW w:w="2185" w:type="dxa"/>
            <w:tcBorders>
              <w:top w:val="single" w:sz="4" w:space="0" w:color="auto"/>
              <w:left w:val="single" w:sz="4" w:space="0" w:color="auto"/>
              <w:bottom w:val="single" w:sz="4" w:space="0" w:color="auto"/>
              <w:right w:val="single" w:sz="4" w:space="0" w:color="auto"/>
            </w:tcBorders>
            <w:noWrap/>
            <w:vAlign w:val="bottom"/>
          </w:tcPr>
          <w:p w14:paraId="0BFF900D" w14:textId="77777777" w:rsidR="005F0B76" w:rsidRPr="005B6FB6" w:rsidRDefault="005F0B76" w:rsidP="002374EE">
            <w:pPr>
              <w:keepNext/>
              <w:keepLines/>
              <w:spacing w:after="0" w:line="240" w:lineRule="auto"/>
              <w:ind w:left="0" w:firstLine="0"/>
              <w:jc w:val="center"/>
            </w:pPr>
            <w:r>
              <w:rPr>
                <w:lang w:val="es-ES"/>
              </w:rPr>
              <w:t>76 (33,8</w:t>
            </w:r>
            <w:r w:rsidR="00EE5415">
              <w:rPr>
                <w:lang w:val="es-ES"/>
              </w:rPr>
              <w:t>%</w:t>
            </w:r>
            <w:r>
              <w:rPr>
                <w:lang w:val="es-ES"/>
              </w:rPr>
              <w:t>)</w:t>
            </w:r>
          </w:p>
        </w:tc>
        <w:tc>
          <w:tcPr>
            <w:tcW w:w="2268" w:type="dxa"/>
            <w:tcBorders>
              <w:top w:val="single" w:sz="4" w:space="0" w:color="auto"/>
              <w:left w:val="single" w:sz="4" w:space="0" w:color="auto"/>
              <w:bottom w:val="single" w:sz="4" w:space="0" w:color="auto"/>
              <w:right w:val="single" w:sz="4" w:space="0" w:color="auto"/>
            </w:tcBorders>
            <w:noWrap/>
            <w:vAlign w:val="bottom"/>
          </w:tcPr>
          <w:p w14:paraId="6645F36D" w14:textId="77777777" w:rsidR="005F0B76" w:rsidRPr="005B6FB6" w:rsidRDefault="005F0B76" w:rsidP="002374EE">
            <w:pPr>
              <w:keepNext/>
              <w:keepLines/>
              <w:spacing w:after="0" w:line="240" w:lineRule="auto"/>
              <w:ind w:left="0" w:firstLine="0"/>
              <w:jc w:val="center"/>
            </w:pPr>
            <w:r w:rsidRPr="00D17B5D">
              <w:rPr>
                <w:color w:val="auto"/>
                <w:lang w:val="es-ES"/>
              </w:rPr>
              <w:t>103 (45,4</w:t>
            </w:r>
            <w:r w:rsidR="00EE5415">
              <w:rPr>
                <w:color w:val="auto"/>
                <w:lang w:val="es-ES"/>
              </w:rPr>
              <w:t>%</w:t>
            </w:r>
            <w:r w:rsidRPr="00D17B5D">
              <w:rPr>
                <w:color w:val="auto"/>
                <w:lang w:val="es-ES"/>
              </w:rPr>
              <w:t>)</w:t>
            </w:r>
          </w:p>
        </w:tc>
      </w:tr>
      <w:tr w:rsidR="005F0B76" w:rsidRPr="005B6FB6" w14:paraId="3FD0AAAE" w14:textId="77777777" w:rsidTr="001F0FE8">
        <w:trPr>
          <w:trHeight w:val="300"/>
        </w:trPr>
        <w:tc>
          <w:tcPr>
            <w:tcW w:w="4478" w:type="dxa"/>
            <w:tcBorders>
              <w:top w:val="single" w:sz="4" w:space="0" w:color="auto"/>
              <w:left w:val="single" w:sz="4" w:space="0" w:color="auto"/>
              <w:bottom w:val="single" w:sz="4" w:space="0" w:color="auto"/>
              <w:right w:val="single" w:sz="4" w:space="0" w:color="auto"/>
            </w:tcBorders>
            <w:noWrap/>
            <w:vAlign w:val="bottom"/>
          </w:tcPr>
          <w:p w14:paraId="086633F7" w14:textId="77777777" w:rsidR="005F0B76" w:rsidRPr="005F0B76" w:rsidRDefault="005F0B76" w:rsidP="002374EE">
            <w:pPr>
              <w:keepNext/>
              <w:keepLines/>
              <w:spacing w:after="0" w:line="240" w:lineRule="auto"/>
              <w:ind w:left="567" w:firstLine="0"/>
              <w:rPr>
                <w:lang w:val="es-ES"/>
              </w:rPr>
            </w:pPr>
            <w:r w:rsidRPr="005F0B76">
              <w:rPr>
                <w:lang w:val="es-ES"/>
              </w:rPr>
              <w:t>IC del 95% para tasas de respuesta</w:t>
            </w:r>
            <w:r w:rsidRPr="00B97371">
              <w:rPr>
                <w:vertAlign w:val="superscript"/>
                <w:lang w:val="es-ES"/>
              </w:rPr>
              <w:t>3</w:t>
            </w:r>
          </w:p>
        </w:tc>
        <w:tc>
          <w:tcPr>
            <w:tcW w:w="2185" w:type="dxa"/>
            <w:tcBorders>
              <w:top w:val="single" w:sz="4" w:space="0" w:color="auto"/>
              <w:left w:val="single" w:sz="4" w:space="0" w:color="auto"/>
              <w:bottom w:val="single" w:sz="4" w:space="0" w:color="auto"/>
              <w:right w:val="single" w:sz="4" w:space="0" w:color="auto"/>
            </w:tcBorders>
            <w:noWrap/>
            <w:vAlign w:val="bottom"/>
          </w:tcPr>
          <w:p w14:paraId="53E44B18" w14:textId="77777777" w:rsidR="005F0B76" w:rsidRPr="005B6FB6" w:rsidRDefault="005F0B76" w:rsidP="002374EE">
            <w:pPr>
              <w:keepNext/>
              <w:keepLines/>
              <w:spacing w:after="0" w:line="240" w:lineRule="auto"/>
              <w:ind w:left="0" w:firstLine="0"/>
              <w:jc w:val="center"/>
            </w:pPr>
            <w:r>
              <w:rPr>
                <w:lang w:val="es-ES"/>
              </w:rPr>
              <w:t>[27,6%</w:t>
            </w:r>
            <w:r w:rsidR="00AC160C">
              <w:rPr>
                <w:lang w:val="es-ES"/>
              </w:rPr>
              <w:t>;</w:t>
            </w:r>
            <w:r>
              <w:rPr>
                <w:lang w:val="es-ES"/>
              </w:rPr>
              <w:t xml:space="preserve"> 40,4%]</w:t>
            </w:r>
          </w:p>
        </w:tc>
        <w:tc>
          <w:tcPr>
            <w:tcW w:w="2268" w:type="dxa"/>
            <w:tcBorders>
              <w:top w:val="single" w:sz="4" w:space="0" w:color="auto"/>
              <w:left w:val="single" w:sz="4" w:space="0" w:color="auto"/>
              <w:bottom w:val="single" w:sz="4" w:space="0" w:color="auto"/>
              <w:right w:val="single" w:sz="4" w:space="0" w:color="auto"/>
            </w:tcBorders>
            <w:noWrap/>
            <w:vAlign w:val="bottom"/>
          </w:tcPr>
          <w:p w14:paraId="7821B2AE" w14:textId="77777777" w:rsidR="005F0B76" w:rsidRPr="00D17B5D" w:rsidRDefault="00AC160C" w:rsidP="002374EE">
            <w:pPr>
              <w:keepNext/>
              <w:keepLines/>
              <w:tabs>
                <w:tab w:val="center" w:pos="1259"/>
              </w:tabs>
              <w:spacing w:after="0" w:line="240" w:lineRule="auto"/>
              <w:ind w:left="0" w:firstLine="0"/>
              <w:jc w:val="center"/>
              <w:rPr>
                <w:color w:val="auto"/>
                <w:lang w:val="es-ES"/>
              </w:rPr>
            </w:pPr>
            <w:r>
              <w:rPr>
                <w:color w:val="auto"/>
                <w:lang w:val="es-ES"/>
              </w:rPr>
              <w:t>[38,8%;</w:t>
            </w:r>
            <w:r w:rsidR="005F0B76" w:rsidRPr="00D17B5D">
              <w:rPr>
                <w:color w:val="auto"/>
                <w:lang w:val="es-ES"/>
              </w:rPr>
              <w:t xml:space="preserve"> 52,1%]</w:t>
            </w:r>
          </w:p>
        </w:tc>
      </w:tr>
      <w:tr w:rsidR="005F0B76" w:rsidRPr="00577D92" w14:paraId="7559D5DE" w14:textId="77777777" w:rsidTr="006A0009">
        <w:trPr>
          <w:trHeight w:val="300"/>
        </w:trPr>
        <w:tc>
          <w:tcPr>
            <w:tcW w:w="4478" w:type="dxa"/>
            <w:tcBorders>
              <w:top w:val="single" w:sz="4" w:space="0" w:color="auto"/>
              <w:left w:val="single" w:sz="4" w:space="0" w:color="auto"/>
              <w:bottom w:val="single" w:sz="4" w:space="0" w:color="auto"/>
              <w:right w:val="single" w:sz="4" w:space="0" w:color="auto"/>
            </w:tcBorders>
            <w:noWrap/>
            <w:vAlign w:val="bottom"/>
          </w:tcPr>
          <w:p w14:paraId="4330BD96" w14:textId="77777777" w:rsidR="005F0B76" w:rsidRPr="00577D92" w:rsidRDefault="005F0B76" w:rsidP="002374EE">
            <w:pPr>
              <w:keepNext/>
              <w:keepLines/>
              <w:spacing w:after="0" w:line="240" w:lineRule="auto"/>
              <w:ind w:left="567" w:firstLine="0"/>
              <w:rPr>
                <w:lang w:val="nb-NO"/>
              </w:rPr>
            </w:pPr>
            <w:r w:rsidRPr="00D17B5D">
              <w:rPr>
                <w:color w:val="auto"/>
                <w:lang w:val="es-ES"/>
              </w:rPr>
              <w:t>Di</w:t>
            </w:r>
            <w:r>
              <w:rPr>
                <w:color w:val="auto"/>
                <w:lang w:val="es-ES"/>
              </w:rPr>
              <w:t>ferencia en tasas de respuesta</w:t>
            </w:r>
          </w:p>
        </w:tc>
        <w:tc>
          <w:tcPr>
            <w:tcW w:w="4453" w:type="dxa"/>
            <w:gridSpan w:val="2"/>
            <w:tcBorders>
              <w:top w:val="single" w:sz="4" w:space="0" w:color="auto"/>
              <w:left w:val="single" w:sz="4" w:space="0" w:color="auto"/>
              <w:bottom w:val="single" w:sz="4" w:space="0" w:color="auto"/>
              <w:right w:val="single" w:sz="4" w:space="0" w:color="auto"/>
            </w:tcBorders>
            <w:noWrap/>
            <w:vAlign w:val="bottom"/>
          </w:tcPr>
          <w:p w14:paraId="3FE5FE4E" w14:textId="77777777" w:rsidR="005F0B76" w:rsidRPr="00577D92" w:rsidRDefault="005F0B76" w:rsidP="002374EE">
            <w:pPr>
              <w:keepNext/>
              <w:keepLines/>
              <w:spacing w:after="0" w:line="240" w:lineRule="auto"/>
              <w:ind w:left="0" w:firstLine="0"/>
              <w:jc w:val="center"/>
              <w:rPr>
                <w:lang w:val="nb-NO"/>
              </w:rPr>
            </w:pPr>
            <w:r w:rsidRPr="00D17B5D">
              <w:rPr>
                <w:color w:val="auto"/>
                <w:lang w:val="es-ES"/>
              </w:rPr>
              <w:t>11,60%</w:t>
            </w:r>
          </w:p>
        </w:tc>
      </w:tr>
      <w:tr w:rsidR="005F0B76" w:rsidRPr="00577D92" w14:paraId="775603A1" w14:textId="77777777" w:rsidTr="006A0009">
        <w:trPr>
          <w:trHeight w:val="375"/>
        </w:trPr>
        <w:tc>
          <w:tcPr>
            <w:tcW w:w="4478" w:type="dxa"/>
            <w:tcBorders>
              <w:top w:val="single" w:sz="4" w:space="0" w:color="auto"/>
              <w:left w:val="single" w:sz="4" w:space="0" w:color="auto"/>
              <w:bottom w:val="single" w:sz="4" w:space="0" w:color="auto"/>
              <w:right w:val="single" w:sz="4" w:space="0" w:color="auto"/>
            </w:tcBorders>
            <w:noWrap/>
            <w:vAlign w:val="bottom"/>
          </w:tcPr>
          <w:p w14:paraId="126E9632" w14:textId="77777777" w:rsidR="005F0B76" w:rsidRPr="00577D92" w:rsidRDefault="005F0B76" w:rsidP="002374EE">
            <w:pPr>
              <w:keepNext/>
              <w:keepLines/>
              <w:spacing w:after="0" w:line="240" w:lineRule="auto"/>
              <w:ind w:left="567" w:firstLine="0"/>
              <w:rPr>
                <w:lang w:val="nb-NO"/>
              </w:rPr>
            </w:pPr>
            <w:r w:rsidRPr="00577D92">
              <w:rPr>
                <w:lang w:val="es-ES"/>
              </w:rPr>
              <w:t>IC del 95% para la diferencia en tasas de respuesta</w:t>
            </w:r>
            <w:r w:rsidRPr="00577D92">
              <w:rPr>
                <w:vertAlign w:val="superscript"/>
                <w:lang w:val="es-ES"/>
              </w:rPr>
              <w:t>4</w:t>
            </w:r>
          </w:p>
        </w:tc>
        <w:tc>
          <w:tcPr>
            <w:tcW w:w="4453" w:type="dxa"/>
            <w:gridSpan w:val="2"/>
            <w:tcBorders>
              <w:top w:val="single" w:sz="4" w:space="0" w:color="auto"/>
              <w:left w:val="single" w:sz="4" w:space="0" w:color="auto"/>
              <w:bottom w:val="single" w:sz="4" w:space="0" w:color="auto"/>
              <w:right w:val="single" w:sz="4" w:space="0" w:color="auto"/>
            </w:tcBorders>
            <w:noWrap/>
            <w:vAlign w:val="bottom"/>
          </w:tcPr>
          <w:p w14:paraId="3784A90C" w14:textId="77777777" w:rsidR="005F0B76" w:rsidRPr="00577D92" w:rsidRDefault="005F0B76" w:rsidP="002374EE">
            <w:pPr>
              <w:keepNext/>
              <w:keepLines/>
              <w:spacing w:after="0" w:line="240" w:lineRule="auto"/>
              <w:ind w:left="0" w:firstLine="0"/>
              <w:jc w:val="center"/>
              <w:rPr>
                <w:lang w:val="nb-NO"/>
              </w:rPr>
            </w:pPr>
            <w:r w:rsidRPr="00D17B5D">
              <w:rPr>
                <w:color w:val="auto"/>
                <w:lang w:val="es-ES"/>
              </w:rPr>
              <w:t>[2,4%</w:t>
            </w:r>
            <w:r w:rsidR="00AC160C">
              <w:rPr>
                <w:color w:val="auto"/>
                <w:lang w:val="es-ES"/>
              </w:rPr>
              <w:t>;</w:t>
            </w:r>
            <w:r w:rsidRPr="00D17B5D">
              <w:rPr>
                <w:color w:val="auto"/>
                <w:lang w:val="es-ES"/>
              </w:rPr>
              <w:t xml:space="preserve"> 20,8%]</w:t>
            </w:r>
          </w:p>
        </w:tc>
      </w:tr>
      <w:tr w:rsidR="005F0B76" w:rsidRPr="00577D92" w14:paraId="358B86FD" w14:textId="77777777" w:rsidTr="006A0009">
        <w:trPr>
          <w:trHeight w:val="300"/>
        </w:trPr>
        <w:tc>
          <w:tcPr>
            <w:tcW w:w="4478" w:type="dxa"/>
            <w:tcBorders>
              <w:top w:val="single" w:sz="4" w:space="0" w:color="auto"/>
              <w:left w:val="single" w:sz="4" w:space="0" w:color="auto"/>
              <w:bottom w:val="single" w:sz="4" w:space="0" w:color="auto"/>
              <w:right w:val="single" w:sz="4" w:space="0" w:color="auto"/>
            </w:tcBorders>
            <w:noWrap/>
            <w:vAlign w:val="bottom"/>
          </w:tcPr>
          <w:p w14:paraId="39D62243" w14:textId="77777777" w:rsidR="005F0B76" w:rsidRPr="00A51019" w:rsidRDefault="005F0B76" w:rsidP="002374EE">
            <w:pPr>
              <w:keepNext/>
              <w:keepLines/>
              <w:spacing w:after="0" w:line="240" w:lineRule="auto"/>
              <w:ind w:left="567" w:firstLine="0"/>
              <w:rPr>
                <w:lang w:val="es-ES"/>
              </w:rPr>
            </w:pPr>
            <w:r w:rsidRPr="005F0B76">
              <w:rPr>
                <w:lang w:val="es-ES"/>
              </w:rPr>
              <w:t>valor</w:t>
            </w:r>
            <w:r w:rsidRPr="00D17B5D">
              <w:rPr>
                <w:color w:val="auto"/>
                <w:lang w:val="es-ES"/>
              </w:rPr>
              <w:t>-p (prueba de Chi-cuadrado)</w:t>
            </w:r>
          </w:p>
        </w:tc>
        <w:tc>
          <w:tcPr>
            <w:tcW w:w="4453" w:type="dxa"/>
            <w:gridSpan w:val="2"/>
            <w:tcBorders>
              <w:top w:val="single" w:sz="4" w:space="0" w:color="auto"/>
              <w:left w:val="single" w:sz="4" w:space="0" w:color="auto"/>
              <w:bottom w:val="single" w:sz="4" w:space="0" w:color="auto"/>
              <w:right w:val="single" w:sz="4" w:space="0" w:color="auto"/>
            </w:tcBorders>
            <w:noWrap/>
            <w:vAlign w:val="bottom"/>
          </w:tcPr>
          <w:p w14:paraId="66ED3808" w14:textId="77777777" w:rsidR="005F0B76" w:rsidRPr="00577D92" w:rsidRDefault="005F0B76" w:rsidP="002374EE">
            <w:pPr>
              <w:keepNext/>
              <w:keepLines/>
              <w:spacing w:after="0" w:line="240" w:lineRule="auto"/>
              <w:ind w:left="0" w:firstLine="0"/>
              <w:jc w:val="center"/>
            </w:pPr>
            <w:r w:rsidRPr="00D17B5D">
              <w:rPr>
                <w:color w:val="auto"/>
                <w:lang w:val="es-ES"/>
              </w:rPr>
              <w:t>0,0117</w:t>
            </w:r>
          </w:p>
        </w:tc>
      </w:tr>
    </w:tbl>
    <w:p w14:paraId="44C669F5" w14:textId="77777777" w:rsidR="00FB24C0" w:rsidRPr="00443040" w:rsidRDefault="00FB24C0" w:rsidP="00FB24C0">
      <w:pPr>
        <w:spacing w:after="0" w:line="240" w:lineRule="auto"/>
        <w:ind w:left="567" w:hanging="567"/>
        <w:rPr>
          <w:color w:val="auto"/>
          <w:sz w:val="20"/>
          <w:lang w:val="es-ES"/>
        </w:rPr>
      </w:pPr>
      <w:r w:rsidRPr="00443040">
        <w:rPr>
          <w:color w:val="auto"/>
          <w:sz w:val="20"/>
          <w:vertAlign w:val="superscript"/>
          <w:lang w:val="es-ES"/>
        </w:rPr>
        <w:t>1</w:t>
      </w:r>
      <w:r w:rsidRPr="00443040">
        <w:rPr>
          <w:color w:val="auto"/>
          <w:sz w:val="20"/>
          <w:lang w:val="es-ES"/>
        </w:rPr>
        <w:tab/>
      </w:r>
      <w:proofErr w:type="gramStart"/>
      <w:r w:rsidRPr="00443040">
        <w:rPr>
          <w:color w:val="auto"/>
          <w:sz w:val="20"/>
          <w:lang w:val="es-ES"/>
        </w:rPr>
        <w:t>Estimaciones</w:t>
      </w:r>
      <w:proofErr w:type="gramEnd"/>
      <w:r w:rsidRPr="00443040">
        <w:rPr>
          <w:color w:val="auto"/>
          <w:sz w:val="20"/>
          <w:lang w:val="es-ES"/>
        </w:rPr>
        <w:t xml:space="preserve"> Kaplan-Meier</w:t>
      </w:r>
      <w:r w:rsidR="000578B6">
        <w:rPr>
          <w:color w:val="auto"/>
          <w:sz w:val="20"/>
          <w:lang w:val="es-ES"/>
        </w:rPr>
        <w:t>.</w:t>
      </w:r>
    </w:p>
    <w:p w14:paraId="0ADBB1E0" w14:textId="77777777" w:rsidR="00FB24C0" w:rsidRPr="00443040" w:rsidRDefault="00FB24C0" w:rsidP="00FB24C0">
      <w:pPr>
        <w:spacing w:after="0" w:line="240" w:lineRule="auto"/>
        <w:ind w:left="567" w:hanging="567"/>
        <w:rPr>
          <w:color w:val="auto"/>
          <w:sz w:val="20"/>
          <w:lang w:val="es-ES"/>
        </w:rPr>
      </w:pPr>
      <w:r w:rsidRPr="00443040">
        <w:rPr>
          <w:color w:val="auto"/>
          <w:sz w:val="20"/>
          <w:vertAlign w:val="superscript"/>
          <w:lang w:val="es-ES"/>
        </w:rPr>
        <w:t>2</w:t>
      </w:r>
      <w:r w:rsidRPr="00443040">
        <w:rPr>
          <w:color w:val="auto"/>
          <w:sz w:val="20"/>
          <w:lang w:val="es-ES"/>
        </w:rPr>
        <w:tab/>
      </w:r>
      <w:proofErr w:type="gramStart"/>
      <w:r w:rsidRPr="00443040">
        <w:rPr>
          <w:color w:val="auto"/>
          <w:sz w:val="20"/>
          <w:lang w:val="es-ES"/>
        </w:rPr>
        <w:t>Pacientes</w:t>
      </w:r>
      <w:proofErr w:type="gramEnd"/>
      <w:r w:rsidRPr="00443040">
        <w:rPr>
          <w:color w:val="auto"/>
          <w:sz w:val="20"/>
          <w:lang w:val="es-ES"/>
        </w:rPr>
        <w:t xml:space="preserve"> y porcentaje de pacientes con una mejor respuesta global de RC o RP, porcentaje calculado en pacientes con enfermedad medible al inicio del estudio</w:t>
      </w:r>
      <w:r w:rsidR="000578B6">
        <w:rPr>
          <w:color w:val="auto"/>
          <w:sz w:val="20"/>
          <w:lang w:val="es-ES"/>
        </w:rPr>
        <w:t>.</w:t>
      </w:r>
    </w:p>
    <w:p w14:paraId="294397FF" w14:textId="77777777" w:rsidR="00FB24C0" w:rsidRPr="00443040" w:rsidRDefault="00FB24C0" w:rsidP="00FB24C0">
      <w:pPr>
        <w:spacing w:after="0" w:line="240" w:lineRule="auto"/>
        <w:ind w:left="567" w:hanging="567"/>
        <w:rPr>
          <w:color w:val="auto"/>
          <w:sz w:val="20"/>
          <w:lang w:val="es-ES"/>
        </w:rPr>
      </w:pPr>
      <w:r w:rsidRPr="00443040">
        <w:rPr>
          <w:color w:val="auto"/>
          <w:sz w:val="20"/>
          <w:vertAlign w:val="superscript"/>
          <w:lang w:val="es-ES"/>
        </w:rPr>
        <w:t>3</w:t>
      </w:r>
      <w:r w:rsidRPr="00443040">
        <w:rPr>
          <w:color w:val="auto"/>
          <w:sz w:val="20"/>
          <w:lang w:val="es-ES"/>
        </w:rPr>
        <w:tab/>
        <w:t>IC del 95</w:t>
      </w:r>
      <w:r w:rsidR="00EE5415">
        <w:rPr>
          <w:color w:val="auto"/>
          <w:sz w:val="20"/>
          <w:lang w:val="es-ES"/>
        </w:rPr>
        <w:t>%</w:t>
      </w:r>
      <w:r w:rsidRPr="00443040">
        <w:rPr>
          <w:color w:val="auto"/>
          <w:sz w:val="20"/>
          <w:lang w:val="es-ES"/>
        </w:rPr>
        <w:t xml:space="preserve"> para una distribución binomial de la muestra utilizando el método de Pearson-</w:t>
      </w:r>
      <w:proofErr w:type="spellStart"/>
      <w:r w:rsidRPr="00443040">
        <w:rPr>
          <w:color w:val="auto"/>
          <w:sz w:val="20"/>
          <w:lang w:val="es-ES"/>
        </w:rPr>
        <w:t>Clopper</w:t>
      </w:r>
      <w:proofErr w:type="spellEnd"/>
      <w:r w:rsidR="000578B6">
        <w:rPr>
          <w:color w:val="auto"/>
          <w:sz w:val="20"/>
          <w:lang w:val="es-ES"/>
        </w:rPr>
        <w:t>.</w:t>
      </w:r>
    </w:p>
    <w:p w14:paraId="212ADF44" w14:textId="77777777" w:rsidR="00FB24C0" w:rsidRPr="00443040" w:rsidRDefault="00FB24C0" w:rsidP="00FB24C0">
      <w:pPr>
        <w:spacing w:after="0" w:line="240" w:lineRule="auto"/>
        <w:ind w:left="567" w:hanging="567"/>
        <w:rPr>
          <w:color w:val="auto"/>
          <w:sz w:val="20"/>
          <w:lang w:val="es-ES"/>
        </w:rPr>
      </w:pPr>
      <w:r w:rsidRPr="00443040">
        <w:rPr>
          <w:color w:val="auto"/>
          <w:sz w:val="20"/>
          <w:vertAlign w:val="superscript"/>
          <w:lang w:val="es-ES"/>
        </w:rPr>
        <w:t>4</w:t>
      </w:r>
      <w:r w:rsidRPr="00443040">
        <w:rPr>
          <w:color w:val="auto"/>
          <w:sz w:val="20"/>
          <w:lang w:val="es-ES"/>
        </w:rPr>
        <w:tab/>
        <w:t>IC del 95</w:t>
      </w:r>
      <w:r w:rsidR="00EE5415">
        <w:rPr>
          <w:color w:val="auto"/>
          <w:sz w:val="20"/>
          <w:lang w:val="es-ES"/>
        </w:rPr>
        <w:t>%</w:t>
      </w:r>
      <w:r w:rsidRPr="00443040">
        <w:rPr>
          <w:color w:val="auto"/>
          <w:sz w:val="20"/>
          <w:lang w:val="es-ES"/>
        </w:rPr>
        <w:t xml:space="preserve"> aproximado para la diferencia entre dos tasas de respuesta utilizando el método de </w:t>
      </w:r>
      <w:proofErr w:type="spellStart"/>
      <w:r w:rsidRPr="00443040">
        <w:rPr>
          <w:color w:val="auto"/>
          <w:sz w:val="20"/>
          <w:lang w:val="es-ES"/>
        </w:rPr>
        <w:t>Hauck</w:t>
      </w:r>
      <w:proofErr w:type="spellEnd"/>
      <w:r w:rsidR="00C42B5E">
        <w:rPr>
          <w:color w:val="auto"/>
          <w:sz w:val="20"/>
          <w:lang w:val="es-ES"/>
        </w:rPr>
        <w:t>-</w:t>
      </w:r>
      <w:r w:rsidRPr="00443040">
        <w:rPr>
          <w:color w:val="auto"/>
          <w:sz w:val="20"/>
          <w:lang w:val="es-ES"/>
        </w:rPr>
        <w:t>Anderson</w:t>
      </w:r>
      <w:r w:rsidR="000578B6">
        <w:rPr>
          <w:color w:val="auto"/>
          <w:sz w:val="20"/>
          <w:lang w:val="es-ES"/>
        </w:rPr>
        <w:t>.</w:t>
      </w:r>
    </w:p>
    <w:p w14:paraId="04C3EE14" w14:textId="41BDDB1D" w:rsidR="00DA0BBD" w:rsidRDefault="00FB24C0" w:rsidP="00DD1599">
      <w:pPr>
        <w:spacing w:after="0" w:line="240" w:lineRule="auto"/>
        <w:ind w:left="567" w:hanging="567"/>
        <w:rPr>
          <w:color w:val="auto"/>
          <w:sz w:val="20"/>
          <w:lang w:val="es-ES"/>
        </w:rPr>
      </w:pPr>
      <w:r w:rsidRPr="00443040">
        <w:rPr>
          <w:color w:val="auto"/>
          <w:sz w:val="20"/>
          <w:vertAlign w:val="superscript"/>
          <w:lang w:val="es-ES"/>
        </w:rPr>
        <w:t>5</w:t>
      </w:r>
      <w:r w:rsidR="00DA0BBD">
        <w:rPr>
          <w:color w:val="auto"/>
          <w:sz w:val="20"/>
          <w:lang w:val="es-ES"/>
        </w:rPr>
        <w:tab/>
      </w:r>
      <w:proofErr w:type="gramStart"/>
      <w:r w:rsidR="00DD1599">
        <w:rPr>
          <w:color w:val="auto"/>
          <w:sz w:val="20"/>
          <w:lang w:val="es-ES"/>
        </w:rPr>
        <w:t>L</w:t>
      </w:r>
      <w:r w:rsidR="00DA0BBD">
        <w:rPr>
          <w:color w:val="auto"/>
          <w:sz w:val="20"/>
          <w:lang w:val="es-ES"/>
        </w:rPr>
        <w:t>og</w:t>
      </w:r>
      <w:proofErr w:type="gramEnd"/>
      <w:r w:rsidR="00DA0BBD">
        <w:rPr>
          <w:color w:val="auto"/>
          <w:sz w:val="20"/>
          <w:lang w:val="es-ES"/>
        </w:rPr>
        <w:t>-</w:t>
      </w:r>
      <w:proofErr w:type="spellStart"/>
      <w:r w:rsidR="00DA0BBD">
        <w:rPr>
          <w:color w:val="auto"/>
          <w:sz w:val="20"/>
          <w:lang w:val="es-ES"/>
        </w:rPr>
        <w:t>rank</w:t>
      </w:r>
      <w:proofErr w:type="spellEnd"/>
      <w:r w:rsidR="00DA0BBD">
        <w:rPr>
          <w:color w:val="auto"/>
          <w:sz w:val="20"/>
          <w:lang w:val="es-ES"/>
        </w:rPr>
        <w:t xml:space="preserve"> test (estratificado).</w:t>
      </w:r>
    </w:p>
    <w:p w14:paraId="6B91157C" w14:textId="77777777" w:rsidR="00FB24C0" w:rsidRPr="00443040" w:rsidRDefault="00FB24C0" w:rsidP="00FB24C0">
      <w:pPr>
        <w:spacing w:after="0" w:line="240" w:lineRule="auto"/>
        <w:ind w:left="567" w:hanging="567"/>
        <w:rPr>
          <w:color w:val="auto"/>
          <w:sz w:val="20"/>
          <w:lang w:val="es-ES"/>
        </w:rPr>
      </w:pPr>
      <w:r w:rsidRPr="00DA0BBD">
        <w:rPr>
          <w:color w:val="auto"/>
          <w:sz w:val="20"/>
          <w:vertAlign w:val="superscript"/>
          <w:lang w:val="es-ES"/>
        </w:rPr>
        <w:t>6</w:t>
      </w:r>
      <w:r w:rsidR="00DA0BBD">
        <w:rPr>
          <w:color w:val="auto"/>
          <w:sz w:val="20"/>
          <w:vertAlign w:val="superscript"/>
          <w:lang w:val="es-ES"/>
        </w:rPr>
        <w:tab/>
      </w:r>
      <w:proofErr w:type="gramStart"/>
      <w:r w:rsidRPr="00443040">
        <w:rPr>
          <w:color w:val="auto"/>
          <w:sz w:val="20"/>
          <w:lang w:val="es-ES"/>
        </w:rPr>
        <w:t>El</w:t>
      </w:r>
      <w:proofErr w:type="gramEnd"/>
      <w:r w:rsidRPr="00443040">
        <w:rPr>
          <w:color w:val="auto"/>
          <w:sz w:val="20"/>
          <w:lang w:val="es-ES"/>
        </w:rPr>
        <w:t xml:space="preserve"> análisis primario se realizó con una fecha de corte de 12 de </w:t>
      </w:r>
      <w:r w:rsidR="00B3760A">
        <w:rPr>
          <w:color w:val="auto"/>
          <w:sz w:val="20"/>
          <w:lang w:val="es-ES"/>
        </w:rPr>
        <w:t>d</w:t>
      </w:r>
      <w:r w:rsidRPr="00443040">
        <w:rPr>
          <w:color w:val="auto"/>
          <w:sz w:val="20"/>
          <w:lang w:val="es-ES"/>
        </w:rPr>
        <w:t>iciembre de 2012 y se considera análisis final</w:t>
      </w:r>
      <w:r w:rsidR="000578B6">
        <w:rPr>
          <w:color w:val="auto"/>
          <w:sz w:val="20"/>
          <w:lang w:val="es-ES"/>
        </w:rPr>
        <w:t>.</w:t>
      </w:r>
    </w:p>
    <w:p w14:paraId="37F213EF" w14:textId="77777777" w:rsidR="00FB24C0" w:rsidRPr="00443040" w:rsidRDefault="00DA0BBD" w:rsidP="00FB24C0">
      <w:pPr>
        <w:spacing w:after="0" w:line="240" w:lineRule="auto"/>
        <w:ind w:left="567" w:hanging="567"/>
        <w:rPr>
          <w:color w:val="auto"/>
          <w:sz w:val="20"/>
          <w:lang w:val="es-ES"/>
        </w:rPr>
      </w:pPr>
      <w:r>
        <w:rPr>
          <w:color w:val="auto"/>
          <w:sz w:val="20"/>
          <w:vertAlign w:val="superscript"/>
          <w:lang w:val="es-ES"/>
        </w:rPr>
        <w:t>7</w:t>
      </w:r>
      <w:r w:rsidR="00FB24C0" w:rsidRPr="00443040">
        <w:rPr>
          <w:color w:val="auto"/>
          <w:sz w:val="20"/>
          <w:lang w:val="es-ES"/>
        </w:rPr>
        <w:tab/>
      </w:r>
      <w:proofErr w:type="gramStart"/>
      <w:r w:rsidR="00FB24C0" w:rsidRPr="00443040">
        <w:rPr>
          <w:color w:val="auto"/>
          <w:sz w:val="20"/>
          <w:lang w:val="es-ES"/>
        </w:rPr>
        <w:t>El</w:t>
      </w:r>
      <w:proofErr w:type="gramEnd"/>
      <w:r w:rsidR="00FB24C0" w:rsidRPr="00443040">
        <w:rPr>
          <w:color w:val="auto"/>
          <w:sz w:val="20"/>
          <w:lang w:val="es-ES"/>
        </w:rPr>
        <w:t xml:space="preserve"> análisis de seguimiento se realizó con una fecha de corte de 07 de </w:t>
      </w:r>
      <w:r w:rsidR="00B3760A">
        <w:rPr>
          <w:color w:val="auto"/>
          <w:sz w:val="20"/>
          <w:lang w:val="es-ES"/>
        </w:rPr>
        <w:t>m</w:t>
      </w:r>
      <w:r w:rsidR="00FB24C0" w:rsidRPr="00443040">
        <w:rPr>
          <w:color w:val="auto"/>
          <w:sz w:val="20"/>
          <w:lang w:val="es-ES"/>
        </w:rPr>
        <w:t>arzo de 2014</w:t>
      </w:r>
      <w:r w:rsidR="000578B6">
        <w:rPr>
          <w:color w:val="auto"/>
          <w:sz w:val="20"/>
          <w:lang w:val="es-ES"/>
        </w:rPr>
        <w:t>.</w:t>
      </w:r>
    </w:p>
    <w:p w14:paraId="5CF3823A" w14:textId="77777777" w:rsidR="00FB24C0" w:rsidRPr="00443040" w:rsidRDefault="00DA0BBD" w:rsidP="00FB24C0">
      <w:pPr>
        <w:spacing w:after="0" w:line="240" w:lineRule="auto"/>
        <w:ind w:left="567" w:hanging="567"/>
        <w:rPr>
          <w:color w:val="auto"/>
          <w:sz w:val="20"/>
          <w:lang w:val="es-ES"/>
        </w:rPr>
      </w:pPr>
      <w:r>
        <w:rPr>
          <w:color w:val="auto"/>
          <w:sz w:val="20"/>
          <w:vertAlign w:val="superscript"/>
          <w:lang w:val="es-ES"/>
        </w:rPr>
        <w:t>8</w:t>
      </w:r>
      <w:r w:rsidR="00FB24C0" w:rsidRPr="00443040">
        <w:rPr>
          <w:color w:val="auto"/>
          <w:sz w:val="20"/>
          <w:lang w:val="es-ES"/>
        </w:rPr>
        <w:tab/>
      </w:r>
      <w:proofErr w:type="gramStart"/>
      <w:r w:rsidR="00FB24C0" w:rsidRPr="00443040">
        <w:rPr>
          <w:color w:val="auto"/>
          <w:sz w:val="20"/>
          <w:lang w:val="es-ES"/>
        </w:rPr>
        <w:t>Se</w:t>
      </w:r>
      <w:proofErr w:type="gramEnd"/>
      <w:r w:rsidR="00FB24C0" w:rsidRPr="00443040">
        <w:rPr>
          <w:color w:val="auto"/>
          <w:sz w:val="20"/>
          <w:lang w:val="es-ES"/>
        </w:rPr>
        <w:t xml:space="preserve"> muestra el valor-p sólo con propósito descriptivo</w:t>
      </w:r>
      <w:r w:rsidR="000578B6">
        <w:rPr>
          <w:color w:val="auto"/>
          <w:sz w:val="20"/>
          <w:lang w:val="es-ES"/>
        </w:rPr>
        <w:t>.</w:t>
      </w:r>
    </w:p>
    <w:p w14:paraId="04D7D313" w14:textId="77777777" w:rsidR="006D35C1" w:rsidRPr="006D35C1" w:rsidRDefault="006D35C1" w:rsidP="006D35C1">
      <w:pPr>
        <w:spacing w:after="0" w:line="240" w:lineRule="auto"/>
        <w:ind w:left="0" w:firstLine="0"/>
        <w:rPr>
          <w:color w:val="auto"/>
          <w:lang w:val="es-ES"/>
        </w:rPr>
      </w:pPr>
    </w:p>
    <w:p w14:paraId="66C937DF" w14:textId="0557AA80" w:rsidR="00FB24C0" w:rsidRPr="00C14064" w:rsidRDefault="00C14064" w:rsidP="00C14064">
      <w:pPr>
        <w:keepNext/>
        <w:spacing w:after="0" w:line="240" w:lineRule="auto"/>
        <w:ind w:left="0" w:firstLine="0"/>
        <w:rPr>
          <w:b/>
          <w:color w:val="auto"/>
          <w:lang w:val="es-ES"/>
        </w:rPr>
      </w:pPr>
      <w:r>
        <w:rPr>
          <w:b/>
          <w:color w:val="auto"/>
          <w:lang w:val="es-ES"/>
        </w:rPr>
        <w:t xml:space="preserve">Tabla </w:t>
      </w:r>
      <w:r w:rsidR="004943CA">
        <w:rPr>
          <w:b/>
          <w:color w:val="auto"/>
          <w:lang w:val="es-ES"/>
        </w:rPr>
        <w:t>2</w:t>
      </w:r>
      <w:r w:rsidR="0071031C">
        <w:rPr>
          <w:b/>
          <w:color w:val="auto"/>
          <w:lang w:val="es-ES"/>
        </w:rPr>
        <w:t>6</w:t>
      </w:r>
      <w:r>
        <w:rPr>
          <w:b/>
          <w:color w:val="auto"/>
          <w:lang w:val="es-ES"/>
        </w:rPr>
        <w:t xml:space="preserve">. </w:t>
      </w:r>
      <w:r w:rsidR="00FB24C0" w:rsidRPr="00C14064">
        <w:rPr>
          <w:b/>
          <w:color w:val="auto"/>
          <w:lang w:val="es-ES"/>
        </w:rPr>
        <w:t>Resultados de supervivencia global del ensayo GOG-0240 del tratamiento de ensayo</w:t>
      </w:r>
    </w:p>
    <w:p w14:paraId="50715A26" w14:textId="77777777" w:rsidR="004A529D" w:rsidRDefault="004A529D" w:rsidP="003B358C">
      <w:pPr>
        <w:keepNext/>
        <w:spacing w:after="0" w:line="240" w:lineRule="auto"/>
        <w:ind w:left="0" w:firstLine="0"/>
        <w:rPr>
          <w:color w:val="auto"/>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414"/>
        <w:gridCol w:w="2859"/>
        <w:gridCol w:w="3045"/>
      </w:tblGrid>
      <w:tr w:rsidR="00D445BE" w:rsidRPr="00714463" w14:paraId="098F4CFE" w14:textId="77777777" w:rsidTr="00C33F4C">
        <w:trPr>
          <w:trHeight w:val="772"/>
          <w:tblHeader/>
        </w:trPr>
        <w:tc>
          <w:tcPr>
            <w:tcW w:w="1683" w:type="dxa"/>
          </w:tcPr>
          <w:p w14:paraId="279C527A" w14:textId="77777777" w:rsidR="00C14064" w:rsidRPr="00C33F4C" w:rsidRDefault="00C14064" w:rsidP="00C33F4C">
            <w:pPr>
              <w:jc w:val="center"/>
              <w:rPr>
                <w:b/>
              </w:rPr>
            </w:pPr>
            <w:proofErr w:type="spellStart"/>
            <w:r w:rsidRPr="00C33F4C">
              <w:rPr>
                <w:b/>
              </w:rPr>
              <w:t>Comparación</w:t>
            </w:r>
            <w:proofErr w:type="spellEnd"/>
            <w:r w:rsidRPr="00C33F4C">
              <w:rPr>
                <w:b/>
              </w:rPr>
              <w:t xml:space="preserve"> de </w:t>
            </w:r>
            <w:proofErr w:type="spellStart"/>
            <w:r w:rsidRPr="00C33F4C">
              <w:rPr>
                <w:b/>
              </w:rPr>
              <w:t>tratamientos</w:t>
            </w:r>
            <w:proofErr w:type="spellEnd"/>
          </w:p>
        </w:tc>
        <w:tc>
          <w:tcPr>
            <w:tcW w:w="1407" w:type="dxa"/>
            <w:tcBorders>
              <w:bottom w:val="single" w:sz="4" w:space="0" w:color="auto"/>
            </w:tcBorders>
          </w:tcPr>
          <w:p w14:paraId="3314D0A9" w14:textId="77777777" w:rsidR="00C14064" w:rsidRPr="00C33F4C" w:rsidRDefault="00C14064" w:rsidP="00C33F4C">
            <w:pPr>
              <w:jc w:val="center"/>
              <w:rPr>
                <w:b/>
              </w:rPr>
            </w:pPr>
            <w:proofErr w:type="spellStart"/>
            <w:r w:rsidRPr="00C33F4C">
              <w:rPr>
                <w:b/>
              </w:rPr>
              <w:t>Otro</w:t>
            </w:r>
            <w:proofErr w:type="spellEnd"/>
            <w:r w:rsidRPr="00C33F4C">
              <w:rPr>
                <w:b/>
              </w:rPr>
              <w:t xml:space="preserve"> factor</w:t>
            </w:r>
          </w:p>
        </w:tc>
        <w:tc>
          <w:tcPr>
            <w:tcW w:w="2859" w:type="dxa"/>
            <w:tcBorders>
              <w:bottom w:val="single" w:sz="4" w:space="0" w:color="auto"/>
            </w:tcBorders>
          </w:tcPr>
          <w:p w14:paraId="4095C207" w14:textId="77777777" w:rsidR="00C14064" w:rsidRPr="00C33F4C" w:rsidRDefault="00C14064" w:rsidP="00C33F4C">
            <w:pPr>
              <w:jc w:val="center"/>
              <w:rPr>
                <w:b/>
                <w:lang w:val="es-ES"/>
              </w:rPr>
            </w:pPr>
            <w:r w:rsidRPr="00C33F4C">
              <w:rPr>
                <w:b/>
                <w:lang w:val="es-ES"/>
              </w:rPr>
              <w:t>Supervivencia global – Análisis primario</w:t>
            </w:r>
            <w:r w:rsidRPr="00C33F4C">
              <w:rPr>
                <w:b/>
                <w:vertAlign w:val="superscript"/>
                <w:lang w:val="es-ES"/>
              </w:rPr>
              <w:t>1</w:t>
            </w:r>
          </w:p>
          <w:p w14:paraId="4C417031" w14:textId="77777777" w:rsidR="00104B06" w:rsidRPr="00C33F4C" w:rsidRDefault="00104B06" w:rsidP="00C33F4C">
            <w:pPr>
              <w:jc w:val="center"/>
              <w:rPr>
                <w:b/>
                <w:lang w:val="es-ES"/>
              </w:rPr>
            </w:pPr>
          </w:p>
          <w:p w14:paraId="0579E5FD" w14:textId="77777777" w:rsidR="00104B06" w:rsidRPr="00C33F4C" w:rsidRDefault="00104B06" w:rsidP="00C33F4C">
            <w:pPr>
              <w:pStyle w:val="Default"/>
              <w:jc w:val="center"/>
              <w:rPr>
                <w:b/>
                <w:sz w:val="22"/>
                <w:szCs w:val="22"/>
                <w:lang w:val="es-ES"/>
              </w:rPr>
            </w:pPr>
            <w:r w:rsidRPr="00C33F4C">
              <w:rPr>
                <w:b/>
                <w:sz w:val="22"/>
                <w:szCs w:val="22"/>
                <w:lang w:val="es-ES"/>
              </w:rPr>
              <w:t>Razón de riesgo (IC del 95%)</w:t>
            </w:r>
          </w:p>
        </w:tc>
        <w:tc>
          <w:tcPr>
            <w:tcW w:w="3045" w:type="dxa"/>
            <w:tcBorders>
              <w:bottom w:val="single" w:sz="4" w:space="0" w:color="auto"/>
            </w:tcBorders>
          </w:tcPr>
          <w:p w14:paraId="3078DAC0" w14:textId="77777777" w:rsidR="00FB14BB" w:rsidRPr="00C33F4C" w:rsidRDefault="00FB14BB" w:rsidP="00C33F4C">
            <w:pPr>
              <w:pStyle w:val="Default"/>
              <w:jc w:val="center"/>
              <w:rPr>
                <w:b/>
                <w:sz w:val="22"/>
                <w:szCs w:val="22"/>
                <w:lang w:val="es-ES"/>
              </w:rPr>
            </w:pPr>
            <w:r w:rsidRPr="00C33F4C">
              <w:rPr>
                <w:b/>
                <w:sz w:val="22"/>
                <w:szCs w:val="22"/>
                <w:lang w:val="es-ES"/>
              </w:rPr>
              <w:t>Supervivencia global – Análisis de seguimiento</w:t>
            </w:r>
            <w:r w:rsidRPr="00C33F4C">
              <w:rPr>
                <w:b/>
                <w:sz w:val="22"/>
                <w:szCs w:val="22"/>
                <w:vertAlign w:val="superscript"/>
                <w:lang w:val="es-ES"/>
              </w:rPr>
              <w:t>2</w:t>
            </w:r>
            <w:r w:rsidRPr="00C33F4C">
              <w:rPr>
                <w:b/>
                <w:sz w:val="22"/>
                <w:szCs w:val="22"/>
                <w:lang w:val="es-ES"/>
              </w:rPr>
              <w:t xml:space="preserve"> </w:t>
            </w:r>
          </w:p>
          <w:p w14:paraId="276CC84D" w14:textId="77777777" w:rsidR="00104B06" w:rsidRPr="00C33F4C" w:rsidRDefault="00104B06" w:rsidP="00C33F4C">
            <w:pPr>
              <w:jc w:val="center"/>
              <w:rPr>
                <w:b/>
                <w:lang w:val="da-DK"/>
              </w:rPr>
            </w:pPr>
          </w:p>
          <w:p w14:paraId="134CEF91" w14:textId="77777777" w:rsidR="00104B06" w:rsidRPr="00C33F4C" w:rsidRDefault="00104B06" w:rsidP="00C33F4C">
            <w:pPr>
              <w:pStyle w:val="Default"/>
              <w:jc w:val="center"/>
              <w:rPr>
                <w:b/>
                <w:sz w:val="22"/>
                <w:szCs w:val="22"/>
                <w:lang w:val="da-DK"/>
              </w:rPr>
            </w:pPr>
            <w:r w:rsidRPr="00C33F4C">
              <w:rPr>
                <w:b/>
                <w:sz w:val="22"/>
                <w:szCs w:val="22"/>
                <w:lang w:val="da-DK"/>
              </w:rPr>
              <w:t>Razón de riesgo (IC del 95%)</w:t>
            </w:r>
          </w:p>
        </w:tc>
      </w:tr>
      <w:tr w:rsidR="00D445BE" w:rsidRPr="00FB14BB" w14:paraId="11B856D5" w14:textId="77777777" w:rsidTr="00C33F4C">
        <w:trPr>
          <w:trHeight w:val="755"/>
        </w:trPr>
        <w:tc>
          <w:tcPr>
            <w:tcW w:w="1683" w:type="dxa"/>
            <w:vMerge w:val="restart"/>
          </w:tcPr>
          <w:p w14:paraId="59897268" w14:textId="77777777" w:rsidR="00C14D15" w:rsidRPr="00C33F4C" w:rsidRDefault="00863B46" w:rsidP="00C33F4C">
            <w:pPr>
              <w:spacing w:after="0" w:line="240" w:lineRule="auto"/>
              <w:ind w:left="0" w:firstLine="0"/>
              <w:rPr>
                <w:color w:val="auto"/>
                <w:lang w:val="es-ES"/>
              </w:rPr>
            </w:pPr>
            <w:r w:rsidRPr="00C33F4C">
              <w:rPr>
                <w:color w:val="auto"/>
                <w:lang w:val="es-ES"/>
              </w:rPr>
              <w:t>Bevacizumab</w:t>
            </w:r>
            <w:r w:rsidR="00C14D15" w:rsidRPr="00C33F4C">
              <w:rPr>
                <w:color w:val="auto"/>
                <w:lang w:val="es-ES"/>
              </w:rPr>
              <w:t xml:space="preserve"> vs.</w:t>
            </w:r>
          </w:p>
          <w:p w14:paraId="08F6DA39" w14:textId="77777777" w:rsidR="00E22342" w:rsidRPr="00C33F4C" w:rsidRDefault="00C14D15" w:rsidP="00C33F4C">
            <w:pPr>
              <w:spacing w:after="0" w:line="240" w:lineRule="auto"/>
              <w:ind w:left="0" w:firstLine="0"/>
              <w:rPr>
                <w:color w:val="auto"/>
                <w:lang w:val="es-ES"/>
              </w:rPr>
            </w:pPr>
            <w:r w:rsidRPr="00C33F4C">
              <w:rPr>
                <w:color w:val="auto"/>
                <w:lang w:val="es-ES"/>
              </w:rPr>
              <w:t>No</w:t>
            </w:r>
          </w:p>
          <w:p w14:paraId="011E7967" w14:textId="77777777" w:rsidR="00094BB6" w:rsidRPr="00C33F4C" w:rsidRDefault="00094BB6" w:rsidP="00C33F4C">
            <w:pPr>
              <w:spacing w:after="0" w:line="240" w:lineRule="auto"/>
              <w:ind w:left="0" w:firstLine="0"/>
              <w:rPr>
                <w:color w:val="auto"/>
                <w:lang w:val="es-ES"/>
              </w:rPr>
            </w:pPr>
          </w:p>
          <w:p w14:paraId="09241CD8" w14:textId="77777777" w:rsidR="00C14D15" w:rsidRPr="00C33F4C" w:rsidRDefault="00863B46" w:rsidP="00C33F4C">
            <w:pPr>
              <w:spacing w:after="0" w:line="240" w:lineRule="auto"/>
              <w:ind w:left="0" w:firstLine="0"/>
              <w:rPr>
                <w:color w:val="auto"/>
                <w:lang w:val="es-ES"/>
              </w:rPr>
            </w:pPr>
            <w:r w:rsidRPr="00C33F4C">
              <w:rPr>
                <w:color w:val="auto"/>
                <w:lang w:val="es-ES"/>
              </w:rPr>
              <w:t>Bevacizumab</w:t>
            </w:r>
          </w:p>
        </w:tc>
        <w:tc>
          <w:tcPr>
            <w:tcW w:w="1407" w:type="dxa"/>
            <w:tcBorders>
              <w:bottom w:val="single" w:sz="4" w:space="0" w:color="auto"/>
            </w:tcBorders>
          </w:tcPr>
          <w:p w14:paraId="49733554" w14:textId="77777777" w:rsidR="00C14D15" w:rsidRPr="00C33F4C" w:rsidRDefault="00C14D15" w:rsidP="00C33F4C">
            <w:pPr>
              <w:spacing w:after="0" w:line="240" w:lineRule="auto"/>
              <w:ind w:left="0" w:firstLine="0"/>
              <w:rPr>
                <w:color w:val="auto"/>
                <w:lang w:val="es-ES"/>
              </w:rPr>
            </w:pPr>
            <w:r w:rsidRPr="00C33F4C">
              <w:rPr>
                <w:color w:val="auto"/>
                <w:lang w:val="es-ES"/>
              </w:rPr>
              <w:t>Cisplatino +</w:t>
            </w:r>
            <w:r w:rsidR="00594287" w:rsidRPr="00C33F4C">
              <w:rPr>
                <w:color w:val="auto"/>
                <w:lang w:val="es-ES"/>
              </w:rPr>
              <w:t xml:space="preserve"> </w:t>
            </w:r>
          </w:p>
          <w:p w14:paraId="63D1B8F5" w14:textId="77777777" w:rsidR="00C14D15" w:rsidRPr="00C33F4C" w:rsidRDefault="00C14D15" w:rsidP="00C33F4C">
            <w:pPr>
              <w:spacing w:after="0" w:line="240" w:lineRule="auto"/>
              <w:ind w:left="0" w:firstLine="0"/>
              <w:rPr>
                <w:color w:val="auto"/>
                <w:lang w:val="es-ES"/>
              </w:rPr>
            </w:pPr>
            <w:proofErr w:type="spellStart"/>
            <w:r w:rsidRPr="00C33F4C">
              <w:rPr>
                <w:color w:val="auto"/>
                <w:lang w:val="es-ES"/>
              </w:rPr>
              <w:t>Paclitaxel</w:t>
            </w:r>
            <w:proofErr w:type="spellEnd"/>
          </w:p>
        </w:tc>
        <w:tc>
          <w:tcPr>
            <w:tcW w:w="2859" w:type="dxa"/>
            <w:tcBorders>
              <w:bottom w:val="single" w:sz="4" w:space="0" w:color="auto"/>
            </w:tcBorders>
            <w:vAlign w:val="center"/>
          </w:tcPr>
          <w:p w14:paraId="7FB184A3" w14:textId="77777777" w:rsidR="00EA288B" w:rsidRPr="00C33F4C" w:rsidRDefault="00F8403B" w:rsidP="00C33F4C">
            <w:pPr>
              <w:spacing w:after="0" w:line="240" w:lineRule="auto"/>
              <w:ind w:left="0" w:firstLine="0"/>
              <w:jc w:val="center"/>
              <w:rPr>
                <w:color w:val="auto"/>
                <w:lang w:val="es-ES"/>
              </w:rPr>
            </w:pPr>
            <w:r w:rsidRPr="00C33F4C">
              <w:rPr>
                <w:color w:val="auto"/>
                <w:lang w:val="es-ES"/>
              </w:rPr>
              <w:t>0,72 (0,51;</w:t>
            </w:r>
            <w:r w:rsidR="00C14D15" w:rsidRPr="00C33F4C">
              <w:rPr>
                <w:color w:val="auto"/>
                <w:lang w:val="es-ES"/>
              </w:rPr>
              <w:t xml:space="preserve"> 1,02)</w:t>
            </w:r>
          </w:p>
          <w:p w14:paraId="583A6829" w14:textId="77777777" w:rsidR="00C14D15" w:rsidRPr="00C33F4C" w:rsidRDefault="00C14D15" w:rsidP="00C33F4C">
            <w:pPr>
              <w:spacing w:after="0" w:line="240" w:lineRule="auto"/>
              <w:ind w:left="0" w:firstLine="0"/>
              <w:jc w:val="center"/>
              <w:rPr>
                <w:color w:val="auto"/>
                <w:lang w:val="es-ES"/>
              </w:rPr>
            </w:pPr>
            <w:r w:rsidRPr="00C33F4C">
              <w:rPr>
                <w:color w:val="auto"/>
                <w:lang w:val="es-ES"/>
              </w:rPr>
              <w:t>(17,5 vs.14,3 meses; p</w:t>
            </w:r>
            <w:r w:rsidR="00A704E8" w:rsidRPr="00E30038">
              <w:t> </w:t>
            </w:r>
            <w:r w:rsidRPr="00C33F4C">
              <w:rPr>
                <w:color w:val="auto"/>
                <w:lang w:val="es-ES"/>
              </w:rPr>
              <w:t>=</w:t>
            </w:r>
            <w:r w:rsidR="00A704E8" w:rsidRPr="00E30038">
              <w:t> </w:t>
            </w:r>
            <w:r w:rsidRPr="00C33F4C">
              <w:rPr>
                <w:color w:val="auto"/>
                <w:lang w:val="es-ES"/>
              </w:rPr>
              <w:t>0,0609)</w:t>
            </w:r>
          </w:p>
        </w:tc>
        <w:tc>
          <w:tcPr>
            <w:tcW w:w="3045" w:type="dxa"/>
            <w:tcBorders>
              <w:bottom w:val="single" w:sz="4" w:space="0" w:color="auto"/>
            </w:tcBorders>
            <w:vAlign w:val="center"/>
          </w:tcPr>
          <w:p w14:paraId="53BACBFA" w14:textId="77777777" w:rsidR="00C14D15" w:rsidRPr="00C33F4C" w:rsidRDefault="002E6039" w:rsidP="00C33F4C">
            <w:pPr>
              <w:spacing w:after="0" w:line="240" w:lineRule="auto"/>
              <w:ind w:left="0" w:firstLine="0"/>
              <w:jc w:val="center"/>
              <w:rPr>
                <w:color w:val="auto"/>
                <w:lang w:val="es-ES"/>
              </w:rPr>
            </w:pPr>
            <w:r w:rsidRPr="00C33F4C">
              <w:rPr>
                <w:color w:val="auto"/>
                <w:lang w:val="es-ES"/>
              </w:rPr>
              <w:t>0,75 (0,55;</w:t>
            </w:r>
            <w:r w:rsidR="00C14D15" w:rsidRPr="00C33F4C">
              <w:rPr>
                <w:color w:val="auto"/>
                <w:lang w:val="es-ES"/>
              </w:rPr>
              <w:t xml:space="preserve"> 1,01)</w:t>
            </w:r>
          </w:p>
          <w:p w14:paraId="403022EB" w14:textId="77777777" w:rsidR="00C14D15" w:rsidRPr="00C33F4C" w:rsidRDefault="00C14D15" w:rsidP="00C33F4C">
            <w:pPr>
              <w:spacing w:after="0" w:line="240" w:lineRule="auto"/>
              <w:ind w:left="0" w:firstLine="0"/>
              <w:jc w:val="center"/>
              <w:rPr>
                <w:color w:val="auto"/>
                <w:lang w:val="es-ES"/>
              </w:rPr>
            </w:pPr>
            <w:r w:rsidRPr="00C33F4C">
              <w:rPr>
                <w:color w:val="auto"/>
                <w:lang w:val="es-ES"/>
              </w:rPr>
              <w:t>(17,5 vs 15,0 meses; p</w:t>
            </w:r>
            <w:r w:rsidR="00A704E8" w:rsidRPr="00E30038">
              <w:t> </w:t>
            </w:r>
            <w:r w:rsidRPr="00C33F4C">
              <w:rPr>
                <w:color w:val="auto"/>
                <w:lang w:val="es-ES"/>
              </w:rPr>
              <w:t>=</w:t>
            </w:r>
            <w:r w:rsidR="00A704E8" w:rsidRPr="00E30038">
              <w:t> </w:t>
            </w:r>
            <w:r w:rsidRPr="00C33F4C">
              <w:rPr>
                <w:color w:val="auto"/>
                <w:lang w:val="es-ES"/>
              </w:rPr>
              <w:t>0,0584)</w:t>
            </w:r>
          </w:p>
        </w:tc>
      </w:tr>
      <w:tr w:rsidR="00D445BE" w:rsidRPr="00FB14BB" w14:paraId="1A8D9861" w14:textId="77777777" w:rsidTr="00C33F4C">
        <w:trPr>
          <w:trHeight w:val="755"/>
        </w:trPr>
        <w:tc>
          <w:tcPr>
            <w:tcW w:w="1683" w:type="dxa"/>
            <w:vMerge/>
            <w:tcBorders>
              <w:bottom w:val="single" w:sz="4" w:space="0" w:color="auto"/>
            </w:tcBorders>
          </w:tcPr>
          <w:p w14:paraId="67E7EB77" w14:textId="77777777" w:rsidR="00C14D15" w:rsidRPr="00C33F4C" w:rsidRDefault="00C14D15" w:rsidP="00C33F4C">
            <w:pPr>
              <w:spacing w:after="0" w:line="240" w:lineRule="auto"/>
              <w:ind w:left="0" w:firstLine="0"/>
              <w:rPr>
                <w:color w:val="auto"/>
                <w:lang w:val="es-ES"/>
              </w:rPr>
            </w:pPr>
          </w:p>
        </w:tc>
        <w:tc>
          <w:tcPr>
            <w:tcW w:w="1407" w:type="dxa"/>
            <w:tcBorders>
              <w:top w:val="single" w:sz="4" w:space="0" w:color="auto"/>
              <w:bottom w:val="single" w:sz="4" w:space="0" w:color="auto"/>
              <w:right w:val="single" w:sz="4" w:space="0" w:color="auto"/>
            </w:tcBorders>
          </w:tcPr>
          <w:p w14:paraId="47411603" w14:textId="77777777" w:rsidR="00C14D15" w:rsidRPr="00C33F4C" w:rsidRDefault="00C14D15" w:rsidP="00C33F4C">
            <w:pPr>
              <w:spacing w:after="0" w:line="240" w:lineRule="auto"/>
              <w:ind w:left="0" w:firstLine="0"/>
              <w:rPr>
                <w:color w:val="auto"/>
                <w:lang w:val="es-ES"/>
              </w:rPr>
            </w:pPr>
            <w:proofErr w:type="spellStart"/>
            <w:r w:rsidRPr="00C33F4C">
              <w:rPr>
                <w:color w:val="auto"/>
                <w:lang w:val="es-ES"/>
              </w:rPr>
              <w:t>Topotecán</w:t>
            </w:r>
            <w:proofErr w:type="spellEnd"/>
            <w:r w:rsidRPr="00C33F4C">
              <w:rPr>
                <w:color w:val="auto"/>
                <w:lang w:val="es-ES"/>
              </w:rPr>
              <w:t xml:space="preserve"> +</w:t>
            </w:r>
            <w:r w:rsidR="00594287" w:rsidRPr="00C33F4C">
              <w:rPr>
                <w:color w:val="auto"/>
                <w:lang w:val="es-ES"/>
              </w:rPr>
              <w:t xml:space="preserve"> </w:t>
            </w:r>
          </w:p>
          <w:p w14:paraId="26F64C81" w14:textId="77777777" w:rsidR="00C14D15" w:rsidRPr="00C33F4C" w:rsidRDefault="00C14D15" w:rsidP="00C33F4C">
            <w:pPr>
              <w:spacing w:after="0" w:line="240" w:lineRule="auto"/>
              <w:ind w:left="0" w:firstLine="0"/>
              <w:rPr>
                <w:color w:val="auto"/>
                <w:lang w:val="es-ES"/>
              </w:rPr>
            </w:pPr>
            <w:proofErr w:type="spellStart"/>
            <w:r w:rsidRPr="00C33F4C">
              <w:rPr>
                <w:color w:val="auto"/>
                <w:lang w:val="es-ES"/>
              </w:rPr>
              <w:t>Paclitaxel</w:t>
            </w:r>
            <w:proofErr w:type="spellEnd"/>
          </w:p>
        </w:tc>
        <w:tc>
          <w:tcPr>
            <w:tcW w:w="2859" w:type="dxa"/>
            <w:tcBorders>
              <w:top w:val="single" w:sz="4" w:space="0" w:color="auto"/>
              <w:left w:val="single" w:sz="4" w:space="0" w:color="auto"/>
              <w:bottom w:val="single" w:sz="4" w:space="0" w:color="auto"/>
              <w:right w:val="single" w:sz="4" w:space="0" w:color="auto"/>
            </w:tcBorders>
            <w:vAlign w:val="center"/>
          </w:tcPr>
          <w:p w14:paraId="51E1BB6B" w14:textId="77777777" w:rsidR="00C14D15" w:rsidRPr="00C33F4C" w:rsidRDefault="00C14D15" w:rsidP="00C33F4C">
            <w:pPr>
              <w:spacing w:after="0" w:line="240" w:lineRule="auto"/>
              <w:ind w:left="0" w:firstLine="0"/>
              <w:jc w:val="center"/>
              <w:rPr>
                <w:color w:val="auto"/>
                <w:lang w:val="es-ES"/>
              </w:rPr>
            </w:pPr>
            <w:r w:rsidRPr="00C33F4C">
              <w:rPr>
                <w:color w:val="auto"/>
                <w:lang w:val="es-ES"/>
              </w:rPr>
              <w:t>0,76 (0,55</w:t>
            </w:r>
            <w:r w:rsidR="00F4332A" w:rsidRPr="00C33F4C">
              <w:rPr>
                <w:color w:val="auto"/>
                <w:lang w:val="es-ES"/>
              </w:rPr>
              <w:t>;</w:t>
            </w:r>
            <w:r w:rsidRPr="00C33F4C">
              <w:rPr>
                <w:color w:val="auto"/>
                <w:lang w:val="es-ES"/>
              </w:rPr>
              <w:t xml:space="preserve"> 1,06)</w:t>
            </w:r>
          </w:p>
          <w:p w14:paraId="5BDFC772" w14:textId="77777777" w:rsidR="00C14D15" w:rsidRPr="00C33F4C" w:rsidRDefault="00C14D15" w:rsidP="00C33F4C">
            <w:pPr>
              <w:spacing w:after="0" w:line="240" w:lineRule="auto"/>
              <w:ind w:left="0" w:firstLine="0"/>
              <w:jc w:val="center"/>
              <w:rPr>
                <w:color w:val="auto"/>
                <w:lang w:val="es-ES"/>
              </w:rPr>
            </w:pPr>
            <w:r w:rsidRPr="00C33F4C">
              <w:rPr>
                <w:color w:val="auto"/>
                <w:lang w:val="es-ES"/>
              </w:rPr>
              <w:t>(14,9 vs. 11,9 meses; p</w:t>
            </w:r>
            <w:r w:rsidR="00A704E8" w:rsidRPr="00E30038">
              <w:t> </w:t>
            </w:r>
            <w:r w:rsidRPr="00C33F4C">
              <w:rPr>
                <w:color w:val="auto"/>
                <w:lang w:val="es-ES"/>
              </w:rPr>
              <w:t>=</w:t>
            </w:r>
            <w:r w:rsidR="00A704E8" w:rsidRPr="00E30038">
              <w:t> </w:t>
            </w:r>
            <w:r w:rsidRPr="00C33F4C">
              <w:rPr>
                <w:color w:val="auto"/>
                <w:lang w:val="es-ES"/>
              </w:rPr>
              <w:t>0,1061)</w:t>
            </w:r>
          </w:p>
        </w:tc>
        <w:tc>
          <w:tcPr>
            <w:tcW w:w="3045" w:type="dxa"/>
            <w:tcBorders>
              <w:top w:val="single" w:sz="4" w:space="0" w:color="auto"/>
              <w:left w:val="single" w:sz="4" w:space="0" w:color="auto"/>
              <w:bottom w:val="single" w:sz="4" w:space="0" w:color="auto"/>
              <w:right w:val="single" w:sz="4" w:space="0" w:color="auto"/>
            </w:tcBorders>
            <w:vAlign w:val="center"/>
          </w:tcPr>
          <w:p w14:paraId="32F33682" w14:textId="77777777" w:rsidR="00C14D15" w:rsidRPr="00C33F4C" w:rsidRDefault="00C14D15" w:rsidP="00C33F4C">
            <w:pPr>
              <w:spacing w:after="0" w:line="240" w:lineRule="auto"/>
              <w:ind w:left="0" w:firstLine="0"/>
              <w:jc w:val="center"/>
              <w:rPr>
                <w:color w:val="auto"/>
                <w:lang w:val="es-ES"/>
              </w:rPr>
            </w:pPr>
            <w:r w:rsidRPr="00C33F4C">
              <w:rPr>
                <w:color w:val="auto"/>
                <w:lang w:val="es-ES"/>
              </w:rPr>
              <w:t>0,79 (0,59</w:t>
            </w:r>
            <w:r w:rsidR="00F4332A" w:rsidRPr="00C33F4C">
              <w:rPr>
                <w:color w:val="auto"/>
                <w:lang w:val="es-ES"/>
              </w:rPr>
              <w:t>;</w:t>
            </w:r>
            <w:r w:rsidRPr="00C33F4C">
              <w:rPr>
                <w:color w:val="auto"/>
                <w:lang w:val="es-ES"/>
              </w:rPr>
              <w:t xml:space="preserve"> 1,07)</w:t>
            </w:r>
          </w:p>
          <w:p w14:paraId="377EE7C1" w14:textId="77777777" w:rsidR="00C14D15" w:rsidRPr="00C33F4C" w:rsidRDefault="00C14D15" w:rsidP="00C33F4C">
            <w:pPr>
              <w:spacing w:after="0" w:line="240" w:lineRule="auto"/>
              <w:ind w:left="0" w:firstLine="0"/>
              <w:jc w:val="center"/>
              <w:rPr>
                <w:color w:val="auto"/>
                <w:lang w:val="es-ES"/>
              </w:rPr>
            </w:pPr>
            <w:r w:rsidRPr="00C33F4C">
              <w:rPr>
                <w:color w:val="auto"/>
                <w:lang w:val="es-ES"/>
              </w:rPr>
              <w:t>(16,2 vs 12,0 meses, p = 0,1342)</w:t>
            </w:r>
          </w:p>
        </w:tc>
      </w:tr>
      <w:tr w:rsidR="00D445BE" w:rsidRPr="00FB14BB" w14:paraId="4B6EE9EC" w14:textId="77777777" w:rsidTr="00C33F4C">
        <w:trPr>
          <w:trHeight w:val="248"/>
        </w:trPr>
        <w:tc>
          <w:tcPr>
            <w:tcW w:w="1683" w:type="dxa"/>
            <w:vMerge w:val="restart"/>
            <w:tcBorders>
              <w:top w:val="single" w:sz="4" w:space="0" w:color="auto"/>
              <w:left w:val="single" w:sz="4" w:space="0" w:color="auto"/>
              <w:right w:val="single" w:sz="4" w:space="0" w:color="auto"/>
            </w:tcBorders>
          </w:tcPr>
          <w:p w14:paraId="451B7CBB" w14:textId="77777777" w:rsidR="00094BB6" w:rsidRPr="00C33F4C" w:rsidRDefault="00094BB6" w:rsidP="00C33F4C">
            <w:pPr>
              <w:keepNext/>
              <w:spacing w:after="0" w:line="240" w:lineRule="auto"/>
              <w:ind w:left="0" w:firstLine="0"/>
              <w:rPr>
                <w:color w:val="auto"/>
                <w:lang w:val="es-ES"/>
              </w:rPr>
            </w:pPr>
            <w:proofErr w:type="spellStart"/>
            <w:r w:rsidRPr="00C33F4C">
              <w:rPr>
                <w:color w:val="auto"/>
                <w:lang w:val="es-ES"/>
              </w:rPr>
              <w:t>Topotecán</w:t>
            </w:r>
            <w:proofErr w:type="spellEnd"/>
            <w:r w:rsidR="00D07FAF" w:rsidRPr="00C33F4C">
              <w:rPr>
                <w:color w:val="auto"/>
                <w:lang w:val="es-ES"/>
              </w:rPr>
              <w:t xml:space="preserve"> </w:t>
            </w:r>
            <w:r w:rsidRPr="00C33F4C">
              <w:rPr>
                <w:color w:val="auto"/>
                <w:lang w:val="es-ES"/>
              </w:rPr>
              <w:t>+</w:t>
            </w:r>
            <w:r w:rsidR="00D07FAF" w:rsidRPr="00C33F4C">
              <w:rPr>
                <w:color w:val="auto"/>
                <w:lang w:val="es-ES"/>
              </w:rPr>
              <w:t xml:space="preserve"> </w:t>
            </w:r>
          </w:p>
          <w:p w14:paraId="4A8CF450" w14:textId="77777777" w:rsidR="00094BB6" w:rsidRPr="00C33F4C" w:rsidRDefault="00094BB6" w:rsidP="00C33F4C">
            <w:pPr>
              <w:keepNext/>
              <w:spacing w:after="0" w:line="240" w:lineRule="auto"/>
              <w:ind w:left="0" w:firstLine="0"/>
              <w:rPr>
                <w:color w:val="auto"/>
                <w:lang w:val="es-ES"/>
              </w:rPr>
            </w:pPr>
            <w:proofErr w:type="spellStart"/>
            <w:r w:rsidRPr="00C33F4C">
              <w:rPr>
                <w:color w:val="auto"/>
                <w:lang w:val="es-ES"/>
              </w:rPr>
              <w:t>Paclitaxel</w:t>
            </w:r>
            <w:proofErr w:type="spellEnd"/>
            <w:r w:rsidRPr="00C33F4C">
              <w:rPr>
                <w:color w:val="auto"/>
                <w:lang w:val="es-ES"/>
              </w:rPr>
              <w:t xml:space="preserve"> vs.</w:t>
            </w:r>
          </w:p>
          <w:p w14:paraId="1C858DDC" w14:textId="77777777" w:rsidR="00094BB6" w:rsidRPr="00C33F4C" w:rsidRDefault="00094BB6" w:rsidP="00C33F4C">
            <w:pPr>
              <w:keepNext/>
              <w:spacing w:after="0" w:line="240" w:lineRule="auto"/>
              <w:ind w:left="0" w:firstLine="0"/>
              <w:rPr>
                <w:color w:val="auto"/>
                <w:lang w:val="es-ES"/>
              </w:rPr>
            </w:pPr>
          </w:p>
          <w:p w14:paraId="4AA000DF" w14:textId="77777777" w:rsidR="00094BB6" w:rsidRPr="00C33F4C" w:rsidRDefault="00094BB6" w:rsidP="00C33F4C">
            <w:pPr>
              <w:keepNext/>
              <w:spacing w:after="0" w:line="240" w:lineRule="auto"/>
              <w:ind w:left="0" w:firstLine="0"/>
              <w:rPr>
                <w:color w:val="auto"/>
                <w:lang w:val="es-ES"/>
              </w:rPr>
            </w:pPr>
            <w:r w:rsidRPr="00C33F4C">
              <w:rPr>
                <w:color w:val="auto"/>
                <w:lang w:val="es-ES"/>
              </w:rPr>
              <w:t>Cisplatino+</w:t>
            </w:r>
          </w:p>
          <w:p w14:paraId="774E3D94" w14:textId="77777777" w:rsidR="00094BB6" w:rsidRPr="00C33F4C" w:rsidRDefault="00094BB6" w:rsidP="00C33F4C">
            <w:pPr>
              <w:keepNext/>
              <w:spacing w:after="0" w:line="240" w:lineRule="auto"/>
              <w:ind w:left="0" w:firstLine="0"/>
              <w:rPr>
                <w:color w:val="auto"/>
                <w:lang w:val="es-ES"/>
              </w:rPr>
            </w:pPr>
            <w:proofErr w:type="spellStart"/>
            <w:r w:rsidRPr="00C33F4C">
              <w:rPr>
                <w:color w:val="auto"/>
                <w:lang w:val="es-ES"/>
              </w:rPr>
              <w:t>Paclitaxel</w:t>
            </w:r>
            <w:proofErr w:type="spellEnd"/>
          </w:p>
        </w:tc>
        <w:tc>
          <w:tcPr>
            <w:tcW w:w="1407" w:type="dxa"/>
            <w:tcBorders>
              <w:top w:val="single" w:sz="4" w:space="0" w:color="auto"/>
              <w:left w:val="single" w:sz="4" w:space="0" w:color="auto"/>
              <w:bottom w:val="single" w:sz="4" w:space="0" w:color="auto"/>
              <w:right w:val="single" w:sz="4" w:space="0" w:color="auto"/>
            </w:tcBorders>
          </w:tcPr>
          <w:p w14:paraId="0F9D5D6A" w14:textId="77777777" w:rsidR="00094BB6" w:rsidRPr="00C33F4C" w:rsidRDefault="00863B46" w:rsidP="00C33F4C">
            <w:pPr>
              <w:keepNext/>
              <w:spacing w:after="0" w:line="240" w:lineRule="auto"/>
              <w:ind w:left="0" w:firstLine="0"/>
              <w:rPr>
                <w:color w:val="auto"/>
                <w:lang w:val="es-ES"/>
              </w:rPr>
            </w:pPr>
            <w:r w:rsidRPr="00C33F4C">
              <w:rPr>
                <w:color w:val="auto"/>
                <w:lang w:val="es-ES"/>
              </w:rPr>
              <w:t>Bevacizumab</w:t>
            </w:r>
          </w:p>
        </w:tc>
        <w:tc>
          <w:tcPr>
            <w:tcW w:w="2859" w:type="dxa"/>
            <w:tcBorders>
              <w:top w:val="single" w:sz="4" w:space="0" w:color="auto"/>
              <w:left w:val="single" w:sz="4" w:space="0" w:color="auto"/>
              <w:bottom w:val="single" w:sz="4" w:space="0" w:color="auto"/>
              <w:right w:val="single" w:sz="4" w:space="0" w:color="auto"/>
            </w:tcBorders>
            <w:vAlign w:val="center"/>
          </w:tcPr>
          <w:p w14:paraId="23156EB8" w14:textId="39D36799" w:rsidR="00094BB6" w:rsidRPr="00C33F4C" w:rsidRDefault="00241E7E" w:rsidP="00C33F4C">
            <w:pPr>
              <w:keepNext/>
              <w:spacing w:after="0" w:line="240" w:lineRule="auto"/>
              <w:ind w:left="0" w:firstLine="0"/>
              <w:jc w:val="center"/>
              <w:rPr>
                <w:color w:val="auto"/>
                <w:lang w:val="es-ES"/>
              </w:rPr>
            </w:pPr>
            <w:r w:rsidRPr="00C33F4C">
              <w:rPr>
                <w:color w:val="auto"/>
                <w:lang w:val="es-ES"/>
              </w:rPr>
              <w:t>1,</w:t>
            </w:r>
            <w:r w:rsidR="00094BB6" w:rsidRPr="00C33F4C">
              <w:rPr>
                <w:color w:val="auto"/>
                <w:lang w:val="es-ES"/>
              </w:rPr>
              <w:t>15 (0,82</w:t>
            </w:r>
            <w:r w:rsidR="00F4332A" w:rsidRPr="00C33F4C">
              <w:rPr>
                <w:color w:val="auto"/>
                <w:lang w:val="es-ES"/>
              </w:rPr>
              <w:t>;</w:t>
            </w:r>
            <w:r w:rsidR="00094BB6" w:rsidRPr="00C33F4C">
              <w:rPr>
                <w:color w:val="auto"/>
                <w:lang w:val="es-ES"/>
              </w:rPr>
              <w:t xml:space="preserve"> 1,61)</w:t>
            </w:r>
          </w:p>
          <w:p w14:paraId="08456010" w14:textId="16140C78" w:rsidR="00094BB6" w:rsidRPr="00C33F4C" w:rsidRDefault="00094BB6" w:rsidP="00C33F4C">
            <w:pPr>
              <w:keepNext/>
              <w:spacing w:after="0" w:line="240" w:lineRule="auto"/>
              <w:ind w:left="0" w:firstLine="0"/>
              <w:jc w:val="center"/>
              <w:rPr>
                <w:color w:val="auto"/>
                <w:lang w:val="es-ES"/>
              </w:rPr>
            </w:pPr>
            <w:r w:rsidRPr="00C33F4C">
              <w:rPr>
                <w:color w:val="auto"/>
                <w:lang w:val="es-ES"/>
              </w:rPr>
              <w:t>(14,9 vs. 17,5 meses; p</w:t>
            </w:r>
            <w:r w:rsidR="00B3760A" w:rsidRPr="00E30038">
              <w:t> </w:t>
            </w:r>
            <w:r w:rsidRPr="00C33F4C">
              <w:rPr>
                <w:color w:val="auto"/>
                <w:lang w:val="es-ES"/>
              </w:rPr>
              <w:t>=</w:t>
            </w:r>
            <w:r w:rsidR="00B3760A" w:rsidRPr="00E30038">
              <w:t> </w:t>
            </w:r>
            <w:r w:rsidRPr="00C33F4C">
              <w:rPr>
                <w:color w:val="auto"/>
                <w:lang w:val="es-ES"/>
              </w:rPr>
              <w:t>0,4146)</w:t>
            </w:r>
          </w:p>
        </w:tc>
        <w:tc>
          <w:tcPr>
            <w:tcW w:w="3045" w:type="dxa"/>
            <w:tcBorders>
              <w:top w:val="single" w:sz="4" w:space="0" w:color="auto"/>
              <w:left w:val="single" w:sz="4" w:space="0" w:color="auto"/>
              <w:bottom w:val="single" w:sz="4" w:space="0" w:color="auto"/>
              <w:right w:val="single" w:sz="4" w:space="0" w:color="auto"/>
            </w:tcBorders>
            <w:vAlign w:val="center"/>
          </w:tcPr>
          <w:p w14:paraId="688309C5" w14:textId="77777777" w:rsidR="00094BB6" w:rsidRPr="00C33F4C" w:rsidRDefault="00094BB6" w:rsidP="00C33F4C">
            <w:pPr>
              <w:keepNext/>
              <w:spacing w:after="0" w:line="240" w:lineRule="auto"/>
              <w:ind w:left="0" w:firstLine="0"/>
              <w:jc w:val="center"/>
              <w:rPr>
                <w:color w:val="auto"/>
                <w:lang w:val="es-ES"/>
              </w:rPr>
            </w:pPr>
            <w:r w:rsidRPr="00C33F4C">
              <w:rPr>
                <w:color w:val="auto"/>
                <w:lang w:val="es-ES"/>
              </w:rPr>
              <w:t>1,15 (0,85</w:t>
            </w:r>
            <w:r w:rsidR="00F4332A" w:rsidRPr="00C33F4C">
              <w:rPr>
                <w:color w:val="auto"/>
                <w:lang w:val="es-ES"/>
              </w:rPr>
              <w:t>;</w:t>
            </w:r>
            <w:r w:rsidRPr="00C33F4C">
              <w:rPr>
                <w:color w:val="auto"/>
                <w:lang w:val="es-ES"/>
              </w:rPr>
              <w:t xml:space="preserve"> 1,56)</w:t>
            </w:r>
          </w:p>
          <w:p w14:paraId="061AC11B" w14:textId="77777777" w:rsidR="00094BB6" w:rsidRPr="00C33F4C" w:rsidRDefault="00094BB6" w:rsidP="00C33F4C">
            <w:pPr>
              <w:keepNext/>
              <w:spacing w:after="0" w:line="240" w:lineRule="auto"/>
              <w:ind w:left="0" w:firstLine="0"/>
              <w:jc w:val="center"/>
              <w:rPr>
                <w:color w:val="auto"/>
                <w:lang w:val="es-ES"/>
              </w:rPr>
            </w:pPr>
            <w:r w:rsidRPr="00C33F4C">
              <w:rPr>
                <w:color w:val="auto"/>
                <w:lang w:val="es-ES"/>
              </w:rPr>
              <w:t>(16,2 vs 17,5 meses; p</w:t>
            </w:r>
            <w:r w:rsidR="00A704E8" w:rsidRPr="00E30038">
              <w:t> </w:t>
            </w:r>
            <w:r w:rsidRPr="00C33F4C">
              <w:rPr>
                <w:color w:val="auto"/>
                <w:lang w:val="es-ES"/>
              </w:rPr>
              <w:t>=</w:t>
            </w:r>
            <w:r w:rsidR="00A704E8" w:rsidRPr="00E30038">
              <w:t> </w:t>
            </w:r>
            <w:r w:rsidRPr="00C33F4C">
              <w:rPr>
                <w:color w:val="auto"/>
                <w:lang w:val="es-ES"/>
              </w:rPr>
              <w:t>0,3769)</w:t>
            </w:r>
          </w:p>
        </w:tc>
      </w:tr>
      <w:tr w:rsidR="00D445BE" w:rsidRPr="00FB14BB" w14:paraId="79488DC4" w14:textId="77777777" w:rsidTr="00C33F4C">
        <w:trPr>
          <w:trHeight w:val="248"/>
        </w:trPr>
        <w:tc>
          <w:tcPr>
            <w:tcW w:w="1683" w:type="dxa"/>
            <w:vMerge/>
            <w:tcBorders>
              <w:left w:val="single" w:sz="4" w:space="0" w:color="auto"/>
              <w:right w:val="single" w:sz="4" w:space="0" w:color="auto"/>
            </w:tcBorders>
          </w:tcPr>
          <w:p w14:paraId="7910D6A7" w14:textId="77777777" w:rsidR="00094BB6" w:rsidRPr="00C33F4C" w:rsidRDefault="00094BB6" w:rsidP="00C33F4C">
            <w:pPr>
              <w:spacing w:after="0" w:line="240" w:lineRule="auto"/>
              <w:ind w:left="0" w:firstLine="0"/>
              <w:rPr>
                <w:color w:val="auto"/>
                <w:lang w:val="es-ES"/>
              </w:rPr>
            </w:pPr>
          </w:p>
        </w:tc>
        <w:tc>
          <w:tcPr>
            <w:tcW w:w="1407" w:type="dxa"/>
            <w:tcBorders>
              <w:top w:val="single" w:sz="4" w:space="0" w:color="auto"/>
              <w:left w:val="single" w:sz="4" w:space="0" w:color="auto"/>
            </w:tcBorders>
          </w:tcPr>
          <w:p w14:paraId="1607AF4B" w14:textId="77777777" w:rsidR="00094BB6" w:rsidRPr="00C33F4C" w:rsidRDefault="00094BB6" w:rsidP="00C33F4C">
            <w:pPr>
              <w:spacing w:after="0" w:line="240" w:lineRule="auto"/>
              <w:ind w:left="0" w:firstLine="0"/>
              <w:rPr>
                <w:color w:val="auto"/>
                <w:lang w:val="es-ES"/>
              </w:rPr>
            </w:pPr>
            <w:r w:rsidRPr="00C33F4C">
              <w:rPr>
                <w:color w:val="auto"/>
                <w:lang w:val="es-ES"/>
              </w:rPr>
              <w:t xml:space="preserve">No </w:t>
            </w:r>
            <w:r w:rsidR="00863B46" w:rsidRPr="00C33F4C">
              <w:rPr>
                <w:color w:val="auto"/>
                <w:lang w:val="es-ES"/>
              </w:rPr>
              <w:t>Bevacizumab</w:t>
            </w:r>
          </w:p>
        </w:tc>
        <w:tc>
          <w:tcPr>
            <w:tcW w:w="2859" w:type="dxa"/>
            <w:tcBorders>
              <w:top w:val="single" w:sz="4" w:space="0" w:color="auto"/>
            </w:tcBorders>
            <w:vAlign w:val="center"/>
          </w:tcPr>
          <w:p w14:paraId="3FDC9601" w14:textId="77777777" w:rsidR="00094BB6" w:rsidRPr="00C33F4C" w:rsidRDefault="00094BB6" w:rsidP="00C33F4C">
            <w:pPr>
              <w:spacing w:after="0" w:line="240" w:lineRule="auto"/>
              <w:ind w:left="0" w:firstLine="0"/>
              <w:jc w:val="center"/>
              <w:rPr>
                <w:color w:val="auto"/>
                <w:lang w:val="es-ES"/>
              </w:rPr>
            </w:pPr>
            <w:r w:rsidRPr="00C33F4C">
              <w:rPr>
                <w:color w:val="auto"/>
                <w:lang w:val="es-ES"/>
              </w:rPr>
              <w:t>1,13 (0,81</w:t>
            </w:r>
            <w:r w:rsidR="00F4332A" w:rsidRPr="00C33F4C">
              <w:rPr>
                <w:color w:val="auto"/>
                <w:lang w:val="es-ES"/>
              </w:rPr>
              <w:t>;</w:t>
            </w:r>
            <w:r w:rsidRPr="00C33F4C">
              <w:rPr>
                <w:color w:val="auto"/>
                <w:lang w:val="es-ES"/>
              </w:rPr>
              <w:t xml:space="preserve"> 1,57)</w:t>
            </w:r>
          </w:p>
          <w:p w14:paraId="0C738254" w14:textId="77777777" w:rsidR="00094BB6" w:rsidRPr="00C33F4C" w:rsidRDefault="00094BB6" w:rsidP="00C33F4C">
            <w:pPr>
              <w:spacing w:after="0" w:line="240" w:lineRule="auto"/>
              <w:ind w:left="0" w:firstLine="0"/>
              <w:jc w:val="center"/>
              <w:rPr>
                <w:color w:val="auto"/>
                <w:lang w:val="es-ES"/>
              </w:rPr>
            </w:pPr>
            <w:r w:rsidRPr="00C33F4C">
              <w:rPr>
                <w:color w:val="auto"/>
                <w:lang w:val="es-ES"/>
              </w:rPr>
              <w:t>(11,9 vs.14,3 meses; p</w:t>
            </w:r>
            <w:r w:rsidR="00A704E8" w:rsidRPr="00E30038">
              <w:t> </w:t>
            </w:r>
            <w:r w:rsidRPr="00C33F4C">
              <w:rPr>
                <w:color w:val="auto"/>
                <w:lang w:val="es-ES"/>
              </w:rPr>
              <w:t>=</w:t>
            </w:r>
            <w:r w:rsidR="00A704E8" w:rsidRPr="00E30038">
              <w:t> </w:t>
            </w:r>
            <w:r w:rsidRPr="00C33F4C">
              <w:rPr>
                <w:color w:val="auto"/>
                <w:lang w:val="es-ES"/>
              </w:rPr>
              <w:t>0,4825)</w:t>
            </w:r>
          </w:p>
        </w:tc>
        <w:tc>
          <w:tcPr>
            <w:tcW w:w="3045" w:type="dxa"/>
            <w:tcBorders>
              <w:top w:val="single" w:sz="4" w:space="0" w:color="auto"/>
            </w:tcBorders>
            <w:vAlign w:val="center"/>
          </w:tcPr>
          <w:p w14:paraId="465B7B73" w14:textId="77777777" w:rsidR="00094BB6" w:rsidRPr="00C33F4C" w:rsidRDefault="00094BB6" w:rsidP="00C33F4C">
            <w:pPr>
              <w:spacing w:after="0" w:line="240" w:lineRule="auto"/>
              <w:ind w:left="0" w:firstLine="0"/>
              <w:jc w:val="center"/>
              <w:rPr>
                <w:color w:val="auto"/>
                <w:lang w:val="es-ES"/>
              </w:rPr>
            </w:pPr>
            <w:r w:rsidRPr="00C33F4C">
              <w:rPr>
                <w:color w:val="auto"/>
                <w:lang w:val="es-ES"/>
              </w:rPr>
              <w:t>1,08 (0,80</w:t>
            </w:r>
            <w:r w:rsidR="00F4332A" w:rsidRPr="00C33F4C">
              <w:rPr>
                <w:color w:val="auto"/>
                <w:lang w:val="es-ES"/>
              </w:rPr>
              <w:t>;</w:t>
            </w:r>
            <w:r w:rsidRPr="00C33F4C">
              <w:rPr>
                <w:color w:val="auto"/>
                <w:lang w:val="es-ES"/>
              </w:rPr>
              <w:t xml:space="preserve"> 1,45)</w:t>
            </w:r>
          </w:p>
          <w:p w14:paraId="3E9BC7B0" w14:textId="77777777" w:rsidR="00094BB6" w:rsidRPr="00C33F4C" w:rsidRDefault="00094BB6" w:rsidP="00C33F4C">
            <w:pPr>
              <w:spacing w:after="0" w:line="240" w:lineRule="auto"/>
              <w:ind w:left="0" w:firstLine="0"/>
              <w:jc w:val="center"/>
              <w:rPr>
                <w:color w:val="auto"/>
                <w:lang w:val="es-ES"/>
              </w:rPr>
            </w:pPr>
            <w:r w:rsidRPr="00C33F4C">
              <w:rPr>
                <w:color w:val="auto"/>
                <w:lang w:val="es-ES"/>
              </w:rPr>
              <w:t>(12,0 vs 15,0 meses; p</w:t>
            </w:r>
            <w:r w:rsidR="00A704E8" w:rsidRPr="00E30038">
              <w:t> </w:t>
            </w:r>
            <w:r w:rsidRPr="00C33F4C">
              <w:rPr>
                <w:color w:val="auto"/>
                <w:lang w:val="es-ES"/>
              </w:rPr>
              <w:t>=</w:t>
            </w:r>
            <w:r w:rsidR="00A704E8" w:rsidRPr="00E30038">
              <w:t> </w:t>
            </w:r>
            <w:r w:rsidRPr="00C33F4C">
              <w:rPr>
                <w:color w:val="auto"/>
                <w:lang w:val="es-ES"/>
              </w:rPr>
              <w:t>0,6267)</w:t>
            </w:r>
          </w:p>
        </w:tc>
      </w:tr>
    </w:tbl>
    <w:p w14:paraId="6F738871" w14:textId="77777777" w:rsidR="00FB24C0" w:rsidRPr="00FA3DF6" w:rsidRDefault="00FB24C0" w:rsidP="00FB24C0">
      <w:pPr>
        <w:spacing w:after="0" w:line="240" w:lineRule="auto"/>
        <w:ind w:left="567" w:hanging="567"/>
        <w:rPr>
          <w:color w:val="auto"/>
          <w:sz w:val="20"/>
          <w:szCs w:val="20"/>
          <w:lang w:val="es-ES"/>
        </w:rPr>
      </w:pPr>
      <w:r w:rsidRPr="00A25947">
        <w:rPr>
          <w:color w:val="auto"/>
          <w:vertAlign w:val="superscript"/>
          <w:lang w:val="es-ES"/>
        </w:rPr>
        <w:t>1</w:t>
      </w:r>
      <w:r w:rsidRPr="00443040">
        <w:rPr>
          <w:color w:val="auto"/>
          <w:lang w:val="es-ES"/>
        </w:rPr>
        <w:tab/>
      </w:r>
      <w:proofErr w:type="gramStart"/>
      <w:r w:rsidRPr="00FA3DF6">
        <w:rPr>
          <w:color w:val="auto"/>
          <w:sz w:val="20"/>
          <w:szCs w:val="20"/>
          <w:lang w:val="es-ES"/>
        </w:rPr>
        <w:t>El</w:t>
      </w:r>
      <w:proofErr w:type="gramEnd"/>
      <w:r w:rsidRPr="00FA3DF6">
        <w:rPr>
          <w:color w:val="auto"/>
          <w:sz w:val="20"/>
          <w:szCs w:val="20"/>
          <w:lang w:val="es-ES"/>
        </w:rPr>
        <w:t xml:space="preserve"> análisis primario se realizó con una fecha de corte de 12 de </w:t>
      </w:r>
      <w:r w:rsidR="00B3760A">
        <w:rPr>
          <w:color w:val="auto"/>
          <w:sz w:val="20"/>
          <w:szCs w:val="20"/>
          <w:lang w:val="es-ES"/>
        </w:rPr>
        <w:t>d</w:t>
      </w:r>
      <w:r w:rsidRPr="00FA3DF6">
        <w:rPr>
          <w:color w:val="auto"/>
          <w:sz w:val="20"/>
          <w:szCs w:val="20"/>
          <w:lang w:val="es-ES"/>
        </w:rPr>
        <w:t>iciembre de 2012 y se considera análisis final</w:t>
      </w:r>
      <w:r w:rsidR="00FA3DF6">
        <w:rPr>
          <w:color w:val="auto"/>
          <w:sz w:val="20"/>
          <w:szCs w:val="20"/>
          <w:lang w:val="es-ES"/>
        </w:rPr>
        <w:t>.</w:t>
      </w:r>
    </w:p>
    <w:p w14:paraId="3E465B26" w14:textId="77777777" w:rsidR="00FB24C0" w:rsidRPr="00FA3DF6" w:rsidRDefault="00FB24C0" w:rsidP="00FB24C0">
      <w:pPr>
        <w:spacing w:after="0" w:line="240" w:lineRule="auto"/>
        <w:ind w:left="567" w:hanging="567"/>
        <w:rPr>
          <w:color w:val="auto"/>
          <w:sz w:val="20"/>
          <w:szCs w:val="20"/>
          <w:lang w:val="es-ES"/>
        </w:rPr>
      </w:pPr>
      <w:r w:rsidRPr="00FA3DF6">
        <w:rPr>
          <w:color w:val="auto"/>
          <w:sz w:val="20"/>
          <w:szCs w:val="20"/>
          <w:vertAlign w:val="superscript"/>
          <w:lang w:val="es-ES"/>
        </w:rPr>
        <w:t>2</w:t>
      </w:r>
      <w:r w:rsidRPr="00FA3DF6">
        <w:rPr>
          <w:color w:val="auto"/>
          <w:sz w:val="20"/>
          <w:szCs w:val="20"/>
          <w:lang w:val="es-ES"/>
        </w:rPr>
        <w:tab/>
      </w:r>
      <w:proofErr w:type="gramStart"/>
      <w:r w:rsidRPr="00FA3DF6">
        <w:rPr>
          <w:color w:val="auto"/>
          <w:sz w:val="20"/>
          <w:szCs w:val="20"/>
          <w:lang w:val="es-ES"/>
        </w:rPr>
        <w:t>El</w:t>
      </w:r>
      <w:proofErr w:type="gramEnd"/>
      <w:r w:rsidRPr="00FA3DF6">
        <w:rPr>
          <w:color w:val="auto"/>
          <w:sz w:val="20"/>
          <w:szCs w:val="20"/>
          <w:lang w:val="es-ES"/>
        </w:rPr>
        <w:t xml:space="preserve"> análisis de seguimiento se realizó con una fecha de corte de 07 de </w:t>
      </w:r>
      <w:r w:rsidR="00B3760A">
        <w:rPr>
          <w:color w:val="auto"/>
          <w:sz w:val="20"/>
          <w:szCs w:val="20"/>
          <w:lang w:val="es-ES"/>
        </w:rPr>
        <w:t>m</w:t>
      </w:r>
      <w:r w:rsidRPr="00FA3DF6">
        <w:rPr>
          <w:color w:val="auto"/>
          <w:sz w:val="20"/>
          <w:szCs w:val="20"/>
          <w:lang w:val="es-ES"/>
        </w:rPr>
        <w:t>arzo de 2014, todos los valores-p se muestran sólo con propósito descriptivo</w:t>
      </w:r>
      <w:r w:rsidR="00FA3DF6">
        <w:rPr>
          <w:color w:val="auto"/>
          <w:sz w:val="20"/>
          <w:szCs w:val="20"/>
          <w:lang w:val="es-ES"/>
        </w:rPr>
        <w:t>.</w:t>
      </w:r>
    </w:p>
    <w:p w14:paraId="2C23A3A3" w14:textId="77777777" w:rsidR="00FB24C0" w:rsidRPr="006D35C1" w:rsidRDefault="00FB24C0" w:rsidP="00FA3DF6">
      <w:pPr>
        <w:spacing w:after="0" w:line="240" w:lineRule="auto"/>
        <w:ind w:left="0" w:firstLine="0"/>
        <w:rPr>
          <w:color w:val="auto"/>
          <w:lang w:val="es-ES"/>
        </w:rPr>
      </w:pPr>
    </w:p>
    <w:p w14:paraId="6E496E17" w14:textId="77777777" w:rsidR="00FB24C0" w:rsidRPr="006D35C1" w:rsidRDefault="00FB24C0" w:rsidP="00FA3DF6">
      <w:pPr>
        <w:keepNext/>
        <w:spacing w:after="0" w:line="240" w:lineRule="auto"/>
        <w:ind w:left="0" w:firstLine="0"/>
        <w:rPr>
          <w:i/>
          <w:color w:val="auto"/>
          <w:lang w:val="es-ES"/>
        </w:rPr>
      </w:pPr>
      <w:r w:rsidRPr="006D35C1">
        <w:rPr>
          <w:i/>
          <w:color w:val="auto"/>
          <w:u w:val="single" w:color="000000"/>
          <w:lang w:val="es-ES"/>
        </w:rPr>
        <w:t>Población pediátrica</w:t>
      </w:r>
    </w:p>
    <w:p w14:paraId="12116C4F" w14:textId="77777777" w:rsidR="00FA3DF6" w:rsidRPr="006D35C1" w:rsidRDefault="00FA3DF6" w:rsidP="00FA3DF6">
      <w:pPr>
        <w:keepNext/>
        <w:spacing w:after="0" w:line="240" w:lineRule="auto"/>
        <w:ind w:left="0" w:firstLine="0"/>
        <w:rPr>
          <w:color w:val="auto"/>
          <w:lang w:val="es-ES"/>
        </w:rPr>
      </w:pPr>
    </w:p>
    <w:p w14:paraId="4174C13B" w14:textId="77777777" w:rsidR="00FB24C0" w:rsidRPr="006D35C1" w:rsidRDefault="00FB24C0" w:rsidP="00FA3DF6">
      <w:pPr>
        <w:spacing w:after="0" w:line="240" w:lineRule="auto"/>
        <w:ind w:left="0" w:firstLine="0"/>
        <w:rPr>
          <w:color w:val="auto"/>
          <w:lang w:val="es-ES"/>
        </w:rPr>
      </w:pPr>
      <w:r w:rsidRPr="006D35C1">
        <w:rPr>
          <w:color w:val="auto"/>
          <w:lang w:val="es-ES"/>
        </w:rPr>
        <w:t xml:space="preserve">La Agencia Europea de Medicamentos ha eximido al titular de la obligación de presentar los resultados de los ensayos realizados con bevacizumab en los diferentes grupos de la población </w:t>
      </w:r>
      <w:r w:rsidRPr="006D35C1">
        <w:rPr>
          <w:color w:val="auto"/>
          <w:lang w:val="es-ES"/>
        </w:rPr>
        <w:lastRenderedPageBreak/>
        <w:t xml:space="preserve">pediátrica, en carcinoma de mama, adenocarcinoma del colon y del recto, carcinoma de pulmón (carcinoma de células pequeñas y de células no pequeñas), carcinoma de riñón y de la pelvis renal (excluyendo </w:t>
      </w:r>
      <w:proofErr w:type="spellStart"/>
      <w:r w:rsidRPr="006D35C1">
        <w:rPr>
          <w:color w:val="auto"/>
          <w:lang w:val="es-ES"/>
        </w:rPr>
        <w:t>nefroblastoma</w:t>
      </w:r>
      <w:proofErr w:type="spellEnd"/>
      <w:r w:rsidRPr="006D35C1">
        <w:rPr>
          <w:color w:val="auto"/>
          <w:lang w:val="es-ES"/>
        </w:rPr>
        <w:t xml:space="preserve">, </w:t>
      </w:r>
      <w:proofErr w:type="spellStart"/>
      <w:r w:rsidRPr="006D35C1">
        <w:rPr>
          <w:color w:val="auto"/>
          <w:lang w:val="es-ES"/>
        </w:rPr>
        <w:t>nefroblastomatosis</w:t>
      </w:r>
      <w:proofErr w:type="spellEnd"/>
      <w:r w:rsidRPr="006D35C1">
        <w:rPr>
          <w:color w:val="auto"/>
          <w:lang w:val="es-ES"/>
        </w:rPr>
        <w:t xml:space="preserve">, sarcoma de células claras, </w:t>
      </w:r>
      <w:proofErr w:type="spellStart"/>
      <w:r w:rsidRPr="006D35C1">
        <w:rPr>
          <w:color w:val="auto"/>
          <w:lang w:val="es-ES"/>
        </w:rPr>
        <w:t>nefroma</w:t>
      </w:r>
      <w:proofErr w:type="spellEnd"/>
      <w:r w:rsidRPr="006D35C1">
        <w:rPr>
          <w:color w:val="auto"/>
          <w:lang w:val="es-ES"/>
        </w:rPr>
        <w:t xml:space="preserve"> </w:t>
      </w:r>
      <w:proofErr w:type="spellStart"/>
      <w:r w:rsidRPr="006D35C1">
        <w:rPr>
          <w:color w:val="auto"/>
          <w:lang w:val="es-ES"/>
        </w:rPr>
        <w:t>mesoblástico</w:t>
      </w:r>
      <w:proofErr w:type="spellEnd"/>
      <w:r w:rsidRPr="006D35C1">
        <w:rPr>
          <w:color w:val="auto"/>
          <w:lang w:val="es-ES"/>
        </w:rPr>
        <w:t xml:space="preserve">, carcinoma de la médula renal y tumor </w:t>
      </w:r>
      <w:proofErr w:type="spellStart"/>
      <w:r w:rsidRPr="006D35C1">
        <w:rPr>
          <w:color w:val="auto"/>
          <w:lang w:val="es-ES"/>
        </w:rPr>
        <w:t>rabdoide</w:t>
      </w:r>
      <w:proofErr w:type="spellEnd"/>
      <w:r w:rsidRPr="006D35C1">
        <w:rPr>
          <w:color w:val="auto"/>
          <w:lang w:val="es-ES"/>
        </w:rPr>
        <w:t xml:space="preserve"> del riñón), carcinoma ovárico (excluyendo rabdomiosarcoma y tumores de células germinales), carcinoma de trompa de Falopio (excluyendo rabdomiosarcoma y tumores de células germinales) carcinoma peritoneal (excluyendo </w:t>
      </w:r>
      <w:proofErr w:type="spellStart"/>
      <w:r w:rsidRPr="006D35C1">
        <w:rPr>
          <w:color w:val="auto"/>
          <w:lang w:val="es-ES"/>
        </w:rPr>
        <w:t>blastomas</w:t>
      </w:r>
      <w:proofErr w:type="spellEnd"/>
      <w:r w:rsidRPr="006D35C1">
        <w:rPr>
          <w:color w:val="auto"/>
          <w:lang w:val="es-ES"/>
        </w:rPr>
        <w:t xml:space="preserve"> y sarcomas) y cérvix y carcinoma de cuerpo uterino.</w:t>
      </w:r>
    </w:p>
    <w:p w14:paraId="3725C68E" w14:textId="77777777" w:rsidR="00FB24C0" w:rsidRPr="006D35C1" w:rsidRDefault="00FB24C0" w:rsidP="00FA3DF6">
      <w:pPr>
        <w:spacing w:after="0" w:line="240" w:lineRule="auto"/>
        <w:ind w:left="0" w:firstLine="0"/>
        <w:rPr>
          <w:color w:val="auto"/>
          <w:lang w:val="es-ES"/>
        </w:rPr>
      </w:pPr>
    </w:p>
    <w:p w14:paraId="3F3F126C" w14:textId="77777777" w:rsidR="00FB24C0" w:rsidRPr="006D35C1" w:rsidRDefault="00FB24C0" w:rsidP="00FA3DF6">
      <w:pPr>
        <w:keepNext/>
        <w:spacing w:after="0" w:line="240" w:lineRule="auto"/>
        <w:ind w:left="0" w:firstLine="0"/>
        <w:rPr>
          <w:i/>
          <w:color w:val="auto"/>
          <w:lang w:val="es-ES"/>
        </w:rPr>
      </w:pPr>
      <w:r w:rsidRPr="006D35C1">
        <w:rPr>
          <w:i/>
          <w:color w:val="auto"/>
          <w:lang w:val="es-ES"/>
        </w:rPr>
        <w:t>Glioma de alto grado</w:t>
      </w:r>
    </w:p>
    <w:p w14:paraId="71B29518" w14:textId="77777777" w:rsidR="00FA3DF6" w:rsidRPr="006D35C1" w:rsidRDefault="00FA3DF6" w:rsidP="00FA3DF6">
      <w:pPr>
        <w:keepNext/>
        <w:spacing w:after="0" w:line="240" w:lineRule="auto"/>
        <w:ind w:left="0" w:firstLine="0"/>
        <w:rPr>
          <w:color w:val="auto"/>
          <w:lang w:val="es-ES"/>
        </w:rPr>
      </w:pPr>
    </w:p>
    <w:p w14:paraId="6B0EAE15" w14:textId="77777777" w:rsidR="00FB24C0" w:rsidRPr="006D35C1" w:rsidRDefault="00FB24C0" w:rsidP="00FA3DF6">
      <w:pPr>
        <w:spacing w:after="0" w:line="240" w:lineRule="auto"/>
        <w:ind w:left="0" w:firstLine="0"/>
        <w:rPr>
          <w:color w:val="auto"/>
          <w:lang w:val="es-ES"/>
        </w:rPr>
      </w:pPr>
      <w:r w:rsidRPr="006D35C1">
        <w:rPr>
          <w:color w:val="auto"/>
          <w:lang w:val="es-ES"/>
        </w:rPr>
        <w:t>En dos estudios pre</w:t>
      </w:r>
      <w:r w:rsidR="00DB6D52">
        <w:rPr>
          <w:color w:val="auto"/>
          <w:lang w:val="es-ES"/>
        </w:rPr>
        <w:t>vios con un total de 30 niños &gt; </w:t>
      </w:r>
      <w:r w:rsidRPr="006D35C1">
        <w:rPr>
          <w:color w:val="auto"/>
          <w:lang w:val="es-ES"/>
        </w:rPr>
        <w:t>3 años con glioma de alto grado recidivante o progresivo no se observó actividad antitumoral cuando fueron tratados con bevacizumab e irinotecán (CPT-11). No hay información suficiente para determinar la seguridad y la eficacia de bevacizumab en niños con glioma de alto grado recién diagnosticado.</w:t>
      </w:r>
    </w:p>
    <w:p w14:paraId="2D3938EB" w14:textId="77777777" w:rsidR="00FB24C0" w:rsidRPr="006D35C1" w:rsidRDefault="00FB24C0" w:rsidP="00FA3DF6">
      <w:pPr>
        <w:spacing w:after="0" w:line="240" w:lineRule="auto"/>
        <w:ind w:left="0" w:firstLine="0"/>
        <w:rPr>
          <w:color w:val="auto"/>
          <w:lang w:val="es-ES"/>
        </w:rPr>
      </w:pPr>
    </w:p>
    <w:p w14:paraId="07494865" w14:textId="51F78208" w:rsidR="00FB24C0" w:rsidRPr="006D35C1" w:rsidRDefault="00FB24C0" w:rsidP="00FA3DF6">
      <w:pPr>
        <w:spacing w:after="0" w:line="240" w:lineRule="auto"/>
        <w:ind w:left="0" w:firstLine="0"/>
        <w:rPr>
          <w:color w:val="auto"/>
          <w:lang w:val="es-ES"/>
        </w:rPr>
      </w:pPr>
      <w:r w:rsidRPr="006D35C1">
        <w:rPr>
          <w:color w:val="auto"/>
          <w:lang w:val="es-ES"/>
        </w:rPr>
        <w:t xml:space="preserve">En un estudio de un solo brazo (PBTC-022), 18 niños con glioma de alto grado no </w:t>
      </w:r>
      <w:proofErr w:type="spellStart"/>
      <w:r w:rsidRPr="006D35C1">
        <w:rPr>
          <w:color w:val="auto"/>
          <w:lang w:val="es-ES"/>
        </w:rPr>
        <w:t>pontino</w:t>
      </w:r>
      <w:proofErr w:type="spellEnd"/>
      <w:r w:rsidRPr="006D35C1">
        <w:rPr>
          <w:color w:val="auto"/>
          <w:lang w:val="es-ES"/>
        </w:rPr>
        <w:t xml:space="preserve"> recurrente o progresivo (incluyendo 8 con glioblastoma [Grado IV de la OMS], 9 con astrocitoma anaplásico [Grado III] y 1 con oligodendroglioma anaplásico [Grado III]) fueron tratados con bevacizumab (10 mg/kg) dos semanas y luego con bevacizumab en combinación con CPT-11 (125-350 mg/m</w:t>
      </w:r>
      <w:r w:rsidR="00E915D8" w:rsidRPr="00E915D8">
        <w:rPr>
          <w:color w:val="auto"/>
          <w:vertAlign w:val="superscript"/>
          <w:lang w:val="es-ES"/>
        </w:rPr>
        <w:t>2</w:t>
      </w:r>
      <w:r w:rsidRPr="006D35C1">
        <w:rPr>
          <w:color w:val="auto"/>
          <w:lang w:val="es-ES"/>
        </w:rPr>
        <w:t xml:space="preserve">), una vez cada dos semanas hasta la progresión. No hubo respuestas radiológicas (parcial o total) objetivas (criterios de </w:t>
      </w:r>
      <w:proofErr w:type="spellStart"/>
      <w:r w:rsidRPr="006D35C1">
        <w:rPr>
          <w:color w:val="auto"/>
          <w:lang w:val="es-ES"/>
        </w:rPr>
        <w:t>Macdonald</w:t>
      </w:r>
      <w:proofErr w:type="spellEnd"/>
      <w:r w:rsidRPr="006D35C1">
        <w:rPr>
          <w:color w:val="auto"/>
          <w:lang w:val="es-ES"/>
        </w:rPr>
        <w:t>). La toxicidad y las reacciones adversas fueron hipertensión arterial y fatiga, así como isquemia del SNC con déficit neurológico agudo.</w:t>
      </w:r>
    </w:p>
    <w:p w14:paraId="216B06F0" w14:textId="77777777" w:rsidR="00FB24C0" w:rsidRPr="006D35C1" w:rsidRDefault="00FB24C0" w:rsidP="00FA3DF6">
      <w:pPr>
        <w:spacing w:after="0" w:line="240" w:lineRule="auto"/>
        <w:ind w:left="0" w:firstLine="0"/>
        <w:rPr>
          <w:color w:val="auto"/>
          <w:lang w:val="es-ES"/>
        </w:rPr>
      </w:pPr>
    </w:p>
    <w:p w14:paraId="21F5DA2A" w14:textId="77777777" w:rsidR="00FB24C0" w:rsidRPr="006D35C1" w:rsidRDefault="00FB24C0" w:rsidP="00FA3DF6">
      <w:pPr>
        <w:spacing w:after="0" w:line="240" w:lineRule="auto"/>
        <w:ind w:left="0" w:firstLine="0"/>
        <w:rPr>
          <w:color w:val="auto"/>
          <w:lang w:val="es-ES"/>
        </w:rPr>
      </w:pPr>
      <w:r w:rsidRPr="006D35C1">
        <w:rPr>
          <w:color w:val="auto"/>
          <w:lang w:val="es-ES"/>
        </w:rPr>
        <w:t>En una serie retrospectiva realizada en una única institución, 12 niños con glioma de alto grado recidivante o progresivo (3 con Grado IV de la OMS, 9 con Grado III) fueron tratados consecutivamente (de 2005 a 2008) con bevacizumab (10 mg/kg) e irinotecán (125 mg/m</w:t>
      </w:r>
      <w:r w:rsidR="0094370F" w:rsidRPr="0094370F">
        <w:rPr>
          <w:color w:val="auto"/>
          <w:vertAlign w:val="superscript"/>
          <w:lang w:val="es-ES"/>
        </w:rPr>
        <w:t>2</w:t>
      </w:r>
      <w:r w:rsidRPr="006D35C1">
        <w:rPr>
          <w:color w:val="auto"/>
          <w:lang w:val="es-ES"/>
        </w:rPr>
        <w:t xml:space="preserve">) cada 2 semanas. Hubo 2 respuestas parciales y ninguna completa (criterios de </w:t>
      </w:r>
      <w:proofErr w:type="spellStart"/>
      <w:r w:rsidRPr="006D35C1">
        <w:rPr>
          <w:color w:val="auto"/>
          <w:lang w:val="es-ES"/>
        </w:rPr>
        <w:t>Macdonald</w:t>
      </w:r>
      <w:proofErr w:type="spellEnd"/>
      <w:r w:rsidRPr="006D35C1">
        <w:rPr>
          <w:color w:val="auto"/>
          <w:lang w:val="es-ES"/>
        </w:rPr>
        <w:t>).</w:t>
      </w:r>
    </w:p>
    <w:p w14:paraId="6FBF40D7" w14:textId="77777777" w:rsidR="00FB24C0" w:rsidRPr="006D35C1" w:rsidRDefault="00FB24C0" w:rsidP="00FA3DF6">
      <w:pPr>
        <w:spacing w:after="0" w:line="240" w:lineRule="auto"/>
        <w:ind w:left="0" w:firstLine="0"/>
        <w:rPr>
          <w:color w:val="auto"/>
          <w:lang w:val="es-ES"/>
        </w:rPr>
      </w:pPr>
    </w:p>
    <w:p w14:paraId="1727722B" w14:textId="77777777" w:rsidR="00FB24C0" w:rsidRPr="006D35C1" w:rsidRDefault="00FB24C0" w:rsidP="00FB24C0">
      <w:pPr>
        <w:spacing w:after="0" w:line="240" w:lineRule="auto"/>
        <w:ind w:left="0" w:firstLine="0"/>
        <w:rPr>
          <w:color w:val="auto"/>
          <w:lang w:val="es-ES"/>
        </w:rPr>
      </w:pPr>
      <w:r w:rsidRPr="006D35C1">
        <w:rPr>
          <w:color w:val="auto"/>
          <w:lang w:val="es-ES"/>
        </w:rPr>
        <w:t>En el estudio de fase II aleatorizado (BO25041) un total de 121 pacientes con edades entre ≥ 3 años y</w:t>
      </w:r>
      <w:r w:rsidR="00FA3DF6" w:rsidRPr="006D35C1">
        <w:rPr>
          <w:color w:val="auto"/>
          <w:lang w:val="es-ES"/>
        </w:rPr>
        <w:t xml:space="preserve"> </w:t>
      </w:r>
      <w:r w:rsidRPr="006D35C1">
        <w:rPr>
          <w:color w:val="auto"/>
          <w:lang w:val="es-ES"/>
        </w:rPr>
        <w:t xml:space="preserve">&lt; 18 años, con glioma supratentorial o infratentorial, cerebeloso o peduncular de alto grado (GAG) recién diagnosticado, recibieron radioterapia (RT) posoperatoria y </w:t>
      </w:r>
      <w:proofErr w:type="spellStart"/>
      <w:r w:rsidRPr="006D35C1">
        <w:rPr>
          <w:color w:val="auto"/>
          <w:lang w:val="es-ES"/>
        </w:rPr>
        <w:t>temozolomida</w:t>
      </w:r>
      <w:proofErr w:type="spellEnd"/>
      <w:r w:rsidRPr="006D35C1">
        <w:rPr>
          <w:color w:val="auto"/>
          <w:lang w:val="es-ES"/>
        </w:rPr>
        <w:t xml:space="preserve"> (T) adyuvante con y sin bevacizumab</w:t>
      </w:r>
      <w:r w:rsidRPr="00251B88">
        <w:rPr>
          <w:color w:val="auto"/>
          <w:lang w:val="es-ES"/>
        </w:rPr>
        <w:t>: 10 mg/kg cada 2 semanas por vía intravenosa.</w:t>
      </w:r>
    </w:p>
    <w:p w14:paraId="5F538B0D" w14:textId="77777777" w:rsidR="00FB24C0" w:rsidRPr="006D35C1" w:rsidRDefault="00FB24C0" w:rsidP="00FB24C0">
      <w:pPr>
        <w:spacing w:after="0" w:line="240" w:lineRule="auto"/>
        <w:ind w:left="0" w:firstLine="0"/>
        <w:rPr>
          <w:color w:val="auto"/>
          <w:lang w:val="es-ES"/>
        </w:rPr>
      </w:pPr>
    </w:p>
    <w:p w14:paraId="230A4ABD" w14:textId="1A2F0B5F" w:rsidR="00FB24C0" w:rsidRPr="006D35C1" w:rsidRDefault="00FB24C0" w:rsidP="00FB24C0">
      <w:pPr>
        <w:spacing w:after="0" w:line="240" w:lineRule="auto"/>
        <w:ind w:left="0" w:firstLine="0"/>
        <w:rPr>
          <w:color w:val="auto"/>
          <w:lang w:val="es-ES"/>
        </w:rPr>
      </w:pPr>
      <w:r w:rsidRPr="006D35C1">
        <w:rPr>
          <w:color w:val="auto"/>
          <w:lang w:val="es-ES"/>
        </w:rPr>
        <w:t xml:space="preserve">El estudio no cumplió con la variable primaria de demostrar una mejora significativa de </w:t>
      </w:r>
      <w:r w:rsidR="009203D4" w:rsidRPr="009203D4">
        <w:rPr>
          <w:color w:val="auto"/>
          <w:lang w:val="es-ES"/>
        </w:rPr>
        <w:t xml:space="preserve">supervivencia libre de eventos </w:t>
      </w:r>
      <w:r w:rsidR="009203D4">
        <w:rPr>
          <w:color w:val="auto"/>
          <w:lang w:val="es-ES"/>
        </w:rPr>
        <w:t>(</w:t>
      </w:r>
      <w:r w:rsidRPr="006D35C1">
        <w:rPr>
          <w:color w:val="auto"/>
          <w:lang w:val="es-ES"/>
        </w:rPr>
        <w:t>SLE</w:t>
      </w:r>
      <w:r w:rsidR="009203D4">
        <w:rPr>
          <w:color w:val="auto"/>
          <w:lang w:val="es-ES"/>
        </w:rPr>
        <w:t>)</w:t>
      </w:r>
      <w:r w:rsidRPr="006D35C1">
        <w:rPr>
          <w:color w:val="auto"/>
          <w:lang w:val="es-ES"/>
        </w:rPr>
        <w:t xml:space="preserve"> (evaluado por el Comité Central de Revisión Radiológica (CCRR)) cuando bevacizumab se añadió al brazo RT/T comparado con RT/T sólo (HR</w:t>
      </w:r>
      <w:r w:rsidR="00B3760A" w:rsidRPr="00D1096C">
        <w:rPr>
          <w:lang w:val="es-ES"/>
        </w:rPr>
        <w:t> </w:t>
      </w:r>
      <w:r w:rsidRPr="006D35C1">
        <w:rPr>
          <w:color w:val="auto"/>
          <w:lang w:val="es-ES"/>
        </w:rPr>
        <w:t>=</w:t>
      </w:r>
      <w:r w:rsidR="00B3760A" w:rsidRPr="00D1096C">
        <w:rPr>
          <w:lang w:val="es-ES"/>
        </w:rPr>
        <w:t> </w:t>
      </w:r>
      <w:r w:rsidRPr="006D35C1">
        <w:rPr>
          <w:color w:val="auto"/>
          <w:lang w:val="es-ES"/>
        </w:rPr>
        <w:t>1,44; IC del 95%: 0,90, 2,30). Estos resultados son consistentes con los de diversos análisis de sensibilidad y en subgrupos clínicamente relevantes. Los resultados para todas las variables secundarias (SLE evaluada por el investigador, y TRO y SG) son consistentes en no mostrar mejoría asociada a la adición de bevacizumab al brazo RT/T comparado con el brazo RT/T solo.</w:t>
      </w:r>
    </w:p>
    <w:p w14:paraId="5CE20668" w14:textId="77777777" w:rsidR="00FB24C0" w:rsidRPr="006D35C1" w:rsidRDefault="00FB24C0" w:rsidP="00FB24C0">
      <w:pPr>
        <w:spacing w:after="0" w:line="240" w:lineRule="auto"/>
        <w:ind w:left="0" w:firstLine="0"/>
        <w:rPr>
          <w:color w:val="auto"/>
          <w:lang w:val="es-ES"/>
        </w:rPr>
      </w:pPr>
    </w:p>
    <w:p w14:paraId="661CA423" w14:textId="77777777" w:rsidR="00FB24C0" w:rsidRPr="006D35C1" w:rsidRDefault="00FB24C0" w:rsidP="00FB24C0">
      <w:pPr>
        <w:spacing w:after="0" w:line="240" w:lineRule="auto"/>
        <w:ind w:left="0" w:firstLine="0"/>
        <w:rPr>
          <w:color w:val="auto"/>
          <w:lang w:val="es-ES"/>
        </w:rPr>
      </w:pPr>
      <w:r w:rsidRPr="006D35C1">
        <w:rPr>
          <w:color w:val="auto"/>
          <w:lang w:val="es-ES"/>
        </w:rPr>
        <w:t xml:space="preserve">La adición de </w:t>
      </w:r>
      <w:r w:rsidR="00863B46">
        <w:rPr>
          <w:color w:val="auto"/>
          <w:lang w:val="es-ES"/>
        </w:rPr>
        <w:t>bevacizumab</w:t>
      </w:r>
      <w:r w:rsidRPr="006D35C1">
        <w:rPr>
          <w:color w:val="auto"/>
          <w:lang w:val="es-ES"/>
        </w:rPr>
        <w:t xml:space="preserve"> a RT/T no demostró beneficio clínico en el estudio BO25041 en 60 pacientes pediátricos evaluables con glioma supratentorial o infratentorial, cerebeloso o peduncular de alto grado (GAG) recién diagnosticado (ver sección 4.2 para información sobre el uso pediátrico).</w:t>
      </w:r>
    </w:p>
    <w:p w14:paraId="73D1C32E" w14:textId="77777777" w:rsidR="00FB24C0" w:rsidRPr="006D35C1" w:rsidRDefault="00FB24C0" w:rsidP="00FB24C0">
      <w:pPr>
        <w:spacing w:after="0" w:line="240" w:lineRule="auto"/>
        <w:ind w:left="0" w:firstLine="0"/>
        <w:rPr>
          <w:color w:val="auto"/>
          <w:lang w:val="es-ES"/>
        </w:rPr>
      </w:pPr>
    </w:p>
    <w:p w14:paraId="5139AE33" w14:textId="77777777" w:rsidR="00FB24C0" w:rsidRPr="006D35C1" w:rsidRDefault="00FB24C0" w:rsidP="00890590">
      <w:pPr>
        <w:keepNext/>
        <w:spacing w:after="0" w:line="240" w:lineRule="auto"/>
        <w:ind w:left="0" w:firstLine="0"/>
        <w:rPr>
          <w:i/>
          <w:color w:val="auto"/>
          <w:lang w:val="es-ES"/>
        </w:rPr>
      </w:pPr>
      <w:r w:rsidRPr="006D35C1">
        <w:rPr>
          <w:i/>
          <w:color w:val="auto"/>
          <w:lang w:val="es-ES"/>
        </w:rPr>
        <w:t>Sarcoma de tejidos blandos</w:t>
      </w:r>
    </w:p>
    <w:p w14:paraId="2CDCC959" w14:textId="77777777" w:rsidR="00890590" w:rsidRPr="006D35C1" w:rsidRDefault="00890590" w:rsidP="00890590">
      <w:pPr>
        <w:keepNext/>
        <w:spacing w:after="0" w:line="240" w:lineRule="auto"/>
        <w:ind w:left="0" w:firstLine="0"/>
        <w:rPr>
          <w:color w:val="auto"/>
          <w:lang w:val="es-ES"/>
        </w:rPr>
      </w:pPr>
    </w:p>
    <w:p w14:paraId="2D25279C" w14:textId="17D3B561" w:rsidR="00FB24C0" w:rsidRPr="006D35C1" w:rsidRDefault="00FB24C0" w:rsidP="00FB24C0">
      <w:pPr>
        <w:spacing w:after="0" w:line="240" w:lineRule="auto"/>
        <w:ind w:left="0" w:firstLine="0"/>
        <w:rPr>
          <w:color w:val="auto"/>
          <w:lang w:val="es-ES"/>
        </w:rPr>
      </w:pPr>
      <w:r w:rsidRPr="006D35C1">
        <w:rPr>
          <w:color w:val="auto"/>
          <w:lang w:val="es-ES"/>
        </w:rPr>
        <w:t xml:space="preserve">En un estudio </w:t>
      </w:r>
      <w:proofErr w:type="spellStart"/>
      <w:r w:rsidRPr="006D35C1">
        <w:rPr>
          <w:color w:val="auto"/>
          <w:lang w:val="es-ES"/>
        </w:rPr>
        <w:t>randomizado</w:t>
      </w:r>
      <w:proofErr w:type="spellEnd"/>
      <w:r w:rsidRPr="006D35C1">
        <w:rPr>
          <w:color w:val="auto"/>
          <w:lang w:val="es-ES"/>
        </w:rPr>
        <w:t xml:space="preserve"> fase II (BO20924) un total de 154 pacientes con edades entre ≥ 6 meses y &lt;</w:t>
      </w:r>
      <w:r w:rsidR="00DB6D52">
        <w:rPr>
          <w:color w:val="auto"/>
          <w:lang w:val="es-ES"/>
        </w:rPr>
        <w:t> </w:t>
      </w:r>
      <w:r w:rsidRPr="006D35C1">
        <w:rPr>
          <w:color w:val="auto"/>
          <w:lang w:val="es-ES"/>
        </w:rPr>
        <w:t xml:space="preserve">18 años, con sarcoma metastásico de tejidos blandos, rabdomiosarcoma y no-rabdomiosarcoma recién diagnosticado, recibieron el tratamiento estándar (Inducción IVADO/IVA+/- terapia local seguido de </w:t>
      </w:r>
      <w:proofErr w:type="spellStart"/>
      <w:r w:rsidRPr="006D35C1">
        <w:rPr>
          <w:color w:val="auto"/>
          <w:lang w:val="es-ES"/>
        </w:rPr>
        <w:t>Vinorelbina</w:t>
      </w:r>
      <w:proofErr w:type="spellEnd"/>
      <w:r w:rsidRPr="006D35C1">
        <w:rPr>
          <w:color w:val="auto"/>
          <w:lang w:val="es-ES"/>
        </w:rPr>
        <w:t xml:space="preserve"> y ciclofosfamida en Mantenimiento) con o sin bevacizumab (2,5 mg/kg/semana) con una duración total de tratamiento de 18 meses aproximadamente. En el momento del análisis primario final, la variable principal de SLE no mostró una diferencia estadísticamente significativa entre los dos brazos de tratamiento conforme un revisor independiente, con HR de 0,93 (IC 95%: 0,61, 1,41; valor de p</w:t>
      </w:r>
      <w:r w:rsidR="00B3760A" w:rsidRPr="00D1096C">
        <w:rPr>
          <w:lang w:val="es-ES"/>
        </w:rPr>
        <w:t> </w:t>
      </w:r>
      <w:r w:rsidRPr="006D35C1">
        <w:rPr>
          <w:color w:val="auto"/>
          <w:lang w:val="es-ES"/>
        </w:rPr>
        <w:t>=</w:t>
      </w:r>
      <w:r w:rsidR="00B3760A" w:rsidRPr="00D1096C">
        <w:rPr>
          <w:lang w:val="es-ES"/>
        </w:rPr>
        <w:t> </w:t>
      </w:r>
      <w:r w:rsidRPr="006D35C1">
        <w:rPr>
          <w:color w:val="auto"/>
          <w:lang w:val="es-ES"/>
        </w:rPr>
        <w:t xml:space="preserve">0,72). La diferencia en TRO por un revisor independiente fue del 18% (IC: 0,6%, 35,3%) entre los dos brazos de tratamiento en los pocos pacientes que presentaron tumor evaluable al inicio y tuvieron una respuesta confirmada antes de </w:t>
      </w:r>
      <w:r w:rsidRPr="006D35C1">
        <w:rPr>
          <w:color w:val="auto"/>
          <w:lang w:val="es-ES"/>
        </w:rPr>
        <w:lastRenderedPageBreak/>
        <w:t>recibir cualquier terapia local:</w:t>
      </w:r>
      <w:r w:rsidR="00890590" w:rsidRPr="006D35C1">
        <w:rPr>
          <w:color w:val="auto"/>
          <w:lang w:val="es-ES"/>
        </w:rPr>
        <w:t xml:space="preserve"> </w:t>
      </w:r>
      <w:r w:rsidRPr="006D35C1">
        <w:rPr>
          <w:color w:val="auto"/>
          <w:lang w:val="es-ES"/>
        </w:rPr>
        <w:t>27/75 pacientes (36,0%, IC 95%: 25,2%, 47,9%) en el brazo de quimioterapia y 34/63 pacientes</w:t>
      </w:r>
      <w:r w:rsidR="00890590" w:rsidRPr="006D35C1">
        <w:rPr>
          <w:color w:val="auto"/>
          <w:lang w:val="es-ES"/>
        </w:rPr>
        <w:t xml:space="preserve"> </w:t>
      </w:r>
      <w:r w:rsidRPr="006D35C1">
        <w:rPr>
          <w:color w:val="auto"/>
          <w:lang w:val="es-ES"/>
        </w:rPr>
        <w:t>(54,0%, IC 95%: 40,9%, 66,6%) en el brazo de B</w:t>
      </w:r>
      <w:r w:rsidR="00445D58">
        <w:rPr>
          <w:color w:val="auto"/>
          <w:lang w:val="es-ES"/>
        </w:rPr>
        <w:t>V</w:t>
      </w:r>
      <w:r w:rsidRPr="006D35C1">
        <w:rPr>
          <w:color w:val="auto"/>
          <w:lang w:val="es-ES"/>
        </w:rPr>
        <w:t xml:space="preserve"> + quimioterapia.</w:t>
      </w:r>
      <w:r w:rsidR="00F30EE9">
        <w:rPr>
          <w:color w:val="auto"/>
          <w:lang w:val="es-ES"/>
        </w:rPr>
        <w:t xml:space="preserve"> Los análisis de Supervivencia Global (SG) final no mostraron un beneficio clínico significativo en la adicción de bevacizumab a quimioterapia en esta población de pacientes. </w:t>
      </w:r>
    </w:p>
    <w:p w14:paraId="056D6211" w14:textId="77777777" w:rsidR="00FB24C0" w:rsidRPr="006D35C1" w:rsidRDefault="00FB24C0" w:rsidP="00FB24C0">
      <w:pPr>
        <w:spacing w:after="0" w:line="240" w:lineRule="auto"/>
        <w:ind w:left="0" w:firstLine="0"/>
        <w:rPr>
          <w:color w:val="auto"/>
          <w:lang w:val="es-ES"/>
        </w:rPr>
      </w:pPr>
    </w:p>
    <w:p w14:paraId="5057EA36" w14:textId="77777777" w:rsidR="00FB24C0" w:rsidRPr="006D35C1" w:rsidRDefault="00FB24C0" w:rsidP="00FB24C0">
      <w:pPr>
        <w:spacing w:after="0" w:line="240" w:lineRule="auto"/>
        <w:ind w:left="0" w:firstLine="0"/>
        <w:rPr>
          <w:color w:val="auto"/>
          <w:lang w:val="es-ES"/>
        </w:rPr>
      </w:pPr>
      <w:r w:rsidRPr="006D35C1">
        <w:rPr>
          <w:color w:val="auto"/>
          <w:lang w:val="es-ES"/>
        </w:rPr>
        <w:t xml:space="preserve">La adición de </w:t>
      </w:r>
      <w:r w:rsidR="00863B46">
        <w:rPr>
          <w:color w:val="auto"/>
          <w:lang w:val="es-ES"/>
        </w:rPr>
        <w:t>bevacizumab</w:t>
      </w:r>
      <w:r w:rsidRPr="006D35C1">
        <w:rPr>
          <w:color w:val="auto"/>
          <w:lang w:val="es-ES"/>
        </w:rPr>
        <w:t xml:space="preserve"> al tratamiento estándar no demostró beneficio clínico en el ensayo clínico BO20924, en 71 pacientes pediátricos evaluables (desde los 6 meses hasta menores de 18 </w:t>
      </w:r>
      <w:proofErr w:type="gramStart"/>
      <w:r w:rsidRPr="006D35C1">
        <w:rPr>
          <w:color w:val="auto"/>
          <w:lang w:val="es-ES"/>
        </w:rPr>
        <w:t>años de edad</w:t>
      </w:r>
      <w:proofErr w:type="gramEnd"/>
      <w:r w:rsidRPr="006D35C1">
        <w:rPr>
          <w:color w:val="auto"/>
          <w:lang w:val="es-ES"/>
        </w:rPr>
        <w:t>) con sarcoma metastásico de tejidos blandos, rabdomiosarcoma y no-rabdomiosarcoma (ver sección 4.2 para información sobre el uso pediátrico).</w:t>
      </w:r>
    </w:p>
    <w:p w14:paraId="57C0F0C2" w14:textId="77777777" w:rsidR="00FB24C0" w:rsidRPr="006D35C1" w:rsidRDefault="00FB24C0" w:rsidP="00FB24C0">
      <w:pPr>
        <w:spacing w:after="0" w:line="240" w:lineRule="auto"/>
        <w:ind w:left="0" w:firstLine="0"/>
        <w:rPr>
          <w:color w:val="auto"/>
          <w:lang w:val="es-ES"/>
        </w:rPr>
      </w:pPr>
    </w:p>
    <w:p w14:paraId="1FE125D5" w14:textId="77777777" w:rsidR="00FB24C0" w:rsidRPr="006D35C1" w:rsidRDefault="00FB24C0" w:rsidP="00FB24C0">
      <w:pPr>
        <w:spacing w:after="0" w:line="240" w:lineRule="auto"/>
        <w:ind w:left="0" w:firstLine="0"/>
        <w:rPr>
          <w:color w:val="auto"/>
          <w:lang w:val="es-ES"/>
        </w:rPr>
      </w:pPr>
      <w:r w:rsidRPr="006D35C1">
        <w:rPr>
          <w:color w:val="auto"/>
          <w:lang w:val="es-ES"/>
        </w:rPr>
        <w:t xml:space="preserve">La incidencia de reacciones adversas, incluyendo reacciones adversas y reacciones adversas graves de Grado ≥ 3, fue similar entre los dos brazos de tratamiento. No sucedieron reacciones adversas que condujeran a la muerte en ninguno de los brazos de tratamiento; todas las muertes fueron atribuidas a la progresión de la enfermedad. La adición de bevacizumab al tratamiento estándar multimodal fue </w:t>
      </w:r>
      <w:r w:rsidR="004943CA" w:rsidRPr="006D35C1">
        <w:rPr>
          <w:color w:val="auto"/>
          <w:lang w:val="es-ES"/>
        </w:rPr>
        <w:t>tolerada</w:t>
      </w:r>
      <w:r w:rsidRPr="006D35C1">
        <w:rPr>
          <w:color w:val="auto"/>
          <w:lang w:val="es-ES"/>
        </w:rPr>
        <w:t xml:space="preserve"> en esta población pediátrica.</w:t>
      </w:r>
    </w:p>
    <w:p w14:paraId="1B7530AD" w14:textId="77777777" w:rsidR="00FB24C0" w:rsidRPr="006D35C1" w:rsidRDefault="00FB24C0" w:rsidP="00FB24C0">
      <w:pPr>
        <w:spacing w:after="0" w:line="240" w:lineRule="auto"/>
        <w:ind w:left="0" w:firstLine="0"/>
        <w:rPr>
          <w:color w:val="auto"/>
          <w:lang w:val="es-ES"/>
        </w:rPr>
      </w:pPr>
    </w:p>
    <w:p w14:paraId="79D91D95" w14:textId="77777777" w:rsidR="00FB24C0" w:rsidRPr="00443040" w:rsidRDefault="00FB24C0" w:rsidP="00FB24C0">
      <w:pPr>
        <w:keepNext/>
        <w:spacing w:after="0" w:line="240" w:lineRule="auto"/>
        <w:ind w:left="567" w:hanging="567"/>
        <w:rPr>
          <w:b/>
          <w:color w:val="auto"/>
          <w:lang w:val="es-ES"/>
        </w:rPr>
      </w:pPr>
      <w:r w:rsidRPr="00443040">
        <w:rPr>
          <w:b/>
          <w:color w:val="auto"/>
          <w:lang w:val="es-ES"/>
        </w:rPr>
        <w:t>5.2</w:t>
      </w:r>
      <w:r w:rsidRPr="00443040">
        <w:rPr>
          <w:b/>
          <w:color w:val="auto"/>
          <w:lang w:val="es-ES"/>
        </w:rPr>
        <w:tab/>
        <w:t>Propiedades farmacocinéticas</w:t>
      </w:r>
    </w:p>
    <w:p w14:paraId="1950DAF0" w14:textId="77777777" w:rsidR="00FB24C0" w:rsidRPr="006D35C1" w:rsidRDefault="00FB24C0" w:rsidP="00FB24C0">
      <w:pPr>
        <w:keepNext/>
        <w:spacing w:after="0" w:line="240" w:lineRule="auto"/>
        <w:ind w:left="0" w:firstLine="0"/>
        <w:rPr>
          <w:color w:val="auto"/>
          <w:lang w:val="es-ES"/>
        </w:rPr>
      </w:pPr>
    </w:p>
    <w:p w14:paraId="4DEBDBC3" w14:textId="77777777" w:rsidR="00FB24C0" w:rsidRPr="006D35C1" w:rsidRDefault="00FB24C0" w:rsidP="00FB24C0">
      <w:pPr>
        <w:spacing w:after="0" w:line="240" w:lineRule="auto"/>
        <w:ind w:left="0" w:firstLine="0"/>
        <w:rPr>
          <w:color w:val="auto"/>
          <w:lang w:val="es-ES"/>
        </w:rPr>
      </w:pPr>
      <w:r w:rsidRPr="006D35C1">
        <w:rPr>
          <w:color w:val="auto"/>
          <w:lang w:val="es-ES"/>
        </w:rPr>
        <w:t>Los datos farmacocinéticos de bevacizumab provienen de 10 ensayos clínicos realizados en pacientes con tumores sólidos. En todos los ensayos clínicos, bevacizumab se administró en perfusión IV. El ritmo de perfusión se estableció en base a la tolerabilidad, con una duración de 90 minutos para la administración inicial. La farmacocinética de bevacizumab fue lineal en un intervalo de dosis de 1 a 10 mg/kg.</w:t>
      </w:r>
    </w:p>
    <w:p w14:paraId="6C5AB8FB" w14:textId="77777777" w:rsidR="00FB24C0" w:rsidRPr="006D35C1" w:rsidRDefault="00FB24C0" w:rsidP="00FB24C0">
      <w:pPr>
        <w:spacing w:after="0" w:line="240" w:lineRule="auto"/>
        <w:ind w:left="0" w:firstLine="0"/>
        <w:rPr>
          <w:color w:val="auto"/>
          <w:lang w:val="es-ES"/>
        </w:rPr>
      </w:pPr>
    </w:p>
    <w:p w14:paraId="6F7759A9" w14:textId="77777777" w:rsidR="00FB24C0" w:rsidRPr="006D35C1" w:rsidRDefault="00FB24C0" w:rsidP="00FB24C0">
      <w:pPr>
        <w:keepNext/>
        <w:spacing w:after="0" w:line="240" w:lineRule="auto"/>
        <w:ind w:left="0" w:firstLine="0"/>
        <w:rPr>
          <w:color w:val="auto"/>
          <w:u w:val="single"/>
          <w:lang w:val="es-ES"/>
        </w:rPr>
      </w:pPr>
      <w:r w:rsidRPr="006D35C1">
        <w:rPr>
          <w:color w:val="auto"/>
          <w:u w:val="single"/>
          <w:lang w:val="es-ES"/>
        </w:rPr>
        <w:t>Distribución</w:t>
      </w:r>
    </w:p>
    <w:p w14:paraId="50B79890" w14:textId="77777777" w:rsidR="00890590" w:rsidRPr="006D35C1" w:rsidRDefault="00890590" w:rsidP="00FB24C0">
      <w:pPr>
        <w:keepNext/>
        <w:spacing w:after="0" w:line="240" w:lineRule="auto"/>
        <w:ind w:left="0" w:firstLine="0"/>
        <w:rPr>
          <w:color w:val="auto"/>
          <w:lang w:val="es-ES"/>
        </w:rPr>
      </w:pPr>
    </w:p>
    <w:p w14:paraId="2E64A302" w14:textId="77777777" w:rsidR="00FB24C0" w:rsidRPr="006D35C1" w:rsidRDefault="00FB24C0" w:rsidP="00890590">
      <w:pPr>
        <w:spacing w:after="0" w:line="240" w:lineRule="auto"/>
        <w:ind w:left="0" w:firstLine="0"/>
        <w:rPr>
          <w:color w:val="auto"/>
          <w:lang w:val="es-ES"/>
        </w:rPr>
      </w:pPr>
      <w:r w:rsidRPr="006D35C1">
        <w:rPr>
          <w:color w:val="auto"/>
          <w:lang w:val="es-ES"/>
        </w:rPr>
        <w:t>El valor medio del volumen central (</w:t>
      </w:r>
      <w:proofErr w:type="spellStart"/>
      <w:r w:rsidRPr="006D35C1">
        <w:rPr>
          <w:color w:val="auto"/>
          <w:lang w:val="es-ES"/>
        </w:rPr>
        <w:t>V</w:t>
      </w:r>
      <w:r w:rsidRPr="006D35C1">
        <w:rPr>
          <w:color w:val="auto"/>
          <w:vertAlign w:val="subscript"/>
          <w:lang w:val="es-ES"/>
        </w:rPr>
        <w:t>c</w:t>
      </w:r>
      <w:proofErr w:type="spellEnd"/>
      <w:r w:rsidRPr="006D35C1">
        <w:rPr>
          <w:color w:val="auto"/>
          <w:lang w:val="es-ES"/>
        </w:rPr>
        <w:t>) fu</w:t>
      </w:r>
      <w:r w:rsidR="00890590" w:rsidRPr="006D35C1">
        <w:rPr>
          <w:color w:val="auto"/>
          <w:lang w:val="es-ES"/>
        </w:rPr>
        <w:t>e de 2,73 l para mujeres y 3,28 </w:t>
      </w:r>
      <w:r w:rsidRPr="006D35C1">
        <w:rPr>
          <w:color w:val="auto"/>
          <w:lang w:val="es-ES"/>
        </w:rPr>
        <w:t>l para hombres, los cuales están en el intervalo descrito para las IgG y otros anticuerpos monoclonales. Cuando bevacizumab se administró junto con agentes antineoplásicos, el valor medio del volumen periférico (</w:t>
      </w:r>
      <w:proofErr w:type="spellStart"/>
      <w:r w:rsidRPr="006D35C1">
        <w:rPr>
          <w:color w:val="auto"/>
          <w:lang w:val="es-ES"/>
        </w:rPr>
        <w:t>V</w:t>
      </w:r>
      <w:r w:rsidRPr="006D35C1">
        <w:rPr>
          <w:color w:val="auto"/>
          <w:vertAlign w:val="subscript"/>
          <w:lang w:val="es-ES"/>
        </w:rPr>
        <w:t>p</w:t>
      </w:r>
      <w:proofErr w:type="spellEnd"/>
      <w:r w:rsidR="00890590" w:rsidRPr="006D35C1">
        <w:rPr>
          <w:color w:val="auto"/>
          <w:lang w:val="es-ES"/>
        </w:rPr>
        <w:t>) fue de 1,69 </w:t>
      </w:r>
      <w:r w:rsidRPr="006D35C1">
        <w:rPr>
          <w:color w:val="auto"/>
          <w:lang w:val="es-ES"/>
        </w:rPr>
        <w:t>l para mujeres y 2,35</w:t>
      </w:r>
      <w:r w:rsidR="00890590" w:rsidRPr="006D35C1">
        <w:rPr>
          <w:color w:val="auto"/>
          <w:lang w:val="es-ES"/>
        </w:rPr>
        <w:t> </w:t>
      </w:r>
      <w:r w:rsidRPr="006D35C1">
        <w:rPr>
          <w:color w:val="auto"/>
          <w:lang w:val="es-ES"/>
        </w:rPr>
        <w:t xml:space="preserve">l para hombres. Tras corregir en función del peso corporal, los hombres tuvieron un mayor </w:t>
      </w:r>
      <w:proofErr w:type="spellStart"/>
      <w:r w:rsidRPr="006D35C1">
        <w:rPr>
          <w:color w:val="auto"/>
          <w:lang w:val="es-ES"/>
        </w:rPr>
        <w:t>V</w:t>
      </w:r>
      <w:r w:rsidRPr="006D35C1">
        <w:rPr>
          <w:color w:val="auto"/>
          <w:vertAlign w:val="subscript"/>
          <w:lang w:val="es-ES"/>
        </w:rPr>
        <w:t>c</w:t>
      </w:r>
      <w:proofErr w:type="spellEnd"/>
      <w:r w:rsidRPr="006D35C1">
        <w:rPr>
          <w:color w:val="auto"/>
          <w:lang w:val="es-ES"/>
        </w:rPr>
        <w:t xml:space="preserve"> (+ 20%) que las mujeres.</w:t>
      </w:r>
    </w:p>
    <w:p w14:paraId="65CE3D45" w14:textId="77777777" w:rsidR="00FB24C0" w:rsidRPr="006D35C1" w:rsidRDefault="00FB24C0" w:rsidP="00FB24C0">
      <w:pPr>
        <w:spacing w:after="0" w:line="240" w:lineRule="auto"/>
        <w:ind w:left="0" w:firstLine="0"/>
        <w:rPr>
          <w:color w:val="auto"/>
          <w:lang w:val="es-ES"/>
        </w:rPr>
      </w:pPr>
    </w:p>
    <w:p w14:paraId="34116D17" w14:textId="77777777" w:rsidR="00FB24C0" w:rsidRPr="006D35C1" w:rsidRDefault="00FB24C0" w:rsidP="00FB24C0">
      <w:pPr>
        <w:keepNext/>
        <w:spacing w:after="0" w:line="240" w:lineRule="auto"/>
        <w:ind w:left="0" w:firstLine="0"/>
        <w:rPr>
          <w:color w:val="auto"/>
          <w:u w:val="single"/>
          <w:lang w:val="es-ES"/>
        </w:rPr>
      </w:pPr>
      <w:r w:rsidRPr="006D35C1">
        <w:rPr>
          <w:color w:val="auto"/>
          <w:u w:val="single"/>
          <w:lang w:val="es-ES"/>
        </w:rPr>
        <w:t>Biotransformación</w:t>
      </w:r>
    </w:p>
    <w:p w14:paraId="1B92C9D9" w14:textId="77777777" w:rsidR="00890590" w:rsidRPr="006D35C1" w:rsidRDefault="00890590" w:rsidP="00FB24C0">
      <w:pPr>
        <w:keepNext/>
        <w:spacing w:after="0" w:line="240" w:lineRule="auto"/>
        <w:ind w:left="0" w:firstLine="0"/>
        <w:rPr>
          <w:color w:val="auto"/>
          <w:lang w:val="es-ES"/>
        </w:rPr>
      </w:pPr>
    </w:p>
    <w:p w14:paraId="6956500A" w14:textId="77777777" w:rsidR="00FB24C0" w:rsidRPr="006D35C1" w:rsidRDefault="00FB24C0" w:rsidP="00890590">
      <w:pPr>
        <w:spacing w:after="0" w:line="240" w:lineRule="auto"/>
        <w:ind w:left="0" w:firstLine="0"/>
        <w:rPr>
          <w:color w:val="auto"/>
          <w:lang w:val="es-ES"/>
        </w:rPr>
      </w:pPr>
      <w:r w:rsidRPr="006D35C1">
        <w:rPr>
          <w:color w:val="auto"/>
          <w:lang w:val="es-ES"/>
        </w:rPr>
        <w:t xml:space="preserve">La evaluación del metabolismo de bevacizumab en conejos, tras la administración de una dosis única IV de </w:t>
      </w:r>
      <w:r w:rsidRPr="006D35C1">
        <w:rPr>
          <w:color w:val="auto"/>
          <w:vertAlign w:val="superscript"/>
          <w:lang w:val="es-ES"/>
        </w:rPr>
        <w:t>125</w:t>
      </w:r>
      <w:r w:rsidRPr="006D35C1">
        <w:rPr>
          <w:color w:val="auto"/>
          <w:lang w:val="es-ES"/>
        </w:rPr>
        <w:t>I-bevacizumab indicó que su perfil metabólico era similar al esperado para una IgG nativa que no se uniera al VEGF. El metabolismo y la eliminación de bevacizumab son similares a los de la IgG endógena, es decir, el catabolismo se produce principalmente por vía proteolítica en todo el organismo, incluyendo las células endoteliales, y no depende principalmente de la eliminación</w:t>
      </w:r>
      <w:r w:rsidRPr="00443040">
        <w:rPr>
          <w:color w:val="auto"/>
          <w:lang w:val="es-ES"/>
        </w:rPr>
        <w:t xml:space="preserve"> </w:t>
      </w:r>
      <w:r w:rsidRPr="006D35C1">
        <w:rPr>
          <w:color w:val="auto"/>
          <w:lang w:val="es-ES"/>
        </w:rPr>
        <w:t xml:space="preserve">hepática y renal. La unión al receptor </w:t>
      </w:r>
      <w:proofErr w:type="spellStart"/>
      <w:r w:rsidRPr="006D35C1">
        <w:rPr>
          <w:color w:val="auto"/>
          <w:lang w:val="es-ES"/>
        </w:rPr>
        <w:t>FcRn</w:t>
      </w:r>
      <w:proofErr w:type="spellEnd"/>
      <w:r w:rsidRPr="006D35C1">
        <w:rPr>
          <w:color w:val="auto"/>
          <w:lang w:val="es-ES"/>
        </w:rPr>
        <w:t xml:space="preserve"> protege la IgG del metabolismo celular, resultando en una prolongada semivida de eliminación terminal.</w:t>
      </w:r>
    </w:p>
    <w:p w14:paraId="2F49710A" w14:textId="77777777" w:rsidR="00FB24C0" w:rsidRPr="006D35C1" w:rsidRDefault="00FB24C0" w:rsidP="00FB24C0">
      <w:pPr>
        <w:spacing w:after="0" w:line="240" w:lineRule="auto"/>
        <w:ind w:left="0" w:firstLine="0"/>
        <w:rPr>
          <w:color w:val="auto"/>
          <w:lang w:val="es-ES"/>
        </w:rPr>
      </w:pPr>
    </w:p>
    <w:p w14:paraId="2F826B91" w14:textId="77777777" w:rsidR="00FB24C0" w:rsidRPr="006D35C1" w:rsidRDefault="00FB24C0" w:rsidP="00FB24C0">
      <w:pPr>
        <w:keepNext/>
        <w:spacing w:after="0" w:line="240" w:lineRule="auto"/>
        <w:ind w:left="0" w:firstLine="0"/>
        <w:rPr>
          <w:color w:val="auto"/>
          <w:u w:val="single"/>
          <w:lang w:val="es-ES"/>
        </w:rPr>
      </w:pPr>
      <w:r w:rsidRPr="006D35C1">
        <w:rPr>
          <w:color w:val="auto"/>
          <w:u w:val="single"/>
          <w:lang w:val="es-ES"/>
        </w:rPr>
        <w:t>Eliminación</w:t>
      </w:r>
    </w:p>
    <w:p w14:paraId="396578D6" w14:textId="77777777" w:rsidR="00890590" w:rsidRPr="006D35C1" w:rsidRDefault="00890590" w:rsidP="00FB24C0">
      <w:pPr>
        <w:keepNext/>
        <w:spacing w:after="0" w:line="240" w:lineRule="auto"/>
        <w:ind w:left="0" w:firstLine="0"/>
        <w:rPr>
          <w:color w:val="auto"/>
          <w:lang w:val="es-ES"/>
        </w:rPr>
      </w:pPr>
    </w:p>
    <w:p w14:paraId="04D97772" w14:textId="77777777" w:rsidR="00FB24C0" w:rsidRPr="006D35C1" w:rsidRDefault="00FB24C0" w:rsidP="00890590">
      <w:pPr>
        <w:spacing w:after="0" w:line="240" w:lineRule="auto"/>
        <w:ind w:left="0" w:firstLine="0"/>
        <w:rPr>
          <w:color w:val="auto"/>
          <w:lang w:val="es-ES"/>
        </w:rPr>
      </w:pPr>
      <w:r w:rsidRPr="006D35C1">
        <w:rPr>
          <w:color w:val="auto"/>
          <w:lang w:val="es-ES"/>
        </w:rPr>
        <w:t>El valor del aclaramiento es, por término medio, igual a 0,188 y 0,220</w:t>
      </w:r>
      <w:r w:rsidR="00890590" w:rsidRPr="006D35C1">
        <w:rPr>
          <w:color w:val="auto"/>
          <w:lang w:val="es-ES"/>
        </w:rPr>
        <w:t> </w:t>
      </w:r>
      <w:r w:rsidRPr="006D35C1">
        <w:rPr>
          <w:color w:val="auto"/>
          <w:lang w:val="es-ES"/>
        </w:rPr>
        <w:t>l/día para mujeres y hombres respectivamente. Tras corregir en función del peso corporal, los hombres tenían el aclaramiento de bevacizumab más alto (+ 17%) que las mujeres. Según el modelo bicompartimental, la semivida de eliminación es de 18 días para una paciente femenina media y 20 días para un paciente masculino medio.</w:t>
      </w:r>
    </w:p>
    <w:p w14:paraId="25C811C1" w14:textId="77777777" w:rsidR="00FB24C0" w:rsidRPr="006D35C1" w:rsidRDefault="00FB24C0" w:rsidP="00FB24C0">
      <w:pPr>
        <w:spacing w:after="0" w:line="240" w:lineRule="auto"/>
        <w:ind w:left="0" w:firstLine="0"/>
        <w:rPr>
          <w:color w:val="auto"/>
          <w:lang w:val="es-ES"/>
        </w:rPr>
      </w:pPr>
    </w:p>
    <w:p w14:paraId="075DDB94" w14:textId="77777777" w:rsidR="00FB24C0" w:rsidRPr="006D35C1" w:rsidRDefault="00FB24C0" w:rsidP="00FB24C0">
      <w:pPr>
        <w:spacing w:after="0" w:line="240" w:lineRule="auto"/>
        <w:ind w:left="0" w:firstLine="0"/>
        <w:rPr>
          <w:color w:val="auto"/>
          <w:lang w:val="es-ES"/>
        </w:rPr>
      </w:pPr>
      <w:r w:rsidRPr="006D35C1">
        <w:rPr>
          <w:color w:val="auto"/>
          <w:lang w:val="es-ES"/>
        </w:rPr>
        <w:t>Valores bajos de albúmina y una alta carga tumoral son generalmente indicativos de la gravedad de la enfermedad. El aclaramiento de bevacizumab fue aproximadamente un 30</w:t>
      </w:r>
      <w:r w:rsidR="00EE5415">
        <w:rPr>
          <w:color w:val="auto"/>
          <w:lang w:val="es-ES"/>
        </w:rPr>
        <w:t>%</w:t>
      </w:r>
      <w:r w:rsidRPr="006D35C1">
        <w:rPr>
          <w:color w:val="auto"/>
          <w:lang w:val="es-ES"/>
        </w:rPr>
        <w:t xml:space="preserve"> más rápido en pacientes con unos niveles bajos de albúmina sérica y un 7% más rápido en pacientes con una alta carga tumoral cuando se comparó con un paciente con valores medios de albúmina y carga tumoral.</w:t>
      </w:r>
    </w:p>
    <w:p w14:paraId="36BD74AA" w14:textId="77777777" w:rsidR="00FB24C0" w:rsidRPr="006D35C1" w:rsidRDefault="00FB24C0" w:rsidP="00FB24C0">
      <w:pPr>
        <w:spacing w:after="0" w:line="240" w:lineRule="auto"/>
        <w:ind w:left="0" w:firstLine="0"/>
        <w:rPr>
          <w:color w:val="auto"/>
          <w:lang w:val="es-ES"/>
        </w:rPr>
      </w:pPr>
    </w:p>
    <w:p w14:paraId="1D316491" w14:textId="77777777" w:rsidR="00FB24C0" w:rsidRPr="006D35C1" w:rsidRDefault="00FB24C0" w:rsidP="00FB24C0">
      <w:pPr>
        <w:keepNext/>
        <w:spacing w:after="0" w:line="240" w:lineRule="auto"/>
        <w:ind w:left="0" w:firstLine="0"/>
        <w:rPr>
          <w:color w:val="auto"/>
          <w:u w:val="single"/>
          <w:lang w:val="es-ES"/>
        </w:rPr>
      </w:pPr>
      <w:r w:rsidRPr="006D35C1">
        <w:rPr>
          <w:color w:val="auto"/>
          <w:u w:val="single"/>
          <w:lang w:val="es-ES"/>
        </w:rPr>
        <w:lastRenderedPageBreak/>
        <w:t>Farmacocinética en poblaciones especiales</w:t>
      </w:r>
    </w:p>
    <w:p w14:paraId="0AEBDB1B" w14:textId="77777777" w:rsidR="00890590" w:rsidRPr="006D35C1" w:rsidRDefault="00890590" w:rsidP="00FB24C0">
      <w:pPr>
        <w:keepNext/>
        <w:spacing w:after="0" w:line="240" w:lineRule="auto"/>
        <w:ind w:left="0" w:firstLine="0"/>
        <w:rPr>
          <w:color w:val="auto"/>
          <w:lang w:val="es-ES"/>
        </w:rPr>
      </w:pPr>
    </w:p>
    <w:p w14:paraId="154158C7" w14:textId="77777777" w:rsidR="00FB24C0" w:rsidRPr="006D35C1" w:rsidRDefault="00FB24C0" w:rsidP="00890590">
      <w:pPr>
        <w:spacing w:after="0" w:line="240" w:lineRule="auto"/>
        <w:ind w:left="0" w:firstLine="0"/>
        <w:rPr>
          <w:color w:val="auto"/>
          <w:lang w:val="es-ES"/>
        </w:rPr>
      </w:pPr>
      <w:r w:rsidRPr="006D35C1">
        <w:rPr>
          <w:color w:val="auto"/>
          <w:lang w:val="es-ES"/>
        </w:rPr>
        <w:t>Se analizó la farmacocinética poblacional en pacientes adultos y pediátricos para determinar los efectos de las características demográficas. En adultos, los resultados mostraron que no existe una diferencia significativa en la farmacocinética de bevacizumab en relación con la edad.</w:t>
      </w:r>
    </w:p>
    <w:p w14:paraId="06F78617" w14:textId="77777777" w:rsidR="00FB24C0" w:rsidRPr="006D35C1" w:rsidRDefault="00FB24C0" w:rsidP="00FB24C0">
      <w:pPr>
        <w:spacing w:after="0" w:line="240" w:lineRule="auto"/>
        <w:ind w:left="0" w:firstLine="0"/>
        <w:rPr>
          <w:color w:val="auto"/>
          <w:lang w:val="es-ES"/>
        </w:rPr>
      </w:pPr>
    </w:p>
    <w:p w14:paraId="60DFD1E2" w14:textId="77777777" w:rsidR="00FB24C0" w:rsidRPr="006D35C1" w:rsidRDefault="00FB24C0" w:rsidP="00FB24C0">
      <w:pPr>
        <w:keepNext/>
        <w:spacing w:after="0" w:line="240" w:lineRule="auto"/>
        <w:ind w:left="0" w:firstLine="0"/>
        <w:rPr>
          <w:color w:val="auto"/>
          <w:u w:val="single"/>
          <w:lang w:val="es-ES"/>
        </w:rPr>
      </w:pPr>
      <w:r w:rsidRPr="006D35C1">
        <w:rPr>
          <w:i/>
          <w:color w:val="auto"/>
          <w:u w:val="single"/>
          <w:lang w:val="es-ES"/>
        </w:rPr>
        <w:t>Insuficiencia renal</w:t>
      </w:r>
    </w:p>
    <w:p w14:paraId="0583A76B" w14:textId="77777777" w:rsidR="00890590" w:rsidRPr="006D35C1" w:rsidRDefault="00890590" w:rsidP="00FB24C0">
      <w:pPr>
        <w:keepNext/>
        <w:spacing w:after="0" w:line="240" w:lineRule="auto"/>
        <w:ind w:left="0" w:firstLine="0"/>
        <w:rPr>
          <w:color w:val="auto"/>
          <w:lang w:val="es-ES"/>
        </w:rPr>
      </w:pPr>
    </w:p>
    <w:p w14:paraId="26BA5EF5" w14:textId="77777777" w:rsidR="00FB24C0" w:rsidRPr="006D35C1" w:rsidRDefault="00FB24C0" w:rsidP="00890590">
      <w:pPr>
        <w:spacing w:after="0" w:line="240" w:lineRule="auto"/>
        <w:ind w:left="0" w:firstLine="0"/>
        <w:rPr>
          <w:color w:val="auto"/>
          <w:lang w:val="es-ES"/>
        </w:rPr>
      </w:pPr>
      <w:r w:rsidRPr="006D35C1">
        <w:rPr>
          <w:color w:val="auto"/>
          <w:lang w:val="es-ES"/>
        </w:rPr>
        <w:t>No se han realizado ensayos para investigar la farmacocinética de bevacizumab en pacientes con insuficiencia renal porque los riñones no son un órgano principal para el metabolismo o excreción de bevacizumab.</w:t>
      </w:r>
    </w:p>
    <w:p w14:paraId="56D9A17D" w14:textId="77777777" w:rsidR="00FB24C0" w:rsidRPr="006D35C1" w:rsidRDefault="00FB24C0" w:rsidP="00FB24C0">
      <w:pPr>
        <w:spacing w:after="0" w:line="240" w:lineRule="auto"/>
        <w:ind w:left="0" w:firstLine="0"/>
        <w:rPr>
          <w:color w:val="auto"/>
          <w:lang w:val="es-ES"/>
        </w:rPr>
      </w:pPr>
    </w:p>
    <w:p w14:paraId="761512FF" w14:textId="77777777" w:rsidR="00FB24C0" w:rsidRPr="006D35C1" w:rsidRDefault="00FB24C0" w:rsidP="00FB24C0">
      <w:pPr>
        <w:keepNext/>
        <w:spacing w:after="0" w:line="240" w:lineRule="auto"/>
        <w:ind w:left="0" w:firstLine="0"/>
        <w:rPr>
          <w:i/>
          <w:color w:val="auto"/>
          <w:u w:val="single"/>
          <w:lang w:val="es-ES"/>
        </w:rPr>
      </w:pPr>
      <w:r w:rsidRPr="006D35C1">
        <w:rPr>
          <w:i/>
          <w:color w:val="auto"/>
          <w:u w:val="single"/>
          <w:lang w:val="es-ES"/>
        </w:rPr>
        <w:t>Insuficiencia hepática</w:t>
      </w:r>
    </w:p>
    <w:p w14:paraId="2186B1A1" w14:textId="77777777" w:rsidR="00890590" w:rsidRPr="006D35C1" w:rsidRDefault="00890590" w:rsidP="00FB24C0">
      <w:pPr>
        <w:keepNext/>
        <w:spacing w:after="0" w:line="240" w:lineRule="auto"/>
        <w:ind w:left="0" w:firstLine="0"/>
        <w:rPr>
          <w:color w:val="auto"/>
          <w:lang w:val="es-ES"/>
        </w:rPr>
      </w:pPr>
    </w:p>
    <w:p w14:paraId="47594408" w14:textId="77777777" w:rsidR="00FB24C0" w:rsidRPr="006D35C1" w:rsidRDefault="00FB24C0" w:rsidP="00890590">
      <w:pPr>
        <w:spacing w:after="0" w:line="240" w:lineRule="auto"/>
        <w:ind w:left="0" w:firstLine="0"/>
        <w:rPr>
          <w:color w:val="auto"/>
          <w:lang w:val="es-ES"/>
        </w:rPr>
      </w:pPr>
      <w:r w:rsidRPr="006D35C1">
        <w:rPr>
          <w:color w:val="auto"/>
          <w:lang w:val="es-ES"/>
        </w:rPr>
        <w:t>No se han realizado ensayos para investigar la farmacocinética de bevacizumab en pacientes con insuficiencia hepática porque el hígado no es un órgano principal para el metabolismo o excreción de bevacizumab.</w:t>
      </w:r>
    </w:p>
    <w:p w14:paraId="4693B8E1" w14:textId="77777777" w:rsidR="00FB24C0" w:rsidRPr="006D35C1" w:rsidRDefault="00FB24C0" w:rsidP="00FB24C0">
      <w:pPr>
        <w:spacing w:after="0" w:line="240" w:lineRule="auto"/>
        <w:ind w:left="0" w:firstLine="0"/>
        <w:rPr>
          <w:color w:val="auto"/>
          <w:lang w:val="es-ES"/>
        </w:rPr>
      </w:pPr>
    </w:p>
    <w:p w14:paraId="2C285EA4" w14:textId="77777777" w:rsidR="00FB24C0" w:rsidRPr="006D35C1" w:rsidRDefault="00FB24C0" w:rsidP="00FB24C0">
      <w:pPr>
        <w:keepNext/>
        <w:spacing w:after="0" w:line="240" w:lineRule="auto"/>
        <w:ind w:left="0" w:firstLine="0"/>
        <w:rPr>
          <w:i/>
          <w:color w:val="auto"/>
          <w:u w:val="single"/>
          <w:lang w:val="es-ES"/>
        </w:rPr>
      </w:pPr>
      <w:r w:rsidRPr="006D35C1">
        <w:rPr>
          <w:i/>
          <w:color w:val="auto"/>
          <w:u w:val="single"/>
          <w:lang w:val="es-ES"/>
        </w:rPr>
        <w:t>Población pediátrica</w:t>
      </w:r>
    </w:p>
    <w:p w14:paraId="23C37752" w14:textId="77777777" w:rsidR="00890590" w:rsidRPr="006D35C1" w:rsidRDefault="00890590" w:rsidP="00FB24C0">
      <w:pPr>
        <w:keepNext/>
        <w:spacing w:after="0" w:line="240" w:lineRule="auto"/>
        <w:ind w:left="0" w:firstLine="0"/>
        <w:rPr>
          <w:color w:val="auto"/>
          <w:lang w:val="es-ES"/>
        </w:rPr>
      </w:pPr>
    </w:p>
    <w:p w14:paraId="1CC5520B" w14:textId="713191F8" w:rsidR="00FB24C0" w:rsidRPr="006D35C1" w:rsidRDefault="00FB24C0" w:rsidP="00890590">
      <w:pPr>
        <w:spacing w:after="0" w:line="240" w:lineRule="auto"/>
        <w:ind w:left="0" w:firstLine="0"/>
        <w:rPr>
          <w:color w:val="auto"/>
          <w:lang w:val="es-ES"/>
        </w:rPr>
      </w:pPr>
      <w:r w:rsidRPr="006D35C1">
        <w:rPr>
          <w:color w:val="auto"/>
          <w:lang w:val="es-ES"/>
        </w:rPr>
        <w:t>La farmacocinética de bevacizumab fue evaluada en 152 niños, adolescentes y adultos (de 7 meses a 21 años, de 5,9 a 125</w:t>
      </w:r>
      <w:r w:rsidR="00890590" w:rsidRPr="006D35C1">
        <w:rPr>
          <w:color w:val="auto"/>
          <w:lang w:val="es-ES"/>
        </w:rPr>
        <w:t> </w:t>
      </w:r>
      <w:r w:rsidRPr="006D35C1">
        <w:rPr>
          <w:color w:val="auto"/>
          <w:lang w:val="es-ES"/>
        </w:rPr>
        <w:t>kg) a través de 4 ensayos clínicos utilizando un modelo de farmacocinética poblacional. Los resultados farmacocinéticos muestran que el aclaramiento y el volumen de distribución de bevacizumab, son comparables entre pacientes pediátricos y adultos</w:t>
      </w:r>
      <w:r w:rsidR="00DF4C9E" w:rsidRPr="00DF4C9E">
        <w:rPr>
          <w:lang w:val="es-ES"/>
        </w:rPr>
        <w:t xml:space="preserve"> </w:t>
      </w:r>
      <w:r w:rsidR="00DF4C9E" w:rsidRPr="00DF4C9E">
        <w:rPr>
          <w:color w:val="auto"/>
          <w:lang w:val="es-ES"/>
        </w:rPr>
        <w:t>jóvenes</w:t>
      </w:r>
      <w:r w:rsidR="007B21B4">
        <w:rPr>
          <w:color w:val="auto"/>
          <w:lang w:val="es-ES"/>
        </w:rPr>
        <w:t xml:space="preserve">, </w:t>
      </w:r>
      <w:r w:rsidRPr="006D35C1">
        <w:rPr>
          <w:color w:val="auto"/>
          <w:lang w:val="es-ES"/>
        </w:rPr>
        <w:t>cuando son normalizados según el peso corporal, con una tendencia de exposición a la baja a medida que disminuye el peso corporal. No se asoció la edad con la farmacocinética de bevacizumab cuando se tuvo en cuenta el peso corporal.</w:t>
      </w:r>
    </w:p>
    <w:p w14:paraId="58E92DE3" w14:textId="77777777" w:rsidR="00FB24C0" w:rsidRPr="006D35C1" w:rsidRDefault="00FB24C0" w:rsidP="00FB24C0">
      <w:pPr>
        <w:spacing w:after="0" w:line="240" w:lineRule="auto"/>
        <w:ind w:left="0" w:firstLine="0"/>
        <w:rPr>
          <w:color w:val="auto"/>
          <w:lang w:val="es-ES"/>
        </w:rPr>
      </w:pPr>
    </w:p>
    <w:p w14:paraId="049238A8" w14:textId="15B9C6E4" w:rsidR="00FB24C0" w:rsidRPr="006D35C1" w:rsidRDefault="00FB24C0" w:rsidP="00FB24C0">
      <w:pPr>
        <w:spacing w:after="0" w:line="240" w:lineRule="auto"/>
        <w:ind w:left="0" w:firstLine="0"/>
        <w:rPr>
          <w:color w:val="auto"/>
          <w:lang w:val="es-ES"/>
        </w:rPr>
      </w:pPr>
      <w:r w:rsidRPr="006D35C1">
        <w:rPr>
          <w:color w:val="auto"/>
          <w:lang w:val="es-ES"/>
        </w:rPr>
        <w:t>La farmacocinética de bevacizumab fue bien caracterizada por el modelo de farmacocinética poblacional</w:t>
      </w:r>
      <w:r w:rsidR="00BD33A2">
        <w:rPr>
          <w:color w:val="auto"/>
          <w:lang w:val="es-ES"/>
        </w:rPr>
        <w:t xml:space="preserve"> </w:t>
      </w:r>
      <w:r w:rsidRPr="006D35C1">
        <w:rPr>
          <w:color w:val="auto"/>
          <w:lang w:val="es-ES"/>
        </w:rPr>
        <w:t>pediátrico para 70 pacientes en el estudio BO20924 (de 1,4 a 17,6 años; de 11,6 a 77,5</w:t>
      </w:r>
      <w:r w:rsidR="00890590" w:rsidRPr="006D35C1">
        <w:rPr>
          <w:color w:val="auto"/>
          <w:lang w:val="es-ES"/>
        </w:rPr>
        <w:t> </w:t>
      </w:r>
      <w:r w:rsidRPr="006D35C1">
        <w:rPr>
          <w:color w:val="auto"/>
          <w:lang w:val="es-ES"/>
        </w:rPr>
        <w:t>kg) y 59 pacientes en el estudio BO25041 (de 1 a 17 años; de 11,2 a 82,3</w:t>
      </w:r>
      <w:r w:rsidR="00890590" w:rsidRPr="006D35C1">
        <w:rPr>
          <w:color w:val="auto"/>
          <w:lang w:val="es-ES"/>
        </w:rPr>
        <w:t> </w:t>
      </w:r>
      <w:r w:rsidRPr="006D35C1">
        <w:rPr>
          <w:color w:val="auto"/>
          <w:lang w:val="es-ES"/>
        </w:rPr>
        <w:t>kg). En el estudio</w:t>
      </w:r>
      <w:r w:rsidR="00DB367A">
        <w:rPr>
          <w:color w:val="auto"/>
          <w:lang w:val="es-ES"/>
        </w:rPr>
        <w:t xml:space="preserve"> </w:t>
      </w:r>
      <w:r w:rsidRPr="006D35C1">
        <w:rPr>
          <w:color w:val="auto"/>
          <w:lang w:val="es-ES"/>
        </w:rPr>
        <w:t>BO20924, la exposición a bevacizumab fue, generalmente, inferior a la de un paciente adulto estándar con la misma dosis. En el estudio BO25041, la exposición a bevacizumab fue similar comparada a la de un adulto estándar con la misma dosis. En ambos estudios, la exposición a bevacizum</w:t>
      </w:r>
      <w:r w:rsidR="00445D58">
        <w:rPr>
          <w:color w:val="auto"/>
          <w:lang w:val="es-ES"/>
        </w:rPr>
        <w:t>a</w:t>
      </w:r>
      <w:r w:rsidRPr="006D35C1">
        <w:rPr>
          <w:color w:val="auto"/>
          <w:lang w:val="es-ES"/>
        </w:rPr>
        <w:t>b tendió a bajar a medida que disminuía el peso corporal.</w:t>
      </w:r>
    </w:p>
    <w:p w14:paraId="78943AAD" w14:textId="77777777" w:rsidR="00FB24C0" w:rsidRPr="006D35C1" w:rsidRDefault="00FB24C0" w:rsidP="00FB24C0">
      <w:pPr>
        <w:spacing w:after="0" w:line="240" w:lineRule="auto"/>
        <w:ind w:left="0" w:firstLine="0"/>
        <w:rPr>
          <w:color w:val="auto"/>
          <w:lang w:val="es-ES"/>
        </w:rPr>
      </w:pPr>
    </w:p>
    <w:p w14:paraId="699C0125" w14:textId="77777777" w:rsidR="00FB24C0" w:rsidRPr="00443040" w:rsidRDefault="00FB24C0" w:rsidP="009A3F05">
      <w:pPr>
        <w:keepNext/>
        <w:spacing w:after="0" w:line="240" w:lineRule="auto"/>
        <w:ind w:left="567" w:hanging="567"/>
        <w:rPr>
          <w:b/>
          <w:color w:val="auto"/>
          <w:lang w:val="es-ES"/>
        </w:rPr>
      </w:pPr>
      <w:r w:rsidRPr="00443040">
        <w:rPr>
          <w:b/>
          <w:color w:val="auto"/>
          <w:lang w:val="es-ES"/>
        </w:rPr>
        <w:t>5.3</w:t>
      </w:r>
      <w:r w:rsidRPr="00443040">
        <w:rPr>
          <w:b/>
          <w:color w:val="auto"/>
          <w:lang w:val="es-ES"/>
        </w:rPr>
        <w:tab/>
        <w:t>Datos preclínicos sobre seguridad</w:t>
      </w:r>
    </w:p>
    <w:p w14:paraId="20E4E3DA" w14:textId="77777777" w:rsidR="00FB24C0" w:rsidRPr="00443040" w:rsidRDefault="00FB24C0" w:rsidP="009A3F05">
      <w:pPr>
        <w:keepNext/>
        <w:spacing w:after="0" w:line="240" w:lineRule="auto"/>
        <w:ind w:left="0" w:firstLine="0"/>
        <w:rPr>
          <w:color w:val="auto"/>
          <w:lang w:val="es-ES"/>
        </w:rPr>
      </w:pPr>
    </w:p>
    <w:p w14:paraId="0805DBE5" w14:textId="77777777" w:rsidR="00FB24C0" w:rsidRPr="00443040" w:rsidRDefault="00FB24C0" w:rsidP="00FB24C0">
      <w:pPr>
        <w:spacing w:after="0" w:line="240" w:lineRule="auto"/>
        <w:ind w:left="0" w:firstLine="0"/>
        <w:rPr>
          <w:color w:val="auto"/>
          <w:lang w:val="es-ES"/>
        </w:rPr>
      </w:pPr>
      <w:r w:rsidRPr="00443040">
        <w:rPr>
          <w:color w:val="auto"/>
          <w:lang w:val="es-ES"/>
        </w:rPr>
        <w:t>En estudios de hasta 26</w:t>
      </w:r>
      <w:r w:rsidR="00B3760A" w:rsidRPr="00D1096C">
        <w:rPr>
          <w:lang w:val="es-ES"/>
        </w:rPr>
        <w:t> </w:t>
      </w:r>
      <w:r w:rsidRPr="00443040">
        <w:rPr>
          <w:color w:val="auto"/>
          <w:lang w:val="es-ES"/>
        </w:rPr>
        <w:t xml:space="preserve">semanas de duración realizados con macacos (monos </w:t>
      </w:r>
      <w:proofErr w:type="spellStart"/>
      <w:r w:rsidRPr="00443040">
        <w:rPr>
          <w:color w:val="auto"/>
          <w:lang w:val="es-ES"/>
        </w:rPr>
        <w:t>cinomolgos</w:t>
      </w:r>
      <w:proofErr w:type="spellEnd"/>
      <w:r w:rsidRPr="00443040">
        <w:rPr>
          <w:color w:val="auto"/>
          <w:lang w:val="es-ES"/>
        </w:rPr>
        <w:t>), se observó displasia ósea en animales jóvenes con cartílagos de crecimiento abiertos, a concentraciones séricas medias de bevacizumab inferiores a las esperadas con dosis recomendadas para los humanos. En conejos, se ha observado que bevacizumab inhibe la cicatrización a dosis inferiores a la dosis clínica recomendada. Se ha observado que los efectos sobre la cicatrización son completamente reversibles.</w:t>
      </w:r>
    </w:p>
    <w:p w14:paraId="63D18E6C" w14:textId="77777777" w:rsidR="00FB24C0" w:rsidRPr="00443040" w:rsidRDefault="00FB24C0" w:rsidP="00FB24C0">
      <w:pPr>
        <w:spacing w:after="0" w:line="240" w:lineRule="auto"/>
        <w:ind w:left="0" w:firstLine="0"/>
        <w:rPr>
          <w:color w:val="auto"/>
          <w:lang w:val="es-ES"/>
        </w:rPr>
      </w:pPr>
    </w:p>
    <w:p w14:paraId="7951A1D8" w14:textId="77777777" w:rsidR="00FB24C0" w:rsidRPr="00443040" w:rsidRDefault="00FB24C0" w:rsidP="00FB24C0">
      <w:pPr>
        <w:spacing w:after="0" w:line="240" w:lineRule="auto"/>
        <w:ind w:left="0" w:firstLine="0"/>
        <w:rPr>
          <w:color w:val="auto"/>
          <w:lang w:val="es-ES"/>
        </w:rPr>
      </w:pPr>
      <w:r w:rsidRPr="00443040">
        <w:rPr>
          <w:color w:val="auto"/>
          <w:lang w:val="es-ES"/>
        </w:rPr>
        <w:t>No se han realizado estudios para evaluar el potencial mutagénico y carcinogénico de bevacizumab.</w:t>
      </w:r>
    </w:p>
    <w:p w14:paraId="4BBAC8CA" w14:textId="77777777" w:rsidR="00FB24C0" w:rsidRPr="00443040" w:rsidRDefault="00FB24C0" w:rsidP="00FB24C0">
      <w:pPr>
        <w:spacing w:after="0" w:line="240" w:lineRule="auto"/>
        <w:ind w:left="0" w:firstLine="0"/>
        <w:rPr>
          <w:color w:val="auto"/>
          <w:lang w:val="es-ES"/>
        </w:rPr>
      </w:pPr>
    </w:p>
    <w:p w14:paraId="57B5C7D2" w14:textId="77777777" w:rsidR="00FB24C0" w:rsidRPr="00443040" w:rsidRDefault="00FB24C0" w:rsidP="00FB24C0">
      <w:pPr>
        <w:spacing w:after="0" w:line="240" w:lineRule="auto"/>
        <w:ind w:left="0" w:firstLine="0"/>
        <w:rPr>
          <w:color w:val="auto"/>
          <w:lang w:val="es-ES"/>
        </w:rPr>
      </w:pPr>
      <w:r w:rsidRPr="00443040">
        <w:rPr>
          <w:color w:val="auto"/>
          <w:lang w:val="es-ES"/>
        </w:rPr>
        <w:t xml:space="preserve">No se han llevado a cabo estudios específicos en animales para evaluar el efecto sobre la fertilidad. Sin embargo, puede esperarse un efecto adverso sobre la fertilidad femenina </w:t>
      </w:r>
      <w:proofErr w:type="gramStart"/>
      <w:r w:rsidRPr="00443040">
        <w:rPr>
          <w:color w:val="auto"/>
          <w:lang w:val="es-ES"/>
        </w:rPr>
        <w:t>ya que</w:t>
      </w:r>
      <w:proofErr w:type="gramEnd"/>
      <w:r w:rsidRPr="00443040">
        <w:rPr>
          <w:color w:val="auto"/>
          <w:lang w:val="es-ES"/>
        </w:rPr>
        <w:t xml:space="preserve"> en estudios de toxicidad a dosis repetidas realizados en animales, se ha observado una inhibición de la maduración de los folículos ováricos, una disminución/ausencia del cuerpo lúteo y una disminución asociada al peso de ovarios y </w:t>
      </w:r>
      <w:proofErr w:type="gramStart"/>
      <w:r w:rsidRPr="00443040">
        <w:rPr>
          <w:color w:val="auto"/>
          <w:lang w:val="es-ES"/>
        </w:rPr>
        <w:t>útero</w:t>
      </w:r>
      <w:proofErr w:type="gramEnd"/>
      <w:r w:rsidRPr="00443040">
        <w:rPr>
          <w:color w:val="auto"/>
          <w:lang w:val="es-ES"/>
        </w:rPr>
        <w:t xml:space="preserve"> así como una disminución en el número de ciclos menstruales.</w:t>
      </w:r>
    </w:p>
    <w:p w14:paraId="73BFA657" w14:textId="77777777" w:rsidR="00FB24C0" w:rsidRPr="00443040" w:rsidRDefault="00FB24C0" w:rsidP="00FB24C0">
      <w:pPr>
        <w:spacing w:after="0" w:line="240" w:lineRule="auto"/>
        <w:ind w:left="0" w:firstLine="0"/>
        <w:rPr>
          <w:color w:val="auto"/>
          <w:lang w:val="es-ES"/>
        </w:rPr>
      </w:pPr>
    </w:p>
    <w:p w14:paraId="1A5D5CC1" w14:textId="2AA1E5FA" w:rsidR="00FB24C0" w:rsidRPr="00443040" w:rsidRDefault="00FB24C0" w:rsidP="00FB24C0">
      <w:pPr>
        <w:spacing w:after="0" w:line="240" w:lineRule="auto"/>
        <w:ind w:left="0" w:firstLine="0"/>
        <w:rPr>
          <w:color w:val="auto"/>
          <w:lang w:val="es-ES"/>
        </w:rPr>
      </w:pPr>
      <w:r w:rsidRPr="00443040">
        <w:rPr>
          <w:color w:val="auto"/>
          <w:lang w:val="es-ES"/>
        </w:rPr>
        <w:t xml:space="preserve">Se ha observado que bevacizumab es </w:t>
      </w:r>
      <w:proofErr w:type="spellStart"/>
      <w:r w:rsidRPr="00443040">
        <w:rPr>
          <w:color w:val="auto"/>
          <w:lang w:val="es-ES"/>
        </w:rPr>
        <w:t>embriotóxico</w:t>
      </w:r>
      <w:proofErr w:type="spellEnd"/>
      <w:r w:rsidRPr="00443040">
        <w:rPr>
          <w:color w:val="auto"/>
          <w:lang w:val="es-ES"/>
        </w:rPr>
        <w:t xml:space="preserve"> y teratogénico en conejos. Entre los efectos observados se incluyen disminución del peso corporal materno y fetal, aumento del número de resorciones fetales y aumento de la incidencia de malformaciones macroscópicas específicas y esqueléticas del feto. Las consecuencias negativas sobre el feto se observaron con todas las dosis estudiadas. Con la dosis más baja empleada, las concentraciones séricas medias fueron </w:t>
      </w:r>
      <w:r w:rsidRPr="00443040">
        <w:rPr>
          <w:color w:val="auto"/>
          <w:lang w:val="es-ES"/>
        </w:rPr>
        <w:lastRenderedPageBreak/>
        <w:t xml:space="preserve">aproximadamente 3 veces mayores que en humanos tratados con 5 mg/kg cada 2 semanas. Se proporciona información sobre malformaciones fetales observadas en la experiencia </w:t>
      </w:r>
      <w:proofErr w:type="spellStart"/>
      <w:r w:rsidRPr="00443040">
        <w:rPr>
          <w:color w:val="auto"/>
          <w:lang w:val="es-ES"/>
        </w:rPr>
        <w:t>poscomercialización</w:t>
      </w:r>
      <w:proofErr w:type="spellEnd"/>
      <w:r w:rsidRPr="00443040">
        <w:rPr>
          <w:color w:val="auto"/>
          <w:lang w:val="es-ES"/>
        </w:rPr>
        <w:t xml:space="preserve"> en la </w:t>
      </w:r>
      <w:r w:rsidR="004943CA" w:rsidRPr="00443040">
        <w:rPr>
          <w:color w:val="auto"/>
          <w:lang w:val="es-ES"/>
        </w:rPr>
        <w:t>secci</w:t>
      </w:r>
      <w:r w:rsidR="001408E2">
        <w:rPr>
          <w:color w:val="auto"/>
          <w:lang w:val="es-ES"/>
        </w:rPr>
        <w:t>ón</w:t>
      </w:r>
      <w:r w:rsidR="004943CA" w:rsidRPr="00443040">
        <w:rPr>
          <w:color w:val="auto"/>
          <w:lang w:val="es-ES"/>
        </w:rPr>
        <w:t xml:space="preserve"> </w:t>
      </w:r>
      <w:r w:rsidRPr="001408E2">
        <w:rPr>
          <w:color w:val="auto"/>
          <w:lang w:val="es-ES"/>
        </w:rPr>
        <w:t xml:space="preserve">4.6 </w:t>
      </w:r>
      <w:r w:rsidR="00D03D1C" w:rsidRPr="001408E2">
        <w:rPr>
          <w:color w:val="auto"/>
          <w:lang w:val="es-ES"/>
        </w:rPr>
        <w:t xml:space="preserve">Fertilidad, embarazo y lactancia </w:t>
      </w:r>
      <w:r w:rsidRPr="001408E2">
        <w:rPr>
          <w:color w:val="auto"/>
          <w:lang w:val="es-ES"/>
        </w:rPr>
        <w:t>y</w:t>
      </w:r>
      <w:r w:rsidR="001408E2" w:rsidRPr="00DD428F">
        <w:rPr>
          <w:color w:val="auto"/>
          <w:lang w:val="es-ES"/>
        </w:rPr>
        <w:t xml:space="preserve"> en la sección</w:t>
      </w:r>
      <w:r w:rsidRPr="001408E2">
        <w:rPr>
          <w:color w:val="auto"/>
          <w:lang w:val="es-ES"/>
        </w:rPr>
        <w:t xml:space="preserve"> 4.8.</w:t>
      </w:r>
      <w:r w:rsidR="00D03D1C" w:rsidRPr="001408E2">
        <w:rPr>
          <w:color w:val="auto"/>
          <w:lang w:val="es-ES"/>
        </w:rPr>
        <w:t xml:space="preserve"> </w:t>
      </w:r>
      <w:r w:rsidR="001408E2" w:rsidRPr="00DD428F">
        <w:rPr>
          <w:color w:val="auto"/>
          <w:lang w:val="es-ES"/>
        </w:rPr>
        <w:t>Reacciones adversas</w:t>
      </w:r>
      <w:r w:rsidR="00D03D1C" w:rsidRPr="001408E2">
        <w:rPr>
          <w:color w:val="auto"/>
          <w:lang w:val="es-ES"/>
        </w:rPr>
        <w:t>.</w:t>
      </w:r>
    </w:p>
    <w:p w14:paraId="0ABC296A" w14:textId="77777777" w:rsidR="00FB24C0" w:rsidRPr="00443040" w:rsidRDefault="00FB24C0" w:rsidP="00FB24C0">
      <w:pPr>
        <w:spacing w:after="0" w:line="240" w:lineRule="auto"/>
        <w:ind w:left="0" w:firstLine="0"/>
        <w:rPr>
          <w:color w:val="auto"/>
          <w:lang w:val="es-ES"/>
        </w:rPr>
      </w:pPr>
    </w:p>
    <w:p w14:paraId="6F8D7E0E" w14:textId="77777777" w:rsidR="00FB24C0" w:rsidRPr="00443040" w:rsidRDefault="00FB24C0" w:rsidP="00FB24C0">
      <w:pPr>
        <w:spacing w:after="0" w:line="240" w:lineRule="auto"/>
        <w:ind w:left="0" w:firstLine="0"/>
        <w:rPr>
          <w:color w:val="auto"/>
          <w:lang w:val="es-ES"/>
        </w:rPr>
      </w:pPr>
    </w:p>
    <w:p w14:paraId="2229C1EB" w14:textId="77777777" w:rsidR="00FB24C0" w:rsidRPr="00443040" w:rsidRDefault="00FB24C0" w:rsidP="00FB24C0">
      <w:pPr>
        <w:keepNext/>
        <w:spacing w:after="0" w:line="240" w:lineRule="auto"/>
        <w:ind w:left="567" w:hanging="567"/>
        <w:rPr>
          <w:b/>
          <w:color w:val="auto"/>
          <w:lang w:val="es-ES"/>
        </w:rPr>
      </w:pPr>
      <w:r w:rsidRPr="00443040">
        <w:rPr>
          <w:b/>
          <w:color w:val="auto"/>
          <w:lang w:val="es-ES"/>
        </w:rPr>
        <w:t>6.</w:t>
      </w:r>
      <w:r w:rsidRPr="00443040">
        <w:rPr>
          <w:b/>
          <w:color w:val="auto"/>
          <w:lang w:val="es-ES"/>
        </w:rPr>
        <w:tab/>
        <w:t>DATOS FARMACÉUTICOS</w:t>
      </w:r>
    </w:p>
    <w:p w14:paraId="37011E54" w14:textId="77777777" w:rsidR="00FB24C0" w:rsidRPr="00443040" w:rsidRDefault="00FB24C0" w:rsidP="006D35C1">
      <w:pPr>
        <w:keepNext/>
        <w:spacing w:after="0" w:line="240" w:lineRule="auto"/>
        <w:ind w:left="0" w:firstLine="0"/>
        <w:rPr>
          <w:color w:val="auto"/>
          <w:lang w:val="es-ES"/>
        </w:rPr>
      </w:pPr>
    </w:p>
    <w:p w14:paraId="40F53AB5" w14:textId="77777777" w:rsidR="00FB24C0" w:rsidRPr="00443040" w:rsidRDefault="00FB24C0" w:rsidP="00FB24C0">
      <w:pPr>
        <w:keepNext/>
        <w:spacing w:after="0" w:line="240" w:lineRule="auto"/>
        <w:ind w:left="567" w:hanging="567"/>
        <w:rPr>
          <w:color w:val="auto"/>
          <w:lang w:val="es-ES"/>
        </w:rPr>
      </w:pPr>
      <w:r w:rsidRPr="00443040">
        <w:rPr>
          <w:b/>
          <w:color w:val="auto"/>
          <w:lang w:val="es-ES"/>
        </w:rPr>
        <w:t>6.1</w:t>
      </w:r>
      <w:r w:rsidRPr="00443040">
        <w:rPr>
          <w:b/>
          <w:color w:val="auto"/>
          <w:lang w:val="es-ES"/>
        </w:rPr>
        <w:tab/>
        <w:t>Lista de excipientes</w:t>
      </w:r>
    </w:p>
    <w:p w14:paraId="1ADA0274" w14:textId="77777777" w:rsidR="00FB24C0" w:rsidRPr="00443040" w:rsidRDefault="00FB24C0" w:rsidP="00FB24C0">
      <w:pPr>
        <w:keepNext/>
        <w:spacing w:after="0" w:line="240" w:lineRule="auto"/>
        <w:ind w:left="0" w:firstLine="0"/>
        <w:rPr>
          <w:color w:val="auto"/>
          <w:lang w:val="es-ES"/>
        </w:rPr>
      </w:pPr>
    </w:p>
    <w:p w14:paraId="389CE7AB" w14:textId="77777777" w:rsidR="00FB24C0" w:rsidRPr="00443040" w:rsidRDefault="00FB24C0" w:rsidP="00890590">
      <w:pPr>
        <w:keepNext/>
        <w:spacing w:after="0" w:line="240" w:lineRule="auto"/>
        <w:ind w:left="0" w:firstLine="0"/>
        <w:rPr>
          <w:color w:val="auto"/>
          <w:lang w:val="es-ES"/>
        </w:rPr>
      </w:pPr>
      <w:proofErr w:type="spellStart"/>
      <w:r w:rsidRPr="00443040">
        <w:rPr>
          <w:color w:val="auto"/>
          <w:lang w:val="es-ES"/>
        </w:rPr>
        <w:t>Trehalosa</w:t>
      </w:r>
      <w:proofErr w:type="spellEnd"/>
      <w:r w:rsidRPr="00443040">
        <w:rPr>
          <w:color w:val="auto"/>
          <w:lang w:val="es-ES"/>
        </w:rPr>
        <w:t xml:space="preserve"> </w:t>
      </w:r>
      <w:proofErr w:type="spellStart"/>
      <w:r w:rsidRPr="00443040">
        <w:rPr>
          <w:color w:val="auto"/>
          <w:lang w:val="es-ES"/>
        </w:rPr>
        <w:t>dihidrato</w:t>
      </w:r>
      <w:proofErr w:type="spellEnd"/>
    </w:p>
    <w:p w14:paraId="7670688E" w14:textId="77777777" w:rsidR="00FB24C0" w:rsidRPr="00443040" w:rsidRDefault="00FB24C0" w:rsidP="00890590">
      <w:pPr>
        <w:keepNext/>
        <w:spacing w:after="0" w:line="240" w:lineRule="auto"/>
        <w:ind w:left="0" w:firstLine="0"/>
        <w:rPr>
          <w:color w:val="auto"/>
          <w:lang w:val="es-ES"/>
        </w:rPr>
      </w:pPr>
      <w:r w:rsidRPr="00443040">
        <w:rPr>
          <w:color w:val="auto"/>
          <w:lang w:val="es-ES"/>
        </w:rPr>
        <w:t>Fosfato sódico</w:t>
      </w:r>
    </w:p>
    <w:p w14:paraId="5167FCD5" w14:textId="77777777" w:rsidR="00FB24C0" w:rsidRPr="00443040" w:rsidRDefault="00FB24C0" w:rsidP="00890590">
      <w:pPr>
        <w:keepNext/>
        <w:spacing w:after="0" w:line="240" w:lineRule="auto"/>
        <w:ind w:left="0" w:firstLine="0"/>
        <w:rPr>
          <w:color w:val="auto"/>
          <w:lang w:val="es-ES"/>
        </w:rPr>
      </w:pPr>
      <w:r w:rsidRPr="00443040">
        <w:rPr>
          <w:color w:val="auto"/>
          <w:lang w:val="es-ES"/>
        </w:rPr>
        <w:t>Polisorbato 20</w:t>
      </w:r>
    </w:p>
    <w:p w14:paraId="1D5B4AED" w14:textId="77777777" w:rsidR="00FB24C0" w:rsidRPr="00443040" w:rsidRDefault="00FB24C0" w:rsidP="00FB24C0">
      <w:pPr>
        <w:spacing w:after="0" w:line="240" w:lineRule="auto"/>
        <w:ind w:left="0" w:firstLine="0"/>
        <w:rPr>
          <w:color w:val="auto"/>
          <w:lang w:val="es-ES"/>
        </w:rPr>
      </w:pPr>
      <w:r w:rsidRPr="00443040">
        <w:rPr>
          <w:color w:val="auto"/>
          <w:lang w:val="es-ES"/>
        </w:rPr>
        <w:t>Agua para preparaciones inyectables</w:t>
      </w:r>
    </w:p>
    <w:p w14:paraId="52562DE1" w14:textId="77777777" w:rsidR="00FB24C0" w:rsidRPr="00443040" w:rsidRDefault="00FB24C0" w:rsidP="00FB24C0">
      <w:pPr>
        <w:spacing w:after="0" w:line="240" w:lineRule="auto"/>
        <w:ind w:left="0" w:firstLine="0"/>
        <w:rPr>
          <w:color w:val="auto"/>
          <w:lang w:val="es-ES"/>
        </w:rPr>
      </w:pPr>
    </w:p>
    <w:p w14:paraId="4F2AEB07" w14:textId="77777777" w:rsidR="00FB24C0" w:rsidRPr="00443040" w:rsidRDefault="00FB24C0" w:rsidP="00FB24C0">
      <w:pPr>
        <w:keepNext/>
        <w:spacing w:after="0" w:line="240" w:lineRule="auto"/>
        <w:ind w:left="567" w:hanging="567"/>
        <w:rPr>
          <w:color w:val="auto"/>
          <w:lang w:val="es-ES"/>
        </w:rPr>
      </w:pPr>
      <w:r w:rsidRPr="00443040">
        <w:rPr>
          <w:b/>
          <w:color w:val="auto"/>
          <w:lang w:val="es-ES"/>
        </w:rPr>
        <w:t>6.2</w:t>
      </w:r>
      <w:r w:rsidRPr="00443040">
        <w:rPr>
          <w:b/>
          <w:color w:val="auto"/>
          <w:lang w:val="es-ES"/>
        </w:rPr>
        <w:tab/>
        <w:t>Incompatibilidades</w:t>
      </w:r>
    </w:p>
    <w:p w14:paraId="3C8740A9" w14:textId="77777777" w:rsidR="00FB24C0" w:rsidRPr="00443040" w:rsidRDefault="00FB24C0" w:rsidP="00FB24C0">
      <w:pPr>
        <w:keepNext/>
        <w:spacing w:after="0" w:line="240" w:lineRule="auto"/>
        <w:ind w:left="0" w:firstLine="0"/>
        <w:rPr>
          <w:color w:val="auto"/>
          <w:lang w:val="es-ES"/>
        </w:rPr>
      </w:pPr>
    </w:p>
    <w:p w14:paraId="2BC87A6C" w14:textId="77777777" w:rsidR="00FB24C0" w:rsidRPr="00443040" w:rsidRDefault="00FB24C0" w:rsidP="00FB24C0">
      <w:pPr>
        <w:spacing w:after="0" w:line="240" w:lineRule="auto"/>
        <w:ind w:left="0" w:firstLine="0"/>
        <w:rPr>
          <w:color w:val="auto"/>
          <w:lang w:val="es-ES"/>
        </w:rPr>
      </w:pPr>
      <w:r w:rsidRPr="00443040">
        <w:rPr>
          <w:color w:val="auto"/>
          <w:lang w:val="es-ES"/>
        </w:rPr>
        <w:t>Este medicamento no debe mezclarse con otros, excepto los mencionados en la sección 6.6.</w:t>
      </w:r>
    </w:p>
    <w:p w14:paraId="450D51B5" w14:textId="77777777" w:rsidR="00FB24C0" w:rsidRPr="00443040" w:rsidRDefault="00FB24C0" w:rsidP="00FB24C0">
      <w:pPr>
        <w:spacing w:after="0" w:line="240" w:lineRule="auto"/>
        <w:ind w:left="0" w:firstLine="0"/>
        <w:rPr>
          <w:color w:val="auto"/>
          <w:lang w:val="es-ES"/>
        </w:rPr>
      </w:pPr>
    </w:p>
    <w:p w14:paraId="2B0469BE" w14:textId="77777777" w:rsidR="00FB24C0" w:rsidRPr="00443040" w:rsidRDefault="00FB24C0" w:rsidP="00FB24C0">
      <w:pPr>
        <w:spacing w:after="0" w:line="240" w:lineRule="auto"/>
        <w:ind w:left="0" w:firstLine="0"/>
        <w:rPr>
          <w:color w:val="auto"/>
          <w:lang w:val="es-ES"/>
        </w:rPr>
      </w:pPr>
      <w:r w:rsidRPr="00443040">
        <w:rPr>
          <w:color w:val="auto"/>
          <w:lang w:val="es-ES"/>
        </w:rPr>
        <w:t>Se ha observado que el perfil de degradación de bevacizumab depende de la concentración cuando se diluye con soluciones de glucosa (5%).</w:t>
      </w:r>
    </w:p>
    <w:p w14:paraId="63596175" w14:textId="77777777" w:rsidR="00FB24C0" w:rsidRPr="00443040" w:rsidRDefault="00FB24C0" w:rsidP="00FB24C0">
      <w:pPr>
        <w:spacing w:after="0" w:line="240" w:lineRule="auto"/>
        <w:ind w:left="0" w:firstLine="0"/>
        <w:rPr>
          <w:color w:val="auto"/>
          <w:lang w:val="es-ES"/>
        </w:rPr>
      </w:pPr>
    </w:p>
    <w:p w14:paraId="76FCB19F" w14:textId="77777777" w:rsidR="00FB24C0" w:rsidRPr="00443040" w:rsidRDefault="00FB24C0" w:rsidP="006D35C1">
      <w:pPr>
        <w:keepNext/>
        <w:spacing w:after="0" w:line="240" w:lineRule="auto"/>
        <w:ind w:left="567" w:hanging="567"/>
        <w:rPr>
          <w:b/>
          <w:color w:val="auto"/>
          <w:lang w:val="es-ES"/>
        </w:rPr>
      </w:pPr>
      <w:r w:rsidRPr="00443040">
        <w:rPr>
          <w:b/>
          <w:color w:val="auto"/>
          <w:lang w:val="es-ES"/>
        </w:rPr>
        <w:t>6.3</w:t>
      </w:r>
      <w:r w:rsidRPr="00443040">
        <w:rPr>
          <w:b/>
          <w:color w:val="auto"/>
          <w:lang w:val="es-ES"/>
        </w:rPr>
        <w:tab/>
        <w:t>Periodo de validez</w:t>
      </w:r>
    </w:p>
    <w:p w14:paraId="57372516" w14:textId="77777777" w:rsidR="00FB24C0" w:rsidRPr="006D35C1" w:rsidRDefault="00FB24C0" w:rsidP="00FB24C0">
      <w:pPr>
        <w:keepNext/>
        <w:spacing w:after="0" w:line="240" w:lineRule="auto"/>
        <w:ind w:left="0" w:firstLine="0"/>
        <w:rPr>
          <w:color w:val="auto"/>
          <w:lang w:val="es-ES"/>
        </w:rPr>
      </w:pPr>
    </w:p>
    <w:p w14:paraId="79968E70" w14:textId="77777777" w:rsidR="00FB24C0" w:rsidRPr="006D35C1" w:rsidRDefault="00FB24C0" w:rsidP="00FB24C0">
      <w:pPr>
        <w:keepNext/>
        <w:spacing w:after="0" w:line="240" w:lineRule="auto"/>
        <w:ind w:left="0" w:firstLine="0"/>
        <w:rPr>
          <w:color w:val="auto"/>
          <w:lang w:val="es-ES"/>
        </w:rPr>
      </w:pPr>
      <w:r w:rsidRPr="006D35C1">
        <w:rPr>
          <w:color w:val="auto"/>
          <w:u w:val="single" w:color="000000"/>
          <w:lang w:val="es-ES"/>
        </w:rPr>
        <w:t>Vial (sin abrir)</w:t>
      </w:r>
    </w:p>
    <w:p w14:paraId="1FE3498A" w14:textId="77777777" w:rsidR="00FB24C0" w:rsidRPr="006D35C1" w:rsidRDefault="00FB24C0" w:rsidP="00FB24C0">
      <w:pPr>
        <w:keepNext/>
        <w:spacing w:after="0" w:line="240" w:lineRule="auto"/>
        <w:ind w:left="0" w:firstLine="0"/>
        <w:rPr>
          <w:color w:val="auto"/>
          <w:lang w:val="es-ES"/>
        </w:rPr>
      </w:pPr>
    </w:p>
    <w:p w14:paraId="6D88E781" w14:textId="4D485DF0" w:rsidR="00FB24C0" w:rsidRPr="006D35C1" w:rsidRDefault="00241E7E" w:rsidP="00FB24C0">
      <w:pPr>
        <w:spacing w:after="0" w:line="240" w:lineRule="auto"/>
        <w:ind w:left="0" w:firstLine="0"/>
        <w:rPr>
          <w:color w:val="auto"/>
          <w:lang w:val="es-ES"/>
        </w:rPr>
      </w:pPr>
      <w:r>
        <w:rPr>
          <w:color w:val="auto"/>
          <w:lang w:val="es-ES"/>
        </w:rPr>
        <w:t>2</w:t>
      </w:r>
      <w:r w:rsidR="004943CA" w:rsidRPr="006D35C1">
        <w:rPr>
          <w:color w:val="auto"/>
          <w:lang w:val="es-ES"/>
        </w:rPr>
        <w:t xml:space="preserve"> </w:t>
      </w:r>
      <w:r w:rsidR="00FB24C0" w:rsidRPr="006D35C1">
        <w:rPr>
          <w:color w:val="auto"/>
          <w:lang w:val="es-ES"/>
        </w:rPr>
        <w:t>años.</w:t>
      </w:r>
    </w:p>
    <w:p w14:paraId="38263ECB" w14:textId="77777777" w:rsidR="00FB24C0" w:rsidRPr="006D35C1" w:rsidRDefault="00FB24C0" w:rsidP="00FB24C0">
      <w:pPr>
        <w:spacing w:after="0" w:line="240" w:lineRule="auto"/>
        <w:ind w:left="0" w:firstLine="0"/>
        <w:rPr>
          <w:color w:val="auto"/>
          <w:lang w:val="es-ES"/>
        </w:rPr>
      </w:pPr>
    </w:p>
    <w:p w14:paraId="2E43C033" w14:textId="77777777" w:rsidR="00FB24C0" w:rsidRPr="006D35C1" w:rsidRDefault="00FB24C0" w:rsidP="00FB24C0">
      <w:pPr>
        <w:keepNext/>
        <w:spacing w:after="0" w:line="240" w:lineRule="auto"/>
        <w:ind w:left="0" w:firstLine="0"/>
        <w:rPr>
          <w:color w:val="auto"/>
          <w:u w:val="single"/>
          <w:lang w:val="es-ES"/>
        </w:rPr>
      </w:pPr>
      <w:r w:rsidRPr="006D35C1">
        <w:rPr>
          <w:color w:val="auto"/>
          <w:u w:val="single"/>
          <w:lang w:val="es-ES"/>
        </w:rPr>
        <w:t>Medicamento diluido</w:t>
      </w:r>
    </w:p>
    <w:p w14:paraId="78311ED2" w14:textId="77777777" w:rsidR="00FB24C0" w:rsidRPr="006D35C1" w:rsidRDefault="00FB24C0" w:rsidP="00FB24C0">
      <w:pPr>
        <w:keepNext/>
        <w:spacing w:after="0" w:line="240" w:lineRule="auto"/>
        <w:ind w:left="0" w:firstLine="0"/>
        <w:rPr>
          <w:color w:val="auto"/>
          <w:lang w:val="es-ES"/>
        </w:rPr>
      </w:pPr>
    </w:p>
    <w:p w14:paraId="0F784445" w14:textId="4FC444F1" w:rsidR="00FB24C0" w:rsidRPr="006D35C1" w:rsidRDefault="00FB24C0" w:rsidP="00FB24C0">
      <w:pPr>
        <w:spacing w:after="0" w:line="240" w:lineRule="auto"/>
        <w:ind w:left="0" w:firstLine="0"/>
        <w:rPr>
          <w:color w:val="auto"/>
          <w:lang w:val="es-ES"/>
        </w:rPr>
      </w:pPr>
      <w:r w:rsidRPr="006D35C1">
        <w:rPr>
          <w:color w:val="auto"/>
          <w:lang w:val="es-ES"/>
        </w:rPr>
        <w:t xml:space="preserve">Se ha demostrado la estabilidad química y física en uso entre 2°C y </w:t>
      </w:r>
      <w:r w:rsidR="004915A6">
        <w:rPr>
          <w:color w:val="auto"/>
          <w:lang w:val="es-ES"/>
        </w:rPr>
        <w:t>8</w:t>
      </w:r>
      <w:r w:rsidRPr="006D35C1">
        <w:rPr>
          <w:color w:val="auto"/>
          <w:lang w:val="es-ES"/>
        </w:rPr>
        <w:t xml:space="preserve">°C durante </w:t>
      </w:r>
      <w:r w:rsidR="004915A6">
        <w:rPr>
          <w:color w:val="auto"/>
          <w:lang w:val="es-ES"/>
        </w:rPr>
        <w:t>35 días más</w:t>
      </w:r>
      <w:r w:rsidRPr="006D35C1">
        <w:rPr>
          <w:color w:val="auto"/>
          <w:lang w:val="es-ES"/>
        </w:rPr>
        <w:t xml:space="preserve"> una</w:t>
      </w:r>
      <w:r w:rsidR="004915A6">
        <w:rPr>
          <w:color w:val="auto"/>
          <w:lang w:val="es-ES"/>
        </w:rPr>
        <w:t>s 48 horas adicionales a temperaturas que no superen los 30°C una</w:t>
      </w:r>
      <w:r w:rsidRPr="006D35C1">
        <w:rPr>
          <w:color w:val="auto"/>
          <w:lang w:val="es-ES"/>
        </w:rPr>
        <w:t xml:space="preserve"> vez diluido con una solución inyectable de 9 mg/ml (0,9%) de cloruro sódico. Desde el punto de vista microbiológico, el producto debe ser utilizado inmediatamente. Si no se utiliza inmediatamente, el tiempo y las condiciones de almacenamiento hasta su empleo serán responsabilidad del usuario y normalmente no deberían ser superiores a 24 horas entre 2</w:t>
      </w:r>
      <w:r w:rsidR="008C428A" w:rsidRPr="006D35C1">
        <w:rPr>
          <w:color w:val="auto"/>
          <w:lang w:val="es-ES"/>
        </w:rPr>
        <w:t>°</w:t>
      </w:r>
      <w:r w:rsidRPr="006D35C1">
        <w:rPr>
          <w:color w:val="auto"/>
          <w:lang w:val="es-ES"/>
        </w:rPr>
        <w:t>C y 8</w:t>
      </w:r>
      <w:r w:rsidR="008C428A" w:rsidRPr="006D35C1">
        <w:rPr>
          <w:color w:val="auto"/>
          <w:lang w:val="es-ES"/>
        </w:rPr>
        <w:t>°</w:t>
      </w:r>
      <w:r w:rsidRPr="006D35C1">
        <w:rPr>
          <w:color w:val="auto"/>
          <w:lang w:val="es-ES"/>
        </w:rPr>
        <w:t>C, a menos que la dilución se haya realizado bajo condiciones asépticas controladas y validadas.</w:t>
      </w:r>
    </w:p>
    <w:p w14:paraId="13DFC6CA" w14:textId="77777777" w:rsidR="00FB24C0" w:rsidRPr="006D35C1" w:rsidRDefault="00FB24C0" w:rsidP="00FB24C0">
      <w:pPr>
        <w:spacing w:after="0" w:line="240" w:lineRule="auto"/>
        <w:ind w:left="0" w:firstLine="0"/>
        <w:rPr>
          <w:color w:val="auto"/>
          <w:lang w:val="es-ES"/>
        </w:rPr>
      </w:pPr>
    </w:p>
    <w:p w14:paraId="0AD9DDF2" w14:textId="77777777" w:rsidR="00FB24C0" w:rsidRPr="00443040" w:rsidRDefault="00FB24C0" w:rsidP="006D35C1">
      <w:pPr>
        <w:keepNext/>
        <w:spacing w:after="0" w:line="240" w:lineRule="auto"/>
        <w:ind w:left="567" w:hanging="567"/>
        <w:rPr>
          <w:b/>
          <w:color w:val="auto"/>
          <w:lang w:val="es-ES"/>
        </w:rPr>
      </w:pPr>
      <w:r w:rsidRPr="00443040">
        <w:rPr>
          <w:b/>
          <w:color w:val="auto"/>
          <w:lang w:val="es-ES"/>
        </w:rPr>
        <w:t>6.4</w:t>
      </w:r>
      <w:r w:rsidRPr="00443040">
        <w:rPr>
          <w:b/>
          <w:color w:val="auto"/>
          <w:lang w:val="es-ES"/>
        </w:rPr>
        <w:tab/>
        <w:t>Precauciones especiales de conservación</w:t>
      </w:r>
    </w:p>
    <w:p w14:paraId="632446FB" w14:textId="77777777" w:rsidR="00FB24C0" w:rsidRPr="006D35C1" w:rsidRDefault="00FB24C0" w:rsidP="00FB24C0">
      <w:pPr>
        <w:keepNext/>
        <w:spacing w:after="0" w:line="240" w:lineRule="auto"/>
        <w:ind w:left="0" w:firstLine="0"/>
        <w:rPr>
          <w:color w:val="auto"/>
          <w:lang w:val="es-ES"/>
        </w:rPr>
      </w:pPr>
    </w:p>
    <w:p w14:paraId="01C402A0" w14:textId="77777777" w:rsidR="00FB24C0" w:rsidRPr="006D35C1" w:rsidRDefault="00FB24C0" w:rsidP="00FB24C0">
      <w:pPr>
        <w:spacing w:after="0" w:line="240" w:lineRule="auto"/>
        <w:ind w:left="0" w:firstLine="0"/>
        <w:rPr>
          <w:color w:val="auto"/>
          <w:lang w:val="es-ES"/>
        </w:rPr>
      </w:pPr>
      <w:r w:rsidRPr="006D35C1">
        <w:rPr>
          <w:color w:val="auto"/>
          <w:lang w:val="es-ES"/>
        </w:rPr>
        <w:t>Conservar en nevera (entre 2</w:t>
      </w:r>
      <w:r w:rsidR="008C428A" w:rsidRPr="006D35C1">
        <w:rPr>
          <w:color w:val="auto"/>
          <w:lang w:val="es-ES"/>
        </w:rPr>
        <w:t>°</w:t>
      </w:r>
      <w:r w:rsidRPr="006D35C1">
        <w:rPr>
          <w:color w:val="auto"/>
          <w:lang w:val="es-ES"/>
        </w:rPr>
        <w:t>C y 8</w:t>
      </w:r>
      <w:r w:rsidR="008C428A" w:rsidRPr="006D35C1">
        <w:rPr>
          <w:color w:val="auto"/>
          <w:lang w:val="es-ES"/>
        </w:rPr>
        <w:t>°</w:t>
      </w:r>
      <w:r w:rsidRPr="006D35C1">
        <w:rPr>
          <w:color w:val="auto"/>
          <w:lang w:val="es-ES"/>
        </w:rPr>
        <w:t>C).</w:t>
      </w:r>
    </w:p>
    <w:p w14:paraId="57A555C4" w14:textId="77777777" w:rsidR="00FB24C0" w:rsidRPr="006D35C1" w:rsidRDefault="00FB24C0" w:rsidP="00FB24C0">
      <w:pPr>
        <w:spacing w:after="0" w:line="240" w:lineRule="auto"/>
        <w:ind w:left="0" w:firstLine="0"/>
        <w:rPr>
          <w:color w:val="auto"/>
          <w:lang w:val="es-ES"/>
        </w:rPr>
      </w:pPr>
      <w:r w:rsidRPr="006D35C1">
        <w:rPr>
          <w:color w:val="auto"/>
          <w:lang w:val="es-ES"/>
        </w:rPr>
        <w:t>No congelar.</w:t>
      </w:r>
    </w:p>
    <w:p w14:paraId="7CD82F65" w14:textId="77777777" w:rsidR="00FB24C0" w:rsidRPr="006D35C1" w:rsidRDefault="00FB24C0" w:rsidP="00FB24C0">
      <w:pPr>
        <w:spacing w:after="0" w:line="240" w:lineRule="auto"/>
        <w:ind w:left="0" w:firstLine="0"/>
        <w:rPr>
          <w:color w:val="auto"/>
          <w:lang w:val="es-ES"/>
        </w:rPr>
      </w:pPr>
      <w:r w:rsidRPr="006D35C1">
        <w:rPr>
          <w:color w:val="auto"/>
          <w:lang w:val="es-ES"/>
        </w:rPr>
        <w:t>Conservar el vial en el embalaje exterior para protegerlo de la luz.</w:t>
      </w:r>
    </w:p>
    <w:p w14:paraId="0C9F3BD1" w14:textId="77777777" w:rsidR="00FB24C0" w:rsidRPr="006D35C1" w:rsidRDefault="00FB24C0" w:rsidP="00FB24C0">
      <w:pPr>
        <w:spacing w:after="0" w:line="240" w:lineRule="auto"/>
        <w:ind w:left="0" w:firstLine="0"/>
        <w:rPr>
          <w:color w:val="auto"/>
          <w:lang w:val="es-ES"/>
        </w:rPr>
      </w:pPr>
    </w:p>
    <w:p w14:paraId="53C679CC" w14:textId="77777777" w:rsidR="00FB24C0" w:rsidRPr="006D35C1" w:rsidRDefault="00FB24C0" w:rsidP="00FB24C0">
      <w:pPr>
        <w:spacing w:after="0" w:line="240" w:lineRule="auto"/>
        <w:ind w:left="0" w:firstLine="0"/>
        <w:rPr>
          <w:color w:val="auto"/>
          <w:lang w:val="es-ES"/>
        </w:rPr>
      </w:pPr>
      <w:r w:rsidRPr="006D35C1">
        <w:rPr>
          <w:color w:val="auto"/>
          <w:lang w:val="es-ES"/>
        </w:rPr>
        <w:t>Para las condiciones de conservación tras la dilución del medicamento, ver sección 6.3.</w:t>
      </w:r>
    </w:p>
    <w:p w14:paraId="003B5BC8" w14:textId="77777777" w:rsidR="00FB24C0" w:rsidRPr="006D35C1" w:rsidRDefault="00FB24C0" w:rsidP="00FB24C0">
      <w:pPr>
        <w:spacing w:after="0" w:line="240" w:lineRule="auto"/>
        <w:ind w:left="0" w:firstLine="0"/>
        <w:rPr>
          <w:color w:val="auto"/>
          <w:lang w:val="es-ES"/>
        </w:rPr>
      </w:pPr>
    </w:p>
    <w:p w14:paraId="003CC4E0" w14:textId="77777777" w:rsidR="00FB24C0" w:rsidRPr="00443040" w:rsidRDefault="00FB24C0" w:rsidP="006D35C1">
      <w:pPr>
        <w:keepNext/>
        <w:spacing w:after="0" w:line="240" w:lineRule="auto"/>
        <w:ind w:left="567" w:hanging="567"/>
        <w:rPr>
          <w:b/>
          <w:color w:val="auto"/>
          <w:lang w:val="es-ES"/>
        </w:rPr>
      </w:pPr>
      <w:r w:rsidRPr="00443040">
        <w:rPr>
          <w:b/>
          <w:color w:val="auto"/>
          <w:lang w:val="es-ES"/>
        </w:rPr>
        <w:t>6.5</w:t>
      </w:r>
      <w:r w:rsidRPr="00443040">
        <w:rPr>
          <w:b/>
          <w:color w:val="auto"/>
          <w:lang w:val="es-ES"/>
        </w:rPr>
        <w:tab/>
        <w:t>Naturaleza y contenido del envase</w:t>
      </w:r>
    </w:p>
    <w:p w14:paraId="36598837" w14:textId="77777777" w:rsidR="00FB24C0" w:rsidRPr="00443040" w:rsidRDefault="00FB24C0" w:rsidP="00FB24C0">
      <w:pPr>
        <w:keepNext/>
        <w:spacing w:after="0" w:line="240" w:lineRule="auto"/>
        <w:ind w:left="0" w:firstLine="0"/>
        <w:rPr>
          <w:color w:val="auto"/>
          <w:lang w:val="es-ES"/>
        </w:rPr>
      </w:pPr>
    </w:p>
    <w:p w14:paraId="23CB68BB" w14:textId="77777777" w:rsidR="00FB24C0" w:rsidRPr="00443040" w:rsidRDefault="00FB24C0" w:rsidP="00FB24C0">
      <w:pPr>
        <w:spacing w:after="0" w:line="240" w:lineRule="auto"/>
        <w:ind w:left="0" w:firstLine="0"/>
        <w:rPr>
          <w:color w:val="auto"/>
          <w:lang w:val="es-ES"/>
        </w:rPr>
      </w:pPr>
      <w:r w:rsidRPr="00443040">
        <w:rPr>
          <w:color w:val="auto"/>
          <w:lang w:val="es-ES"/>
        </w:rPr>
        <w:t>4 ml de solución en un vial (vidrio tipo I) con tapón (goma butílica) que contiene 100 mg de bevacizumab.</w:t>
      </w:r>
    </w:p>
    <w:p w14:paraId="4D7D9C15" w14:textId="77777777" w:rsidR="00FB24C0" w:rsidRPr="00443040" w:rsidRDefault="00FB24C0" w:rsidP="00FB24C0">
      <w:pPr>
        <w:spacing w:after="0" w:line="240" w:lineRule="auto"/>
        <w:ind w:left="0" w:firstLine="0"/>
        <w:rPr>
          <w:color w:val="auto"/>
          <w:lang w:val="es-ES"/>
        </w:rPr>
      </w:pPr>
      <w:r w:rsidRPr="00443040">
        <w:rPr>
          <w:color w:val="auto"/>
          <w:lang w:val="es-ES"/>
        </w:rPr>
        <w:t>16 ml de solución en un vial (vidrio tipo I) con tapón (goma butílica) que contiene 400 mg de bevacizumab.</w:t>
      </w:r>
    </w:p>
    <w:p w14:paraId="66D9BCC6" w14:textId="77777777" w:rsidR="00FB24C0" w:rsidRPr="00443040" w:rsidRDefault="00FB24C0" w:rsidP="00FB24C0">
      <w:pPr>
        <w:spacing w:after="0" w:line="240" w:lineRule="auto"/>
        <w:ind w:left="0" w:firstLine="0"/>
        <w:rPr>
          <w:color w:val="auto"/>
          <w:lang w:val="es-ES"/>
        </w:rPr>
      </w:pPr>
    </w:p>
    <w:p w14:paraId="4A2BEE64" w14:textId="77777777" w:rsidR="00FB24C0" w:rsidRPr="00443040" w:rsidRDefault="00FB24C0" w:rsidP="00FB24C0">
      <w:pPr>
        <w:spacing w:after="0" w:line="240" w:lineRule="auto"/>
        <w:ind w:left="0" w:firstLine="0"/>
        <w:rPr>
          <w:color w:val="auto"/>
          <w:lang w:val="es-ES"/>
        </w:rPr>
      </w:pPr>
      <w:r w:rsidRPr="00443040">
        <w:rPr>
          <w:color w:val="auto"/>
          <w:lang w:val="es-ES"/>
        </w:rPr>
        <w:t>Envase de 1 vial.</w:t>
      </w:r>
    </w:p>
    <w:p w14:paraId="126552D7" w14:textId="77777777" w:rsidR="00FB24C0" w:rsidRPr="00443040" w:rsidRDefault="00FB24C0" w:rsidP="00FB24C0">
      <w:pPr>
        <w:spacing w:after="0" w:line="240" w:lineRule="auto"/>
        <w:ind w:left="0" w:firstLine="0"/>
        <w:rPr>
          <w:color w:val="auto"/>
          <w:lang w:val="es-ES"/>
        </w:rPr>
      </w:pPr>
    </w:p>
    <w:p w14:paraId="5427B3C8" w14:textId="77777777" w:rsidR="00FB24C0" w:rsidRPr="00443040" w:rsidRDefault="00FB24C0" w:rsidP="00FB24C0">
      <w:pPr>
        <w:keepNext/>
        <w:spacing w:after="0" w:line="240" w:lineRule="auto"/>
        <w:ind w:left="567" w:hanging="567"/>
        <w:rPr>
          <w:b/>
          <w:color w:val="auto"/>
          <w:lang w:val="es-ES"/>
        </w:rPr>
      </w:pPr>
      <w:r w:rsidRPr="00443040">
        <w:rPr>
          <w:b/>
          <w:color w:val="auto"/>
          <w:lang w:val="es-ES"/>
        </w:rPr>
        <w:lastRenderedPageBreak/>
        <w:t>6.6</w:t>
      </w:r>
      <w:r w:rsidRPr="00443040">
        <w:rPr>
          <w:b/>
          <w:color w:val="auto"/>
          <w:lang w:val="es-ES"/>
        </w:rPr>
        <w:tab/>
        <w:t>Precauciones especiales de eliminación y otras manipulaciones</w:t>
      </w:r>
    </w:p>
    <w:p w14:paraId="1228E9E8" w14:textId="77777777" w:rsidR="00FB24C0" w:rsidRPr="006D35C1" w:rsidRDefault="00FB24C0" w:rsidP="00FB24C0">
      <w:pPr>
        <w:keepNext/>
        <w:spacing w:after="0" w:line="240" w:lineRule="auto"/>
        <w:ind w:left="0" w:firstLine="0"/>
        <w:rPr>
          <w:color w:val="auto"/>
          <w:lang w:val="es-ES"/>
        </w:rPr>
      </w:pPr>
    </w:p>
    <w:p w14:paraId="47BFB465" w14:textId="5A71023F" w:rsidR="00EE0FE2" w:rsidRDefault="00EE0FE2" w:rsidP="00FB24C0">
      <w:pPr>
        <w:spacing w:after="0" w:line="240" w:lineRule="auto"/>
        <w:ind w:left="0" w:firstLine="0"/>
        <w:rPr>
          <w:color w:val="auto"/>
          <w:lang w:val="es-ES"/>
        </w:rPr>
      </w:pPr>
      <w:r w:rsidRPr="00EE0FE2">
        <w:rPr>
          <w:color w:val="auto"/>
          <w:lang w:val="es-ES"/>
        </w:rPr>
        <w:t>No agitar el vial.</w:t>
      </w:r>
    </w:p>
    <w:p w14:paraId="45A04D21" w14:textId="77777777" w:rsidR="00EE0FE2" w:rsidRDefault="00EE0FE2" w:rsidP="00FB24C0">
      <w:pPr>
        <w:spacing w:after="0" w:line="240" w:lineRule="auto"/>
        <w:ind w:left="0" w:firstLine="0"/>
        <w:rPr>
          <w:color w:val="auto"/>
          <w:lang w:val="es-ES"/>
        </w:rPr>
      </w:pPr>
    </w:p>
    <w:p w14:paraId="46A2327C" w14:textId="207863FB" w:rsidR="00FB24C0" w:rsidRPr="006D35C1" w:rsidRDefault="00AA71D6" w:rsidP="00FB24C0">
      <w:pPr>
        <w:spacing w:after="0" w:line="240" w:lineRule="auto"/>
        <w:ind w:left="0" w:firstLine="0"/>
        <w:rPr>
          <w:color w:val="auto"/>
          <w:lang w:val="es-ES"/>
        </w:rPr>
      </w:pPr>
      <w:r>
        <w:rPr>
          <w:color w:val="auto"/>
          <w:lang w:val="es-ES"/>
        </w:rPr>
        <w:t>MVASI</w:t>
      </w:r>
      <w:r w:rsidR="00FB24C0" w:rsidRPr="006D35C1">
        <w:rPr>
          <w:color w:val="auto"/>
          <w:lang w:val="es-ES"/>
        </w:rPr>
        <w:t xml:space="preserve"> debe ser preparado por un profesional sanitario empleando técnicas asépticas para asegurar la esterilidad de la disolución preparada.</w:t>
      </w:r>
      <w:r w:rsidR="00F30EE9">
        <w:rPr>
          <w:color w:val="auto"/>
          <w:lang w:val="es-ES"/>
        </w:rPr>
        <w:t xml:space="preserve"> Debe de usarse una aguja y jeringa estéril para preparar MVASI.</w:t>
      </w:r>
    </w:p>
    <w:p w14:paraId="5777AAA5" w14:textId="77777777" w:rsidR="00FB24C0" w:rsidRPr="006D35C1" w:rsidRDefault="00FB24C0" w:rsidP="00FB24C0">
      <w:pPr>
        <w:spacing w:after="0" w:line="240" w:lineRule="auto"/>
        <w:ind w:left="0" w:firstLine="0"/>
        <w:rPr>
          <w:color w:val="auto"/>
          <w:lang w:val="es-ES"/>
        </w:rPr>
      </w:pPr>
    </w:p>
    <w:p w14:paraId="24DA4F7D" w14:textId="2B8BCF03" w:rsidR="00FB24C0" w:rsidRPr="006D35C1" w:rsidRDefault="00FB24C0" w:rsidP="00DD1599">
      <w:pPr>
        <w:spacing w:after="0" w:line="240" w:lineRule="auto"/>
        <w:ind w:left="0" w:firstLine="0"/>
        <w:rPr>
          <w:color w:val="auto"/>
          <w:lang w:val="es-ES"/>
        </w:rPr>
      </w:pPr>
      <w:r w:rsidRPr="006D35C1">
        <w:rPr>
          <w:color w:val="auto"/>
          <w:lang w:val="es-ES"/>
        </w:rPr>
        <w:t>Se deberá extraer la cantidad necesaria de bevacizumab y diluir con solución inyectable de 9 mg/ml de cloruro sódico (0,9%) hasta el volumen requerido para la administración. La concentración de la solución final de bevacizumab debe mantenerse dentro del intervalo de 1,4</w:t>
      </w:r>
      <w:r w:rsidR="0094370F">
        <w:rPr>
          <w:color w:val="auto"/>
          <w:lang w:val="es-ES"/>
        </w:rPr>
        <w:t> </w:t>
      </w:r>
      <w:r w:rsidRPr="006D35C1">
        <w:rPr>
          <w:color w:val="auto"/>
          <w:lang w:val="es-ES"/>
        </w:rPr>
        <w:t xml:space="preserve">mg/ml a 16,5 mg/ml. En la mayoría de las ocasiones la cantidad necesaria de </w:t>
      </w:r>
      <w:r w:rsidR="004943CA">
        <w:rPr>
          <w:color w:val="auto"/>
          <w:lang w:val="es-ES"/>
        </w:rPr>
        <w:t>MVASI</w:t>
      </w:r>
      <w:r w:rsidR="00BC7B77">
        <w:rPr>
          <w:color w:val="auto"/>
          <w:lang w:val="es-ES"/>
        </w:rPr>
        <w:t xml:space="preserve"> </w:t>
      </w:r>
      <w:r w:rsidRPr="006D35C1">
        <w:rPr>
          <w:color w:val="auto"/>
          <w:lang w:val="es-ES"/>
        </w:rPr>
        <w:t xml:space="preserve">puede ser diluida con una solución de </w:t>
      </w:r>
      <w:r w:rsidR="00DD1599">
        <w:rPr>
          <w:color w:val="auto"/>
          <w:lang w:val="es-ES"/>
        </w:rPr>
        <w:t xml:space="preserve">9 mg/ml (0,9%) de </w:t>
      </w:r>
      <w:r w:rsidRPr="006D35C1">
        <w:rPr>
          <w:color w:val="auto"/>
          <w:lang w:val="es-ES"/>
        </w:rPr>
        <w:t>cloruro sódico para inyección hasta un volumen total de 100 ml.</w:t>
      </w:r>
    </w:p>
    <w:p w14:paraId="66283631" w14:textId="77777777" w:rsidR="00FB24C0" w:rsidRPr="006D35C1" w:rsidRDefault="00FB24C0" w:rsidP="00FB24C0">
      <w:pPr>
        <w:spacing w:after="0" w:line="240" w:lineRule="auto"/>
        <w:ind w:left="0" w:firstLine="0"/>
        <w:rPr>
          <w:color w:val="auto"/>
          <w:lang w:val="es-ES"/>
        </w:rPr>
      </w:pPr>
    </w:p>
    <w:p w14:paraId="2FB3D017" w14:textId="77777777" w:rsidR="00FB24C0" w:rsidRPr="006D35C1" w:rsidRDefault="00FB24C0" w:rsidP="00FB24C0">
      <w:pPr>
        <w:spacing w:after="0" w:line="240" w:lineRule="auto"/>
        <w:ind w:left="0" w:firstLine="0"/>
        <w:rPr>
          <w:color w:val="auto"/>
          <w:lang w:val="es-ES"/>
        </w:rPr>
      </w:pPr>
      <w:r w:rsidRPr="006D35C1">
        <w:rPr>
          <w:color w:val="auto"/>
          <w:lang w:val="es-ES"/>
        </w:rPr>
        <w:t>Los medicamentos de uso parenteral deben comprobarse visualmente antes de su administración para detectar la posible existencia de partículas o decoloración.</w:t>
      </w:r>
    </w:p>
    <w:p w14:paraId="2042D77A" w14:textId="77777777" w:rsidR="00FB24C0" w:rsidRPr="006D35C1" w:rsidRDefault="00FB24C0" w:rsidP="00FB24C0">
      <w:pPr>
        <w:spacing w:after="0" w:line="240" w:lineRule="auto"/>
        <w:ind w:left="0" w:firstLine="0"/>
        <w:rPr>
          <w:color w:val="auto"/>
          <w:lang w:val="es-ES"/>
        </w:rPr>
      </w:pPr>
    </w:p>
    <w:p w14:paraId="3F5123FC" w14:textId="77777777" w:rsidR="00FB24C0" w:rsidRPr="006D35C1" w:rsidRDefault="00FB24C0" w:rsidP="00FB24C0">
      <w:pPr>
        <w:spacing w:after="0" w:line="240" w:lineRule="auto"/>
        <w:ind w:left="0" w:firstLine="0"/>
        <w:rPr>
          <w:color w:val="auto"/>
          <w:lang w:val="es-ES"/>
        </w:rPr>
      </w:pPr>
      <w:r w:rsidRPr="006D35C1">
        <w:rPr>
          <w:color w:val="auto"/>
          <w:lang w:val="es-ES"/>
        </w:rPr>
        <w:t xml:space="preserve">No se han observado incompatibilidades entre </w:t>
      </w:r>
      <w:r w:rsidR="00AA71D6">
        <w:rPr>
          <w:color w:val="auto"/>
          <w:lang w:val="es-ES"/>
        </w:rPr>
        <w:t>MVASI</w:t>
      </w:r>
      <w:r w:rsidRPr="006D35C1">
        <w:rPr>
          <w:color w:val="auto"/>
          <w:lang w:val="es-ES"/>
        </w:rPr>
        <w:t xml:space="preserve"> y el equipo de perfusión o las bolsas de cloruro de polivinilo o poliolefina.</w:t>
      </w:r>
    </w:p>
    <w:p w14:paraId="26DE4B06" w14:textId="77777777" w:rsidR="00FB24C0" w:rsidRPr="006D35C1" w:rsidRDefault="00FB24C0" w:rsidP="00FB24C0">
      <w:pPr>
        <w:spacing w:after="0" w:line="240" w:lineRule="auto"/>
        <w:ind w:left="0" w:firstLine="0"/>
        <w:rPr>
          <w:color w:val="auto"/>
          <w:lang w:val="es-ES"/>
        </w:rPr>
      </w:pPr>
    </w:p>
    <w:p w14:paraId="38F0DBCE" w14:textId="77777777" w:rsidR="00FB24C0" w:rsidRPr="006D35C1" w:rsidRDefault="00AA71D6" w:rsidP="00FB24C0">
      <w:pPr>
        <w:spacing w:after="0" w:line="240" w:lineRule="auto"/>
        <w:ind w:left="0" w:firstLine="0"/>
        <w:rPr>
          <w:color w:val="auto"/>
          <w:lang w:val="es-ES"/>
        </w:rPr>
      </w:pPr>
      <w:r>
        <w:rPr>
          <w:color w:val="auto"/>
          <w:lang w:val="es-ES"/>
        </w:rPr>
        <w:t>MVASI</w:t>
      </w:r>
      <w:r w:rsidR="00FB24C0" w:rsidRPr="006D35C1">
        <w:rPr>
          <w:color w:val="auto"/>
          <w:lang w:val="es-ES"/>
        </w:rPr>
        <w:t xml:space="preserve"> es de un solo uso, debido a que el medicamento no contiene conservantes. La eliminación del medicamento no utilizado y de todos los materiales que hayan estado en contacto con él, se realizará de acuerdo con la normativa local.</w:t>
      </w:r>
    </w:p>
    <w:p w14:paraId="0B2D3146" w14:textId="77777777" w:rsidR="00FB24C0" w:rsidRPr="006D35C1" w:rsidRDefault="00FB24C0" w:rsidP="00FB24C0">
      <w:pPr>
        <w:spacing w:after="0" w:line="240" w:lineRule="auto"/>
        <w:ind w:left="0" w:firstLine="0"/>
        <w:rPr>
          <w:color w:val="auto"/>
          <w:lang w:val="es-ES"/>
        </w:rPr>
      </w:pPr>
    </w:p>
    <w:p w14:paraId="5FC81030" w14:textId="77777777" w:rsidR="00FB24C0" w:rsidRPr="006D35C1" w:rsidRDefault="00FB24C0" w:rsidP="00FB24C0">
      <w:pPr>
        <w:spacing w:after="0" w:line="240" w:lineRule="auto"/>
        <w:ind w:left="0" w:firstLine="0"/>
        <w:rPr>
          <w:color w:val="auto"/>
          <w:lang w:val="es-ES"/>
        </w:rPr>
      </w:pPr>
    </w:p>
    <w:p w14:paraId="1921DF66" w14:textId="77777777" w:rsidR="00FB24C0" w:rsidRPr="00443040" w:rsidRDefault="00FB24C0" w:rsidP="00DD0762">
      <w:pPr>
        <w:keepNext/>
        <w:keepLines/>
        <w:spacing w:after="0" w:line="240" w:lineRule="auto"/>
        <w:ind w:left="567" w:hanging="567"/>
        <w:rPr>
          <w:b/>
          <w:color w:val="auto"/>
          <w:lang w:val="es-ES"/>
        </w:rPr>
      </w:pPr>
      <w:r w:rsidRPr="00443040">
        <w:rPr>
          <w:b/>
          <w:color w:val="auto"/>
          <w:lang w:val="es-ES"/>
        </w:rPr>
        <w:t>7.</w:t>
      </w:r>
      <w:r w:rsidRPr="00443040">
        <w:rPr>
          <w:b/>
          <w:color w:val="auto"/>
          <w:lang w:val="es-ES"/>
        </w:rPr>
        <w:tab/>
        <w:t>TITULAR DE LA AUTORIZACIÓN DE COMERCIALIZACIÓN</w:t>
      </w:r>
    </w:p>
    <w:p w14:paraId="43841D5A" w14:textId="77777777" w:rsidR="00FB24C0" w:rsidRPr="006D35C1" w:rsidRDefault="00FB24C0" w:rsidP="00DD0762">
      <w:pPr>
        <w:keepNext/>
        <w:keepLines/>
        <w:spacing w:after="0" w:line="240" w:lineRule="auto"/>
        <w:ind w:left="0" w:firstLine="0"/>
        <w:rPr>
          <w:color w:val="auto"/>
          <w:lang w:val="es-ES"/>
        </w:rPr>
      </w:pPr>
    </w:p>
    <w:p w14:paraId="75356937" w14:textId="77777777" w:rsidR="00F83BD0" w:rsidRPr="00537EA4" w:rsidRDefault="00F83BD0" w:rsidP="00F83BD0">
      <w:pPr>
        <w:keepNext/>
        <w:spacing w:line="240" w:lineRule="auto"/>
        <w:ind w:right="-1"/>
      </w:pPr>
      <w:r w:rsidRPr="00B6605D">
        <w:t xml:space="preserve">Amgen Technology </w:t>
      </w:r>
      <w:r w:rsidRPr="00537EA4">
        <w:t>(Ireland) UC</w:t>
      </w:r>
      <w:r>
        <w:t>,</w:t>
      </w:r>
    </w:p>
    <w:p w14:paraId="1D1257B9" w14:textId="77777777" w:rsidR="00F83BD0" w:rsidRPr="00537EA4" w:rsidRDefault="00F83BD0" w:rsidP="00F83BD0">
      <w:pPr>
        <w:keepNext/>
        <w:spacing w:line="240" w:lineRule="auto"/>
        <w:ind w:right="-1"/>
      </w:pPr>
      <w:r w:rsidRPr="00537EA4">
        <w:t>Pottery Road</w:t>
      </w:r>
      <w:r>
        <w:t>,</w:t>
      </w:r>
    </w:p>
    <w:p w14:paraId="63BC07AE" w14:textId="77777777" w:rsidR="00F83BD0" w:rsidRPr="005F3B14" w:rsidRDefault="00F83BD0" w:rsidP="00F83BD0">
      <w:pPr>
        <w:keepNext/>
        <w:spacing w:line="240" w:lineRule="auto"/>
        <w:ind w:right="-1"/>
        <w:rPr>
          <w:lang w:val="es-ES"/>
        </w:rPr>
      </w:pPr>
      <w:proofErr w:type="spellStart"/>
      <w:r w:rsidRPr="005F3B14">
        <w:rPr>
          <w:lang w:val="es-ES"/>
        </w:rPr>
        <w:t>Dun</w:t>
      </w:r>
      <w:proofErr w:type="spellEnd"/>
      <w:r w:rsidRPr="005F3B14">
        <w:rPr>
          <w:lang w:val="es-ES"/>
        </w:rPr>
        <w:t xml:space="preserve"> </w:t>
      </w:r>
      <w:proofErr w:type="spellStart"/>
      <w:r w:rsidRPr="005F3B14">
        <w:rPr>
          <w:lang w:val="es-ES"/>
        </w:rPr>
        <w:t>Laoghaire</w:t>
      </w:r>
      <w:proofErr w:type="spellEnd"/>
      <w:r w:rsidRPr="005F3B14">
        <w:rPr>
          <w:lang w:val="es-ES"/>
        </w:rPr>
        <w:t>,</w:t>
      </w:r>
    </w:p>
    <w:p w14:paraId="652029F5" w14:textId="2B1D9260" w:rsidR="00F20753" w:rsidRPr="00C33F4C" w:rsidRDefault="00F83BD0" w:rsidP="00F20753">
      <w:pPr>
        <w:autoSpaceDE w:val="0"/>
        <w:autoSpaceDN w:val="0"/>
        <w:adjustRightInd w:val="0"/>
        <w:spacing w:after="0" w:line="240" w:lineRule="auto"/>
        <w:ind w:left="0" w:firstLine="0"/>
        <w:rPr>
          <w:rFonts w:eastAsia="Calibri"/>
          <w:lang w:val="es-ES" w:eastAsia="en-US"/>
        </w:rPr>
      </w:pPr>
      <w:r w:rsidRPr="005F3B14">
        <w:rPr>
          <w:lang w:val="es-ES"/>
        </w:rPr>
        <w:t xml:space="preserve">Co. </w:t>
      </w:r>
      <w:proofErr w:type="spellStart"/>
      <w:r w:rsidRPr="005F3B14">
        <w:rPr>
          <w:lang w:val="es-ES"/>
        </w:rPr>
        <w:t>Dublin</w:t>
      </w:r>
      <w:proofErr w:type="spellEnd"/>
      <w:r w:rsidRPr="005F3B14">
        <w:rPr>
          <w:lang w:val="es-ES"/>
        </w:rPr>
        <w:t>,</w:t>
      </w:r>
    </w:p>
    <w:p w14:paraId="1DF67997" w14:textId="28853D6D" w:rsidR="00FB24C0" w:rsidRPr="005F3B14" w:rsidRDefault="00F83BD0" w:rsidP="00FB24C0">
      <w:pPr>
        <w:spacing w:after="0" w:line="240" w:lineRule="auto"/>
        <w:ind w:left="0" w:firstLine="0"/>
        <w:rPr>
          <w:color w:val="auto"/>
          <w:lang w:val="es-ES"/>
        </w:rPr>
      </w:pPr>
      <w:r w:rsidRPr="005F3B14">
        <w:rPr>
          <w:lang w:val="es-ES"/>
        </w:rPr>
        <w:t>Irlanda</w:t>
      </w:r>
      <w:r w:rsidRPr="00C33F4C" w:rsidDel="00F83BD0">
        <w:rPr>
          <w:rFonts w:eastAsia="Calibri"/>
          <w:lang w:val="es-ES" w:eastAsia="en-US"/>
        </w:rPr>
        <w:t xml:space="preserve"> </w:t>
      </w:r>
    </w:p>
    <w:p w14:paraId="13A36AAD" w14:textId="77777777" w:rsidR="00FB24C0" w:rsidRPr="005F3B14" w:rsidRDefault="00FB24C0" w:rsidP="00FB24C0">
      <w:pPr>
        <w:spacing w:after="0" w:line="240" w:lineRule="auto"/>
        <w:ind w:left="0" w:firstLine="0"/>
        <w:rPr>
          <w:color w:val="auto"/>
          <w:lang w:val="es-ES"/>
        </w:rPr>
      </w:pPr>
    </w:p>
    <w:p w14:paraId="7F4039FF" w14:textId="77777777" w:rsidR="00BC7B77" w:rsidRPr="005F3B14" w:rsidRDefault="00BC7B77" w:rsidP="00FB24C0">
      <w:pPr>
        <w:spacing w:after="0" w:line="240" w:lineRule="auto"/>
        <w:ind w:left="0" w:firstLine="0"/>
        <w:rPr>
          <w:color w:val="auto"/>
          <w:lang w:val="es-ES"/>
        </w:rPr>
      </w:pPr>
    </w:p>
    <w:p w14:paraId="5DFDF2F5" w14:textId="77777777" w:rsidR="00FB24C0" w:rsidRPr="00443040" w:rsidRDefault="00FB24C0" w:rsidP="00FB24C0">
      <w:pPr>
        <w:keepNext/>
        <w:spacing w:after="0" w:line="240" w:lineRule="auto"/>
        <w:ind w:left="567" w:hanging="567"/>
        <w:rPr>
          <w:b/>
          <w:color w:val="auto"/>
          <w:lang w:val="es-ES"/>
        </w:rPr>
      </w:pPr>
      <w:r w:rsidRPr="00443040">
        <w:rPr>
          <w:b/>
          <w:color w:val="auto"/>
          <w:lang w:val="es-ES"/>
        </w:rPr>
        <w:t>8.</w:t>
      </w:r>
      <w:r w:rsidRPr="00443040">
        <w:rPr>
          <w:b/>
          <w:color w:val="auto"/>
          <w:lang w:val="es-ES"/>
        </w:rPr>
        <w:tab/>
        <w:t>NÚMERO(S) DE AUTORIZACIÓN DE COMERCIALIZACIÓN</w:t>
      </w:r>
    </w:p>
    <w:p w14:paraId="725E7CA3" w14:textId="77777777" w:rsidR="00FB24C0" w:rsidRPr="006D35C1" w:rsidRDefault="00FB24C0" w:rsidP="00FB24C0">
      <w:pPr>
        <w:spacing w:after="0" w:line="240" w:lineRule="auto"/>
        <w:ind w:left="0" w:firstLine="0"/>
        <w:rPr>
          <w:color w:val="auto"/>
          <w:lang w:val="es-ES"/>
        </w:rPr>
      </w:pPr>
    </w:p>
    <w:p w14:paraId="5D666234" w14:textId="77777777" w:rsidR="00E72F5D" w:rsidRPr="00273C0C" w:rsidRDefault="00E72F5D" w:rsidP="00E72F5D">
      <w:pPr>
        <w:pStyle w:val="Default"/>
        <w:widowControl/>
        <w:rPr>
          <w:rFonts w:cs="Verdana"/>
          <w:sz w:val="22"/>
          <w:szCs w:val="22"/>
          <w:lang w:val="es-ES"/>
        </w:rPr>
      </w:pPr>
      <w:r w:rsidRPr="00273C0C">
        <w:rPr>
          <w:rFonts w:cs="Verdana"/>
          <w:sz w:val="22"/>
          <w:szCs w:val="22"/>
          <w:lang w:val="es-ES"/>
        </w:rPr>
        <w:t>EU/1/17/1246/001</w:t>
      </w:r>
    </w:p>
    <w:p w14:paraId="3BD2476C" w14:textId="77777777" w:rsidR="00E72F5D" w:rsidRPr="00273C0C" w:rsidRDefault="00E72F5D" w:rsidP="00E72F5D">
      <w:pPr>
        <w:pStyle w:val="Default"/>
        <w:widowControl/>
        <w:rPr>
          <w:rFonts w:cs="Verdana"/>
          <w:sz w:val="22"/>
          <w:szCs w:val="22"/>
          <w:lang w:val="es-ES"/>
        </w:rPr>
      </w:pPr>
      <w:r w:rsidRPr="00273C0C">
        <w:rPr>
          <w:rFonts w:cs="Verdana"/>
          <w:sz w:val="22"/>
          <w:szCs w:val="22"/>
          <w:lang w:val="es-ES"/>
        </w:rPr>
        <w:t>EU/1/17/1246/002</w:t>
      </w:r>
    </w:p>
    <w:p w14:paraId="2DE07F0A" w14:textId="5D91901A" w:rsidR="00FB24C0" w:rsidRDefault="00FB24C0" w:rsidP="00FB24C0">
      <w:pPr>
        <w:spacing w:after="0" w:line="240" w:lineRule="auto"/>
        <w:ind w:left="0" w:firstLine="0"/>
        <w:rPr>
          <w:color w:val="auto"/>
          <w:lang w:val="es-ES"/>
        </w:rPr>
      </w:pPr>
    </w:p>
    <w:p w14:paraId="3452162E" w14:textId="77777777" w:rsidR="00B53DBC" w:rsidRPr="006D35C1" w:rsidRDefault="00B53DBC" w:rsidP="00FB24C0">
      <w:pPr>
        <w:spacing w:after="0" w:line="240" w:lineRule="auto"/>
        <w:ind w:left="0" w:firstLine="0"/>
        <w:rPr>
          <w:color w:val="auto"/>
          <w:lang w:val="es-ES"/>
        </w:rPr>
      </w:pPr>
    </w:p>
    <w:p w14:paraId="187665FF" w14:textId="77777777" w:rsidR="00FB24C0" w:rsidRPr="00443040" w:rsidRDefault="00FB24C0" w:rsidP="00FB24C0">
      <w:pPr>
        <w:keepNext/>
        <w:spacing w:after="0" w:line="240" w:lineRule="auto"/>
        <w:ind w:left="567" w:hanging="567"/>
        <w:rPr>
          <w:b/>
          <w:color w:val="auto"/>
          <w:lang w:val="es-ES"/>
        </w:rPr>
      </w:pPr>
      <w:r w:rsidRPr="00443040">
        <w:rPr>
          <w:b/>
          <w:color w:val="auto"/>
          <w:lang w:val="es-ES"/>
        </w:rPr>
        <w:t>9.</w:t>
      </w:r>
      <w:r w:rsidRPr="00443040">
        <w:rPr>
          <w:b/>
          <w:color w:val="auto"/>
          <w:lang w:val="es-ES"/>
        </w:rPr>
        <w:tab/>
        <w:t>FECHA DE LA PRIMERA AUTORIZACIÓN/RENOVACIÓN DE LA AUTORIZACIÓN</w:t>
      </w:r>
    </w:p>
    <w:p w14:paraId="1133A66E" w14:textId="77777777" w:rsidR="00FB24C0" w:rsidRPr="006D35C1" w:rsidRDefault="00FB24C0" w:rsidP="00FB24C0">
      <w:pPr>
        <w:keepNext/>
        <w:spacing w:after="0" w:line="240" w:lineRule="auto"/>
        <w:ind w:left="0" w:firstLine="0"/>
        <w:rPr>
          <w:i/>
          <w:color w:val="auto"/>
          <w:lang w:val="es-ES"/>
        </w:rPr>
      </w:pPr>
    </w:p>
    <w:p w14:paraId="058485AF" w14:textId="2A35CF3A" w:rsidR="00FB24C0" w:rsidRDefault="00FB24C0">
      <w:pPr>
        <w:spacing w:after="0" w:line="240" w:lineRule="auto"/>
        <w:ind w:left="0" w:firstLine="0"/>
        <w:rPr>
          <w:color w:val="auto"/>
          <w:lang w:val="es-ES"/>
        </w:rPr>
      </w:pPr>
      <w:r w:rsidRPr="006D35C1">
        <w:rPr>
          <w:color w:val="auto"/>
          <w:lang w:val="es-ES"/>
        </w:rPr>
        <w:t xml:space="preserve">Fecha de la primera autorización: </w:t>
      </w:r>
      <w:r w:rsidR="000F6823" w:rsidRPr="000F6823">
        <w:rPr>
          <w:color w:val="auto"/>
          <w:lang w:val="es-ES"/>
        </w:rPr>
        <w:t>1</w:t>
      </w:r>
      <w:r w:rsidR="000F6823">
        <w:rPr>
          <w:color w:val="auto"/>
          <w:lang w:val="es-ES"/>
        </w:rPr>
        <w:t>5</w:t>
      </w:r>
      <w:r w:rsidR="000F6823" w:rsidRPr="000F6823">
        <w:rPr>
          <w:color w:val="auto"/>
          <w:lang w:val="es-ES"/>
        </w:rPr>
        <w:t xml:space="preserve"> enero 201</w:t>
      </w:r>
      <w:r w:rsidR="000F6823">
        <w:rPr>
          <w:color w:val="auto"/>
          <w:lang w:val="es-ES"/>
        </w:rPr>
        <w:t>8</w:t>
      </w:r>
    </w:p>
    <w:p w14:paraId="59401732" w14:textId="643B7D89" w:rsidR="002B6EAC" w:rsidRPr="006D35C1" w:rsidRDefault="002B6EAC">
      <w:pPr>
        <w:spacing w:after="0" w:line="240" w:lineRule="auto"/>
        <w:ind w:left="0" w:firstLine="0"/>
        <w:rPr>
          <w:color w:val="auto"/>
          <w:lang w:val="es-ES"/>
        </w:rPr>
      </w:pPr>
      <w:r>
        <w:rPr>
          <w:color w:val="auto"/>
          <w:lang w:val="es-ES"/>
        </w:rPr>
        <w:t>Fecha de la última renovación:</w:t>
      </w:r>
      <w:r w:rsidR="00712003">
        <w:rPr>
          <w:color w:val="auto"/>
          <w:lang w:val="es-ES"/>
        </w:rPr>
        <w:t xml:space="preserve"> 21 septiembre 2022</w:t>
      </w:r>
    </w:p>
    <w:p w14:paraId="48093522" w14:textId="77777777" w:rsidR="00FB24C0" w:rsidRPr="006D35C1" w:rsidRDefault="00FB24C0" w:rsidP="00FB24C0">
      <w:pPr>
        <w:spacing w:after="0" w:line="240" w:lineRule="auto"/>
        <w:ind w:left="0" w:firstLine="0"/>
        <w:rPr>
          <w:color w:val="auto"/>
          <w:lang w:val="es-ES"/>
        </w:rPr>
      </w:pPr>
    </w:p>
    <w:p w14:paraId="244839C9" w14:textId="77777777" w:rsidR="00FB24C0" w:rsidRPr="006D35C1" w:rsidRDefault="00FB24C0" w:rsidP="00FB24C0">
      <w:pPr>
        <w:spacing w:after="0" w:line="240" w:lineRule="auto"/>
        <w:ind w:left="0" w:firstLine="0"/>
        <w:rPr>
          <w:color w:val="auto"/>
          <w:lang w:val="es-ES"/>
        </w:rPr>
      </w:pPr>
    </w:p>
    <w:p w14:paraId="01DDA519" w14:textId="77777777" w:rsidR="00FB24C0" w:rsidRPr="00443040" w:rsidRDefault="00FB24C0" w:rsidP="00FB24C0">
      <w:pPr>
        <w:keepNext/>
        <w:spacing w:after="0" w:line="240" w:lineRule="auto"/>
        <w:ind w:left="567" w:hanging="567"/>
        <w:rPr>
          <w:b/>
          <w:color w:val="auto"/>
          <w:lang w:val="es-ES"/>
        </w:rPr>
      </w:pPr>
      <w:r w:rsidRPr="00443040">
        <w:rPr>
          <w:b/>
          <w:color w:val="auto"/>
          <w:lang w:val="es-ES"/>
        </w:rPr>
        <w:t>10.</w:t>
      </w:r>
      <w:r w:rsidRPr="00443040">
        <w:rPr>
          <w:b/>
          <w:color w:val="auto"/>
          <w:lang w:val="es-ES"/>
        </w:rPr>
        <w:tab/>
        <w:t>FECHA DE LA REVISIÓN DEL TEXTO</w:t>
      </w:r>
    </w:p>
    <w:p w14:paraId="2F1351BA" w14:textId="77777777" w:rsidR="00FB24C0" w:rsidRPr="00443040" w:rsidRDefault="00FB24C0" w:rsidP="00FB24C0">
      <w:pPr>
        <w:keepNext/>
        <w:spacing w:after="0" w:line="240" w:lineRule="auto"/>
        <w:ind w:left="0" w:firstLine="0"/>
        <w:rPr>
          <w:color w:val="auto"/>
          <w:lang w:val="es-ES"/>
        </w:rPr>
      </w:pPr>
    </w:p>
    <w:p w14:paraId="2BA1C0CB" w14:textId="77777777" w:rsidR="000F6823" w:rsidRDefault="000F6823" w:rsidP="00FB24C0">
      <w:pPr>
        <w:spacing w:after="0" w:line="240" w:lineRule="auto"/>
        <w:ind w:left="0" w:firstLine="0"/>
        <w:rPr>
          <w:color w:val="auto"/>
          <w:lang w:val="es-ES"/>
        </w:rPr>
      </w:pPr>
    </w:p>
    <w:p w14:paraId="5F68C422" w14:textId="77777777" w:rsidR="000F6823" w:rsidRDefault="000F6823" w:rsidP="00FB24C0">
      <w:pPr>
        <w:spacing w:after="0" w:line="240" w:lineRule="auto"/>
        <w:ind w:left="0" w:firstLine="0"/>
        <w:rPr>
          <w:color w:val="auto"/>
          <w:lang w:val="es-ES"/>
        </w:rPr>
      </w:pPr>
    </w:p>
    <w:p w14:paraId="13331568" w14:textId="2D917A03" w:rsidR="00FB24C0" w:rsidRPr="00443040" w:rsidRDefault="00FB24C0" w:rsidP="002B6EAC">
      <w:pPr>
        <w:spacing w:after="0" w:line="240" w:lineRule="auto"/>
        <w:ind w:left="0" w:firstLine="0"/>
        <w:rPr>
          <w:color w:val="auto"/>
          <w:lang w:val="es-ES"/>
        </w:rPr>
      </w:pPr>
      <w:r w:rsidRPr="00443040">
        <w:rPr>
          <w:color w:val="auto"/>
          <w:lang w:val="es-ES"/>
        </w:rPr>
        <w:t>La información detallada de este medicamento está disponible en la página web de la Agencia Europea de Medicamentos</w:t>
      </w:r>
      <w:r w:rsidR="00455CD5" w:rsidRPr="00455CD5">
        <w:rPr>
          <w:lang w:val="sv-SE"/>
        </w:rPr>
        <w:t xml:space="preserve"> </w:t>
      </w:r>
      <w:r w:rsidR="00A75D0C">
        <w:fldChar w:fldCharType="begin"/>
      </w:r>
      <w:r w:rsidR="00A75D0C" w:rsidRPr="00CC02A8">
        <w:rPr>
          <w:lang w:val="it-IT"/>
          <w:rPrChange w:id="4" w:author="Author">
            <w:rPr/>
          </w:rPrChange>
        </w:rPr>
        <w:instrText>HYPERLINK "http://www.ema.europa.eu"</w:instrText>
      </w:r>
      <w:r w:rsidR="00A75D0C">
        <w:fldChar w:fldCharType="separate"/>
      </w:r>
      <w:r w:rsidR="00A75D0C" w:rsidRPr="00A75D0C">
        <w:rPr>
          <w:rStyle w:val="Hyperlink"/>
          <w:lang w:val="es-ES"/>
        </w:rPr>
        <w:t>http://www.ema.europa.eu</w:t>
      </w:r>
      <w:r w:rsidR="00A75D0C">
        <w:fldChar w:fldCharType="end"/>
      </w:r>
      <w:r w:rsidR="00C21F1E">
        <w:rPr>
          <w:color w:val="auto"/>
          <w:lang w:val="es-ES"/>
        </w:rPr>
        <w:t>.</w:t>
      </w:r>
    </w:p>
    <w:p w14:paraId="29C8F02E" w14:textId="77777777" w:rsidR="00FB24C0" w:rsidRPr="00443040" w:rsidRDefault="00FB24C0" w:rsidP="00FB24C0">
      <w:pPr>
        <w:spacing w:after="0" w:line="240" w:lineRule="auto"/>
        <w:ind w:left="0" w:firstLine="0"/>
        <w:rPr>
          <w:color w:val="auto"/>
          <w:lang w:val="es-ES"/>
        </w:rPr>
      </w:pPr>
      <w:r w:rsidRPr="00443040">
        <w:rPr>
          <w:color w:val="auto"/>
          <w:lang w:val="es-ES"/>
        </w:rPr>
        <w:br w:type="page"/>
      </w:r>
    </w:p>
    <w:p w14:paraId="1CAE1469" w14:textId="77777777" w:rsidR="00B93E4E" w:rsidRPr="007C7557" w:rsidRDefault="00B93E4E" w:rsidP="00B93E4E">
      <w:pPr>
        <w:numPr>
          <w:ilvl w:val="12"/>
          <w:numId w:val="0"/>
        </w:numPr>
        <w:spacing w:line="240" w:lineRule="auto"/>
        <w:ind w:right="-2"/>
        <w:rPr>
          <w:noProof/>
          <w:lang w:val="es-ES"/>
        </w:rPr>
      </w:pPr>
    </w:p>
    <w:p w14:paraId="5D51C321" w14:textId="77777777" w:rsidR="00B93E4E" w:rsidRPr="007C7557" w:rsidRDefault="00B93E4E" w:rsidP="00B93E4E">
      <w:pPr>
        <w:spacing w:line="240" w:lineRule="auto"/>
        <w:rPr>
          <w:noProof/>
          <w:lang w:val="es-ES"/>
        </w:rPr>
      </w:pPr>
    </w:p>
    <w:p w14:paraId="24B7B1AA" w14:textId="77777777" w:rsidR="00B93E4E" w:rsidRPr="007C7557" w:rsidRDefault="00B93E4E" w:rsidP="00B93E4E">
      <w:pPr>
        <w:spacing w:line="240" w:lineRule="auto"/>
        <w:rPr>
          <w:lang w:val="es-ES"/>
        </w:rPr>
      </w:pPr>
    </w:p>
    <w:p w14:paraId="36279715" w14:textId="77777777" w:rsidR="00B93E4E" w:rsidRPr="007C7557" w:rsidRDefault="00B93E4E" w:rsidP="00B93E4E">
      <w:pPr>
        <w:spacing w:line="240" w:lineRule="auto"/>
        <w:rPr>
          <w:lang w:val="es-ES"/>
        </w:rPr>
      </w:pPr>
    </w:p>
    <w:p w14:paraId="27DBCFAE" w14:textId="77777777" w:rsidR="00B93E4E" w:rsidRPr="007C7557" w:rsidRDefault="00B93E4E" w:rsidP="00B93E4E">
      <w:pPr>
        <w:spacing w:line="240" w:lineRule="auto"/>
        <w:rPr>
          <w:lang w:val="es-ES"/>
        </w:rPr>
      </w:pPr>
    </w:p>
    <w:p w14:paraId="36BB11E4" w14:textId="77777777" w:rsidR="00B93E4E" w:rsidRPr="007C7557" w:rsidRDefault="00B93E4E" w:rsidP="00B93E4E">
      <w:pPr>
        <w:spacing w:line="240" w:lineRule="auto"/>
        <w:rPr>
          <w:lang w:val="es-ES"/>
        </w:rPr>
      </w:pPr>
    </w:p>
    <w:p w14:paraId="41AA1CD6" w14:textId="77777777" w:rsidR="00B93E4E" w:rsidRPr="007C7557" w:rsidRDefault="00B93E4E" w:rsidP="00B93E4E">
      <w:pPr>
        <w:spacing w:line="240" w:lineRule="auto"/>
        <w:rPr>
          <w:lang w:val="es-ES"/>
        </w:rPr>
      </w:pPr>
    </w:p>
    <w:p w14:paraId="362122BF" w14:textId="77777777" w:rsidR="00B93E4E" w:rsidRPr="007C7557" w:rsidRDefault="00B93E4E" w:rsidP="00B93E4E">
      <w:pPr>
        <w:spacing w:line="240" w:lineRule="auto"/>
        <w:rPr>
          <w:lang w:val="es-ES"/>
        </w:rPr>
      </w:pPr>
    </w:p>
    <w:p w14:paraId="303ECD88" w14:textId="77777777" w:rsidR="00B93E4E" w:rsidRPr="007C7557" w:rsidRDefault="00B93E4E" w:rsidP="00B93E4E">
      <w:pPr>
        <w:spacing w:line="240" w:lineRule="auto"/>
        <w:rPr>
          <w:lang w:val="es-ES"/>
        </w:rPr>
      </w:pPr>
    </w:p>
    <w:p w14:paraId="745FB391" w14:textId="77777777" w:rsidR="00B93E4E" w:rsidRPr="007C7557" w:rsidRDefault="00B93E4E" w:rsidP="00B93E4E">
      <w:pPr>
        <w:spacing w:line="240" w:lineRule="auto"/>
        <w:rPr>
          <w:lang w:val="es-ES"/>
        </w:rPr>
      </w:pPr>
    </w:p>
    <w:p w14:paraId="1678C7BA" w14:textId="77777777" w:rsidR="00B93E4E" w:rsidRPr="007C7557" w:rsidRDefault="00B93E4E" w:rsidP="00B93E4E">
      <w:pPr>
        <w:spacing w:line="240" w:lineRule="auto"/>
        <w:rPr>
          <w:lang w:val="es-ES"/>
        </w:rPr>
      </w:pPr>
    </w:p>
    <w:p w14:paraId="3292DC66" w14:textId="77777777" w:rsidR="00B93E4E" w:rsidRPr="007C7557" w:rsidRDefault="00B93E4E" w:rsidP="00B93E4E">
      <w:pPr>
        <w:spacing w:line="240" w:lineRule="auto"/>
        <w:rPr>
          <w:lang w:val="es-ES"/>
        </w:rPr>
      </w:pPr>
    </w:p>
    <w:p w14:paraId="471E06E0" w14:textId="77777777" w:rsidR="00B93E4E" w:rsidRPr="007C7557" w:rsidRDefault="00B93E4E" w:rsidP="00B93E4E">
      <w:pPr>
        <w:spacing w:line="240" w:lineRule="auto"/>
        <w:rPr>
          <w:lang w:val="es-ES"/>
        </w:rPr>
      </w:pPr>
    </w:p>
    <w:p w14:paraId="65FAA6B3" w14:textId="77777777" w:rsidR="00B93E4E" w:rsidRPr="007C7557" w:rsidRDefault="00B93E4E" w:rsidP="00B93E4E">
      <w:pPr>
        <w:spacing w:line="240" w:lineRule="auto"/>
        <w:rPr>
          <w:lang w:val="es-ES"/>
        </w:rPr>
      </w:pPr>
    </w:p>
    <w:p w14:paraId="5BDA0D5F" w14:textId="77777777" w:rsidR="00B93E4E" w:rsidRPr="007C7557" w:rsidRDefault="00B93E4E" w:rsidP="00B93E4E">
      <w:pPr>
        <w:spacing w:line="240" w:lineRule="auto"/>
        <w:rPr>
          <w:lang w:val="es-ES"/>
        </w:rPr>
      </w:pPr>
    </w:p>
    <w:p w14:paraId="573FE860" w14:textId="77777777" w:rsidR="00B93E4E" w:rsidRPr="007C7557" w:rsidRDefault="00B93E4E" w:rsidP="00B93E4E">
      <w:pPr>
        <w:spacing w:line="240" w:lineRule="auto"/>
        <w:rPr>
          <w:lang w:val="es-ES"/>
        </w:rPr>
      </w:pPr>
    </w:p>
    <w:p w14:paraId="49C2962C" w14:textId="77777777" w:rsidR="00B93E4E" w:rsidRPr="007C7557" w:rsidRDefault="00B93E4E" w:rsidP="00B93E4E">
      <w:pPr>
        <w:spacing w:line="240" w:lineRule="auto"/>
        <w:rPr>
          <w:lang w:val="es-ES"/>
        </w:rPr>
      </w:pPr>
    </w:p>
    <w:p w14:paraId="4907F405" w14:textId="77777777" w:rsidR="00B93E4E" w:rsidRPr="007C7557" w:rsidRDefault="00B93E4E" w:rsidP="00B93E4E">
      <w:pPr>
        <w:spacing w:line="240" w:lineRule="auto"/>
        <w:rPr>
          <w:lang w:val="es-ES"/>
        </w:rPr>
      </w:pPr>
    </w:p>
    <w:p w14:paraId="51293C15" w14:textId="77777777" w:rsidR="00B93E4E" w:rsidRPr="007C7557" w:rsidRDefault="00B93E4E" w:rsidP="00B93E4E">
      <w:pPr>
        <w:spacing w:line="240" w:lineRule="auto"/>
        <w:rPr>
          <w:lang w:val="es-ES"/>
        </w:rPr>
      </w:pPr>
    </w:p>
    <w:p w14:paraId="35F2CA6B" w14:textId="77777777" w:rsidR="00B93E4E" w:rsidRPr="007C7557" w:rsidRDefault="00B93E4E" w:rsidP="00B93E4E">
      <w:pPr>
        <w:spacing w:line="240" w:lineRule="auto"/>
        <w:rPr>
          <w:lang w:val="es-ES"/>
        </w:rPr>
      </w:pPr>
    </w:p>
    <w:p w14:paraId="3E4C4E14" w14:textId="77777777" w:rsidR="00B93E4E" w:rsidRPr="007C7557" w:rsidRDefault="00B93E4E" w:rsidP="00B93E4E">
      <w:pPr>
        <w:spacing w:line="240" w:lineRule="auto"/>
        <w:rPr>
          <w:lang w:val="es-ES"/>
        </w:rPr>
      </w:pPr>
    </w:p>
    <w:p w14:paraId="699DEC80" w14:textId="77777777" w:rsidR="00B93E4E" w:rsidRPr="007C7557" w:rsidRDefault="00B93E4E" w:rsidP="00B93E4E">
      <w:pPr>
        <w:spacing w:line="240" w:lineRule="auto"/>
        <w:rPr>
          <w:lang w:val="es-ES"/>
        </w:rPr>
      </w:pPr>
    </w:p>
    <w:p w14:paraId="6A86CA68" w14:textId="77777777" w:rsidR="00B93E4E" w:rsidRPr="00EE3920" w:rsidRDefault="00B93E4E" w:rsidP="00B93E4E">
      <w:pPr>
        <w:spacing w:line="240" w:lineRule="auto"/>
        <w:jc w:val="center"/>
      </w:pPr>
      <w:r w:rsidRPr="00EE3920">
        <w:rPr>
          <w:b/>
        </w:rPr>
        <w:t>ANEXO II</w:t>
      </w:r>
    </w:p>
    <w:p w14:paraId="500FE4CD" w14:textId="77777777" w:rsidR="00B93E4E" w:rsidRPr="00EE3920" w:rsidRDefault="00B93E4E" w:rsidP="00B93E4E">
      <w:pPr>
        <w:spacing w:line="240" w:lineRule="auto"/>
        <w:ind w:right="1416"/>
      </w:pPr>
    </w:p>
    <w:p w14:paraId="0CC97154" w14:textId="3862EBD9" w:rsidR="00B93E4E" w:rsidRPr="007C7557" w:rsidRDefault="00B93E4E" w:rsidP="00B93E4E">
      <w:pPr>
        <w:numPr>
          <w:ilvl w:val="0"/>
          <w:numId w:val="61"/>
        </w:numPr>
        <w:tabs>
          <w:tab w:val="left" w:pos="567"/>
          <w:tab w:val="left" w:pos="1701"/>
        </w:tabs>
        <w:spacing w:after="0" w:line="240" w:lineRule="auto"/>
        <w:ind w:right="1418"/>
        <w:rPr>
          <w:b/>
          <w:lang w:val="es-ES"/>
        </w:rPr>
      </w:pPr>
      <w:r>
        <w:rPr>
          <w:b/>
          <w:lang w:val="es-ES"/>
        </w:rPr>
        <w:t>FABRICANTE</w:t>
      </w:r>
      <w:r w:rsidR="00D03D1C">
        <w:rPr>
          <w:b/>
          <w:lang w:val="es-ES"/>
        </w:rPr>
        <w:t>S</w:t>
      </w:r>
      <w:r w:rsidRPr="00B93E4E">
        <w:rPr>
          <w:b/>
          <w:lang w:val="es-ES"/>
        </w:rPr>
        <w:t xml:space="preserve"> DEL PRINCIPIO</w:t>
      </w:r>
      <w:r w:rsidRPr="007C7557">
        <w:rPr>
          <w:b/>
          <w:lang w:val="es-ES"/>
        </w:rPr>
        <w:t xml:space="preserve"> ACTIVO BIOLÓGICO Y FABRICANTE</w:t>
      </w:r>
      <w:r w:rsidR="00455C73">
        <w:rPr>
          <w:b/>
          <w:lang w:val="es-ES"/>
        </w:rPr>
        <w:t>S</w:t>
      </w:r>
      <w:r w:rsidRPr="007C7557">
        <w:rPr>
          <w:b/>
          <w:lang w:val="es-ES"/>
        </w:rPr>
        <w:t xml:space="preserve"> RESPONSABLE</w:t>
      </w:r>
      <w:r w:rsidR="00455C73">
        <w:rPr>
          <w:b/>
          <w:lang w:val="es-ES"/>
        </w:rPr>
        <w:t>S</w:t>
      </w:r>
      <w:r w:rsidRPr="007C7557">
        <w:rPr>
          <w:b/>
          <w:lang w:val="es-ES"/>
        </w:rPr>
        <w:t xml:space="preserve"> DE LA LIBERACIÓN DE LOS LOTES</w:t>
      </w:r>
    </w:p>
    <w:p w14:paraId="270D69BA" w14:textId="77777777" w:rsidR="00B93E4E" w:rsidRPr="007C7557" w:rsidRDefault="00B93E4E" w:rsidP="00B93E4E">
      <w:pPr>
        <w:spacing w:line="240" w:lineRule="auto"/>
        <w:ind w:left="567" w:hanging="1701"/>
        <w:rPr>
          <w:lang w:val="es-ES"/>
        </w:rPr>
      </w:pPr>
    </w:p>
    <w:p w14:paraId="489DBF9D" w14:textId="77777777" w:rsidR="00B93E4E" w:rsidRPr="007C7557" w:rsidRDefault="00B93E4E" w:rsidP="00B93E4E">
      <w:pPr>
        <w:numPr>
          <w:ilvl w:val="0"/>
          <w:numId w:val="61"/>
        </w:numPr>
        <w:tabs>
          <w:tab w:val="left" w:pos="567"/>
          <w:tab w:val="left" w:pos="1701"/>
        </w:tabs>
        <w:spacing w:after="0" w:line="240" w:lineRule="auto"/>
        <w:ind w:right="1418"/>
        <w:rPr>
          <w:b/>
          <w:lang w:val="es-ES"/>
        </w:rPr>
      </w:pPr>
      <w:r w:rsidRPr="007C7557">
        <w:rPr>
          <w:b/>
          <w:lang w:val="es-ES"/>
        </w:rPr>
        <w:t>CONDICIONES O RESTRICCIONES DE SUMINISTRO Y USO</w:t>
      </w:r>
    </w:p>
    <w:p w14:paraId="66CCC8F8" w14:textId="77777777" w:rsidR="00B93E4E" w:rsidRPr="007C7557" w:rsidRDefault="00B93E4E" w:rsidP="00B93E4E">
      <w:pPr>
        <w:spacing w:line="240" w:lineRule="auto"/>
        <w:ind w:left="567" w:hanging="567"/>
        <w:rPr>
          <w:lang w:val="es-ES"/>
        </w:rPr>
      </w:pPr>
    </w:p>
    <w:p w14:paraId="5946B140" w14:textId="77777777" w:rsidR="00B93E4E" w:rsidRPr="007C7557" w:rsidRDefault="00B93E4E" w:rsidP="00B93E4E">
      <w:pPr>
        <w:numPr>
          <w:ilvl w:val="0"/>
          <w:numId w:val="61"/>
        </w:numPr>
        <w:tabs>
          <w:tab w:val="left" w:pos="567"/>
          <w:tab w:val="left" w:pos="1701"/>
        </w:tabs>
        <w:spacing w:after="0" w:line="240" w:lineRule="auto"/>
        <w:ind w:right="1418"/>
        <w:rPr>
          <w:b/>
          <w:lang w:val="es-ES"/>
        </w:rPr>
      </w:pPr>
      <w:r w:rsidRPr="007C7557">
        <w:rPr>
          <w:b/>
          <w:lang w:val="es-ES"/>
        </w:rPr>
        <w:t>OTRAS CONDICIONES Y REQUISITOS DE LA AUTORIZACIÓN DE COMERCIALIZACIÓN</w:t>
      </w:r>
    </w:p>
    <w:p w14:paraId="080AD851" w14:textId="77777777" w:rsidR="00B93E4E" w:rsidRPr="007C7557" w:rsidRDefault="00B93E4E" w:rsidP="00B93E4E">
      <w:pPr>
        <w:spacing w:line="240" w:lineRule="auto"/>
        <w:ind w:right="1558"/>
        <w:rPr>
          <w:b/>
          <w:lang w:val="es-ES"/>
        </w:rPr>
      </w:pPr>
    </w:p>
    <w:p w14:paraId="23195CC4" w14:textId="77777777" w:rsidR="00B93E4E" w:rsidRPr="007C7557" w:rsidRDefault="00B93E4E" w:rsidP="00B93E4E">
      <w:pPr>
        <w:numPr>
          <w:ilvl w:val="0"/>
          <w:numId w:val="61"/>
        </w:numPr>
        <w:tabs>
          <w:tab w:val="left" w:pos="567"/>
          <w:tab w:val="left" w:pos="1701"/>
        </w:tabs>
        <w:spacing w:after="0" w:line="240" w:lineRule="auto"/>
        <w:ind w:right="1418"/>
        <w:rPr>
          <w:b/>
          <w:lang w:val="es-ES"/>
        </w:rPr>
      </w:pPr>
      <w:r w:rsidRPr="007C7557">
        <w:rPr>
          <w:b/>
          <w:caps/>
          <w:lang w:val="es-ES"/>
        </w:rPr>
        <w:t>CONDICIONES O RESTRICCIONES EN RELACIÓN CON LA UTILIZACIÓN SEGURA Y EFICAZ DEL MEDICAMENTO</w:t>
      </w:r>
    </w:p>
    <w:p w14:paraId="09DB33A1" w14:textId="45FEB74D" w:rsidR="00B93E4E" w:rsidRPr="007C7557" w:rsidRDefault="00B93E4E" w:rsidP="00EF0812">
      <w:pPr>
        <w:pStyle w:val="TitleB"/>
      </w:pPr>
      <w:r w:rsidRPr="007C7557">
        <w:br w:type="page"/>
      </w:r>
      <w:r w:rsidR="00455C73" w:rsidRPr="007C7557">
        <w:lastRenderedPageBreak/>
        <w:t>FABRICANTE</w:t>
      </w:r>
      <w:r w:rsidR="00D03D1C">
        <w:t>S</w:t>
      </w:r>
      <w:r w:rsidR="00455C73" w:rsidRPr="007C7557">
        <w:t xml:space="preserve"> DEL </w:t>
      </w:r>
      <w:r w:rsidRPr="007C7557">
        <w:t>PRINCIPIO</w:t>
      </w:r>
      <w:r w:rsidR="00455C73" w:rsidRPr="007C7557">
        <w:t xml:space="preserve"> ACTIVO</w:t>
      </w:r>
      <w:r w:rsidRPr="007C7557">
        <w:t xml:space="preserve"> B</w:t>
      </w:r>
      <w:r w:rsidR="00455C73" w:rsidRPr="007C7557">
        <w:t>IOLÓGICO</w:t>
      </w:r>
      <w:r w:rsidRPr="007C7557">
        <w:t xml:space="preserve"> Y FABRICANTE</w:t>
      </w:r>
      <w:r w:rsidR="00455C73">
        <w:t>S</w:t>
      </w:r>
      <w:r w:rsidRPr="007C7557">
        <w:t xml:space="preserve"> RESPONSABLES DE LA LIBERACIÓN DE LOS LOTES</w:t>
      </w:r>
    </w:p>
    <w:p w14:paraId="39584D8D" w14:textId="77777777" w:rsidR="00B93E4E" w:rsidRPr="007C7557" w:rsidRDefault="00B93E4E" w:rsidP="00B93E4E">
      <w:pPr>
        <w:keepNext/>
        <w:spacing w:line="240" w:lineRule="auto"/>
        <w:ind w:right="1416"/>
        <w:rPr>
          <w:lang w:val="es-ES"/>
        </w:rPr>
      </w:pPr>
    </w:p>
    <w:p w14:paraId="0BA3FE8E" w14:textId="3930D163" w:rsidR="00B93E4E" w:rsidRPr="007C7557" w:rsidRDefault="00B93E4E" w:rsidP="00B93E4E">
      <w:pPr>
        <w:spacing w:line="240" w:lineRule="auto"/>
        <w:outlineLvl w:val="0"/>
        <w:rPr>
          <w:u w:val="single"/>
          <w:lang w:val="es-ES"/>
        </w:rPr>
      </w:pPr>
      <w:r>
        <w:rPr>
          <w:u w:val="single"/>
          <w:lang w:val="es-ES"/>
        </w:rPr>
        <w:t>Nombre y dirección de</w:t>
      </w:r>
      <w:r w:rsidR="0084016D">
        <w:rPr>
          <w:u w:val="single"/>
          <w:lang w:val="es-ES"/>
        </w:rPr>
        <w:t xml:space="preserve"> </w:t>
      </w:r>
      <w:r>
        <w:rPr>
          <w:u w:val="single"/>
          <w:lang w:val="es-ES"/>
        </w:rPr>
        <w:t>l</w:t>
      </w:r>
      <w:r w:rsidR="0084016D">
        <w:rPr>
          <w:u w:val="single"/>
          <w:lang w:val="es-ES"/>
        </w:rPr>
        <w:t>os</w:t>
      </w:r>
      <w:r>
        <w:rPr>
          <w:u w:val="single"/>
          <w:lang w:val="es-ES"/>
        </w:rPr>
        <w:t xml:space="preserve"> </w:t>
      </w:r>
      <w:r w:rsidRPr="00B93E4E">
        <w:rPr>
          <w:u w:val="single"/>
          <w:lang w:val="es-ES"/>
        </w:rPr>
        <w:t>fabricante</w:t>
      </w:r>
      <w:r w:rsidR="00D03D1C">
        <w:rPr>
          <w:u w:val="single"/>
          <w:lang w:val="es-ES"/>
        </w:rPr>
        <w:t>s</w:t>
      </w:r>
      <w:r>
        <w:rPr>
          <w:u w:val="single"/>
          <w:lang w:val="es-ES"/>
        </w:rPr>
        <w:t xml:space="preserve"> del </w:t>
      </w:r>
      <w:r w:rsidRPr="00B93E4E">
        <w:rPr>
          <w:u w:val="single"/>
          <w:lang w:val="es-ES"/>
        </w:rPr>
        <w:t>principio activo</w:t>
      </w:r>
      <w:r w:rsidRPr="007C7557">
        <w:rPr>
          <w:u w:val="single"/>
          <w:lang w:val="es-ES"/>
        </w:rPr>
        <w:t xml:space="preserve"> biológico.</w:t>
      </w:r>
    </w:p>
    <w:p w14:paraId="73712EB3" w14:textId="77777777" w:rsidR="00B93E4E" w:rsidRDefault="00B93E4E" w:rsidP="00B93E4E">
      <w:pPr>
        <w:widowControl w:val="0"/>
        <w:autoSpaceDE w:val="0"/>
        <w:autoSpaceDN w:val="0"/>
        <w:adjustRightInd w:val="0"/>
      </w:pPr>
      <w:r>
        <w:t>Amgen Inc</w:t>
      </w:r>
    </w:p>
    <w:p w14:paraId="58197200" w14:textId="77777777" w:rsidR="00B93E4E" w:rsidRDefault="00B93E4E" w:rsidP="00B93E4E">
      <w:pPr>
        <w:widowControl w:val="0"/>
        <w:autoSpaceDE w:val="0"/>
        <w:autoSpaceDN w:val="0"/>
        <w:adjustRightInd w:val="0"/>
      </w:pPr>
      <w:r>
        <w:t xml:space="preserve">1 Amgen </w:t>
      </w:r>
      <w:proofErr w:type="spellStart"/>
      <w:r>
        <w:t>Center</w:t>
      </w:r>
      <w:proofErr w:type="spellEnd"/>
      <w:r>
        <w:t xml:space="preserve"> Drive</w:t>
      </w:r>
    </w:p>
    <w:p w14:paraId="51614CC9" w14:textId="77777777" w:rsidR="00B93E4E" w:rsidRPr="00A118BA" w:rsidRDefault="00B93E4E" w:rsidP="00B93E4E">
      <w:pPr>
        <w:widowControl w:val="0"/>
        <w:autoSpaceDE w:val="0"/>
        <w:autoSpaceDN w:val="0"/>
        <w:adjustRightInd w:val="0"/>
        <w:rPr>
          <w:lang w:val="en-US"/>
        </w:rPr>
      </w:pPr>
      <w:r w:rsidRPr="00A118BA">
        <w:rPr>
          <w:lang w:val="en-US"/>
        </w:rPr>
        <w:t xml:space="preserve">91320 </w:t>
      </w:r>
      <w:proofErr w:type="gramStart"/>
      <w:r w:rsidRPr="00A118BA">
        <w:rPr>
          <w:lang w:val="en-US"/>
        </w:rPr>
        <w:t>Thousand</w:t>
      </w:r>
      <w:proofErr w:type="gramEnd"/>
      <w:r w:rsidRPr="00A118BA">
        <w:rPr>
          <w:lang w:val="en-US"/>
        </w:rPr>
        <w:t xml:space="preserve"> Oaks</w:t>
      </w:r>
    </w:p>
    <w:p w14:paraId="2556BD39" w14:textId="77777777" w:rsidR="00F01B27" w:rsidRPr="009E5C5D" w:rsidRDefault="00F01B27" w:rsidP="00F01B27">
      <w:pPr>
        <w:widowControl w:val="0"/>
        <w:autoSpaceDE w:val="0"/>
        <w:autoSpaceDN w:val="0"/>
        <w:adjustRightInd w:val="0"/>
        <w:rPr>
          <w:lang w:val="en-US"/>
        </w:rPr>
      </w:pPr>
      <w:r w:rsidRPr="009E5C5D">
        <w:rPr>
          <w:lang w:val="en-US"/>
        </w:rPr>
        <w:t>California</w:t>
      </w:r>
    </w:p>
    <w:p w14:paraId="1CCB98AF" w14:textId="7E4DF3C8" w:rsidR="00B93E4E" w:rsidRPr="009E5C5D" w:rsidRDefault="00A914FC" w:rsidP="00B93E4E">
      <w:pPr>
        <w:widowControl w:val="0"/>
        <w:autoSpaceDE w:val="0"/>
        <w:autoSpaceDN w:val="0"/>
        <w:adjustRightInd w:val="0"/>
        <w:spacing w:line="240" w:lineRule="auto"/>
        <w:rPr>
          <w:lang w:val="en-US"/>
        </w:rPr>
      </w:pPr>
      <w:proofErr w:type="spellStart"/>
      <w:r w:rsidRPr="009E5C5D">
        <w:rPr>
          <w:lang w:val="en-US"/>
        </w:rPr>
        <w:t>Estados</w:t>
      </w:r>
      <w:proofErr w:type="spellEnd"/>
      <w:r w:rsidRPr="009E5C5D">
        <w:rPr>
          <w:lang w:val="en-US"/>
        </w:rPr>
        <w:t xml:space="preserve"> Unidos</w:t>
      </w:r>
    </w:p>
    <w:p w14:paraId="5DF95C4C" w14:textId="43112D23" w:rsidR="00B93E4E" w:rsidRPr="009E5C5D" w:rsidRDefault="00B93E4E" w:rsidP="00B93E4E">
      <w:pPr>
        <w:spacing w:line="240" w:lineRule="auto"/>
        <w:rPr>
          <w:lang w:val="en-US"/>
        </w:rPr>
      </w:pPr>
    </w:p>
    <w:p w14:paraId="030E75C6" w14:textId="77777777" w:rsidR="004E0AAE" w:rsidRPr="009E5C5D" w:rsidRDefault="004E0AAE" w:rsidP="004E0AAE">
      <w:pPr>
        <w:widowControl w:val="0"/>
        <w:autoSpaceDE w:val="0"/>
        <w:autoSpaceDN w:val="0"/>
        <w:adjustRightInd w:val="0"/>
        <w:rPr>
          <w:lang w:val="en-US"/>
        </w:rPr>
      </w:pPr>
      <w:r w:rsidRPr="009E5C5D">
        <w:rPr>
          <w:lang w:val="en-US"/>
        </w:rPr>
        <w:t>Immunex Rhode Island Corporation</w:t>
      </w:r>
    </w:p>
    <w:p w14:paraId="5CC8F203" w14:textId="77777777" w:rsidR="004E0AAE" w:rsidRPr="00A118BA" w:rsidRDefault="004E0AAE" w:rsidP="004E0AAE">
      <w:pPr>
        <w:widowControl w:val="0"/>
        <w:autoSpaceDE w:val="0"/>
        <w:autoSpaceDN w:val="0"/>
        <w:adjustRightInd w:val="0"/>
        <w:rPr>
          <w:lang w:val="en-US"/>
        </w:rPr>
      </w:pPr>
      <w:r w:rsidRPr="00A118BA">
        <w:rPr>
          <w:lang w:val="en-US"/>
        </w:rPr>
        <w:t>40 Technology Way</w:t>
      </w:r>
    </w:p>
    <w:p w14:paraId="23F94911" w14:textId="77777777" w:rsidR="004E0AAE" w:rsidRPr="00A118BA" w:rsidRDefault="004E0AAE" w:rsidP="004E0AAE">
      <w:pPr>
        <w:widowControl w:val="0"/>
        <w:autoSpaceDE w:val="0"/>
        <w:autoSpaceDN w:val="0"/>
        <w:adjustRightInd w:val="0"/>
        <w:rPr>
          <w:lang w:val="en-US"/>
        </w:rPr>
      </w:pPr>
      <w:r w:rsidRPr="00A118BA">
        <w:rPr>
          <w:lang w:val="en-US"/>
        </w:rPr>
        <w:t>West Greenwich</w:t>
      </w:r>
    </w:p>
    <w:p w14:paraId="2D74D1D7" w14:textId="77777777" w:rsidR="004E0AAE" w:rsidRPr="007C09D3" w:rsidRDefault="004E0AAE" w:rsidP="004E0AAE">
      <w:pPr>
        <w:widowControl w:val="0"/>
        <w:autoSpaceDE w:val="0"/>
        <w:autoSpaceDN w:val="0"/>
        <w:adjustRightInd w:val="0"/>
        <w:rPr>
          <w:lang w:val="en-US"/>
        </w:rPr>
      </w:pPr>
      <w:r w:rsidRPr="007C09D3">
        <w:rPr>
          <w:lang w:val="en-US"/>
        </w:rPr>
        <w:t>Rhode Island, 02817</w:t>
      </w:r>
    </w:p>
    <w:p w14:paraId="04FD72AF" w14:textId="0D23ACDF" w:rsidR="004E0AAE" w:rsidRPr="009E5C5D" w:rsidRDefault="004E0AAE" w:rsidP="004E0AAE">
      <w:pPr>
        <w:widowControl w:val="0"/>
        <w:autoSpaceDE w:val="0"/>
        <w:autoSpaceDN w:val="0"/>
        <w:adjustRightInd w:val="0"/>
        <w:rPr>
          <w:lang w:val="en-US"/>
        </w:rPr>
      </w:pPr>
      <w:proofErr w:type="spellStart"/>
      <w:r w:rsidRPr="009E5C5D">
        <w:rPr>
          <w:lang w:val="en-US"/>
        </w:rPr>
        <w:t>Estados</w:t>
      </w:r>
      <w:proofErr w:type="spellEnd"/>
      <w:r w:rsidRPr="009E5C5D">
        <w:rPr>
          <w:lang w:val="en-US"/>
        </w:rPr>
        <w:t xml:space="preserve"> Unidos</w:t>
      </w:r>
    </w:p>
    <w:p w14:paraId="2133AEA0" w14:textId="77777777" w:rsidR="004E0AAE" w:rsidRPr="009E5C5D" w:rsidRDefault="004E0AAE" w:rsidP="004E0AAE">
      <w:pPr>
        <w:spacing w:line="240" w:lineRule="auto"/>
        <w:rPr>
          <w:lang w:val="en-US"/>
        </w:rPr>
      </w:pPr>
    </w:p>
    <w:p w14:paraId="4256C76B" w14:textId="46A3278D" w:rsidR="00B93E4E" w:rsidRPr="007C7557" w:rsidRDefault="00B93E4E" w:rsidP="00B93E4E">
      <w:pPr>
        <w:spacing w:line="240" w:lineRule="auto"/>
        <w:outlineLvl w:val="0"/>
        <w:rPr>
          <w:lang w:val="es-ES"/>
        </w:rPr>
      </w:pPr>
      <w:r w:rsidRPr="007C7557">
        <w:rPr>
          <w:u w:val="single"/>
          <w:lang w:val="es-ES"/>
        </w:rPr>
        <w:t>Nombre y dirección de</w:t>
      </w:r>
      <w:r w:rsidR="0084016D">
        <w:rPr>
          <w:u w:val="single"/>
          <w:lang w:val="es-ES"/>
        </w:rPr>
        <w:t xml:space="preserve"> </w:t>
      </w:r>
      <w:r w:rsidRPr="007C7557">
        <w:rPr>
          <w:u w:val="single"/>
          <w:lang w:val="es-ES"/>
        </w:rPr>
        <w:t>l</w:t>
      </w:r>
      <w:r w:rsidR="0084016D">
        <w:rPr>
          <w:u w:val="single"/>
          <w:lang w:val="es-ES"/>
        </w:rPr>
        <w:t>os</w:t>
      </w:r>
      <w:r w:rsidRPr="007C7557">
        <w:rPr>
          <w:u w:val="single"/>
          <w:lang w:val="es-ES"/>
        </w:rPr>
        <w:t xml:space="preserve"> fabricante</w:t>
      </w:r>
      <w:r w:rsidR="0084016D">
        <w:rPr>
          <w:u w:val="single"/>
          <w:lang w:val="es-ES"/>
        </w:rPr>
        <w:t>s</w:t>
      </w:r>
      <w:r w:rsidRPr="007C7557">
        <w:rPr>
          <w:u w:val="single"/>
          <w:lang w:val="es-ES"/>
        </w:rPr>
        <w:t xml:space="preserve"> responsable de la liberación de los lotes</w:t>
      </w:r>
    </w:p>
    <w:p w14:paraId="583AB648" w14:textId="35A31ECD" w:rsidR="00B93E4E" w:rsidRPr="00240444" w:rsidRDefault="00B93E4E" w:rsidP="00B93E4E">
      <w:pPr>
        <w:widowControl w:val="0"/>
        <w:autoSpaceDE w:val="0"/>
        <w:autoSpaceDN w:val="0"/>
        <w:adjustRightInd w:val="0"/>
        <w:rPr>
          <w:lang w:val="en-US"/>
        </w:rPr>
      </w:pPr>
      <w:r w:rsidRPr="00240444">
        <w:rPr>
          <w:lang w:val="en-US"/>
        </w:rPr>
        <w:t xml:space="preserve">Amgen Technology </w:t>
      </w:r>
      <w:r w:rsidR="00F8581C" w:rsidRPr="00240444">
        <w:rPr>
          <w:lang w:val="en-US"/>
        </w:rPr>
        <w:t>(</w:t>
      </w:r>
      <w:r w:rsidRPr="00240444">
        <w:rPr>
          <w:lang w:val="en-US"/>
        </w:rPr>
        <w:t>Ireland</w:t>
      </w:r>
      <w:r w:rsidR="00F8581C" w:rsidRPr="00240444">
        <w:rPr>
          <w:lang w:val="en-US"/>
        </w:rPr>
        <w:t>) UC,</w:t>
      </w:r>
    </w:p>
    <w:p w14:paraId="5F6FC66A" w14:textId="4DE16654" w:rsidR="00B93E4E" w:rsidRDefault="00B93E4E" w:rsidP="00B93E4E">
      <w:pPr>
        <w:widowControl w:val="0"/>
        <w:autoSpaceDE w:val="0"/>
        <w:autoSpaceDN w:val="0"/>
        <w:adjustRightInd w:val="0"/>
      </w:pPr>
      <w:r w:rsidRPr="00DE2F73">
        <w:t>Pot</w:t>
      </w:r>
      <w:r>
        <w:t>tery Road</w:t>
      </w:r>
      <w:r w:rsidR="00F8581C">
        <w:t>,</w:t>
      </w:r>
    </w:p>
    <w:p w14:paraId="5E1BBDAD" w14:textId="5B1F85C5" w:rsidR="00B93E4E" w:rsidRPr="00EE0FE2" w:rsidRDefault="00B93E4E" w:rsidP="00B93E4E">
      <w:pPr>
        <w:widowControl w:val="0"/>
        <w:autoSpaceDE w:val="0"/>
        <w:autoSpaceDN w:val="0"/>
        <w:adjustRightInd w:val="0"/>
        <w:rPr>
          <w:lang w:val="it-IT"/>
        </w:rPr>
      </w:pPr>
      <w:r w:rsidRPr="00EE0FE2">
        <w:rPr>
          <w:lang w:val="it-IT"/>
        </w:rPr>
        <w:t>Dun Laoghaire</w:t>
      </w:r>
      <w:r w:rsidR="00F8581C" w:rsidRPr="00EE0FE2">
        <w:rPr>
          <w:lang w:val="it-IT"/>
        </w:rPr>
        <w:t>,</w:t>
      </w:r>
    </w:p>
    <w:p w14:paraId="694888A3" w14:textId="53F7E47F" w:rsidR="00B93E4E" w:rsidRPr="00EE0FE2" w:rsidRDefault="00B93E4E" w:rsidP="00B93E4E">
      <w:pPr>
        <w:widowControl w:val="0"/>
        <w:autoSpaceDE w:val="0"/>
        <w:autoSpaceDN w:val="0"/>
        <w:adjustRightInd w:val="0"/>
        <w:rPr>
          <w:lang w:val="it-IT"/>
        </w:rPr>
      </w:pPr>
      <w:r w:rsidRPr="00EE0FE2">
        <w:rPr>
          <w:lang w:val="it-IT"/>
        </w:rPr>
        <w:t>Co</w:t>
      </w:r>
      <w:r w:rsidR="00F8581C" w:rsidRPr="00EE0FE2">
        <w:rPr>
          <w:lang w:val="it-IT"/>
        </w:rPr>
        <w:t>.</w:t>
      </w:r>
      <w:r w:rsidRPr="00EE0FE2">
        <w:rPr>
          <w:lang w:val="it-IT"/>
        </w:rPr>
        <w:t xml:space="preserve"> Dublin</w:t>
      </w:r>
      <w:r w:rsidR="00F8581C" w:rsidRPr="00EE0FE2">
        <w:rPr>
          <w:lang w:val="it-IT"/>
        </w:rPr>
        <w:t>,</w:t>
      </w:r>
    </w:p>
    <w:p w14:paraId="1EAEB98C" w14:textId="49DDEF96" w:rsidR="00B93E4E" w:rsidRPr="00EE0FE2" w:rsidRDefault="00B93E4E" w:rsidP="004E41E3">
      <w:pPr>
        <w:widowControl w:val="0"/>
        <w:autoSpaceDE w:val="0"/>
        <w:autoSpaceDN w:val="0"/>
        <w:adjustRightInd w:val="0"/>
        <w:spacing w:after="0" w:line="240" w:lineRule="auto"/>
        <w:ind w:left="0" w:firstLine="0"/>
        <w:rPr>
          <w:lang w:val="it-IT"/>
        </w:rPr>
        <w:pPrChange w:id="5" w:author="Author">
          <w:pPr>
            <w:widowControl w:val="0"/>
            <w:autoSpaceDE w:val="0"/>
            <w:autoSpaceDN w:val="0"/>
            <w:adjustRightInd w:val="0"/>
            <w:spacing w:line="240" w:lineRule="auto"/>
          </w:pPr>
        </w:pPrChange>
      </w:pPr>
      <w:r w:rsidRPr="00EE0FE2">
        <w:rPr>
          <w:lang w:val="it-IT"/>
        </w:rPr>
        <w:t>Irlanda</w:t>
      </w:r>
    </w:p>
    <w:p w14:paraId="4E460125" w14:textId="77777777" w:rsidR="00933900" w:rsidRDefault="00933900" w:rsidP="004E41E3">
      <w:pPr>
        <w:spacing w:after="0" w:line="240" w:lineRule="auto"/>
        <w:ind w:left="0" w:firstLine="0"/>
        <w:rPr>
          <w:ins w:id="6" w:author="Author"/>
          <w:lang w:val="nl-BE" w:eastAsia="ja-JP"/>
        </w:rPr>
        <w:pPrChange w:id="7" w:author="Author">
          <w:pPr/>
        </w:pPrChange>
      </w:pPr>
    </w:p>
    <w:p w14:paraId="2769840B" w14:textId="77777777" w:rsidR="00DE64A5" w:rsidRPr="00DE64A5" w:rsidRDefault="00DE64A5" w:rsidP="004E41E3">
      <w:pPr>
        <w:spacing w:after="0" w:line="240" w:lineRule="auto"/>
        <w:ind w:left="0" w:firstLine="0"/>
        <w:rPr>
          <w:ins w:id="8" w:author="Author"/>
          <w:lang w:val="nl-BE" w:eastAsia="ja-JP"/>
        </w:rPr>
        <w:pPrChange w:id="9" w:author="Author">
          <w:pPr/>
        </w:pPrChange>
      </w:pPr>
      <w:ins w:id="10" w:author="Author">
        <w:r w:rsidRPr="00DE64A5">
          <w:rPr>
            <w:lang w:val="nl-BE" w:eastAsia="ja-JP"/>
          </w:rPr>
          <w:t xml:space="preserve">Amgen Europe B.V. </w:t>
        </w:r>
      </w:ins>
    </w:p>
    <w:p w14:paraId="15FB5B90" w14:textId="77777777" w:rsidR="00DE64A5" w:rsidRPr="00DE64A5" w:rsidRDefault="00DE64A5" w:rsidP="004E41E3">
      <w:pPr>
        <w:spacing w:after="0" w:line="240" w:lineRule="auto"/>
        <w:ind w:left="0" w:firstLine="0"/>
        <w:rPr>
          <w:ins w:id="11" w:author="Author"/>
          <w:lang w:val="nl-BE" w:eastAsia="ja-JP"/>
        </w:rPr>
        <w:pPrChange w:id="12" w:author="Author">
          <w:pPr/>
        </w:pPrChange>
      </w:pPr>
      <w:ins w:id="13" w:author="Author">
        <w:r w:rsidRPr="00DE64A5">
          <w:rPr>
            <w:lang w:val="nl-BE" w:eastAsia="ja-JP"/>
          </w:rPr>
          <w:t xml:space="preserve">Minervum 7061 </w:t>
        </w:r>
      </w:ins>
    </w:p>
    <w:p w14:paraId="66F45450" w14:textId="77777777" w:rsidR="00DE64A5" w:rsidRPr="00DE64A5" w:rsidRDefault="00DE64A5" w:rsidP="004E41E3">
      <w:pPr>
        <w:spacing w:after="0" w:line="240" w:lineRule="auto"/>
        <w:ind w:left="0" w:firstLine="0"/>
        <w:rPr>
          <w:ins w:id="14" w:author="Author"/>
          <w:lang w:val="nl-BE" w:eastAsia="ja-JP"/>
        </w:rPr>
        <w:pPrChange w:id="15" w:author="Author">
          <w:pPr/>
        </w:pPrChange>
      </w:pPr>
      <w:ins w:id="16" w:author="Author">
        <w:r w:rsidRPr="00DE64A5">
          <w:rPr>
            <w:lang w:val="nl-BE" w:eastAsia="ja-JP"/>
          </w:rPr>
          <w:t xml:space="preserve">4817 ZK Breda </w:t>
        </w:r>
      </w:ins>
    </w:p>
    <w:p w14:paraId="534EC1E2" w14:textId="46537953" w:rsidR="00DE64A5" w:rsidRDefault="00DE64A5" w:rsidP="004E41E3">
      <w:pPr>
        <w:spacing w:after="0" w:line="240" w:lineRule="auto"/>
        <w:ind w:left="0" w:firstLine="0"/>
        <w:rPr>
          <w:ins w:id="17" w:author="Author"/>
          <w:lang w:val="nl-BE" w:eastAsia="ja-JP"/>
        </w:rPr>
        <w:pPrChange w:id="18" w:author="Author">
          <w:pPr/>
        </w:pPrChange>
      </w:pPr>
      <w:ins w:id="19" w:author="Author">
        <w:r w:rsidRPr="00DE64A5">
          <w:rPr>
            <w:lang w:val="nl-BE" w:eastAsia="ja-JP"/>
          </w:rPr>
          <w:t>Países Bajos</w:t>
        </w:r>
      </w:ins>
    </w:p>
    <w:p w14:paraId="61928024" w14:textId="77777777" w:rsidR="00DE64A5" w:rsidRDefault="00DE64A5" w:rsidP="004E41E3">
      <w:pPr>
        <w:spacing w:after="0" w:line="240" w:lineRule="auto"/>
        <w:ind w:left="0" w:firstLine="0"/>
        <w:rPr>
          <w:lang w:val="nl-BE" w:eastAsia="ja-JP"/>
        </w:rPr>
        <w:pPrChange w:id="20" w:author="Author">
          <w:pPr/>
        </w:pPrChange>
      </w:pPr>
    </w:p>
    <w:p w14:paraId="024C78FE" w14:textId="2F042D2E" w:rsidR="00933900" w:rsidRPr="00EE1BCA" w:rsidRDefault="00933900" w:rsidP="00933900">
      <w:pPr>
        <w:rPr>
          <w:lang w:val="nl-BE" w:eastAsia="ja-JP"/>
        </w:rPr>
      </w:pPr>
      <w:r w:rsidRPr="00EE1BCA">
        <w:rPr>
          <w:lang w:val="nl-BE" w:eastAsia="ja-JP"/>
        </w:rPr>
        <w:t>Amgen NV</w:t>
      </w:r>
    </w:p>
    <w:p w14:paraId="71B91979" w14:textId="77777777" w:rsidR="00E308B0" w:rsidRPr="00EE0FE2" w:rsidRDefault="00E308B0" w:rsidP="00E308B0">
      <w:pPr>
        <w:ind w:right="15"/>
        <w:rPr>
          <w:lang w:val="es-ES"/>
        </w:rPr>
      </w:pPr>
      <w:proofErr w:type="spellStart"/>
      <w:r w:rsidRPr="00EE0FE2">
        <w:rPr>
          <w:lang w:val="es-ES"/>
        </w:rPr>
        <w:t>Telecomlaan</w:t>
      </w:r>
      <w:proofErr w:type="spellEnd"/>
      <w:r w:rsidRPr="00EE0FE2">
        <w:rPr>
          <w:lang w:val="es-ES"/>
        </w:rPr>
        <w:t xml:space="preserve"> 5-7</w:t>
      </w:r>
    </w:p>
    <w:p w14:paraId="651322C7" w14:textId="77777777" w:rsidR="00E308B0" w:rsidRPr="00E308B0" w:rsidRDefault="00E308B0" w:rsidP="00E308B0">
      <w:pPr>
        <w:ind w:right="15"/>
        <w:rPr>
          <w:lang w:val="nl-NL"/>
        </w:rPr>
      </w:pPr>
      <w:r w:rsidRPr="00EE0FE2">
        <w:rPr>
          <w:lang w:val="es-ES"/>
        </w:rPr>
        <w:t xml:space="preserve">1831 </w:t>
      </w:r>
      <w:proofErr w:type="spellStart"/>
      <w:r w:rsidRPr="00EE0FE2">
        <w:rPr>
          <w:lang w:val="es-ES"/>
        </w:rPr>
        <w:t>Diegem</w:t>
      </w:r>
      <w:proofErr w:type="spellEnd"/>
    </w:p>
    <w:p w14:paraId="70163A7D" w14:textId="77777777" w:rsidR="00933900" w:rsidRPr="00EE0FE2" w:rsidRDefault="00933900" w:rsidP="00933900">
      <w:pPr>
        <w:ind w:right="15"/>
        <w:rPr>
          <w:lang w:val="es-ES"/>
        </w:rPr>
      </w:pPr>
      <w:r w:rsidRPr="00EE0FE2">
        <w:rPr>
          <w:lang w:val="es-ES"/>
        </w:rPr>
        <w:t>Bélgica</w:t>
      </w:r>
    </w:p>
    <w:p w14:paraId="0B46B3F5" w14:textId="77777777" w:rsidR="00B93E4E" w:rsidRPr="007C7557" w:rsidRDefault="00B93E4E" w:rsidP="00B93E4E">
      <w:pPr>
        <w:spacing w:line="240" w:lineRule="auto"/>
        <w:rPr>
          <w:lang w:val="es-ES"/>
        </w:rPr>
      </w:pPr>
    </w:p>
    <w:p w14:paraId="32726E2F" w14:textId="6A631E9E" w:rsidR="00B93E4E" w:rsidRPr="007C7557" w:rsidRDefault="00B93E4E" w:rsidP="00B93E4E">
      <w:pPr>
        <w:spacing w:line="240" w:lineRule="auto"/>
        <w:rPr>
          <w:lang w:val="es-ES"/>
        </w:rPr>
      </w:pPr>
      <w:r w:rsidRPr="007C7557">
        <w:rPr>
          <w:lang w:val="es-ES"/>
        </w:rPr>
        <w:t>El prospecto impreso del medicamento debe especificar el nombre y dirección del fabricante responsable de la l</w:t>
      </w:r>
      <w:r w:rsidRPr="00B93E4E">
        <w:rPr>
          <w:lang w:val="es-ES"/>
        </w:rPr>
        <w:t>iberación del lote en cuestión.</w:t>
      </w:r>
    </w:p>
    <w:p w14:paraId="0D224243" w14:textId="456BB1AC" w:rsidR="00B93E4E" w:rsidRDefault="00B93E4E" w:rsidP="00B93E4E">
      <w:pPr>
        <w:spacing w:line="240" w:lineRule="auto"/>
        <w:rPr>
          <w:lang w:val="es-ES"/>
        </w:rPr>
      </w:pPr>
    </w:p>
    <w:p w14:paraId="4F8BEF45" w14:textId="77777777" w:rsidR="00B42FDA" w:rsidRPr="007C7557" w:rsidRDefault="00B42FDA" w:rsidP="00B93E4E">
      <w:pPr>
        <w:spacing w:line="240" w:lineRule="auto"/>
        <w:rPr>
          <w:lang w:val="es-ES"/>
        </w:rPr>
      </w:pPr>
    </w:p>
    <w:p w14:paraId="7654C227" w14:textId="77777777" w:rsidR="00B93E4E" w:rsidRPr="007C7557" w:rsidRDefault="00B93E4E" w:rsidP="00EF0812">
      <w:pPr>
        <w:pStyle w:val="TitleB"/>
      </w:pPr>
      <w:bookmarkStart w:id="21" w:name="OLE_LINK2"/>
      <w:r w:rsidRPr="007C7557">
        <w:t xml:space="preserve">CONDICIONES O RESTRICCIONES DE SUMINISTRO Y USO </w:t>
      </w:r>
    </w:p>
    <w:bookmarkEnd w:id="21"/>
    <w:p w14:paraId="2CA94CC1" w14:textId="77777777" w:rsidR="00B93E4E" w:rsidRPr="007C7557" w:rsidRDefault="00B93E4E" w:rsidP="00B93E4E">
      <w:pPr>
        <w:keepNext/>
        <w:spacing w:line="240" w:lineRule="auto"/>
        <w:rPr>
          <w:lang w:val="es-ES"/>
        </w:rPr>
      </w:pPr>
    </w:p>
    <w:p w14:paraId="50C434C0" w14:textId="0DF5E276" w:rsidR="00B93E4E" w:rsidRPr="007C7557" w:rsidRDefault="00B93E4E" w:rsidP="00B93E4E">
      <w:pPr>
        <w:numPr>
          <w:ilvl w:val="12"/>
          <w:numId w:val="0"/>
        </w:numPr>
        <w:spacing w:line="240" w:lineRule="auto"/>
        <w:rPr>
          <w:lang w:val="es-ES"/>
        </w:rPr>
      </w:pPr>
      <w:r w:rsidRPr="007C7557">
        <w:rPr>
          <w:lang w:val="es-ES"/>
        </w:rPr>
        <w:t>Medicamento sujeto a prescripción médica restringida (ver Anexo I: Ficha Técnica o Resumen de las Características d</w:t>
      </w:r>
      <w:r w:rsidR="00455C73" w:rsidRPr="007C7557">
        <w:rPr>
          <w:lang w:val="es-ES"/>
        </w:rPr>
        <w:t>el Producto, sección 4.2).</w:t>
      </w:r>
    </w:p>
    <w:p w14:paraId="0BCBF0D5" w14:textId="1F7693E9" w:rsidR="00B93E4E" w:rsidRDefault="00B93E4E" w:rsidP="00B93E4E">
      <w:pPr>
        <w:numPr>
          <w:ilvl w:val="12"/>
          <w:numId w:val="0"/>
        </w:numPr>
        <w:spacing w:line="240" w:lineRule="auto"/>
        <w:rPr>
          <w:lang w:val="es-ES"/>
        </w:rPr>
      </w:pPr>
    </w:p>
    <w:p w14:paraId="2315226B" w14:textId="77777777" w:rsidR="00B42FDA" w:rsidRPr="007C7557" w:rsidRDefault="00B42FDA" w:rsidP="00B93E4E">
      <w:pPr>
        <w:numPr>
          <w:ilvl w:val="12"/>
          <w:numId w:val="0"/>
        </w:numPr>
        <w:spacing w:line="240" w:lineRule="auto"/>
        <w:rPr>
          <w:lang w:val="es-ES"/>
        </w:rPr>
      </w:pPr>
    </w:p>
    <w:p w14:paraId="29E2C68A" w14:textId="77777777" w:rsidR="00B93E4E" w:rsidRPr="007C7557" w:rsidRDefault="00B93E4E" w:rsidP="00EF0812">
      <w:pPr>
        <w:pStyle w:val="TitleB"/>
      </w:pPr>
      <w:r w:rsidRPr="007C7557">
        <w:t>OTRAS CONDICIONES Y REQUISITOS DE LA AUTORIZACIÓN DE COMERCIALIZACIÓN</w:t>
      </w:r>
    </w:p>
    <w:p w14:paraId="7BE76795" w14:textId="77777777" w:rsidR="00B93E4E" w:rsidRPr="007C7557" w:rsidRDefault="00B93E4E" w:rsidP="00B93E4E">
      <w:pPr>
        <w:keepNext/>
        <w:spacing w:line="240" w:lineRule="auto"/>
        <w:ind w:right="-1"/>
        <w:rPr>
          <w:u w:val="single"/>
          <w:lang w:val="es-ES"/>
        </w:rPr>
      </w:pPr>
    </w:p>
    <w:p w14:paraId="777DBBF5" w14:textId="1ED24C37" w:rsidR="00B93E4E" w:rsidRPr="007C7557" w:rsidRDefault="00B93E4E" w:rsidP="00EF0812">
      <w:pPr>
        <w:keepNext/>
        <w:numPr>
          <w:ilvl w:val="0"/>
          <w:numId w:val="60"/>
        </w:numPr>
        <w:tabs>
          <w:tab w:val="clear" w:pos="720"/>
          <w:tab w:val="num" w:pos="567"/>
        </w:tabs>
        <w:spacing w:after="0" w:line="240" w:lineRule="auto"/>
        <w:ind w:left="567" w:right="-1" w:hanging="567"/>
        <w:rPr>
          <w:b/>
          <w:lang w:val="es-ES"/>
        </w:rPr>
      </w:pPr>
      <w:r w:rsidRPr="007C7557">
        <w:rPr>
          <w:b/>
          <w:lang w:val="es-ES"/>
        </w:rPr>
        <w:t>Informes periódicos de seguridad (</w:t>
      </w:r>
      <w:proofErr w:type="spellStart"/>
      <w:r w:rsidRPr="007C7557">
        <w:rPr>
          <w:b/>
          <w:lang w:val="es-ES"/>
        </w:rPr>
        <w:t>IPS</w:t>
      </w:r>
      <w:r w:rsidR="00D03D1C">
        <w:rPr>
          <w:b/>
          <w:lang w:val="es-ES"/>
        </w:rPr>
        <w:t>s</w:t>
      </w:r>
      <w:proofErr w:type="spellEnd"/>
      <w:r w:rsidRPr="007C7557">
        <w:rPr>
          <w:b/>
          <w:lang w:val="es-ES"/>
        </w:rPr>
        <w:t>)</w:t>
      </w:r>
    </w:p>
    <w:p w14:paraId="2DA09786" w14:textId="77777777" w:rsidR="00B93E4E" w:rsidRPr="007C7557" w:rsidRDefault="00B93E4E" w:rsidP="00B93E4E">
      <w:pPr>
        <w:keepNext/>
        <w:tabs>
          <w:tab w:val="left" w:pos="0"/>
        </w:tabs>
        <w:spacing w:line="240" w:lineRule="auto"/>
        <w:ind w:right="567"/>
        <w:rPr>
          <w:lang w:val="es-ES"/>
        </w:rPr>
      </w:pPr>
    </w:p>
    <w:p w14:paraId="04E1AA5A" w14:textId="20005FB8" w:rsidR="00B93E4E" w:rsidRPr="007C7557" w:rsidRDefault="00B93E4E" w:rsidP="00B93E4E">
      <w:pPr>
        <w:tabs>
          <w:tab w:val="left" w:pos="0"/>
        </w:tabs>
        <w:spacing w:line="240" w:lineRule="auto"/>
        <w:ind w:right="567"/>
        <w:rPr>
          <w:lang w:val="es-ES"/>
        </w:rPr>
      </w:pPr>
      <w:r w:rsidRPr="007C7557">
        <w:rPr>
          <w:lang w:val="es-ES"/>
        </w:rPr>
        <w:t xml:space="preserve">Los requerimientos para la presentación de los </w:t>
      </w:r>
      <w:proofErr w:type="spellStart"/>
      <w:r w:rsidR="00D03D1C">
        <w:rPr>
          <w:lang w:val="es-ES"/>
        </w:rPr>
        <w:t>IPSs</w:t>
      </w:r>
      <w:proofErr w:type="spellEnd"/>
      <w:r w:rsidR="00D03D1C">
        <w:rPr>
          <w:lang w:val="es-ES"/>
        </w:rPr>
        <w:t xml:space="preserve"> </w:t>
      </w:r>
      <w:r w:rsidRPr="007C7557">
        <w:rPr>
          <w:lang w:val="es-ES"/>
        </w:rPr>
        <w:t xml:space="preserve">para este medicamento se establecen en la lista de fechas de referencia de la Unión (lista EURD) prevista en el artículo 107quater, apartado 7, de la Directiva 2001/83/CE y cualquier actualización posterior publicada en el portal </w:t>
      </w:r>
      <w:r w:rsidR="00455C73" w:rsidRPr="007C7557">
        <w:rPr>
          <w:lang w:val="es-ES"/>
        </w:rPr>
        <w:t>web europeo sobre medicamentos.</w:t>
      </w:r>
    </w:p>
    <w:p w14:paraId="1A805DC8" w14:textId="644F3C6D" w:rsidR="00B93E4E" w:rsidRDefault="00B93E4E" w:rsidP="00B93E4E">
      <w:pPr>
        <w:spacing w:line="240" w:lineRule="auto"/>
        <w:ind w:right="-1"/>
        <w:rPr>
          <w:u w:val="single"/>
          <w:lang w:val="es-ES"/>
        </w:rPr>
      </w:pPr>
    </w:p>
    <w:p w14:paraId="4ECE13CA" w14:textId="77777777" w:rsidR="00B42FDA" w:rsidRPr="00273C0C" w:rsidRDefault="00B42FDA" w:rsidP="00B93E4E">
      <w:pPr>
        <w:spacing w:line="240" w:lineRule="auto"/>
        <w:ind w:right="-1"/>
        <w:rPr>
          <w:u w:val="single"/>
          <w:lang w:val="es-ES"/>
        </w:rPr>
      </w:pPr>
    </w:p>
    <w:p w14:paraId="499A780E" w14:textId="77777777" w:rsidR="00B93E4E" w:rsidRPr="007C7557" w:rsidRDefault="00B93E4E" w:rsidP="00EF0812">
      <w:pPr>
        <w:pStyle w:val="TitleB"/>
      </w:pPr>
      <w:r w:rsidRPr="007C7557">
        <w:lastRenderedPageBreak/>
        <w:t xml:space="preserve">CONDICIONES O RESTRICCIONES EN RELACIÓN CON LA UTILIZACIÓN SEGURA Y EFICAZ DEL MEDICAMENTO  </w:t>
      </w:r>
    </w:p>
    <w:p w14:paraId="45FC85FB" w14:textId="77777777" w:rsidR="00B93E4E" w:rsidRPr="007C7557" w:rsidRDefault="00B93E4E" w:rsidP="00B93E4E">
      <w:pPr>
        <w:keepNext/>
        <w:spacing w:line="240" w:lineRule="auto"/>
        <w:ind w:right="-1"/>
        <w:rPr>
          <w:u w:val="single"/>
          <w:lang w:val="es-ES"/>
        </w:rPr>
      </w:pPr>
    </w:p>
    <w:p w14:paraId="03ACC04F" w14:textId="3D71BF18" w:rsidR="00B93E4E" w:rsidRPr="007C7557" w:rsidRDefault="00B93E4E" w:rsidP="00EF0812">
      <w:pPr>
        <w:keepNext/>
        <w:numPr>
          <w:ilvl w:val="0"/>
          <w:numId w:val="60"/>
        </w:numPr>
        <w:tabs>
          <w:tab w:val="clear" w:pos="720"/>
          <w:tab w:val="num" w:pos="567"/>
        </w:tabs>
        <w:spacing w:after="0" w:line="240" w:lineRule="auto"/>
        <w:ind w:left="567" w:right="-1" w:hanging="567"/>
        <w:rPr>
          <w:b/>
          <w:lang w:val="es-ES"/>
        </w:rPr>
      </w:pPr>
      <w:r w:rsidRPr="007C7557">
        <w:rPr>
          <w:b/>
          <w:lang w:val="es-ES"/>
        </w:rPr>
        <w:t xml:space="preserve">Plan de </w:t>
      </w:r>
      <w:r w:rsidR="00D03D1C">
        <w:rPr>
          <w:b/>
          <w:lang w:val="es-ES"/>
        </w:rPr>
        <w:t>g</w:t>
      </w:r>
      <w:r w:rsidRPr="007C7557">
        <w:rPr>
          <w:b/>
          <w:lang w:val="es-ES"/>
        </w:rPr>
        <w:t xml:space="preserve">estión de </w:t>
      </w:r>
      <w:r w:rsidR="00D03D1C">
        <w:rPr>
          <w:b/>
          <w:lang w:val="es-ES"/>
        </w:rPr>
        <w:t>r</w:t>
      </w:r>
      <w:r w:rsidRPr="007C7557">
        <w:rPr>
          <w:b/>
          <w:lang w:val="es-ES"/>
        </w:rPr>
        <w:t>iesgos (PGR)</w:t>
      </w:r>
    </w:p>
    <w:p w14:paraId="155A4D2D" w14:textId="77777777" w:rsidR="00B93E4E" w:rsidRPr="007C7557" w:rsidRDefault="00B93E4E" w:rsidP="00EF0812">
      <w:pPr>
        <w:keepNext/>
        <w:spacing w:line="240" w:lineRule="auto"/>
        <w:ind w:right="-1"/>
        <w:rPr>
          <w:b/>
          <w:lang w:val="es-ES"/>
        </w:rPr>
      </w:pPr>
    </w:p>
    <w:p w14:paraId="444F6CD9" w14:textId="0F0B01E9" w:rsidR="00B93E4E" w:rsidRPr="007C7557" w:rsidRDefault="00B93E4E" w:rsidP="00B93E4E">
      <w:pPr>
        <w:tabs>
          <w:tab w:val="left" w:pos="0"/>
        </w:tabs>
        <w:spacing w:line="240" w:lineRule="auto"/>
        <w:ind w:right="567"/>
        <w:rPr>
          <w:lang w:val="es-ES"/>
        </w:rPr>
      </w:pPr>
      <w:r w:rsidRPr="007C7557">
        <w:rPr>
          <w:lang w:val="es-ES"/>
        </w:rPr>
        <w:t xml:space="preserve">El </w:t>
      </w:r>
      <w:r w:rsidR="001408E2">
        <w:rPr>
          <w:lang w:val="es-ES"/>
        </w:rPr>
        <w:t>t</w:t>
      </w:r>
      <w:r w:rsidR="00D03D1C">
        <w:rPr>
          <w:lang w:val="es-ES"/>
        </w:rPr>
        <w:t>itular de</w:t>
      </w:r>
      <w:r w:rsidR="00970D29">
        <w:rPr>
          <w:lang w:val="es-ES"/>
        </w:rPr>
        <w:t xml:space="preserve"> la</w:t>
      </w:r>
      <w:r w:rsidR="00D03D1C">
        <w:rPr>
          <w:lang w:val="es-ES"/>
        </w:rPr>
        <w:t xml:space="preserve"> </w:t>
      </w:r>
      <w:r w:rsidR="001408E2">
        <w:rPr>
          <w:lang w:val="es-ES"/>
        </w:rPr>
        <w:t>a</w:t>
      </w:r>
      <w:r w:rsidR="00D03D1C">
        <w:rPr>
          <w:lang w:val="es-ES"/>
        </w:rPr>
        <w:t xml:space="preserve">utorización de </w:t>
      </w:r>
      <w:r w:rsidR="001408E2">
        <w:rPr>
          <w:lang w:val="es-ES"/>
        </w:rPr>
        <w:t>c</w:t>
      </w:r>
      <w:r w:rsidR="00D03D1C">
        <w:rPr>
          <w:lang w:val="es-ES"/>
        </w:rPr>
        <w:t>omercialización (</w:t>
      </w:r>
      <w:r w:rsidRPr="007C7557">
        <w:rPr>
          <w:lang w:val="es-ES"/>
        </w:rPr>
        <w:t>TAC</w:t>
      </w:r>
      <w:r w:rsidR="00D03D1C">
        <w:rPr>
          <w:lang w:val="es-ES"/>
        </w:rPr>
        <w:t>)</w:t>
      </w:r>
      <w:r w:rsidRPr="007C7557">
        <w:rPr>
          <w:lang w:val="es-ES"/>
        </w:rPr>
        <w:t xml:space="preserve"> realizará las actividades e intervenciones de farmacovigilancia necesarias según lo acordado en la versión del PGR incluido en el Módulo 1.8.2 de la </w:t>
      </w:r>
      <w:r w:rsidR="00970D29">
        <w:rPr>
          <w:lang w:val="es-ES"/>
        </w:rPr>
        <w:t>a</w:t>
      </w:r>
      <w:r w:rsidRPr="007C7557">
        <w:rPr>
          <w:lang w:val="es-ES"/>
        </w:rPr>
        <w:t xml:space="preserve">utorización de </w:t>
      </w:r>
      <w:r w:rsidR="00970D29">
        <w:rPr>
          <w:lang w:val="es-ES"/>
        </w:rPr>
        <w:t>c</w:t>
      </w:r>
      <w:r w:rsidRPr="007C7557">
        <w:rPr>
          <w:lang w:val="es-ES"/>
        </w:rPr>
        <w:t>omercialización y en cualquier actualización del PGR que se acuerde posteriormente.</w:t>
      </w:r>
    </w:p>
    <w:p w14:paraId="360F8ED5" w14:textId="77777777" w:rsidR="00B93E4E" w:rsidRPr="007C7557" w:rsidRDefault="00B93E4E" w:rsidP="00B93E4E">
      <w:pPr>
        <w:spacing w:line="240" w:lineRule="auto"/>
        <w:ind w:right="-1"/>
        <w:rPr>
          <w:lang w:val="es-ES"/>
        </w:rPr>
      </w:pPr>
    </w:p>
    <w:p w14:paraId="0DE75E98" w14:textId="77777777" w:rsidR="00B93E4E" w:rsidRPr="007C7557" w:rsidRDefault="00B93E4E" w:rsidP="00B93E4E">
      <w:pPr>
        <w:spacing w:line="240" w:lineRule="auto"/>
        <w:ind w:right="-1"/>
        <w:rPr>
          <w:lang w:val="es-ES"/>
        </w:rPr>
      </w:pPr>
      <w:r w:rsidRPr="007C7557">
        <w:rPr>
          <w:lang w:val="es-ES"/>
        </w:rPr>
        <w:t>Se debe presentar un PGR actualizado:</w:t>
      </w:r>
    </w:p>
    <w:p w14:paraId="00249F33" w14:textId="77777777" w:rsidR="00B93E4E" w:rsidRPr="007C7557" w:rsidRDefault="00B93E4E" w:rsidP="00B93E4E">
      <w:pPr>
        <w:numPr>
          <w:ilvl w:val="0"/>
          <w:numId w:val="59"/>
        </w:numPr>
        <w:tabs>
          <w:tab w:val="left" w:pos="567"/>
        </w:tabs>
        <w:spacing w:after="0" w:line="240" w:lineRule="auto"/>
        <w:ind w:right="-1"/>
        <w:rPr>
          <w:lang w:val="es-ES"/>
        </w:rPr>
      </w:pPr>
      <w:r w:rsidRPr="007C7557">
        <w:rPr>
          <w:lang w:val="es-ES"/>
        </w:rPr>
        <w:t>A petición de la Agencia Europea de Medicamentos.</w:t>
      </w:r>
    </w:p>
    <w:p w14:paraId="17FC20ED" w14:textId="77777777" w:rsidR="00B93E4E" w:rsidRPr="007C7557" w:rsidRDefault="00B93E4E" w:rsidP="00B93E4E">
      <w:pPr>
        <w:numPr>
          <w:ilvl w:val="0"/>
          <w:numId w:val="59"/>
        </w:numPr>
        <w:tabs>
          <w:tab w:val="clear" w:pos="720"/>
        </w:tabs>
        <w:spacing w:after="0" w:line="240" w:lineRule="auto"/>
        <w:ind w:left="567" w:right="-1" w:hanging="207"/>
        <w:rPr>
          <w:lang w:val="es-ES"/>
        </w:rPr>
      </w:pPr>
      <w:r w:rsidRPr="007C7557">
        <w:rPr>
          <w:lang w:val="es-ES"/>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1CB2CD6F" w14:textId="5739C0F5" w:rsidR="00933900" w:rsidRDefault="00933900">
      <w:pPr>
        <w:spacing w:after="160" w:line="259" w:lineRule="auto"/>
        <w:ind w:left="0" w:firstLine="0"/>
        <w:rPr>
          <w:color w:val="auto"/>
          <w:lang w:val="es-ES"/>
        </w:rPr>
      </w:pPr>
      <w:r>
        <w:rPr>
          <w:color w:val="auto"/>
          <w:lang w:val="es-ES"/>
        </w:rPr>
        <w:br w:type="page"/>
      </w:r>
    </w:p>
    <w:p w14:paraId="5DAC51E4" w14:textId="77777777" w:rsidR="00E72F5D" w:rsidRDefault="00E72F5D">
      <w:pPr>
        <w:spacing w:after="160" w:line="259" w:lineRule="auto"/>
        <w:ind w:left="0" w:firstLine="0"/>
        <w:rPr>
          <w:color w:val="auto"/>
          <w:lang w:val="es-ES"/>
        </w:rPr>
      </w:pPr>
    </w:p>
    <w:p w14:paraId="59E7A535" w14:textId="77777777" w:rsidR="00FB24C0" w:rsidRPr="00443040" w:rsidRDefault="00FB24C0" w:rsidP="00755D06">
      <w:pPr>
        <w:spacing w:after="0" w:line="240" w:lineRule="auto"/>
        <w:ind w:left="0" w:firstLine="0"/>
        <w:jc w:val="center"/>
        <w:rPr>
          <w:color w:val="auto"/>
          <w:lang w:val="es-ES"/>
        </w:rPr>
      </w:pPr>
    </w:p>
    <w:p w14:paraId="127FE20F" w14:textId="77777777" w:rsidR="00FB24C0" w:rsidRPr="00443040" w:rsidRDefault="00FB24C0" w:rsidP="00755D06">
      <w:pPr>
        <w:spacing w:after="0" w:line="240" w:lineRule="auto"/>
        <w:ind w:left="0" w:firstLine="0"/>
        <w:jc w:val="center"/>
        <w:rPr>
          <w:color w:val="auto"/>
          <w:lang w:val="es-ES"/>
        </w:rPr>
      </w:pPr>
    </w:p>
    <w:p w14:paraId="4F101EE8" w14:textId="77777777" w:rsidR="00FB24C0" w:rsidRPr="00443040" w:rsidRDefault="00FB24C0" w:rsidP="00755D06">
      <w:pPr>
        <w:spacing w:after="0" w:line="240" w:lineRule="auto"/>
        <w:ind w:left="0" w:firstLine="0"/>
        <w:jc w:val="center"/>
        <w:rPr>
          <w:color w:val="auto"/>
          <w:lang w:val="es-ES"/>
        </w:rPr>
      </w:pPr>
    </w:p>
    <w:p w14:paraId="387E92BB" w14:textId="77777777" w:rsidR="00FB24C0" w:rsidRPr="00443040" w:rsidRDefault="00FB24C0" w:rsidP="00755D06">
      <w:pPr>
        <w:spacing w:after="0" w:line="240" w:lineRule="auto"/>
        <w:ind w:left="0" w:firstLine="0"/>
        <w:jc w:val="center"/>
        <w:rPr>
          <w:color w:val="auto"/>
          <w:lang w:val="es-ES"/>
        </w:rPr>
      </w:pPr>
    </w:p>
    <w:p w14:paraId="6ACFF1B6" w14:textId="77777777" w:rsidR="00FB24C0" w:rsidRPr="00443040" w:rsidRDefault="00FB24C0" w:rsidP="00755D06">
      <w:pPr>
        <w:spacing w:after="0" w:line="240" w:lineRule="auto"/>
        <w:ind w:left="0" w:firstLine="0"/>
        <w:jc w:val="center"/>
        <w:rPr>
          <w:color w:val="auto"/>
          <w:lang w:val="es-ES"/>
        </w:rPr>
      </w:pPr>
    </w:p>
    <w:p w14:paraId="4678D4E5" w14:textId="77777777" w:rsidR="00FB24C0" w:rsidRPr="00443040" w:rsidRDefault="00FB24C0" w:rsidP="00755D06">
      <w:pPr>
        <w:spacing w:after="0" w:line="240" w:lineRule="auto"/>
        <w:ind w:left="0" w:firstLine="0"/>
        <w:jc w:val="center"/>
        <w:rPr>
          <w:color w:val="auto"/>
          <w:lang w:val="es-ES"/>
        </w:rPr>
      </w:pPr>
    </w:p>
    <w:p w14:paraId="248C1FBF" w14:textId="77777777" w:rsidR="00FB24C0" w:rsidRPr="00443040" w:rsidRDefault="00FB24C0" w:rsidP="00755D06">
      <w:pPr>
        <w:spacing w:after="0" w:line="240" w:lineRule="auto"/>
        <w:ind w:left="0" w:firstLine="0"/>
        <w:jc w:val="center"/>
        <w:rPr>
          <w:color w:val="auto"/>
          <w:lang w:val="es-ES"/>
        </w:rPr>
      </w:pPr>
    </w:p>
    <w:p w14:paraId="2EAAB1F6" w14:textId="77777777" w:rsidR="00FB24C0" w:rsidRPr="00443040" w:rsidRDefault="00FB24C0" w:rsidP="00755D06">
      <w:pPr>
        <w:spacing w:after="0" w:line="240" w:lineRule="auto"/>
        <w:ind w:left="0" w:firstLine="0"/>
        <w:jc w:val="center"/>
        <w:rPr>
          <w:color w:val="auto"/>
          <w:lang w:val="es-ES"/>
        </w:rPr>
      </w:pPr>
    </w:p>
    <w:p w14:paraId="657A0075" w14:textId="77777777" w:rsidR="00FB24C0" w:rsidRPr="00443040" w:rsidRDefault="00FB24C0" w:rsidP="00755D06">
      <w:pPr>
        <w:spacing w:after="0" w:line="240" w:lineRule="auto"/>
        <w:ind w:left="0" w:firstLine="0"/>
        <w:jc w:val="center"/>
        <w:rPr>
          <w:color w:val="auto"/>
          <w:lang w:val="es-ES"/>
        </w:rPr>
      </w:pPr>
    </w:p>
    <w:p w14:paraId="14707D65" w14:textId="77777777" w:rsidR="00FB24C0" w:rsidRPr="00443040" w:rsidRDefault="00FB24C0" w:rsidP="00755D06">
      <w:pPr>
        <w:spacing w:after="0" w:line="240" w:lineRule="auto"/>
        <w:ind w:left="0" w:firstLine="0"/>
        <w:jc w:val="center"/>
        <w:rPr>
          <w:color w:val="auto"/>
          <w:lang w:val="es-ES"/>
        </w:rPr>
      </w:pPr>
    </w:p>
    <w:p w14:paraId="3A874CF4" w14:textId="77777777" w:rsidR="00FB24C0" w:rsidRPr="00443040" w:rsidRDefault="00FB24C0" w:rsidP="00755D06">
      <w:pPr>
        <w:spacing w:after="0" w:line="240" w:lineRule="auto"/>
        <w:ind w:left="0" w:firstLine="0"/>
        <w:jc w:val="center"/>
        <w:rPr>
          <w:color w:val="auto"/>
          <w:lang w:val="es-ES"/>
        </w:rPr>
      </w:pPr>
    </w:p>
    <w:p w14:paraId="73A00E7F" w14:textId="77777777" w:rsidR="00FB24C0" w:rsidRPr="00443040" w:rsidRDefault="00FB24C0" w:rsidP="00755D06">
      <w:pPr>
        <w:spacing w:after="0" w:line="240" w:lineRule="auto"/>
        <w:ind w:left="0" w:firstLine="0"/>
        <w:jc w:val="center"/>
        <w:rPr>
          <w:color w:val="auto"/>
          <w:lang w:val="es-ES"/>
        </w:rPr>
      </w:pPr>
    </w:p>
    <w:p w14:paraId="5E590084" w14:textId="77777777" w:rsidR="00FB24C0" w:rsidRPr="00443040" w:rsidRDefault="00FB24C0" w:rsidP="00755D06">
      <w:pPr>
        <w:spacing w:after="0" w:line="240" w:lineRule="auto"/>
        <w:ind w:left="0" w:firstLine="0"/>
        <w:jc w:val="center"/>
        <w:rPr>
          <w:color w:val="auto"/>
          <w:lang w:val="es-ES"/>
        </w:rPr>
      </w:pPr>
    </w:p>
    <w:p w14:paraId="1775B4D4" w14:textId="77777777" w:rsidR="00FB24C0" w:rsidRPr="00443040" w:rsidRDefault="00FB24C0" w:rsidP="00755D06">
      <w:pPr>
        <w:spacing w:after="0" w:line="240" w:lineRule="auto"/>
        <w:ind w:left="0" w:firstLine="0"/>
        <w:jc w:val="center"/>
        <w:rPr>
          <w:color w:val="auto"/>
          <w:lang w:val="es-ES"/>
        </w:rPr>
      </w:pPr>
    </w:p>
    <w:p w14:paraId="19A6D992" w14:textId="77777777" w:rsidR="00FB24C0" w:rsidRPr="00443040" w:rsidRDefault="00FB24C0" w:rsidP="00755D06">
      <w:pPr>
        <w:spacing w:after="0" w:line="240" w:lineRule="auto"/>
        <w:ind w:left="0" w:firstLine="0"/>
        <w:jc w:val="center"/>
        <w:rPr>
          <w:color w:val="auto"/>
          <w:lang w:val="es-ES"/>
        </w:rPr>
      </w:pPr>
    </w:p>
    <w:p w14:paraId="30F5847D" w14:textId="77777777" w:rsidR="00FB24C0" w:rsidRPr="00443040" w:rsidRDefault="00FB24C0" w:rsidP="00755D06">
      <w:pPr>
        <w:spacing w:after="0" w:line="240" w:lineRule="auto"/>
        <w:ind w:left="0" w:firstLine="0"/>
        <w:jc w:val="center"/>
        <w:rPr>
          <w:color w:val="auto"/>
          <w:lang w:val="es-ES"/>
        </w:rPr>
      </w:pPr>
    </w:p>
    <w:p w14:paraId="55E89011" w14:textId="77777777" w:rsidR="00FB24C0" w:rsidRPr="00443040" w:rsidRDefault="00FB24C0" w:rsidP="00755D06">
      <w:pPr>
        <w:spacing w:after="0" w:line="240" w:lineRule="auto"/>
        <w:ind w:left="0" w:firstLine="0"/>
        <w:jc w:val="center"/>
        <w:rPr>
          <w:color w:val="auto"/>
          <w:lang w:val="es-ES"/>
        </w:rPr>
      </w:pPr>
    </w:p>
    <w:p w14:paraId="55EBC227" w14:textId="77777777" w:rsidR="00FB24C0" w:rsidRPr="00443040" w:rsidRDefault="00FB24C0" w:rsidP="00755D06">
      <w:pPr>
        <w:spacing w:after="0" w:line="240" w:lineRule="auto"/>
        <w:ind w:left="0" w:firstLine="0"/>
        <w:jc w:val="center"/>
        <w:rPr>
          <w:color w:val="auto"/>
          <w:lang w:val="es-ES"/>
        </w:rPr>
      </w:pPr>
    </w:p>
    <w:p w14:paraId="5084342C" w14:textId="77777777" w:rsidR="00FB24C0" w:rsidRPr="00443040" w:rsidRDefault="00FB24C0" w:rsidP="00755D06">
      <w:pPr>
        <w:spacing w:after="0" w:line="240" w:lineRule="auto"/>
        <w:ind w:left="0" w:firstLine="0"/>
        <w:jc w:val="center"/>
        <w:rPr>
          <w:color w:val="auto"/>
          <w:lang w:val="es-ES"/>
        </w:rPr>
      </w:pPr>
    </w:p>
    <w:p w14:paraId="7AD26C4C" w14:textId="77777777" w:rsidR="00FB24C0" w:rsidRPr="00443040" w:rsidRDefault="00FB24C0" w:rsidP="00755D06">
      <w:pPr>
        <w:spacing w:after="0" w:line="240" w:lineRule="auto"/>
        <w:ind w:left="0" w:firstLine="0"/>
        <w:jc w:val="center"/>
        <w:rPr>
          <w:color w:val="auto"/>
          <w:lang w:val="es-ES"/>
        </w:rPr>
      </w:pPr>
    </w:p>
    <w:p w14:paraId="0DB27D5F" w14:textId="77777777" w:rsidR="00FB24C0" w:rsidRPr="00443040" w:rsidRDefault="00FB24C0" w:rsidP="00755D06">
      <w:pPr>
        <w:spacing w:after="0" w:line="240" w:lineRule="auto"/>
        <w:ind w:left="0" w:firstLine="0"/>
        <w:jc w:val="center"/>
        <w:rPr>
          <w:color w:val="auto"/>
          <w:lang w:val="es-ES"/>
        </w:rPr>
      </w:pPr>
    </w:p>
    <w:p w14:paraId="13805B63" w14:textId="77777777" w:rsidR="00FB24C0" w:rsidRPr="00C53703" w:rsidRDefault="00FB24C0" w:rsidP="00755D06">
      <w:pPr>
        <w:spacing w:after="0" w:line="240" w:lineRule="auto"/>
        <w:ind w:left="0" w:firstLine="0"/>
        <w:jc w:val="center"/>
        <w:rPr>
          <w:b/>
          <w:lang w:val="es-ES"/>
        </w:rPr>
      </w:pPr>
      <w:r w:rsidRPr="00C53703">
        <w:rPr>
          <w:b/>
          <w:lang w:val="es-ES"/>
        </w:rPr>
        <w:t>ANEXO III</w:t>
      </w:r>
    </w:p>
    <w:p w14:paraId="3E3EAF72" w14:textId="77777777" w:rsidR="00FB24C0" w:rsidRPr="00C53703" w:rsidRDefault="00FB24C0" w:rsidP="00755D06">
      <w:pPr>
        <w:spacing w:after="0" w:line="240" w:lineRule="auto"/>
        <w:ind w:left="0" w:firstLine="0"/>
        <w:jc w:val="center"/>
        <w:rPr>
          <w:b/>
          <w:lang w:val="es-ES"/>
        </w:rPr>
      </w:pPr>
    </w:p>
    <w:p w14:paraId="05DD7106" w14:textId="77777777" w:rsidR="00FB24C0" w:rsidRPr="00A51019" w:rsidRDefault="00FB24C0" w:rsidP="00755D06">
      <w:pPr>
        <w:spacing w:after="0" w:line="240" w:lineRule="auto"/>
        <w:ind w:left="0" w:firstLine="0"/>
        <w:jc w:val="center"/>
        <w:rPr>
          <w:b/>
          <w:lang w:val="es-ES"/>
        </w:rPr>
      </w:pPr>
      <w:r w:rsidRPr="00A51019">
        <w:rPr>
          <w:b/>
          <w:lang w:val="es-ES"/>
        </w:rPr>
        <w:t>ETIQUETADO Y PROSPECTO</w:t>
      </w:r>
    </w:p>
    <w:p w14:paraId="1B45A708" w14:textId="77777777" w:rsidR="00FB24C0" w:rsidRPr="00443040" w:rsidRDefault="00FB24C0" w:rsidP="00FB24C0">
      <w:pPr>
        <w:spacing w:after="0" w:line="259" w:lineRule="auto"/>
        <w:ind w:left="3" w:firstLine="0"/>
        <w:rPr>
          <w:color w:val="auto"/>
          <w:lang w:val="es-ES"/>
        </w:rPr>
      </w:pPr>
      <w:r w:rsidRPr="00443040">
        <w:rPr>
          <w:color w:val="auto"/>
          <w:lang w:val="es-ES"/>
        </w:rPr>
        <w:br w:type="page"/>
      </w:r>
    </w:p>
    <w:p w14:paraId="5A25AC0E" w14:textId="77777777" w:rsidR="00FB24C0" w:rsidRPr="00443040" w:rsidRDefault="00FB24C0" w:rsidP="00FB24C0">
      <w:pPr>
        <w:spacing w:after="0" w:line="240" w:lineRule="auto"/>
        <w:ind w:left="0" w:firstLine="0"/>
        <w:jc w:val="center"/>
        <w:rPr>
          <w:color w:val="auto"/>
          <w:lang w:val="es-ES"/>
        </w:rPr>
      </w:pPr>
    </w:p>
    <w:p w14:paraId="7246803B" w14:textId="77777777" w:rsidR="00FB24C0" w:rsidRPr="00443040" w:rsidRDefault="00FB24C0" w:rsidP="00FB24C0">
      <w:pPr>
        <w:spacing w:after="0" w:line="240" w:lineRule="auto"/>
        <w:ind w:left="0" w:firstLine="0"/>
        <w:jc w:val="center"/>
        <w:rPr>
          <w:color w:val="auto"/>
          <w:lang w:val="es-ES"/>
        </w:rPr>
      </w:pPr>
    </w:p>
    <w:p w14:paraId="15B24DE6" w14:textId="77777777" w:rsidR="00FB24C0" w:rsidRPr="00443040" w:rsidRDefault="00FB24C0" w:rsidP="00FB24C0">
      <w:pPr>
        <w:spacing w:after="0" w:line="240" w:lineRule="auto"/>
        <w:ind w:left="0" w:firstLine="0"/>
        <w:jc w:val="center"/>
        <w:rPr>
          <w:color w:val="auto"/>
          <w:lang w:val="es-ES"/>
        </w:rPr>
      </w:pPr>
    </w:p>
    <w:p w14:paraId="74632AC5" w14:textId="77777777" w:rsidR="00FB24C0" w:rsidRPr="00443040" w:rsidRDefault="00FB24C0" w:rsidP="00FB24C0">
      <w:pPr>
        <w:spacing w:after="0" w:line="240" w:lineRule="auto"/>
        <w:ind w:left="0" w:firstLine="0"/>
        <w:jc w:val="center"/>
        <w:rPr>
          <w:color w:val="auto"/>
          <w:lang w:val="es-ES"/>
        </w:rPr>
      </w:pPr>
    </w:p>
    <w:p w14:paraId="1B6CCCF1" w14:textId="77777777" w:rsidR="00FB24C0" w:rsidRPr="00443040" w:rsidRDefault="00FB24C0" w:rsidP="00FB24C0">
      <w:pPr>
        <w:spacing w:after="0" w:line="240" w:lineRule="auto"/>
        <w:ind w:left="0" w:firstLine="0"/>
        <w:jc w:val="center"/>
        <w:rPr>
          <w:color w:val="auto"/>
          <w:lang w:val="es-ES"/>
        </w:rPr>
      </w:pPr>
    </w:p>
    <w:p w14:paraId="37FEF951" w14:textId="77777777" w:rsidR="00FB24C0" w:rsidRPr="00443040" w:rsidRDefault="00FB24C0" w:rsidP="00FB24C0">
      <w:pPr>
        <w:spacing w:after="0" w:line="240" w:lineRule="auto"/>
        <w:ind w:left="0" w:firstLine="0"/>
        <w:jc w:val="center"/>
        <w:rPr>
          <w:color w:val="auto"/>
          <w:lang w:val="es-ES"/>
        </w:rPr>
      </w:pPr>
    </w:p>
    <w:p w14:paraId="4BAF6201" w14:textId="77777777" w:rsidR="00FB24C0" w:rsidRPr="00443040" w:rsidRDefault="00FB24C0" w:rsidP="00FB24C0">
      <w:pPr>
        <w:spacing w:after="0" w:line="240" w:lineRule="auto"/>
        <w:ind w:left="0" w:firstLine="0"/>
        <w:jc w:val="center"/>
        <w:rPr>
          <w:color w:val="auto"/>
          <w:lang w:val="es-ES"/>
        </w:rPr>
      </w:pPr>
    </w:p>
    <w:p w14:paraId="224FA871" w14:textId="77777777" w:rsidR="00FB24C0" w:rsidRPr="00443040" w:rsidRDefault="00FB24C0" w:rsidP="00FB24C0">
      <w:pPr>
        <w:spacing w:after="0" w:line="240" w:lineRule="auto"/>
        <w:ind w:left="0" w:firstLine="0"/>
        <w:jc w:val="center"/>
        <w:rPr>
          <w:color w:val="auto"/>
          <w:lang w:val="es-ES"/>
        </w:rPr>
      </w:pPr>
    </w:p>
    <w:p w14:paraId="64FDB5FD" w14:textId="77777777" w:rsidR="00FB24C0" w:rsidRPr="00443040" w:rsidRDefault="00FB24C0" w:rsidP="00FB24C0">
      <w:pPr>
        <w:spacing w:after="0" w:line="240" w:lineRule="auto"/>
        <w:ind w:left="0" w:firstLine="0"/>
        <w:jc w:val="center"/>
        <w:rPr>
          <w:color w:val="auto"/>
          <w:lang w:val="es-ES"/>
        </w:rPr>
      </w:pPr>
    </w:p>
    <w:p w14:paraId="743B9AED" w14:textId="77777777" w:rsidR="00FB24C0" w:rsidRPr="00443040" w:rsidRDefault="00FB24C0" w:rsidP="00FB24C0">
      <w:pPr>
        <w:spacing w:after="0" w:line="240" w:lineRule="auto"/>
        <w:ind w:left="0" w:firstLine="0"/>
        <w:jc w:val="center"/>
        <w:rPr>
          <w:color w:val="auto"/>
          <w:lang w:val="es-ES"/>
        </w:rPr>
      </w:pPr>
    </w:p>
    <w:p w14:paraId="2DB36525" w14:textId="77777777" w:rsidR="00FB24C0" w:rsidRPr="00443040" w:rsidRDefault="00FB24C0" w:rsidP="00FB24C0">
      <w:pPr>
        <w:spacing w:after="0" w:line="240" w:lineRule="auto"/>
        <w:ind w:left="0" w:firstLine="0"/>
        <w:jc w:val="center"/>
        <w:rPr>
          <w:color w:val="auto"/>
          <w:lang w:val="es-ES"/>
        </w:rPr>
      </w:pPr>
    </w:p>
    <w:p w14:paraId="563BF769" w14:textId="77777777" w:rsidR="00FB24C0" w:rsidRPr="00443040" w:rsidRDefault="00FB24C0" w:rsidP="00FB24C0">
      <w:pPr>
        <w:spacing w:after="0" w:line="240" w:lineRule="auto"/>
        <w:ind w:left="0" w:firstLine="0"/>
        <w:jc w:val="center"/>
        <w:rPr>
          <w:color w:val="auto"/>
          <w:lang w:val="es-ES"/>
        </w:rPr>
      </w:pPr>
    </w:p>
    <w:p w14:paraId="558F4F1C" w14:textId="77777777" w:rsidR="00FB24C0" w:rsidRPr="00443040" w:rsidRDefault="00FB24C0" w:rsidP="00FB24C0">
      <w:pPr>
        <w:spacing w:after="0" w:line="240" w:lineRule="auto"/>
        <w:ind w:left="0" w:firstLine="0"/>
        <w:jc w:val="center"/>
        <w:rPr>
          <w:color w:val="auto"/>
          <w:lang w:val="es-ES"/>
        </w:rPr>
      </w:pPr>
    </w:p>
    <w:p w14:paraId="75DAC873" w14:textId="77777777" w:rsidR="00FB24C0" w:rsidRPr="00443040" w:rsidRDefault="00FB24C0" w:rsidP="00FB24C0">
      <w:pPr>
        <w:spacing w:after="0" w:line="240" w:lineRule="auto"/>
        <w:ind w:left="0" w:firstLine="0"/>
        <w:jc w:val="center"/>
        <w:rPr>
          <w:color w:val="auto"/>
          <w:lang w:val="es-ES"/>
        </w:rPr>
      </w:pPr>
    </w:p>
    <w:p w14:paraId="6548D777" w14:textId="77777777" w:rsidR="00FB24C0" w:rsidRPr="00443040" w:rsidRDefault="00FB24C0" w:rsidP="00FB24C0">
      <w:pPr>
        <w:spacing w:after="0" w:line="240" w:lineRule="auto"/>
        <w:ind w:left="0" w:firstLine="0"/>
        <w:jc w:val="center"/>
        <w:rPr>
          <w:color w:val="auto"/>
          <w:lang w:val="es-ES"/>
        </w:rPr>
      </w:pPr>
    </w:p>
    <w:p w14:paraId="367EDB74" w14:textId="77777777" w:rsidR="00FB24C0" w:rsidRPr="00443040" w:rsidRDefault="00FB24C0" w:rsidP="00FB24C0">
      <w:pPr>
        <w:spacing w:after="0" w:line="240" w:lineRule="auto"/>
        <w:ind w:left="0" w:firstLine="0"/>
        <w:jc w:val="center"/>
        <w:rPr>
          <w:color w:val="auto"/>
          <w:lang w:val="es-ES"/>
        </w:rPr>
      </w:pPr>
    </w:p>
    <w:p w14:paraId="3BB5C835" w14:textId="77777777" w:rsidR="00FB24C0" w:rsidRPr="00443040" w:rsidRDefault="00FB24C0" w:rsidP="00FB24C0">
      <w:pPr>
        <w:spacing w:after="0" w:line="240" w:lineRule="auto"/>
        <w:ind w:left="0" w:firstLine="0"/>
        <w:jc w:val="center"/>
        <w:rPr>
          <w:color w:val="auto"/>
          <w:lang w:val="es-ES"/>
        </w:rPr>
      </w:pPr>
    </w:p>
    <w:p w14:paraId="47CE75A4" w14:textId="77777777" w:rsidR="00FB24C0" w:rsidRPr="00443040" w:rsidRDefault="00FB24C0" w:rsidP="00FB24C0">
      <w:pPr>
        <w:spacing w:after="0" w:line="240" w:lineRule="auto"/>
        <w:ind w:left="0" w:firstLine="0"/>
        <w:jc w:val="center"/>
        <w:rPr>
          <w:color w:val="auto"/>
          <w:lang w:val="es-ES"/>
        </w:rPr>
      </w:pPr>
    </w:p>
    <w:p w14:paraId="5683ECFE" w14:textId="77777777" w:rsidR="00FB24C0" w:rsidRPr="00443040" w:rsidRDefault="00FB24C0" w:rsidP="00FB24C0">
      <w:pPr>
        <w:spacing w:after="0" w:line="240" w:lineRule="auto"/>
        <w:ind w:left="0" w:firstLine="0"/>
        <w:jc w:val="center"/>
        <w:rPr>
          <w:color w:val="auto"/>
          <w:lang w:val="es-ES"/>
        </w:rPr>
      </w:pPr>
    </w:p>
    <w:p w14:paraId="1E27B301" w14:textId="77777777" w:rsidR="00FB24C0" w:rsidRPr="00443040" w:rsidRDefault="00FB24C0" w:rsidP="00FB24C0">
      <w:pPr>
        <w:spacing w:after="0" w:line="240" w:lineRule="auto"/>
        <w:ind w:left="0" w:firstLine="0"/>
        <w:jc w:val="center"/>
        <w:rPr>
          <w:color w:val="auto"/>
          <w:lang w:val="es-ES"/>
        </w:rPr>
      </w:pPr>
    </w:p>
    <w:p w14:paraId="740AE1F6" w14:textId="77777777" w:rsidR="00FB24C0" w:rsidRPr="00443040" w:rsidRDefault="00FB24C0" w:rsidP="00FB24C0">
      <w:pPr>
        <w:spacing w:after="0" w:line="240" w:lineRule="auto"/>
        <w:ind w:left="0" w:firstLine="0"/>
        <w:jc w:val="center"/>
        <w:rPr>
          <w:color w:val="auto"/>
          <w:lang w:val="es-ES"/>
        </w:rPr>
      </w:pPr>
    </w:p>
    <w:p w14:paraId="63E7051E" w14:textId="77777777" w:rsidR="00FB24C0" w:rsidRPr="00443040" w:rsidRDefault="00FB24C0" w:rsidP="00FB24C0">
      <w:pPr>
        <w:spacing w:after="0" w:line="240" w:lineRule="auto"/>
        <w:ind w:left="0" w:firstLine="0"/>
        <w:jc w:val="center"/>
        <w:rPr>
          <w:color w:val="auto"/>
          <w:lang w:val="es-ES"/>
        </w:rPr>
      </w:pPr>
    </w:p>
    <w:p w14:paraId="30BC2AB6" w14:textId="77777777" w:rsidR="00FB24C0" w:rsidRPr="00443040" w:rsidRDefault="005978F2" w:rsidP="00FB24C0">
      <w:pPr>
        <w:pStyle w:val="TitleA"/>
        <w:rPr>
          <w:color w:val="auto"/>
        </w:rPr>
      </w:pPr>
      <w:r>
        <w:rPr>
          <w:color w:val="auto"/>
        </w:rPr>
        <w:t xml:space="preserve">A. </w:t>
      </w:r>
      <w:r w:rsidR="00FB24C0" w:rsidRPr="00443040">
        <w:rPr>
          <w:color w:val="auto"/>
        </w:rPr>
        <w:t>ETIQUETADO</w:t>
      </w:r>
    </w:p>
    <w:p w14:paraId="3DBF67A7" w14:textId="77777777" w:rsidR="00FB24C0" w:rsidRPr="00443040" w:rsidRDefault="00FB24C0" w:rsidP="00B65A1C">
      <w:pPr>
        <w:pStyle w:val="ListParagraph"/>
        <w:spacing w:after="0" w:line="240" w:lineRule="auto"/>
        <w:ind w:left="360" w:firstLine="0"/>
        <w:rPr>
          <w:color w:val="auto"/>
          <w:lang w:val="es-ES"/>
        </w:rPr>
      </w:pPr>
      <w:r w:rsidRPr="00443040">
        <w:rPr>
          <w:color w:val="auto"/>
          <w:lang w:val="es-ES"/>
        </w:rPr>
        <w:br w:type="page"/>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B24C0" w:rsidRPr="00443040" w14:paraId="32DFAAA2" w14:textId="77777777" w:rsidTr="00C33F4C">
        <w:tc>
          <w:tcPr>
            <w:tcW w:w="9060" w:type="dxa"/>
          </w:tcPr>
          <w:p w14:paraId="72F83BD8" w14:textId="77777777" w:rsidR="00FB24C0" w:rsidRPr="00C33F4C" w:rsidRDefault="00FB24C0" w:rsidP="00C33F4C">
            <w:pPr>
              <w:spacing w:after="0" w:line="240" w:lineRule="auto"/>
              <w:ind w:left="0" w:firstLine="0"/>
              <w:rPr>
                <w:b/>
                <w:color w:val="auto"/>
                <w:lang w:val="es-ES"/>
              </w:rPr>
            </w:pPr>
            <w:r w:rsidRPr="00C33F4C">
              <w:rPr>
                <w:b/>
                <w:color w:val="auto"/>
                <w:lang w:val="es-ES"/>
              </w:rPr>
              <w:t>INFORMACIÓN QUE DEBE FIGURAR EN EL EMBALAJE EXTERIOR</w:t>
            </w:r>
          </w:p>
          <w:p w14:paraId="381CC6EE" w14:textId="77777777" w:rsidR="00FB24C0" w:rsidRPr="00C33F4C" w:rsidRDefault="00FB24C0" w:rsidP="00C33F4C">
            <w:pPr>
              <w:spacing w:after="0" w:line="240" w:lineRule="auto"/>
              <w:ind w:left="0" w:firstLine="0"/>
              <w:rPr>
                <w:color w:val="auto"/>
                <w:lang w:val="es-ES"/>
              </w:rPr>
            </w:pPr>
          </w:p>
          <w:p w14:paraId="43085CDF" w14:textId="77777777" w:rsidR="00FB24C0" w:rsidRPr="00C33F4C" w:rsidRDefault="00FB24C0" w:rsidP="00C33F4C">
            <w:pPr>
              <w:spacing w:after="0" w:line="240" w:lineRule="auto"/>
              <w:ind w:left="0" w:firstLine="0"/>
              <w:rPr>
                <w:b/>
                <w:color w:val="auto"/>
                <w:lang w:val="es-ES"/>
              </w:rPr>
            </w:pPr>
            <w:r w:rsidRPr="00C33F4C">
              <w:rPr>
                <w:b/>
                <w:color w:val="auto"/>
                <w:lang w:val="es-ES"/>
              </w:rPr>
              <w:t>CARTONAJE</w:t>
            </w:r>
          </w:p>
        </w:tc>
      </w:tr>
    </w:tbl>
    <w:p w14:paraId="49A1D79A" w14:textId="77777777" w:rsidR="00FB24C0" w:rsidRPr="00443040" w:rsidRDefault="00FB24C0" w:rsidP="00B32F58">
      <w:pPr>
        <w:spacing w:after="0" w:line="240" w:lineRule="auto"/>
        <w:ind w:left="0" w:firstLine="0"/>
        <w:rPr>
          <w:color w:val="auto"/>
          <w:lang w:val="es-ES"/>
        </w:rPr>
      </w:pPr>
    </w:p>
    <w:p w14:paraId="60D9051C" w14:textId="77777777" w:rsidR="00FB24C0" w:rsidRPr="00443040" w:rsidRDefault="00FB24C0" w:rsidP="00B32F58">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FB24C0" w:rsidRPr="00443040" w14:paraId="7B35930B" w14:textId="77777777" w:rsidTr="00C33F4C">
        <w:tc>
          <w:tcPr>
            <w:tcW w:w="9063" w:type="dxa"/>
          </w:tcPr>
          <w:p w14:paraId="00A5FF08" w14:textId="77777777" w:rsidR="00FB24C0" w:rsidRPr="00C33F4C" w:rsidRDefault="00FB24C0" w:rsidP="00C33F4C">
            <w:pPr>
              <w:keepNext/>
              <w:spacing w:after="0" w:line="240" w:lineRule="auto"/>
              <w:ind w:left="567" w:hanging="567"/>
              <w:rPr>
                <w:b/>
                <w:color w:val="auto"/>
                <w:lang w:val="es-ES"/>
              </w:rPr>
            </w:pPr>
            <w:r w:rsidRPr="00C33F4C">
              <w:rPr>
                <w:b/>
                <w:color w:val="auto"/>
                <w:lang w:val="es-ES"/>
              </w:rPr>
              <w:t>1.</w:t>
            </w:r>
            <w:r w:rsidRPr="00C33F4C">
              <w:rPr>
                <w:b/>
                <w:color w:val="auto"/>
                <w:lang w:val="es-ES"/>
              </w:rPr>
              <w:tab/>
              <w:t>NOMBRE DEL MEDICAMENTO</w:t>
            </w:r>
          </w:p>
        </w:tc>
      </w:tr>
    </w:tbl>
    <w:p w14:paraId="51571597" w14:textId="77777777" w:rsidR="00FB24C0" w:rsidRPr="00443040" w:rsidRDefault="00FB24C0" w:rsidP="005978F2">
      <w:pPr>
        <w:keepNext/>
        <w:spacing w:after="0" w:line="240" w:lineRule="auto"/>
        <w:ind w:left="0" w:firstLine="0"/>
        <w:rPr>
          <w:color w:val="auto"/>
          <w:lang w:val="es-ES"/>
        </w:rPr>
      </w:pPr>
    </w:p>
    <w:p w14:paraId="14E42C55" w14:textId="77777777" w:rsidR="00FB24C0" w:rsidRPr="00443040" w:rsidRDefault="00AA71D6" w:rsidP="00FB24C0">
      <w:pPr>
        <w:spacing w:after="0" w:line="240" w:lineRule="auto"/>
        <w:ind w:left="0" w:firstLine="0"/>
        <w:rPr>
          <w:color w:val="auto"/>
          <w:lang w:val="es-ES"/>
        </w:rPr>
      </w:pPr>
      <w:r>
        <w:rPr>
          <w:color w:val="auto"/>
          <w:lang w:val="es-ES"/>
        </w:rPr>
        <w:t>MVASI</w:t>
      </w:r>
      <w:r w:rsidR="00FB24C0" w:rsidRPr="00443040">
        <w:rPr>
          <w:color w:val="auto"/>
          <w:lang w:val="es-ES"/>
        </w:rPr>
        <w:t xml:space="preserve"> 25 mg/ml concentrado para solución para perfusión</w:t>
      </w:r>
    </w:p>
    <w:p w14:paraId="108570A1" w14:textId="77777777" w:rsidR="00FB24C0" w:rsidRPr="00443040" w:rsidRDefault="00863B46" w:rsidP="00FB24C0">
      <w:pPr>
        <w:spacing w:after="0" w:line="240" w:lineRule="auto"/>
        <w:ind w:left="0" w:firstLine="0"/>
        <w:rPr>
          <w:color w:val="auto"/>
          <w:lang w:val="es-ES"/>
        </w:rPr>
      </w:pPr>
      <w:r>
        <w:rPr>
          <w:color w:val="auto"/>
          <w:lang w:val="es-ES"/>
        </w:rPr>
        <w:t>b</w:t>
      </w:r>
      <w:r w:rsidRPr="00443040">
        <w:rPr>
          <w:color w:val="auto"/>
          <w:lang w:val="es-ES"/>
        </w:rPr>
        <w:t>evacizumab</w:t>
      </w:r>
    </w:p>
    <w:p w14:paraId="6A3E895B" w14:textId="77777777" w:rsidR="00FB24C0" w:rsidRPr="00443040" w:rsidRDefault="00FB24C0" w:rsidP="00FB24C0">
      <w:pPr>
        <w:spacing w:after="0" w:line="240" w:lineRule="auto"/>
        <w:ind w:left="0" w:firstLine="0"/>
        <w:rPr>
          <w:color w:val="auto"/>
          <w:lang w:val="es-ES"/>
        </w:rPr>
      </w:pPr>
    </w:p>
    <w:p w14:paraId="7C286316" w14:textId="77777777" w:rsidR="00FB24C0" w:rsidRPr="00443040" w:rsidRDefault="00FB24C0" w:rsidP="00FB24C0">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FB24C0" w:rsidRPr="00443040" w14:paraId="068A561A" w14:textId="77777777" w:rsidTr="00C33F4C">
        <w:tc>
          <w:tcPr>
            <w:tcW w:w="9063" w:type="dxa"/>
          </w:tcPr>
          <w:p w14:paraId="346E4CF0" w14:textId="77777777" w:rsidR="00FB24C0" w:rsidRPr="00C33F4C" w:rsidRDefault="00FB24C0" w:rsidP="00C33F4C">
            <w:pPr>
              <w:keepNext/>
              <w:spacing w:after="0" w:line="240" w:lineRule="auto"/>
              <w:ind w:left="567" w:hanging="567"/>
              <w:rPr>
                <w:b/>
                <w:color w:val="auto"/>
                <w:lang w:val="es-ES"/>
              </w:rPr>
            </w:pPr>
            <w:r w:rsidRPr="00C33F4C">
              <w:rPr>
                <w:b/>
                <w:color w:val="auto"/>
                <w:lang w:val="es-ES"/>
              </w:rPr>
              <w:t>2.</w:t>
            </w:r>
            <w:r w:rsidRPr="00C33F4C">
              <w:rPr>
                <w:b/>
                <w:color w:val="auto"/>
                <w:lang w:val="es-ES"/>
              </w:rPr>
              <w:tab/>
              <w:t>PRINCIPIO(S) ACTIVO(S)</w:t>
            </w:r>
          </w:p>
        </w:tc>
      </w:tr>
    </w:tbl>
    <w:p w14:paraId="0415DECB" w14:textId="77777777" w:rsidR="00FB24C0" w:rsidRPr="00443040" w:rsidRDefault="00FB24C0" w:rsidP="005978F2">
      <w:pPr>
        <w:keepNext/>
        <w:spacing w:after="0" w:line="240" w:lineRule="auto"/>
        <w:ind w:left="0" w:firstLine="0"/>
        <w:rPr>
          <w:color w:val="auto"/>
          <w:lang w:val="es-ES"/>
        </w:rPr>
      </w:pPr>
    </w:p>
    <w:p w14:paraId="5B9BF6B0" w14:textId="3D798ECB" w:rsidR="00115208" w:rsidRDefault="00FB24C0" w:rsidP="00FB24C0">
      <w:pPr>
        <w:spacing w:after="0" w:line="240" w:lineRule="auto"/>
        <w:ind w:left="0" w:firstLine="0"/>
        <w:rPr>
          <w:color w:val="auto"/>
          <w:lang w:val="es-ES"/>
        </w:rPr>
      </w:pPr>
      <w:r w:rsidRPr="00443040">
        <w:rPr>
          <w:color w:val="auto"/>
          <w:lang w:val="es-ES"/>
        </w:rPr>
        <w:t>Cada vial contiene 100 mg de bevacizumab</w:t>
      </w:r>
      <w:r w:rsidR="009E7DAE">
        <w:rPr>
          <w:color w:val="auto"/>
          <w:lang w:val="es-ES"/>
        </w:rPr>
        <w:t xml:space="preserve"> en 4</w:t>
      </w:r>
      <w:r w:rsidR="00115208" w:rsidRPr="00443040">
        <w:rPr>
          <w:color w:val="auto"/>
          <w:lang w:val="es-ES"/>
        </w:rPr>
        <w:t> </w:t>
      </w:r>
      <w:r w:rsidR="009E7DAE">
        <w:rPr>
          <w:color w:val="auto"/>
          <w:lang w:val="es-ES"/>
        </w:rPr>
        <w:t>ml de concentra</w:t>
      </w:r>
      <w:r w:rsidR="00115208">
        <w:rPr>
          <w:color w:val="auto"/>
          <w:lang w:val="es-ES"/>
        </w:rPr>
        <w:t>do</w:t>
      </w:r>
      <w:r w:rsidRPr="00443040">
        <w:rPr>
          <w:color w:val="auto"/>
          <w:lang w:val="es-ES"/>
        </w:rPr>
        <w:t>.</w:t>
      </w:r>
      <w:r w:rsidR="009E7DAE">
        <w:rPr>
          <w:color w:val="auto"/>
          <w:lang w:val="es-ES"/>
        </w:rPr>
        <w:br/>
      </w:r>
    </w:p>
    <w:p w14:paraId="0953B381" w14:textId="77777777" w:rsidR="009E7DAE" w:rsidRDefault="009E7DAE" w:rsidP="00FB24C0">
      <w:pPr>
        <w:spacing w:after="0" w:line="240" w:lineRule="auto"/>
        <w:ind w:left="0" w:firstLine="0"/>
        <w:rPr>
          <w:color w:val="auto"/>
          <w:lang w:val="es-ES"/>
        </w:rPr>
      </w:pPr>
      <w:r>
        <w:rPr>
          <w:color w:val="auto"/>
          <w:lang w:val="es-ES"/>
        </w:rPr>
        <w:t>100</w:t>
      </w:r>
      <w:r w:rsidR="00115208" w:rsidRPr="00443040">
        <w:rPr>
          <w:color w:val="auto"/>
          <w:lang w:val="es-ES"/>
        </w:rPr>
        <w:t> </w:t>
      </w:r>
      <w:r>
        <w:rPr>
          <w:color w:val="auto"/>
          <w:lang w:val="es-ES"/>
        </w:rPr>
        <w:t>mg/4</w:t>
      </w:r>
      <w:r w:rsidR="00115208" w:rsidRPr="00443040">
        <w:rPr>
          <w:color w:val="auto"/>
          <w:lang w:val="es-ES"/>
        </w:rPr>
        <w:t> </w:t>
      </w:r>
      <w:r>
        <w:rPr>
          <w:color w:val="auto"/>
          <w:lang w:val="es-ES"/>
        </w:rPr>
        <w:t>ml</w:t>
      </w:r>
    </w:p>
    <w:p w14:paraId="61C2AEAA" w14:textId="77777777" w:rsidR="00FB24C0" w:rsidRPr="00443040" w:rsidRDefault="00FB24C0" w:rsidP="00FB24C0">
      <w:pPr>
        <w:spacing w:after="0" w:line="240" w:lineRule="auto"/>
        <w:ind w:left="0" w:firstLine="0"/>
        <w:rPr>
          <w:color w:val="auto"/>
          <w:lang w:val="es-ES"/>
        </w:rPr>
      </w:pPr>
    </w:p>
    <w:p w14:paraId="04B39597" w14:textId="77777777" w:rsidR="00FB24C0" w:rsidRPr="00443040" w:rsidRDefault="00FB24C0" w:rsidP="00FB24C0">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FB24C0" w:rsidRPr="00443040" w14:paraId="258AB983" w14:textId="77777777" w:rsidTr="00C33F4C">
        <w:tc>
          <w:tcPr>
            <w:tcW w:w="9063" w:type="dxa"/>
          </w:tcPr>
          <w:p w14:paraId="787E6F8F" w14:textId="77777777" w:rsidR="00FB24C0" w:rsidRPr="00C33F4C" w:rsidRDefault="00FB24C0" w:rsidP="00C33F4C">
            <w:pPr>
              <w:keepNext/>
              <w:spacing w:after="0" w:line="240" w:lineRule="auto"/>
              <w:ind w:left="567" w:hanging="567"/>
              <w:rPr>
                <w:b/>
                <w:color w:val="auto"/>
                <w:lang w:val="es-ES"/>
              </w:rPr>
            </w:pPr>
            <w:r w:rsidRPr="00C33F4C">
              <w:rPr>
                <w:b/>
                <w:color w:val="auto"/>
                <w:lang w:val="es-ES"/>
              </w:rPr>
              <w:t>3.</w:t>
            </w:r>
            <w:r w:rsidRPr="00C33F4C">
              <w:rPr>
                <w:b/>
                <w:color w:val="auto"/>
                <w:lang w:val="es-ES"/>
              </w:rPr>
              <w:tab/>
              <w:t>LISTA DE EXCIPIENTES</w:t>
            </w:r>
          </w:p>
        </w:tc>
      </w:tr>
    </w:tbl>
    <w:p w14:paraId="55FB941B" w14:textId="77777777" w:rsidR="00FB24C0" w:rsidRPr="00443040" w:rsidRDefault="00FB24C0" w:rsidP="005978F2">
      <w:pPr>
        <w:keepNext/>
        <w:spacing w:after="0" w:line="240" w:lineRule="auto"/>
        <w:ind w:left="0" w:firstLine="0"/>
        <w:rPr>
          <w:color w:val="auto"/>
          <w:lang w:val="es-ES"/>
        </w:rPr>
      </w:pPr>
    </w:p>
    <w:p w14:paraId="2F6DAE85" w14:textId="77777777" w:rsidR="00FB24C0" w:rsidRPr="00443040" w:rsidRDefault="00FB24C0" w:rsidP="00FB24C0">
      <w:pPr>
        <w:spacing w:after="0" w:line="240" w:lineRule="auto"/>
        <w:ind w:left="0" w:firstLine="0"/>
        <w:rPr>
          <w:color w:val="auto"/>
          <w:lang w:val="es-ES"/>
        </w:rPr>
      </w:pPr>
      <w:proofErr w:type="spellStart"/>
      <w:r w:rsidRPr="00443040">
        <w:rPr>
          <w:color w:val="auto"/>
          <w:lang w:val="es-ES"/>
        </w:rPr>
        <w:t>Trehalosa</w:t>
      </w:r>
      <w:proofErr w:type="spellEnd"/>
      <w:r w:rsidRPr="00443040">
        <w:rPr>
          <w:color w:val="auto"/>
          <w:lang w:val="es-ES"/>
        </w:rPr>
        <w:t xml:space="preserve"> </w:t>
      </w:r>
      <w:proofErr w:type="spellStart"/>
      <w:r w:rsidRPr="00443040">
        <w:rPr>
          <w:color w:val="auto"/>
          <w:lang w:val="es-ES"/>
        </w:rPr>
        <w:t>dihidrato</w:t>
      </w:r>
      <w:proofErr w:type="spellEnd"/>
      <w:r w:rsidRPr="00443040">
        <w:rPr>
          <w:color w:val="auto"/>
          <w:lang w:val="es-ES"/>
        </w:rPr>
        <w:t>, fosfato sódico, polisorbato 20, agua para preparaciones inyectables.</w:t>
      </w:r>
    </w:p>
    <w:p w14:paraId="1DCCEE93" w14:textId="77777777" w:rsidR="00FB24C0" w:rsidRPr="00443040" w:rsidRDefault="00FB24C0" w:rsidP="00FB24C0">
      <w:pPr>
        <w:spacing w:after="0" w:line="240" w:lineRule="auto"/>
        <w:ind w:left="0" w:firstLine="0"/>
        <w:rPr>
          <w:color w:val="auto"/>
          <w:lang w:val="es-ES"/>
        </w:rPr>
      </w:pPr>
    </w:p>
    <w:p w14:paraId="59E9311A" w14:textId="77777777" w:rsidR="00FB24C0" w:rsidRPr="00443040" w:rsidRDefault="00FB24C0" w:rsidP="00FB24C0">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FB24C0" w:rsidRPr="00714463" w14:paraId="3EB44835" w14:textId="77777777" w:rsidTr="00C33F4C">
        <w:tc>
          <w:tcPr>
            <w:tcW w:w="9063" w:type="dxa"/>
          </w:tcPr>
          <w:p w14:paraId="620D9905" w14:textId="77777777" w:rsidR="00FB24C0" w:rsidRPr="00C33F4C" w:rsidRDefault="00FB24C0" w:rsidP="00C33F4C">
            <w:pPr>
              <w:keepNext/>
              <w:spacing w:after="0" w:line="240" w:lineRule="auto"/>
              <w:ind w:left="567" w:hanging="567"/>
              <w:rPr>
                <w:b/>
                <w:color w:val="auto"/>
                <w:lang w:val="es-ES"/>
              </w:rPr>
            </w:pPr>
            <w:r w:rsidRPr="00C33F4C">
              <w:rPr>
                <w:b/>
                <w:color w:val="auto"/>
                <w:lang w:val="es-ES"/>
              </w:rPr>
              <w:t>4.</w:t>
            </w:r>
            <w:r w:rsidRPr="00C33F4C">
              <w:rPr>
                <w:b/>
                <w:color w:val="auto"/>
                <w:lang w:val="es-ES"/>
              </w:rPr>
              <w:tab/>
              <w:t>FORMA FARMACÉUTICA Y CONTENIDO DEL ENVASE</w:t>
            </w:r>
          </w:p>
        </w:tc>
      </w:tr>
    </w:tbl>
    <w:p w14:paraId="2542E89B" w14:textId="77777777" w:rsidR="00FB24C0" w:rsidRPr="00443040" w:rsidRDefault="00FB24C0" w:rsidP="005978F2">
      <w:pPr>
        <w:keepNext/>
        <w:spacing w:after="0" w:line="240" w:lineRule="auto"/>
        <w:ind w:left="0" w:firstLine="0"/>
        <w:rPr>
          <w:color w:val="auto"/>
          <w:lang w:val="es-ES"/>
        </w:rPr>
      </w:pPr>
    </w:p>
    <w:p w14:paraId="12E24380" w14:textId="77777777" w:rsidR="00FB24C0" w:rsidRPr="00443040" w:rsidRDefault="00FB24C0" w:rsidP="00FB24C0">
      <w:pPr>
        <w:spacing w:after="0" w:line="240" w:lineRule="auto"/>
        <w:ind w:left="0" w:firstLine="0"/>
        <w:rPr>
          <w:color w:val="auto"/>
          <w:lang w:val="es-ES"/>
        </w:rPr>
      </w:pPr>
      <w:r>
        <w:rPr>
          <w:color w:val="auto"/>
          <w:highlight w:val="lightGray"/>
          <w:lang w:val="es-ES"/>
        </w:rPr>
        <w:t>Concentrado para solución para perfusión</w:t>
      </w:r>
      <w:r w:rsidR="00B32F58">
        <w:rPr>
          <w:color w:val="auto"/>
          <w:highlight w:val="lightGray"/>
          <w:lang w:val="es-ES"/>
        </w:rPr>
        <w:t>.</w:t>
      </w:r>
    </w:p>
    <w:p w14:paraId="0D443A07" w14:textId="77777777" w:rsidR="00FB24C0" w:rsidRPr="00443040" w:rsidRDefault="00FB24C0">
      <w:pPr>
        <w:spacing w:after="0" w:line="240" w:lineRule="auto"/>
        <w:ind w:left="0" w:firstLine="0"/>
        <w:rPr>
          <w:color w:val="auto"/>
          <w:lang w:val="es-ES"/>
        </w:rPr>
      </w:pPr>
      <w:r w:rsidRPr="00443040">
        <w:rPr>
          <w:color w:val="auto"/>
          <w:lang w:val="es-ES"/>
        </w:rPr>
        <w:t xml:space="preserve">1 vial </w:t>
      </w:r>
    </w:p>
    <w:p w14:paraId="0D72DEAF" w14:textId="77777777" w:rsidR="00FB24C0" w:rsidRPr="00443040" w:rsidRDefault="00FB24C0" w:rsidP="00FB24C0">
      <w:pPr>
        <w:spacing w:after="0" w:line="240" w:lineRule="auto"/>
        <w:ind w:left="0" w:firstLine="0"/>
        <w:rPr>
          <w:color w:val="auto"/>
          <w:lang w:val="es-ES"/>
        </w:rPr>
      </w:pPr>
    </w:p>
    <w:p w14:paraId="0AD5A5A3" w14:textId="77777777" w:rsidR="00FB24C0" w:rsidRPr="00443040" w:rsidRDefault="00FB24C0" w:rsidP="00FB24C0">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FB24C0" w:rsidRPr="00714463" w14:paraId="50FF2FF7" w14:textId="77777777" w:rsidTr="00C33F4C">
        <w:tc>
          <w:tcPr>
            <w:tcW w:w="9063" w:type="dxa"/>
          </w:tcPr>
          <w:p w14:paraId="41400B52" w14:textId="77777777" w:rsidR="00FB24C0" w:rsidRPr="00C33F4C" w:rsidRDefault="00FB24C0" w:rsidP="00C33F4C">
            <w:pPr>
              <w:keepNext/>
              <w:spacing w:after="0" w:line="240" w:lineRule="auto"/>
              <w:ind w:left="567" w:hanging="567"/>
              <w:rPr>
                <w:b/>
                <w:color w:val="auto"/>
                <w:lang w:val="es-ES"/>
              </w:rPr>
            </w:pPr>
            <w:r w:rsidRPr="00C33F4C">
              <w:rPr>
                <w:b/>
                <w:color w:val="auto"/>
                <w:lang w:val="es-ES"/>
              </w:rPr>
              <w:t>5.</w:t>
            </w:r>
            <w:r w:rsidRPr="00C33F4C">
              <w:rPr>
                <w:b/>
                <w:color w:val="auto"/>
                <w:lang w:val="es-ES"/>
              </w:rPr>
              <w:tab/>
              <w:t>FORMA Y VÍA(S) DE ADMINISTRACIÓN</w:t>
            </w:r>
          </w:p>
        </w:tc>
      </w:tr>
    </w:tbl>
    <w:p w14:paraId="68DFF523" w14:textId="77777777" w:rsidR="00FB24C0" w:rsidRPr="00443040" w:rsidRDefault="00FB24C0" w:rsidP="005978F2">
      <w:pPr>
        <w:keepNext/>
        <w:spacing w:after="0" w:line="240" w:lineRule="auto"/>
        <w:ind w:left="0" w:firstLine="0"/>
        <w:rPr>
          <w:color w:val="auto"/>
          <w:lang w:val="es-ES"/>
        </w:rPr>
      </w:pPr>
    </w:p>
    <w:p w14:paraId="72CC3AD2" w14:textId="77777777" w:rsidR="00FB24C0" w:rsidRPr="00443040" w:rsidRDefault="00FB24C0" w:rsidP="00FB24C0">
      <w:pPr>
        <w:spacing w:after="0" w:line="240" w:lineRule="auto"/>
        <w:ind w:left="0" w:firstLine="0"/>
        <w:rPr>
          <w:color w:val="auto"/>
          <w:lang w:val="es-ES"/>
        </w:rPr>
      </w:pPr>
      <w:r w:rsidRPr="00443040">
        <w:rPr>
          <w:color w:val="auto"/>
          <w:lang w:val="es-ES"/>
        </w:rPr>
        <w:t>Vía intravenosa, previa dilución</w:t>
      </w:r>
      <w:r w:rsidR="005978F2">
        <w:rPr>
          <w:color w:val="auto"/>
          <w:lang w:val="es-ES"/>
        </w:rPr>
        <w:t>.</w:t>
      </w:r>
    </w:p>
    <w:p w14:paraId="1FF974D7" w14:textId="77777777" w:rsidR="00FB24C0" w:rsidRPr="00443040" w:rsidRDefault="00FB24C0" w:rsidP="00FB24C0">
      <w:pPr>
        <w:spacing w:after="0" w:line="240" w:lineRule="auto"/>
        <w:ind w:left="0" w:firstLine="0"/>
        <w:rPr>
          <w:color w:val="auto"/>
          <w:lang w:val="es-ES"/>
        </w:rPr>
      </w:pPr>
      <w:r w:rsidRPr="00443040">
        <w:rPr>
          <w:color w:val="auto"/>
          <w:lang w:val="es-ES"/>
        </w:rPr>
        <w:t>Leer el prospecto antes de utilizar este medicamento</w:t>
      </w:r>
      <w:r w:rsidR="005978F2">
        <w:rPr>
          <w:color w:val="auto"/>
          <w:lang w:val="es-ES"/>
        </w:rPr>
        <w:t>.</w:t>
      </w:r>
    </w:p>
    <w:p w14:paraId="40041AF8" w14:textId="77777777" w:rsidR="00FB24C0" w:rsidRPr="00443040" w:rsidRDefault="00FB24C0" w:rsidP="00FB24C0">
      <w:pPr>
        <w:spacing w:after="0" w:line="240" w:lineRule="auto"/>
        <w:ind w:left="0" w:firstLine="0"/>
        <w:rPr>
          <w:color w:val="auto"/>
          <w:lang w:val="es-ES"/>
        </w:rPr>
      </w:pPr>
    </w:p>
    <w:p w14:paraId="788B8524" w14:textId="77777777" w:rsidR="00FB24C0" w:rsidRPr="00443040" w:rsidRDefault="00FB24C0" w:rsidP="00FB24C0">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FB24C0" w:rsidRPr="00714463" w14:paraId="0B8C9069" w14:textId="77777777" w:rsidTr="00C33F4C">
        <w:tc>
          <w:tcPr>
            <w:tcW w:w="9063" w:type="dxa"/>
          </w:tcPr>
          <w:p w14:paraId="1B7FA93F" w14:textId="77777777" w:rsidR="00FB24C0" w:rsidRPr="00C33F4C" w:rsidRDefault="00FB24C0" w:rsidP="00C33F4C">
            <w:pPr>
              <w:keepNext/>
              <w:spacing w:after="0" w:line="240" w:lineRule="auto"/>
              <w:ind w:left="567" w:hanging="567"/>
              <w:rPr>
                <w:b/>
                <w:color w:val="auto"/>
                <w:lang w:val="es-ES"/>
              </w:rPr>
            </w:pPr>
            <w:r w:rsidRPr="00C33F4C">
              <w:rPr>
                <w:b/>
                <w:color w:val="auto"/>
                <w:lang w:val="es-ES"/>
              </w:rPr>
              <w:t>6.</w:t>
            </w:r>
            <w:r w:rsidRPr="00C33F4C">
              <w:rPr>
                <w:b/>
                <w:color w:val="auto"/>
                <w:lang w:val="es-ES"/>
              </w:rPr>
              <w:tab/>
              <w:t>ADVERTENCIA ESPECIAL DE QUE EL MEDICAMENTO DEBE MANTENERSE</w:t>
            </w:r>
            <w:r w:rsidR="005978F2" w:rsidRPr="00C33F4C">
              <w:rPr>
                <w:b/>
                <w:color w:val="auto"/>
                <w:lang w:val="es-ES"/>
              </w:rPr>
              <w:t xml:space="preserve"> </w:t>
            </w:r>
            <w:r w:rsidRPr="00C33F4C">
              <w:rPr>
                <w:b/>
                <w:color w:val="auto"/>
                <w:lang w:val="es-ES"/>
              </w:rPr>
              <w:t>FUERA DE LA VISTA Y DEL ALCANCE DE LOS NIÑOS</w:t>
            </w:r>
          </w:p>
        </w:tc>
      </w:tr>
    </w:tbl>
    <w:p w14:paraId="2A8CBA4D" w14:textId="77777777" w:rsidR="00FB24C0" w:rsidRPr="00443040" w:rsidRDefault="00FB24C0" w:rsidP="005978F2">
      <w:pPr>
        <w:keepNext/>
        <w:spacing w:after="0" w:line="240" w:lineRule="auto"/>
        <w:ind w:left="0" w:firstLine="0"/>
        <w:rPr>
          <w:color w:val="auto"/>
          <w:lang w:val="es-ES"/>
        </w:rPr>
      </w:pPr>
    </w:p>
    <w:p w14:paraId="73D3F19D" w14:textId="77777777" w:rsidR="00FB24C0" w:rsidRPr="00443040" w:rsidRDefault="00FB24C0" w:rsidP="00FB24C0">
      <w:pPr>
        <w:spacing w:after="0" w:line="240" w:lineRule="auto"/>
        <w:ind w:left="0" w:firstLine="0"/>
        <w:rPr>
          <w:color w:val="auto"/>
          <w:lang w:val="es-ES"/>
        </w:rPr>
      </w:pPr>
      <w:r w:rsidRPr="00443040">
        <w:rPr>
          <w:color w:val="auto"/>
          <w:lang w:val="es-ES"/>
        </w:rPr>
        <w:t>Mantener fuera de la vista y del alcance de los niños</w:t>
      </w:r>
      <w:r w:rsidR="003202AB">
        <w:rPr>
          <w:color w:val="auto"/>
          <w:lang w:val="es-ES"/>
        </w:rPr>
        <w:t>.</w:t>
      </w:r>
    </w:p>
    <w:p w14:paraId="24E9057B" w14:textId="77777777" w:rsidR="00FB24C0" w:rsidRPr="00443040" w:rsidRDefault="00FB24C0" w:rsidP="00FB24C0">
      <w:pPr>
        <w:spacing w:after="0" w:line="240" w:lineRule="auto"/>
        <w:ind w:left="0" w:firstLine="0"/>
        <w:rPr>
          <w:color w:val="auto"/>
          <w:lang w:val="es-ES"/>
        </w:rPr>
      </w:pPr>
    </w:p>
    <w:p w14:paraId="1A83F376" w14:textId="77777777" w:rsidR="00FB24C0" w:rsidRPr="00443040" w:rsidRDefault="00FB24C0" w:rsidP="00FB24C0">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FB24C0" w:rsidRPr="00714463" w14:paraId="03A464A2" w14:textId="77777777" w:rsidTr="00C33F4C">
        <w:tc>
          <w:tcPr>
            <w:tcW w:w="9063" w:type="dxa"/>
          </w:tcPr>
          <w:p w14:paraId="531FBD0C" w14:textId="77777777" w:rsidR="00FB24C0" w:rsidRPr="00C33F4C" w:rsidRDefault="00FB24C0" w:rsidP="00C33F4C">
            <w:pPr>
              <w:keepNext/>
              <w:spacing w:after="0" w:line="240" w:lineRule="auto"/>
              <w:ind w:left="567" w:hanging="567"/>
              <w:rPr>
                <w:b/>
                <w:color w:val="auto"/>
                <w:lang w:val="es-ES"/>
              </w:rPr>
            </w:pPr>
            <w:r w:rsidRPr="00C33F4C">
              <w:rPr>
                <w:b/>
                <w:color w:val="auto"/>
                <w:lang w:val="es-ES"/>
              </w:rPr>
              <w:t>7.</w:t>
            </w:r>
            <w:r w:rsidRPr="00C33F4C">
              <w:rPr>
                <w:b/>
                <w:color w:val="auto"/>
                <w:lang w:val="es-ES"/>
              </w:rPr>
              <w:tab/>
              <w:t>OTRA(S) ADVERTENCIA(S) ESPECIAL(ES), SI ES NECESARIO</w:t>
            </w:r>
          </w:p>
        </w:tc>
      </w:tr>
    </w:tbl>
    <w:p w14:paraId="54B54436" w14:textId="77777777" w:rsidR="00FB24C0" w:rsidRPr="00443040" w:rsidRDefault="00FB24C0" w:rsidP="005978F2">
      <w:pPr>
        <w:keepNext/>
        <w:spacing w:after="0" w:line="240" w:lineRule="auto"/>
        <w:ind w:left="0" w:firstLine="0"/>
        <w:rPr>
          <w:color w:val="auto"/>
          <w:lang w:val="es-ES"/>
        </w:rPr>
      </w:pPr>
    </w:p>
    <w:p w14:paraId="4906AFA5" w14:textId="77777777" w:rsidR="00FB24C0" w:rsidRPr="00443040" w:rsidRDefault="00FB24C0" w:rsidP="00FB24C0">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FB24C0" w:rsidRPr="00443040" w14:paraId="108B7A77" w14:textId="77777777" w:rsidTr="00C33F4C">
        <w:tc>
          <w:tcPr>
            <w:tcW w:w="9063" w:type="dxa"/>
          </w:tcPr>
          <w:p w14:paraId="64E717DE" w14:textId="77777777" w:rsidR="00FB24C0" w:rsidRPr="00C33F4C" w:rsidRDefault="00FB24C0" w:rsidP="00C33F4C">
            <w:pPr>
              <w:keepNext/>
              <w:spacing w:after="0" w:line="240" w:lineRule="auto"/>
              <w:ind w:left="567" w:hanging="567"/>
              <w:rPr>
                <w:b/>
                <w:color w:val="auto"/>
                <w:lang w:val="es-ES"/>
              </w:rPr>
            </w:pPr>
            <w:r w:rsidRPr="00C33F4C">
              <w:rPr>
                <w:b/>
                <w:color w:val="auto"/>
                <w:lang w:val="es-ES"/>
              </w:rPr>
              <w:t>8.</w:t>
            </w:r>
            <w:r w:rsidRPr="00C33F4C">
              <w:rPr>
                <w:b/>
                <w:color w:val="auto"/>
                <w:lang w:val="es-ES"/>
              </w:rPr>
              <w:tab/>
              <w:t>FECHA DE CADUCIDAD</w:t>
            </w:r>
          </w:p>
        </w:tc>
      </w:tr>
    </w:tbl>
    <w:p w14:paraId="51E5E066" w14:textId="77777777" w:rsidR="00FB24C0" w:rsidRPr="00443040" w:rsidRDefault="00FB24C0" w:rsidP="005978F2">
      <w:pPr>
        <w:keepNext/>
        <w:spacing w:after="0" w:line="240" w:lineRule="auto"/>
        <w:ind w:left="0" w:firstLine="0"/>
        <w:rPr>
          <w:color w:val="auto"/>
          <w:lang w:val="es-ES"/>
        </w:rPr>
      </w:pPr>
    </w:p>
    <w:p w14:paraId="7ADE9998" w14:textId="77777777" w:rsidR="00FB24C0" w:rsidRPr="00443040" w:rsidRDefault="00FB24C0" w:rsidP="00FB24C0">
      <w:pPr>
        <w:spacing w:after="0" w:line="240" w:lineRule="auto"/>
        <w:ind w:left="0" w:firstLine="0"/>
        <w:rPr>
          <w:color w:val="auto"/>
          <w:lang w:val="es-ES"/>
        </w:rPr>
      </w:pPr>
      <w:r w:rsidRPr="00443040">
        <w:rPr>
          <w:color w:val="auto"/>
          <w:lang w:val="es-ES"/>
        </w:rPr>
        <w:t>CAD</w:t>
      </w:r>
    </w:p>
    <w:p w14:paraId="48B755AD" w14:textId="77777777" w:rsidR="00FB24C0" w:rsidRPr="00443040" w:rsidRDefault="00FB24C0" w:rsidP="00FB24C0">
      <w:pPr>
        <w:spacing w:after="0" w:line="240" w:lineRule="auto"/>
        <w:ind w:left="0" w:firstLine="0"/>
        <w:rPr>
          <w:color w:val="auto"/>
          <w:lang w:val="es-ES"/>
        </w:rPr>
      </w:pPr>
    </w:p>
    <w:p w14:paraId="3C5EB89F" w14:textId="77777777" w:rsidR="00FB24C0" w:rsidRPr="00443040" w:rsidRDefault="00FB24C0" w:rsidP="00FB24C0">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FB24C0" w:rsidRPr="00443040" w14:paraId="046CA15B" w14:textId="77777777" w:rsidTr="00C33F4C">
        <w:tc>
          <w:tcPr>
            <w:tcW w:w="9063" w:type="dxa"/>
          </w:tcPr>
          <w:p w14:paraId="18DD7F62" w14:textId="77777777" w:rsidR="00FB24C0" w:rsidRPr="00C33F4C" w:rsidRDefault="00FB24C0" w:rsidP="00C33F4C">
            <w:pPr>
              <w:keepNext/>
              <w:spacing w:after="0" w:line="240" w:lineRule="auto"/>
              <w:ind w:left="567" w:hanging="567"/>
              <w:rPr>
                <w:b/>
                <w:color w:val="auto"/>
                <w:lang w:val="es-ES"/>
              </w:rPr>
            </w:pPr>
            <w:r w:rsidRPr="00C33F4C">
              <w:rPr>
                <w:b/>
                <w:color w:val="auto"/>
                <w:lang w:val="es-ES"/>
              </w:rPr>
              <w:t>9.</w:t>
            </w:r>
            <w:r w:rsidRPr="00C33F4C">
              <w:rPr>
                <w:b/>
                <w:color w:val="auto"/>
                <w:lang w:val="es-ES"/>
              </w:rPr>
              <w:tab/>
              <w:t>CONDICIONES ESPECIALES DE CONSERVACIÓN</w:t>
            </w:r>
          </w:p>
        </w:tc>
      </w:tr>
    </w:tbl>
    <w:p w14:paraId="5676CFDD" w14:textId="77777777" w:rsidR="00FB24C0" w:rsidRPr="00443040" w:rsidRDefault="00FB24C0" w:rsidP="005978F2">
      <w:pPr>
        <w:keepNext/>
        <w:spacing w:after="0" w:line="240" w:lineRule="auto"/>
        <w:ind w:left="0" w:firstLine="0"/>
        <w:rPr>
          <w:color w:val="auto"/>
          <w:lang w:val="es-ES"/>
        </w:rPr>
      </w:pPr>
    </w:p>
    <w:p w14:paraId="271126C8" w14:textId="77777777" w:rsidR="00FB24C0" w:rsidRPr="00443040" w:rsidRDefault="00FB24C0" w:rsidP="00FB24C0">
      <w:pPr>
        <w:spacing w:after="0" w:line="240" w:lineRule="auto"/>
        <w:ind w:left="0" w:firstLine="0"/>
        <w:rPr>
          <w:color w:val="auto"/>
          <w:lang w:val="es-ES"/>
        </w:rPr>
      </w:pPr>
      <w:r w:rsidRPr="00443040">
        <w:rPr>
          <w:color w:val="auto"/>
          <w:lang w:val="es-ES"/>
        </w:rPr>
        <w:t>Conservar en nevera</w:t>
      </w:r>
      <w:r w:rsidR="005978F2">
        <w:rPr>
          <w:color w:val="auto"/>
          <w:lang w:val="es-ES"/>
        </w:rPr>
        <w:t>.</w:t>
      </w:r>
    </w:p>
    <w:p w14:paraId="580983CC" w14:textId="77777777" w:rsidR="00FB24C0" w:rsidRPr="00443040" w:rsidRDefault="00FB24C0" w:rsidP="00FB24C0">
      <w:pPr>
        <w:spacing w:after="0" w:line="240" w:lineRule="auto"/>
        <w:ind w:left="0" w:firstLine="0"/>
        <w:rPr>
          <w:color w:val="auto"/>
          <w:lang w:val="es-ES"/>
        </w:rPr>
      </w:pPr>
      <w:r w:rsidRPr="00443040">
        <w:rPr>
          <w:color w:val="auto"/>
          <w:lang w:val="es-ES"/>
        </w:rPr>
        <w:t>No congelar</w:t>
      </w:r>
      <w:r w:rsidR="005978F2">
        <w:rPr>
          <w:color w:val="auto"/>
          <w:lang w:val="es-ES"/>
        </w:rPr>
        <w:t>.</w:t>
      </w:r>
    </w:p>
    <w:p w14:paraId="00120B58" w14:textId="5EFE0F0D" w:rsidR="00FB24C0" w:rsidRPr="00443040" w:rsidRDefault="00FB24C0" w:rsidP="00FB24C0">
      <w:pPr>
        <w:spacing w:after="0" w:line="240" w:lineRule="auto"/>
        <w:ind w:left="0" w:firstLine="0"/>
        <w:rPr>
          <w:color w:val="auto"/>
          <w:lang w:val="es-ES"/>
        </w:rPr>
      </w:pPr>
      <w:r w:rsidRPr="00443040">
        <w:rPr>
          <w:color w:val="auto"/>
          <w:lang w:val="es-ES"/>
        </w:rPr>
        <w:t>Conservar en el embalaje exterior para protegerlo de la luz</w:t>
      </w:r>
      <w:r w:rsidR="005978F2">
        <w:rPr>
          <w:color w:val="auto"/>
          <w:lang w:val="es-ES"/>
        </w:rPr>
        <w:t>.</w:t>
      </w:r>
    </w:p>
    <w:p w14:paraId="4F49E777" w14:textId="77777777" w:rsidR="00FB24C0" w:rsidRPr="00443040" w:rsidRDefault="00FB24C0" w:rsidP="00FB24C0">
      <w:pPr>
        <w:spacing w:after="0" w:line="240" w:lineRule="auto"/>
        <w:ind w:left="0" w:firstLine="0"/>
        <w:rPr>
          <w:color w:val="auto"/>
          <w:lang w:val="es-ES"/>
        </w:rPr>
      </w:pPr>
    </w:p>
    <w:p w14:paraId="6141986C" w14:textId="77777777" w:rsidR="00FB24C0" w:rsidRPr="00443040" w:rsidRDefault="00FB24C0" w:rsidP="00FB24C0">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FB24C0" w:rsidRPr="00714463" w14:paraId="7681DDDF" w14:textId="77777777" w:rsidTr="00C33F4C">
        <w:tc>
          <w:tcPr>
            <w:tcW w:w="9063" w:type="dxa"/>
          </w:tcPr>
          <w:p w14:paraId="2C8146B2" w14:textId="77777777" w:rsidR="00FB24C0" w:rsidRPr="00C33F4C" w:rsidRDefault="00FB24C0" w:rsidP="00C33F4C">
            <w:pPr>
              <w:keepNext/>
              <w:spacing w:after="0" w:line="240" w:lineRule="auto"/>
              <w:ind w:left="567" w:hanging="567"/>
              <w:rPr>
                <w:b/>
                <w:color w:val="auto"/>
                <w:lang w:val="es-ES"/>
              </w:rPr>
            </w:pPr>
            <w:r w:rsidRPr="00C33F4C">
              <w:rPr>
                <w:b/>
                <w:color w:val="auto"/>
                <w:lang w:val="es-ES"/>
              </w:rPr>
              <w:t>10.</w:t>
            </w:r>
            <w:r w:rsidRPr="00C33F4C">
              <w:rPr>
                <w:b/>
                <w:color w:val="auto"/>
                <w:lang w:val="es-ES"/>
              </w:rPr>
              <w:tab/>
              <w:t>PRECAUCIONES ESPECIALES DE ELIMINACIÓN DEL MEDICAMENTO NO</w:t>
            </w:r>
            <w:r w:rsidR="005978F2" w:rsidRPr="00C33F4C">
              <w:rPr>
                <w:b/>
                <w:color w:val="auto"/>
                <w:lang w:val="es-ES"/>
              </w:rPr>
              <w:t xml:space="preserve"> </w:t>
            </w:r>
            <w:r w:rsidRPr="00C33F4C">
              <w:rPr>
                <w:b/>
                <w:color w:val="auto"/>
                <w:lang w:val="es-ES"/>
              </w:rPr>
              <w:t>UTILIZADO Y DE LOS MATERIALES DERIVADOS DE SU USO, CUANDO CORRESPONDA</w:t>
            </w:r>
          </w:p>
        </w:tc>
      </w:tr>
    </w:tbl>
    <w:p w14:paraId="6F29B197" w14:textId="77777777" w:rsidR="00FB24C0" w:rsidRPr="00443040" w:rsidRDefault="00FB24C0" w:rsidP="00B32F58">
      <w:pPr>
        <w:keepNext/>
        <w:spacing w:after="0" w:line="240" w:lineRule="auto"/>
        <w:ind w:left="0" w:firstLine="0"/>
        <w:rPr>
          <w:color w:val="auto"/>
          <w:lang w:val="es-ES"/>
        </w:rPr>
      </w:pPr>
    </w:p>
    <w:p w14:paraId="2D8ED82E" w14:textId="77777777" w:rsidR="00FB24C0" w:rsidRPr="00443040" w:rsidRDefault="00FB24C0" w:rsidP="00B32F58">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B24C0" w:rsidRPr="00714463" w14:paraId="40B1A173" w14:textId="77777777" w:rsidTr="00C33F4C">
        <w:tc>
          <w:tcPr>
            <w:tcW w:w="9062" w:type="dxa"/>
          </w:tcPr>
          <w:p w14:paraId="5C082CF5" w14:textId="77777777" w:rsidR="00FB24C0" w:rsidRPr="00C33F4C" w:rsidRDefault="00FB24C0" w:rsidP="00C33F4C">
            <w:pPr>
              <w:keepNext/>
              <w:spacing w:after="0" w:line="240" w:lineRule="auto"/>
              <w:ind w:left="567" w:hanging="567"/>
              <w:rPr>
                <w:b/>
                <w:color w:val="auto"/>
                <w:lang w:val="es-ES"/>
              </w:rPr>
            </w:pPr>
            <w:r w:rsidRPr="00C33F4C">
              <w:rPr>
                <w:b/>
                <w:color w:val="auto"/>
                <w:lang w:val="es-ES"/>
              </w:rPr>
              <w:t>11.</w:t>
            </w:r>
            <w:r w:rsidRPr="00C33F4C">
              <w:rPr>
                <w:b/>
                <w:color w:val="auto"/>
                <w:lang w:val="es-ES"/>
              </w:rPr>
              <w:tab/>
              <w:t>NOMBRE Y DIRECCIÓN DEL TITULAR DE LA AUTORIZACIÓN DE</w:t>
            </w:r>
            <w:r w:rsidR="005978F2" w:rsidRPr="00C33F4C">
              <w:rPr>
                <w:b/>
                <w:color w:val="auto"/>
                <w:lang w:val="es-ES"/>
              </w:rPr>
              <w:t xml:space="preserve"> </w:t>
            </w:r>
            <w:r w:rsidRPr="00C33F4C">
              <w:rPr>
                <w:b/>
                <w:color w:val="auto"/>
                <w:lang w:val="es-ES"/>
              </w:rPr>
              <w:t>COMERCIALIZACIÓN</w:t>
            </w:r>
          </w:p>
        </w:tc>
      </w:tr>
    </w:tbl>
    <w:p w14:paraId="798B8893" w14:textId="77777777" w:rsidR="00FB24C0" w:rsidRPr="00443040" w:rsidRDefault="00FB24C0" w:rsidP="005978F2">
      <w:pPr>
        <w:keepNext/>
        <w:spacing w:after="0" w:line="240" w:lineRule="auto"/>
        <w:ind w:left="0" w:firstLine="0"/>
        <w:rPr>
          <w:color w:val="auto"/>
          <w:lang w:val="es-ES"/>
        </w:rPr>
      </w:pPr>
    </w:p>
    <w:p w14:paraId="011452B6" w14:textId="77777777" w:rsidR="00343A77" w:rsidRPr="00537EA4" w:rsidRDefault="00343A77" w:rsidP="00343A77">
      <w:pPr>
        <w:keepNext/>
        <w:spacing w:line="240" w:lineRule="auto"/>
        <w:ind w:right="-1"/>
      </w:pPr>
      <w:r w:rsidRPr="00B6605D">
        <w:t xml:space="preserve">Amgen Technology </w:t>
      </w:r>
      <w:r w:rsidRPr="00537EA4">
        <w:t>(Ireland) UC</w:t>
      </w:r>
      <w:r>
        <w:t>,</w:t>
      </w:r>
    </w:p>
    <w:p w14:paraId="03B5AE78" w14:textId="77777777" w:rsidR="00343A77" w:rsidRPr="00537EA4" w:rsidRDefault="00343A77" w:rsidP="00343A77">
      <w:pPr>
        <w:keepNext/>
        <w:spacing w:line="240" w:lineRule="auto"/>
        <w:ind w:right="-1"/>
      </w:pPr>
      <w:r w:rsidRPr="00537EA4">
        <w:t>Pottery Road</w:t>
      </w:r>
      <w:r>
        <w:t>,</w:t>
      </w:r>
    </w:p>
    <w:p w14:paraId="6BF2D45C" w14:textId="77777777" w:rsidR="00343A77" w:rsidRPr="00537EA4" w:rsidRDefault="00343A77" w:rsidP="00343A77">
      <w:pPr>
        <w:keepNext/>
        <w:spacing w:line="240" w:lineRule="auto"/>
        <w:ind w:right="-1"/>
      </w:pPr>
      <w:r w:rsidRPr="00537EA4">
        <w:t>Dun Laoghaire</w:t>
      </w:r>
      <w:r>
        <w:t>,</w:t>
      </w:r>
    </w:p>
    <w:p w14:paraId="5DC9BD8C" w14:textId="77777777" w:rsidR="00343A77" w:rsidRPr="00C33F4C" w:rsidRDefault="00343A77" w:rsidP="00343A77">
      <w:pPr>
        <w:autoSpaceDE w:val="0"/>
        <w:autoSpaceDN w:val="0"/>
        <w:adjustRightInd w:val="0"/>
        <w:spacing w:after="0" w:line="240" w:lineRule="auto"/>
        <w:ind w:left="0" w:firstLine="0"/>
        <w:rPr>
          <w:rFonts w:eastAsia="Calibri"/>
          <w:lang w:val="es-ES" w:eastAsia="en-US"/>
        </w:rPr>
      </w:pPr>
      <w:r w:rsidRPr="00537EA4">
        <w:t>Co</w:t>
      </w:r>
      <w:r>
        <w:t>.</w:t>
      </w:r>
      <w:r w:rsidRPr="00537EA4">
        <w:t xml:space="preserve"> Dublin</w:t>
      </w:r>
      <w:r>
        <w:t>,</w:t>
      </w:r>
    </w:p>
    <w:p w14:paraId="1F7982A5" w14:textId="77777777" w:rsidR="00343A77" w:rsidRPr="006D35C1" w:rsidRDefault="00343A77" w:rsidP="00343A77">
      <w:pPr>
        <w:spacing w:after="0" w:line="240" w:lineRule="auto"/>
        <w:ind w:left="0" w:firstLine="0"/>
        <w:rPr>
          <w:color w:val="auto"/>
          <w:lang w:val="es-ES"/>
        </w:rPr>
      </w:pPr>
      <w:r w:rsidRPr="007C7557">
        <w:rPr>
          <w:lang w:val="es-ES"/>
        </w:rPr>
        <w:t>Irlanda</w:t>
      </w:r>
      <w:r w:rsidRPr="00C33F4C" w:rsidDel="00F83BD0">
        <w:rPr>
          <w:rFonts w:eastAsia="Calibri"/>
          <w:lang w:val="es-ES" w:eastAsia="en-US"/>
        </w:rPr>
        <w:t xml:space="preserve"> </w:t>
      </w:r>
    </w:p>
    <w:p w14:paraId="31621DB5" w14:textId="44C08AD0" w:rsidR="00FB24C0" w:rsidRDefault="00FB24C0" w:rsidP="00FB24C0">
      <w:pPr>
        <w:spacing w:after="0" w:line="240" w:lineRule="auto"/>
        <w:ind w:left="0" w:firstLine="0"/>
        <w:rPr>
          <w:color w:val="auto"/>
          <w:lang w:val="es-ES"/>
        </w:rPr>
      </w:pPr>
    </w:p>
    <w:p w14:paraId="299A32DE" w14:textId="77777777" w:rsidR="000B406E" w:rsidRPr="00443040" w:rsidRDefault="000B406E" w:rsidP="00FB24C0">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B24C0" w:rsidRPr="00714463" w14:paraId="3E1129E9" w14:textId="77777777" w:rsidTr="00C33F4C">
        <w:tc>
          <w:tcPr>
            <w:tcW w:w="9062" w:type="dxa"/>
          </w:tcPr>
          <w:p w14:paraId="1C1A7542" w14:textId="77777777" w:rsidR="00FB24C0" w:rsidRPr="00C33F4C" w:rsidRDefault="00FB24C0" w:rsidP="00C33F4C">
            <w:pPr>
              <w:keepNext/>
              <w:spacing w:after="0" w:line="240" w:lineRule="auto"/>
              <w:ind w:left="567" w:hanging="567"/>
              <w:rPr>
                <w:b/>
                <w:color w:val="auto"/>
                <w:lang w:val="es-ES"/>
              </w:rPr>
            </w:pPr>
            <w:r w:rsidRPr="00C33F4C">
              <w:rPr>
                <w:b/>
                <w:color w:val="auto"/>
                <w:lang w:val="es-ES"/>
              </w:rPr>
              <w:t>12.</w:t>
            </w:r>
            <w:r w:rsidRPr="00C33F4C">
              <w:rPr>
                <w:b/>
                <w:color w:val="auto"/>
                <w:lang w:val="es-ES"/>
              </w:rPr>
              <w:tab/>
              <w:t>NÚMERO(S) DE AUTORIZACIÓN DE COMERCIALIZACIÓN</w:t>
            </w:r>
          </w:p>
        </w:tc>
      </w:tr>
    </w:tbl>
    <w:p w14:paraId="3381ADAE" w14:textId="77777777" w:rsidR="00FB24C0" w:rsidRPr="00443040" w:rsidRDefault="00FB24C0" w:rsidP="005978F2">
      <w:pPr>
        <w:keepNext/>
        <w:spacing w:after="0" w:line="240" w:lineRule="auto"/>
        <w:ind w:left="0" w:firstLine="0"/>
        <w:rPr>
          <w:color w:val="auto"/>
          <w:lang w:val="es-ES"/>
        </w:rPr>
      </w:pPr>
    </w:p>
    <w:p w14:paraId="3F01B3EA" w14:textId="77777777" w:rsidR="00105E39" w:rsidRDefault="00105E39" w:rsidP="00105E39">
      <w:pPr>
        <w:pStyle w:val="Default"/>
        <w:rPr>
          <w:rFonts w:cs="Verdana"/>
          <w:sz w:val="22"/>
          <w:szCs w:val="22"/>
        </w:rPr>
      </w:pPr>
      <w:r w:rsidRPr="00684BBC">
        <w:rPr>
          <w:rFonts w:cs="Verdana"/>
          <w:sz w:val="22"/>
          <w:szCs w:val="22"/>
        </w:rPr>
        <w:t>EU/1/17/1246/001</w:t>
      </w:r>
    </w:p>
    <w:p w14:paraId="7FAE551B" w14:textId="1B9E384E" w:rsidR="00FB24C0" w:rsidRDefault="00FB24C0" w:rsidP="00FB24C0">
      <w:pPr>
        <w:spacing w:after="0" w:line="240" w:lineRule="auto"/>
        <w:ind w:left="0" w:firstLine="0"/>
        <w:rPr>
          <w:color w:val="auto"/>
          <w:lang w:val="es-ES"/>
        </w:rPr>
      </w:pPr>
    </w:p>
    <w:p w14:paraId="1FE2D105" w14:textId="77777777" w:rsidR="000B406E" w:rsidRPr="00443040" w:rsidRDefault="000B406E" w:rsidP="00FB24C0">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B24C0" w:rsidRPr="00443040" w14:paraId="590FAD98" w14:textId="77777777" w:rsidTr="00C33F4C">
        <w:tc>
          <w:tcPr>
            <w:tcW w:w="9062" w:type="dxa"/>
          </w:tcPr>
          <w:p w14:paraId="5E03F660" w14:textId="77777777" w:rsidR="00FB24C0" w:rsidRPr="00C33F4C" w:rsidRDefault="00FB24C0" w:rsidP="00C33F4C">
            <w:pPr>
              <w:keepNext/>
              <w:spacing w:after="0" w:line="240" w:lineRule="auto"/>
              <w:ind w:left="567" w:hanging="567"/>
              <w:rPr>
                <w:b/>
                <w:color w:val="auto"/>
                <w:lang w:val="es-ES"/>
              </w:rPr>
            </w:pPr>
            <w:r w:rsidRPr="00C33F4C">
              <w:rPr>
                <w:b/>
                <w:color w:val="auto"/>
                <w:lang w:val="es-ES"/>
              </w:rPr>
              <w:t>13.</w:t>
            </w:r>
            <w:r w:rsidRPr="00C33F4C">
              <w:rPr>
                <w:b/>
                <w:color w:val="auto"/>
                <w:lang w:val="es-ES"/>
              </w:rPr>
              <w:tab/>
              <w:t>NÚMERO DE LOTE</w:t>
            </w:r>
          </w:p>
        </w:tc>
      </w:tr>
    </w:tbl>
    <w:p w14:paraId="49838F90" w14:textId="77777777" w:rsidR="00FB24C0" w:rsidRPr="00443040" w:rsidRDefault="00FB24C0" w:rsidP="005978F2">
      <w:pPr>
        <w:keepNext/>
        <w:spacing w:after="0" w:line="240" w:lineRule="auto"/>
        <w:ind w:left="0" w:firstLine="0"/>
        <w:rPr>
          <w:color w:val="auto"/>
          <w:lang w:val="es-ES"/>
        </w:rPr>
      </w:pPr>
    </w:p>
    <w:p w14:paraId="57275E01" w14:textId="77777777" w:rsidR="00FB24C0" w:rsidRPr="00443040" w:rsidRDefault="00FB24C0" w:rsidP="00FB24C0">
      <w:pPr>
        <w:spacing w:after="0" w:line="240" w:lineRule="auto"/>
        <w:ind w:left="0" w:firstLine="0"/>
        <w:rPr>
          <w:color w:val="auto"/>
          <w:lang w:val="es-ES"/>
        </w:rPr>
      </w:pPr>
      <w:r w:rsidRPr="00443040">
        <w:rPr>
          <w:color w:val="auto"/>
          <w:lang w:val="es-ES"/>
        </w:rPr>
        <w:t>Lote</w:t>
      </w:r>
    </w:p>
    <w:p w14:paraId="1C4E2C46" w14:textId="77777777" w:rsidR="00FB24C0" w:rsidRPr="00443040" w:rsidRDefault="00FB24C0" w:rsidP="00FB24C0">
      <w:pPr>
        <w:spacing w:after="0" w:line="240" w:lineRule="auto"/>
        <w:ind w:left="0" w:firstLine="0"/>
        <w:rPr>
          <w:color w:val="auto"/>
          <w:lang w:val="es-ES"/>
        </w:rPr>
      </w:pPr>
    </w:p>
    <w:p w14:paraId="7E054015" w14:textId="77777777" w:rsidR="00FB24C0" w:rsidRPr="00443040" w:rsidRDefault="00FB24C0" w:rsidP="00FB24C0">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B24C0" w:rsidRPr="00443040" w14:paraId="698DFB30" w14:textId="77777777" w:rsidTr="00C33F4C">
        <w:tc>
          <w:tcPr>
            <w:tcW w:w="9062" w:type="dxa"/>
          </w:tcPr>
          <w:p w14:paraId="2A7870D9" w14:textId="77777777" w:rsidR="00FB24C0" w:rsidRPr="00C33F4C" w:rsidRDefault="00FB24C0" w:rsidP="00C33F4C">
            <w:pPr>
              <w:keepNext/>
              <w:spacing w:after="0" w:line="240" w:lineRule="auto"/>
              <w:ind w:left="567" w:hanging="567"/>
              <w:rPr>
                <w:b/>
                <w:color w:val="auto"/>
                <w:lang w:val="es-ES"/>
              </w:rPr>
            </w:pPr>
            <w:r w:rsidRPr="00C33F4C">
              <w:rPr>
                <w:b/>
                <w:color w:val="auto"/>
                <w:lang w:val="es-ES"/>
              </w:rPr>
              <w:t>14.</w:t>
            </w:r>
            <w:r w:rsidRPr="00C33F4C">
              <w:rPr>
                <w:b/>
                <w:color w:val="auto"/>
                <w:lang w:val="es-ES"/>
              </w:rPr>
              <w:tab/>
              <w:t>CONDICIONES GENERALES DE DISPENSACIÓN</w:t>
            </w:r>
          </w:p>
        </w:tc>
      </w:tr>
    </w:tbl>
    <w:p w14:paraId="06EA4FC9" w14:textId="77777777" w:rsidR="00FB24C0" w:rsidRPr="00443040" w:rsidRDefault="00FB24C0" w:rsidP="005978F2">
      <w:pPr>
        <w:keepNext/>
        <w:spacing w:after="0" w:line="240" w:lineRule="auto"/>
        <w:ind w:left="0" w:firstLine="0"/>
        <w:rPr>
          <w:color w:val="auto"/>
          <w:lang w:val="es-ES"/>
        </w:rPr>
      </w:pPr>
    </w:p>
    <w:p w14:paraId="2FAC703E" w14:textId="77777777" w:rsidR="00FB24C0" w:rsidRPr="00443040" w:rsidRDefault="00FB24C0" w:rsidP="00FB24C0">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B24C0" w:rsidRPr="00443040" w14:paraId="05B1E691" w14:textId="77777777" w:rsidTr="00C33F4C">
        <w:tc>
          <w:tcPr>
            <w:tcW w:w="9062" w:type="dxa"/>
          </w:tcPr>
          <w:p w14:paraId="055AC12F" w14:textId="77777777" w:rsidR="00FB24C0" w:rsidRPr="00C33F4C" w:rsidRDefault="00FB24C0" w:rsidP="00C33F4C">
            <w:pPr>
              <w:keepNext/>
              <w:spacing w:after="0" w:line="240" w:lineRule="auto"/>
              <w:ind w:left="567" w:hanging="567"/>
              <w:rPr>
                <w:b/>
                <w:color w:val="auto"/>
                <w:lang w:val="es-ES"/>
              </w:rPr>
            </w:pPr>
            <w:r w:rsidRPr="00C33F4C">
              <w:rPr>
                <w:b/>
                <w:color w:val="auto"/>
                <w:lang w:val="es-ES"/>
              </w:rPr>
              <w:t>15.</w:t>
            </w:r>
            <w:r w:rsidRPr="00C33F4C">
              <w:rPr>
                <w:b/>
                <w:color w:val="auto"/>
                <w:lang w:val="es-ES"/>
              </w:rPr>
              <w:tab/>
              <w:t>INSTRUCCIONES DE USO</w:t>
            </w:r>
          </w:p>
        </w:tc>
      </w:tr>
    </w:tbl>
    <w:p w14:paraId="14E70EE3" w14:textId="77777777" w:rsidR="00FB24C0" w:rsidRPr="00443040" w:rsidRDefault="00FB24C0" w:rsidP="005978F2">
      <w:pPr>
        <w:keepNext/>
        <w:spacing w:after="0" w:line="240" w:lineRule="auto"/>
        <w:ind w:left="0" w:firstLine="0"/>
        <w:rPr>
          <w:color w:val="auto"/>
          <w:lang w:val="es-ES"/>
        </w:rPr>
      </w:pPr>
    </w:p>
    <w:p w14:paraId="7F32D581" w14:textId="77777777" w:rsidR="00FB24C0" w:rsidRPr="00443040" w:rsidRDefault="00FB24C0" w:rsidP="00FB24C0">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B24C0" w:rsidRPr="00443040" w14:paraId="1459F322" w14:textId="77777777" w:rsidTr="00C33F4C">
        <w:tc>
          <w:tcPr>
            <w:tcW w:w="9062" w:type="dxa"/>
          </w:tcPr>
          <w:p w14:paraId="5C35BB29" w14:textId="77777777" w:rsidR="00FB24C0" w:rsidRPr="00C33F4C" w:rsidRDefault="00FB24C0" w:rsidP="00C33F4C">
            <w:pPr>
              <w:keepNext/>
              <w:spacing w:after="0" w:line="240" w:lineRule="auto"/>
              <w:ind w:left="567" w:hanging="567"/>
              <w:rPr>
                <w:b/>
                <w:color w:val="auto"/>
                <w:lang w:val="es-ES"/>
              </w:rPr>
            </w:pPr>
            <w:r w:rsidRPr="00C33F4C">
              <w:rPr>
                <w:b/>
                <w:color w:val="auto"/>
                <w:lang w:val="es-ES"/>
              </w:rPr>
              <w:t>16.</w:t>
            </w:r>
            <w:r w:rsidRPr="00C33F4C">
              <w:rPr>
                <w:b/>
                <w:color w:val="auto"/>
                <w:lang w:val="es-ES"/>
              </w:rPr>
              <w:tab/>
              <w:t>INFORMACIÓN EN BRAILLE</w:t>
            </w:r>
          </w:p>
        </w:tc>
      </w:tr>
    </w:tbl>
    <w:p w14:paraId="59D10DA8" w14:textId="77777777" w:rsidR="00FB24C0" w:rsidRPr="00443040" w:rsidRDefault="00FB24C0" w:rsidP="005978F2">
      <w:pPr>
        <w:keepNext/>
        <w:spacing w:after="0" w:line="240" w:lineRule="auto"/>
        <w:ind w:left="0" w:firstLine="0"/>
        <w:rPr>
          <w:color w:val="auto"/>
          <w:lang w:val="es-ES"/>
        </w:rPr>
      </w:pPr>
    </w:p>
    <w:p w14:paraId="4405C99C" w14:textId="77777777" w:rsidR="00FB24C0" w:rsidRPr="00443040" w:rsidRDefault="00FB24C0" w:rsidP="00FB24C0">
      <w:pPr>
        <w:spacing w:after="0" w:line="240" w:lineRule="auto"/>
        <w:ind w:left="0" w:firstLine="0"/>
        <w:rPr>
          <w:color w:val="auto"/>
          <w:lang w:val="es-ES"/>
        </w:rPr>
      </w:pPr>
      <w:r>
        <w:rPr>
          <w:color w:val="auto"/>
          <w:highlight w:val="lightGray"/>
          <w:lang w:val="es-ES"/>
        </w:rPr>
        <w:t>Se acepta la justificación para no incluir la información en Braille</w:t>
      </w:r>
      <w:r w:rsidR="005978F2">
        <w:rPr>
          <w:color w:val="auto"/>
          <w:highlight w:val="lightGray"/>
          <w:lang w:val="es-ES"/>
        </w:rPr>
        <w:t>.</w:t>
      </w:r>
    </w:p>
    <w:p w14:paraId="2D144EDF" w14:textId="77777777" w:rsidR="00FB24C0" w:rsidRPr="00443040" w:rsidRDefault="00FB24C0" w:rsidP="00FB24C0">
      <w:pPr>
        <w:spacing w:after="0" w:line="240" w:lineRule="auto"/>
        <w:ind w:left="0" w:firstLine="0"/>
        <w:rPr>
          <w:color w:val="auto"/>
          <w:lang w:val="es-ES"/>
        </w:rPr>
      </w:pPr>
    </w:p>
    <w:p w14:paraId="7F229BBF" w14:textId="77777777" w:rsidR="00FB24C0" w:rsidRPr="00443040" w:rsidRDefault="00FB24C0" w:rsidP="00FB24C0">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B24C0" w:rsidRPr="00714463" w14:paraId="2A460AE1" w14:textId="77777777" w:rsidTr="00C33F4C">
        <w:tc>
          <w:tcPr>
            <w:tcW w:w="9062" w:type="dxa"/>
          </w:tcPr>
          <w:p w14:paraId="6DBDED50" w14:textId="77777777" w:rsidR="00FB24C0" w:rsidRPr="00C33F4C" w:rsidRDefault="00FB24C0" w:rsidP="00C33F4C">
            <w:pPr>
              <w:keepNext/>
              <w:spacing w:after="0" w:line="240" w:lineRule="auto"/>
              <w:ind w:left="567" w:hanging="567"/>
              <w:rPr>
                <w:b/>
                <w:color w:val="auto"/>
                <w:lang w:val="es-ES"/>
              </w:rPr>
            </w:pPr>
            <w:r w:rsidRPr="00C33F4C">
              <w:rPr>
                <w:b/>
                <w:color w:val="auto"/>
                <w:lang w:val="es-ES"/>
              </w:rPr>
              <w:t>17.</w:t>
            </w:r>
            <w:r w:rsidRPr="00C33F4C">
              <w:rPr>
                <w:b/>
                <w:color w:val="auto"/>
                <w:lang w:val="es-ES"/>
              </w:rPr>
              <w:tab/>
              <w:t>IDENTIFICADOR ÚNICO – CÓDIGO DE BARRAS 2D</w:t>
            </w:r>
          </w:p>
        </w:tc>
      </w:tr>
    </w:tbl>
    <w:p w14:paraId="5C1C141B" w14:textId="77777777" w:rsidR="00FB24C0" w:rsidRPr="00443040" w:rsidRDefault="00FB24C0" w:rsidP="005978F2">
      <w:pPr>
        <w:keepNext/>
        <w:spacing w:after="0" w:line="240" w:lineRule="auto"/>
        <w:ind w:left="0" w:firstLine="0"/>
        <w:rPr>
          <w:color w:val="auto"/>
          <w:lang w:val="es-ES"/>
        </w:rPr>
      </w:pPr>
    </w:p>
    <w:p w14:paraId="3C3C3CC1" w14:textId="77777777" w:rsidR="00FB24C0" w:rsidRPr="00443040" w:rsidRDefault="00FB24C0" w:rsidP="00FB24C0">
      <w:pPr>
        <w:spacing w:after="0" w:line="240" w:lineRule="auto"/>
        <w:ind w:left="0" w:firstLine="0"/>
        <w:rPr>
          <w:color w:val="auto"/>
          <w:lang w:val="es-ES"/>
        </w:rPr>
      </w:pPr>
      <w:r>
        <w:rPr>
          <w:color w:val="auto"/>
          <w:highlight w:val="lightGray"/>
          <w:lang w:val="es-ES"/>
        </w:rPr>
        <w:t>Incluido el código de barras 2D que lleva el identificador único.</w:t>
      </w:r>
    </w:p>
    <w:p w14:paraId="6DF395FF" w14:textId="77777777" w:rsidR="00FB24C0" w:rsidRPr="00443040" w:rsidRDefault="00FB24C0" w:rsidP="00FB24C0">
      <w:pPr>
        <w:spacing w:after="0" w:line="240" w:lineRule="auto"/>
        <w:ind w:left="0" w:firstLine="0"/>
        <w:rPr>
          <w:color w:val="auto"/>
          <w:lang w:val="es-ES"/>
        </w:rPr>
      </w:pPr>
    </w:p>
    <w:p w14:paraId="34CE4854" w14:textId="77777777" w:rsidR="00FB24C0" w:rsidRPr="00443040" w:rsidRDefault="00FB24C0" w:rsidP="00FB24C0">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B24C0" w:rsidRPr="00714463" w14:paraId="342AA051" w14:textId="77777777" w:rsidTr="00C33F4C">
        <w:tc>
          <w:tcPr>
            <w:tcW w:w="9062" w:type="dxa"/>
          </w:tcPr>
          <w:p w14:paraId="68B99F8C" w14:textId="77777777" w:rsidR="00FB24C0" w:rsidRPr="00C33F4C" w:rsidRDefault="00FB24C0" w:rsidP="00C33F4C">
            <w:pPr>
              <w:keepNext/>
              <w:spacing w:after="0" w:line="240" w:lineRule="auto"/>
              <w:ind w:left="567" w:hanging="567"/>
              <w:rPr>
                <w:b/>
                <w:color w:val="auto"/>
                <w:lang w:val="es-ES"/>
              </w:rPr>
            </w:pPr>
            <w:r w:rsidRPr="00C33F4C">
              <w:rPr>
                <w:b/>
                <w:color w:val="auto"/>
                <w:lang w:val="es-ES"/>
              </w:rPr>
              <w:t>18.</w:t>
            </w:r>
            <w:r w:rsidRPr="00C33F4C">
              <w:rPr>
                <w:b/>
                <w:color w:val="auto"/>
                <w:lang w:val="es-ES"/>
              </w:rPr>
              <w:tab/>
              <w:t>IDENTIFICADOR ÚNICO – INFORMACIÓN EN CARACTERES VISUALES</w:t>
            </w:r>
          </w:p>
        </w:tc>
      </w:tr>
    </w:tbl>
    <w:p w14:paraId="625510D3" w14:textId="77777777" w:rsidR="00FB24C0" w:rsidRPr="00443040" w:rsidRDefault="00FB24C0" w:rsidP="005978F2">
      <w:pPr>
        <w:keepNext/>
        <w:spacing w:after="0" w:line="240" w:lineRule="auto"/>
        <w:ind w:left="0" w:firstLine="0"/>
        <w:rPr>
          <w:color w:val="auto"/>
          <w:lang w:val="es-ES"/>
        </w:rPr>
      </w:pPr>
    </w:p>
    <w:p w14:paraId="747360D7" w14:textId="77777777" w:rsidR="00FB24C0" w:rsidRPr="00443040" w:rsidRDefault="005978F2" w:rsidP="00FB24C0">
      <w:pPr>
        <w:spacing w:after="0" w:line="240" w:lineRule="auto"/>
        <w:ind w:left="0" w:firstLine="0"/>
        <w:rPr>
          <w:color w:val="auto"/>
          <w:lang w:val="es-ES"/>
        </w:rPr>
      </w:pPr>
      <w:r>
        <w:rPr>
          <w:color w:val="auto"/>
          <w:lang w:val="es-ES"/>
        </w:rPr>
        <w:t>PC</w:t>
      </w:r>
    </w:p>
    <w:p w14:paraId="0957116B" w14:textId="77777777" w:rsidR="005978F2" w:rsidRDefault="005978F2" w:rsidP="00FB24C0">
      <w:pPr>
        <w:spacing w:after="0" w:line="240" w:lineRule="auto"/>
        <w:ind w:left="0" w:firstLine="0"/>
        <w:rPr>
          <w:color w:val="auto"/>
          <w:lang w:val="es-ES"/>
        </w:rPr>
      </w:pPr>
      <w:r>
        <w:rPr>
          <w:color w:val="auto"/>
          <w:lang w:val="es-ES"/>
        </w:rPr>
        <w:t>SN</w:t>
      </w:r>
    </w:p>
    <w:p w14:paraId="6C43EC57" w14:textId="77777777" w:rsidR="00FB24C0" w:rsidRDefault="005978F2" w:rsidP="00FB24C0">
      <w:pPr>
        <w:spacing w:after="0" w:line="240" w:lineRule="auto"/>
        <w:ind w:left="0" w:firstLine="0"/>
        <w:rPr>
          <w:color w:val="auto"/>
          <w:lang w:val="es-ES"/>
        </w:rPr>
      </w:pPr>
      <w:r>
        <w:rPr>
          <w:color w:val="auto"/>
          <w:lang w:val="es-ES"/>
        </w:rPr>
        <w:t>NN</w:t>
      </w:r>
    </w:p>
    <w:p w14:paraId="04CEC7D6" w14:textId="77777777" w:rsidR="00FB24C0" w:rsidRDefault="00FB24C0" w:rsidP="00FB24C0">
      <w:pPr>
        <w:spacing w:after="0" w:line="240" w:lineRule="auto"/>
        <w:ind w:left="0" w:firstLine="0"/>
        <w:rPr>
          <w:color w:val="auto"/>
          <w:lang w:val="es-ES"/>
        </w:rPr>
      </w:pPr>
    </w:p>
    <w:p w14:paraId="0BD50488" w14:textId="77777777" w:rsidR="005978F2" w:rsidRPr="00443040" w:rsidRDefault="005978F2" w:rsidP="00FB24C0">
      <w:pPr>
        <w:spacing w:after="0" w:line="240" w:lineRule="auto"/>
        <w:ind w:left="0" w:firstLine="0"/>
        <w:rPr>
          <w:color w:val="auto"/>
          <w:lang w:val="es-ES"/>
        </w:rPr>
      </w:pPr>
    </w:p>
    <w:p w14:paraId="061B9A32" w14:textId="77777777" w:rsidR="00FB24C0" w:rsidRPr="00443040" w:rsidRDefault="00FB24C0" w:rsidP="00FB24C0">
      <w:pPr>
        <w:spacing w:after="160" w:line="259" w:lineRule="auto"/>
        <w:ind w:left="0" w:firstLine="0"/>
        <w:rPr>
          <w:color w:val="auto"/>
          <w:lang w:val="es-ES"/>
        </w:rPr>
      </w:pPr>
      <w:r w:rsidRPr="00443040">
        <w:rPr>
          <w:color w:val="auto"/>
          <w:lang w:val="es-ES"/>
        </w:rPr>
        <w:br w:type="page"/>
      </w:r>
    </w:p>
    <w:p w14:paraId="6BF719E6" w14:textId="77777777" w:rsidR="00FB24C0" w:rsidRPr="00443040" w:rsidRDefault="00FB24C0" w:rsidP="00FB24C0">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9"/>
      </w:tblGrid>
      <w:tr w:rsidR="00FB24C0" w:rsidRPr="00443040" w14:paraId="7D421114" w14:textId="77777777" w:rsidTr="00C33F4C">
        <w:tc>
          <w:tcPr>
            <w:tcW w:w="9059" w:type="dxa"/>
          </w:tcPr>
          <w:p w14:paraId="01A96D11" w14:textId="77777777" w:rsidR="00FB24C0" w:rsidRPr="00C33F4C" w:rsidRDefault="00FB24C0" w:rsidP="00C33F4C">
            <w:pPr>
              <w:spacing w:after="0" w:line="240" w:lineRule="auto"/>
              <w:ind w:left="0" w:firstLine="0"/>
              <w:rPr>
                <w:b/>
                <w:color w:val="auto"/>
                <w:lang w:val="es-ES"/>
              </w:rPr>
            </w:pPr>
            <w:r w:rsidRPr="00C33F4C">
              <w:rPr>
                <w:b/>
                <w:color w:val="auto"/>
                <w:lang w:val="es-ES"/>
              </w:rPr>
              <w:t>INFORMACIÓN MÍNIMA QUE DEBE INCLUIRSE EN PEQUEÑOS ACONDICIONAMIENTOS PRIMARIOS</w:t>
            </w:r>
          </w:p>
          <w:p w14:paraId="5BC9D6DA" w14:textId="77777777" w:rsidR="00FB24C0" w:rsidRPr="00C33F4C" w:rsidRDefault="00FB24C0" w:rsidP="00C33F4C">
            <w:pPr>
              <w:spacing w:after="0" w:line="240" w:lineRule="auto"/>
              <w:ind w:left="0" w:firstLine="0"/>
              <w:rPr>
                <w:color w:val="auto"/>
                <w:lang w:val="es-ES"/>
              </w:rPr>
            </w:pPr>
          </w:p>
          <w:p w14:paraId="69445371" w14:textId="77777777" w:rsidR="00FB24C0" w:rsidRPr="00C33F4C" w:rsidRDefault="00FB24C0" w:rsidP="00C33F4C">
            <w:pPr>
              <w:spacing w:after="0" w:line="240" w:lineRule="auto"/>
              <w:ind w:left="0" w:firstLine="0"/>
              <w:rPr>
                <w:b/>
                <w:color w:val="auto"/>
                <w:lang w:val="es-ES"/>
              </w:rPr>
            </w:pPr>
            <w:r w:rsidRPr="00C33F4C">
              <w:rPr>
                <w:b/>
                <w:color w:val="auto"/>
                <w:lang w:val="es-ES"/>
              </w:rPr>
              <w:t>VIAL</w:t>
            </w:r>
          </w:p>
        </w:tc>
      </w:tr>
    </w:tbl>
    <w:p w14:paraId="6A963635" w14:textId="77777777" w:rsidR="00FB24C0" w:rsidRPr="00443040" w:rsidRDefault="00FB24C0" w:rsidP="00FB24C0">
      <w:pPr>
        <w:spacing w:after="0" w:line="240" w:lineRule="auto"/>
        <w:ind w:left="0" w:firstLine="0"/>
        <w:rPr>
          <w:color w:val="auto"/>
          <w:lang w:val="es-ES"/>
        </w:rPr>
      </w:pPr>
    </w:p>
    <w:p w14:paraId="1FAA7888" w14:textId="77777777" w:rsidR="00FB24C0" w:rsidRPr="00443040" w:rsidRDefault="00FB24C0" w:rsidP="00FB24C0">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B24C0" w:rsidRPr="00714463" w14:paraId="1FC8FE32" w14:textId="77777777" w:rsidTr="00C33F4C">
        <w:tc>
          <w:tcPr>
            <w:tcW w:w="9062" w:type="dxa"/>
          </w:tcPr>
          <w:p w14:paraId="69DEB4BF" w14:textId="77777777" w:rsidR="00FB24C0" w:rsidRPr="00C33F4C" w:rsidRDefault="00FB24C0" w:rsidP="00C33F4C">
            <w:pPr>
              <w:keepNext/>
              <w:spacing w:after="0" w:line="240" w:lineRule="auto"/>
              <w:ind w:left="567" w:hanging="567"/>
              <w:rPr>
                <w:color w:val="auto"/>
                <w:lang w:val="es-ES"/>
              </w:rPr>
            </w:pPr>
            <w:r w:rsidRPr="00C33F4C">
              <w:rPr>
                <w:b/>
                <w:color w:val="auto"/>
                <w:lang w:val="es-ES"/>
              </w:rPr>
              <w:t>1.</w:t>
            </w:r>
            <w:r w:rsidRPr="00C33F4C">
              <w:rPr>
                <w:b/>
                <w:color w:val="auto"/>
                <w:lang w:val="es-ES"/>
              </w:rPr>
              <w:tab/>
              <w:t>NOMBRE DEL MEDICAMENTO Y VÍA(S) DE ADMINISTRACIÓN</w:t>
            </w:r>
          </w:p>
        </w:tc>
      </w:tr>
    </w:tbl>
    <w:p w14:paraId="7CCC92D6" w14:textId="77777777" w:rsidR="00FB24C0" w:rsidRPr="00443040" w:rsidRDefault="00FB24C0" w:rsidP="00275407">
      <w:pPr>
        <w:keepNext/>
        <w:spacing w:after="0" w:line="240" w:lineRule="auto"/>
        <w:ind w:left="0" w:firstLine="0"/>
        <w:rPr>
          <w:color w:val="auto"/>
          <w:lang w:val="es-ES"/>
        </w:rPr>
      </w:pPr>
    </w:p>
    <w:p w14:paraId="4F2A114E" w14:textId="504DD466" w:rsidR="00FB24C0" w:rsidRPr="00443040" w:rsidRDefault="00AA71D6" w:rsidP="00FB24C0">
      <w:pPr>
        <w:spacing w:after="0" w:line="240" w:lineRule="auto"/>
        <w:ind w:left="0" w:firstLine="0"/>
        <w:rPr>
          <w:color w:val="auto"/>
          <w:lang w:val="es-ES"/>
        </w:rPr>
      </w:pPr>
      <w:r w:rsidRPr="00251B88">
        <w:rPr>
          <w:color w:val="auto"/>
          <w:lang w:val="es-ES"/>
        </w:rPr>
        <w:t>MVASI</w:t>
      </w:r>
      <w:r w:rsidR="00F92731" w:rsidRPr="00251B88">
        <w:rPr>
          <w:color w:val="auto"/>
          <w:lang w:val="es-ES"/>
        </w:rPr>
        <w:t xml:space="preserve"> 25 mg/ml </w:t>
      </w:r>
      <w:r w:rsidR="00251B88">
        <w:rPr>
          <w:color w:val="auto"/>
          <w:lang w:val="es-ES"/>
        </w:rPr>
        <w:t>c</w:t>
      </w:r>
      <w:r w:rsidR="00251B88" w:rsidRPr="00251B88">
        <w:rPr>
          <w:color w:val="auto"/>
          <w:lang w:val="es-ES"/>
        </w:rPr>
        <w:t>oncentrado estéril</w:t>
      </w:r>
    </w:p>
    <w:p w14:paraId="1BE6B707" w14:textId="77777777" w:rsidR="00FB24C0" w:rsidRPr="00443040" w:rsidRDefault="009E7DAE" w:rsidP="00FB24C0">
      <w:pPr>
        <w:spacing w:after="0" w:line="240" w:lineRule="auto"/>
        <w:ind w:left="0" w:firstLine="0"/>
        <w:rPr>
          <w:color w:val="auto"/>
          <w:lang w:val="es-ES"/>
        </w:rPr>
      </w:pPr>
      <w:r>
        <w:rPr>
          <w:color w:val="auto"/>
          <w:lang w:val="es-ES"/>
        </w:rPr>
        <w:t>b</w:t>
      </w:r>
      <w:r w:rsidRPr="00443040">
        <w:rPr>
          <w:color w:val="auto"/>
          <w:lang w:val="es-ES"/>
        </w:rPr>
        <w:t>evacizumab</w:t>
      </w:r>
    </w:p>
    <w:p w14:paraId="7D084B46" w14:textId="77777777" w:rsidR="00FB24C0" w:rsidRPr="00443040" w:rsidRDefault="00FB24C0" w:rsidP="00FB24C0">
      <w:pPr>
        <w:spacing w:after="0" w:line="240" w:lineRule="auto"/>
        <w:ind w:left="0" w:firstLine="0"/>
        <w:rPr>
          <w:color w:val="auto"/>
          <w:lang w:val="es-ES"/>
        </w:rPr>
      </w:pPr>
      <w:r w:rsidRPr="00443040">
        <w:rPr>
          <w:color w:val="auto"/>
          <w:lang w:val="es-ES"/>
        </w:rPr>
        <w:t>IV</w:t>
      </w:r>
    </w:p>
    <w:p w14:paraId="423CC46D" w14:textId="77777777" w:rsidR="00FB24C0" w:rsidRPr="00443040" w:rsidRDefault="00FB24C0" w:rsidP="00FB24C0">
      <w:pPr>
        <w:spacing w:after="0" w:line="240" w:lineRule="auto"/>
        <w:ind w:left="0" w:firstLine="0"/>
        <w:rPr>
          <w:color w:val="auto"/>
          <w:lang w:val="es-ES"/>
        </w:rPr>
      </w:pPr>
    </w:p>
    <w:p w14:paraId="30485726" w14:textId="77777777" w:rsidR="00FB24C0" w:rsidRPr="00443040" w:rsidRDefault="00FB24C0" w:rsidP="00FB24C0">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B24C0" w:rsidRPr="00443040" w14:paraId="6B8879BE" w14:textId="77777777" w:rsidTr="00C33F4C">
        <w:tc>
          <w:tcPr>
            <w:tcW w:w="9062" w:type="dxa"/>
          </w:tcPr>
          <w:p w14:paraId="62442691" w14:textId="77777777" w:rsidR="00FB24C0" w:rsidRPr="00C33F4C" w:rsidRDefault="00FB24C0" w:rsidP="00C33F4C">
            <w:pPr>
              <w:keepNext/>
              <w:spacing w:after="0" w:line="240" w:lineRule="auto"/>
              <w:ind w:left="567" w:hanging="567"/>
              <w:rPr>
                <w:b/>
                <w:color w:val="auto"/>
                <w:lang w:val="es-ES"/>
              </w:rPr>
            </w:pPr>
            <w:r w:rsidRPr="00C33F4C">
              <w:rPr>
                <w:b/>
                <w:color w:val="auto"/>
                <w:lang w:val="es-ES"/>
              </w:rPr>
              <w:t>2.</w:t>
            </w:r>
            <w:r w:rsidRPr="00C33F4C">
              <w:rPr>
                <w:b/>
                <w:color w:val="auto"/>
                <w:lang w:val="es-ES"/>
              </w:rPr>
              <w:tab/>
              <w:t>FORMA DE ADMINISTRACIÓN</w:t>
            </w:r>
          </w:p>
        </w:tc>
      </w:tr>
    </w:tbl>
    <w:p w14:paraId="6DB34B88" w14:textId="77777777" w:rsidR="00FB24C0" w:rsidRPr="00443040" w:rsidRDefault="00FB24C0" w:rsidP="00275407">
      <w:pPr>
        <w:keepNext/>
        <w:spacing w:after="0" w:line="240" w:lineRule="auto"/>
        <w:ind w:left="0" w:firstLine="0"/>
        <w:rPr>
          <w:color w:val="auto"/>
          <w:lang w:val="es-ES"/>
        </w:rPr>
      </w:pPr>
    </w:p>
    <w:p w14:paraId="126594A0" w14:textId="77777777" w:rsidR="00FB24C0" w:rsidRPr="00443040" w:rsidRDefault="00FB24C0" w:rsidP="00FB24C0">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B24C0" w:rsidRPr="00443040" w14:paraId="439784B9" w14:textId="77777777" w:rsidTr="00C33F4C">
        <w:tc>
          <w:tcPr>
            <w:tcW w:w="9062" w:type="dxa"/>
          </w:tcPr>
          <w:p w14:paraId="5E03671C" w14:textId="77777777" w:rsidR="00FB24C0" w:rsidRPr="00C33F4C" w:rsidRDefault="00FB24C0" w:rsidP="00C33F4C">
            <w:pPr>
              <w:keepNext/>
              <w:spacing w:after="0" w:line="240" w:lineRule="auto"/>
              <w:ind w:left="567" w:hanging="567"/>
              <w:rPr>
                <w:b/>
                <w:color w:val="auto"/>
                <w:lang w:val="es-ES"/>
              </w:rPr>
            </w:pPr>
            <w:r w:rsidRPr="00C33F4C">
              <w:rPr>
                <w:b/>
                <w:color w:val="auto"/>
                <w:lang w:val="es-ES"/>
              </w:rPr>
              <w:t>3.</w:t>
            </w:r>
            <w:r w:rsidRPr="00C33F4C">
              <w:rPr>
                <w:b/>
                <w:color w:val="auto"/>
                <w:lang w:val="es-ES"/>
              </w:rPr>
              <w:tab/>
              <w:t>FECHA DE CADUCIDAD</w:t>
            </w:r>
          </w:p>
        </w:tc>
      </w:tr>
    </w:tbl>
    <w:p w14:paraId="26CB8819" w14:textId="77777777" w:rsidR="00FB24C0" w:rsidRPr="00443040" w:rsidRDefault="00FB24C0" w:rsidP="00AE2D67">
      <w:pPr>
        <w:keepNext/>
        <w:spacing w:after="0" w:line="240" w:lineRule="auto"/>
        <w:ind w:left="0" w:firstLine="0"/>
        <w:rPr>
          <w:color w:val="auto"/>
          <w:lang w:val="es-ES"/>
        </w:rPr>
      </w:pPr>
    </w:p>
    <w:p w14:paraId="6930E738" w14:textId="77777777" w:rsidR="00FB24C0" w:rsidRPr="00443040" w:rsidRDefault="00FB24C0" w:rsidP="00AE2D67">
      <w:pPr>
        <w:spacing w:after="0" w:line="240" w:lineRule="auto"/>
        <w:ind w:left="0" w:firstLine="0"/>
        <w:rPr>
          <w:color w:val="auto"/>
          <w:lang w:val="es-ES"/>
        </w:rPr>
      </w:pPr>
      <w:r w:rsidRPr="00443040">
        <w:rPr>
          <w:color w:val="auto"/>
          <w:lang w:val="es-ES"/>
        </w:rPr>
        <w:t>EXP</w:t>
      </w:r>
    </w:p>
    <w:p w14:paraId="14233BC5" w14:textId="77777777" w:rsidR="00FB24C0" w:rsidRPr="00443040" w:rsidRDefault="00FB24C0" w:rsidP="00AE2D67">
      <w:pPr>
        <w:spacing w:after="0" w:line="240" w:lineRule="auto"/>
        <w:ind w:left="0" w:firstLine="0"/>
        <w:rPr>
          <w:color w:val="auto"/>
          <w:lang w:val="es-ES"/>
        </w:rPr>
      </w:pPr>
    </w:p>
    <w:p w14:paraId="26B8A1AD" w14:textId="77777777" w:rsidR="00FB24C0" w:rsidRPr="00443040" w:rsidRDefault="00FB24C0" w:rsidP="00AE2D67">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B24C0" w:rsidRPr="00443040" w14:paraId="0AB473CF" w14:textId="77777777" w:rsidTr="00C33F4C">
        <w:tc>
          <w:tcPr>
            <w:tcW w:w="9062" w:type="dxa"/>
          </w:tcPr>
          <w:p w14:paraId="141F2AAA" w14:textId="77777777" w:rsidR="00FB24C0" w:rsidRPr="00C33F4C" w:rsidRDefault="00FB24C0" w:rsidP="00C33F4C">
            <w:pPr>
              <w:keepNext/>
              <w:spacing w:after="0" w:line="240" w:lineRule="auto"/>
              <w:ind w:left="567" w:hanging="567"/>
              <w:rPr>
                <w:b/>
                <w:color w:val="auto"/>
                <w:lang w:val="es-ES"/>
              </w:rPr>
            </w:pPr>
            <w:r w:rsidRPr="00C33F4C">
              <w:rPr>
                <w:b/>
                <w:color w:val="auto"/>
                <w:lang w:val="es-ES"/>
              </w:rPr>
              <w:t>4.</w:t>
            </w:r>
            <w:r w:rsidRPr="00C33F4C">
              <w:rPr>
                <w:b/>
                <w:color w:val="auto"/>
                <w:lang w:val="es-ES"/>
              </w:rPr>
              <w:tab/>
              <w:t>NÚMERO DE LOTE</w:t>
            </w:r>
          </w:p>
        </w:tc>
      </w:tr>
    </w:tbl>
    <w:p w14:paraId="47CB7A94" w14:textId="77777777" w:rsidR="00FB24C0" w:rsidRPr="00443040" w:rsidRDefault="00FB24C0" w:rsidP="00AE2D67">
      <w:pPr>
        <w:keepNext/>
        <w:spacing w:after="0" w:line="240" w:lineRule="auto"/>
        <w:ind w:left="0" w:firstLine="0"/>
        <w:rPr>
          <w:color w:val="auto"/>
          <w:lang w:val="es-ES"/>
        </w:rPr>
      </w:pPr>
    </w:p>
    <w:p w14:paraId="642A6A50" w14:textId="77777777" w:rsidR="00FB24C0" w:rsidRPr="00443040" w:rsidRDefault="00FB24C0" w:rsidP="00AE2D67">
      <w:pPr>
        <w:spacing w:after="0" w:line="240" w:lineRule="auto"/>
        <w:ind w:left="0" w:firstLine="0"/>
        <w:rPr>
          <w:color w:val="auto"/>
          <w:lang w:val="es-ES"/>
        </w:rPr>
      </w:pPr>
      <w:r w:rsidRPr="00443040">
        <w:rPr>
          <w:color w:val="auto"/>
          <w:lang w:val="es-ES"/>
        </w:rPr>
        <w:t>Lot</w:t>
      </w:r>
    </w:p>
    <w:p w14:paraId="4A3D6424" w14:textId="77777777" w:rsidR="00FB24C0" w:rsidRPr="00443040" w:rsidRDefault="00FB24C0" w:rsidP="00AE2D67">
      <w:pPr>
        <w:spacing w:after="0" w:line="240" w:lineRule="auto"/>
        <w:ind w:left="0" w:firstLine="0"/>
        <w:rPr>
          <w:color w:val="auto"/>
          <w:lang w:val="es-ES"/>
        </w:rPr>
      </w:pPr>
    </w:p>
    <w:p w14:paraId="30379431" w14:textId="77777777" w:rsidR="00FB24C0" w:rsidRPr="00443040" w:rsidRDefault="00FB24C0" w:rsidP="00AE2D67">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B24C0" w:rsidRPr="00714463" w14:paraId="3FF06E87" w14:textId="77777777" w:rsidTr="00C33F4C">
        <w:tc>
          <w:tcPr>
            <w:tcW w:w="9062" w:type="dxa"/>
          </w:tcPr>
          <w:p w14:paraId="5F3CF0D8" w14:textId="77777777" w:rsidR="00FB24C0" w:rsidRPr="00C33F4C" w:rsidRDefault="00FB24C0" w:rsidP="00C33F4C">
            <w:pPr>
              <w:keepNext/>
              <w:spacing w:after="0" w:line="240" w:lineRule="auto"/>
              <w:ind w:left="567" w:hanging="567"/>
              <w:rPr>
                <w:b/>
                <w:color w:val="auto"/>
                <w:lang w:val="es-ES"/>
              </w:rPr>
            </w:pPr>
            <w:r w:rsidRPr="00C33F4C">
              <w:rPr>
                <w:b/>
                <w:color w:val="auto"/>
                <w:lang w:val="es-ES"/>
              </w:rPr>
              <w:t>5.</w:t>
            </w:r>
            <w:r w:rsidRPr="00C33F4C">
              <w:rPr>
                <w:b/>
                <w:color w:val="auto"/>
                <w:lang w:val="es-ES"/>
              </w:rPr>
              <w:tab/>
              <w:t>CONTENIDO EN PESO, EN VOLUMEN O EN UNIDADES</w:t>
            </w:r>
          </w:p>
        </w:tc>
      </w:tr>
    </w:tbl>
    <w:p w14:paraId="05CD05A4" w14:textId="77777777" w:rsidR="00FB24C0" w:rsidRPr="00443040" w:rsidRDefault="00FB24C0" w:rsidP="00AE2D67">
      <w:pPr>
        <w:keepNext/>
        <w:spacing w:after="0" w:line="240" w:lineRule="auto"/>
        <w:ind w:left="0" w:firstLine="0"/>
        <w:rPr>
          <w:color w:val="auto"/>
          <w:lang w:val="es-ES"/>
        </w:rPr>
      </w:pPr>
    </w:p>
    <w:p w14:paraId="255E1AD4" w14:textId="77777777" w:rsidR="00FB24C0" w:rsidRPr="00443040" w:rsidRDefault="00FB24C0" w:rsidP="00AE2D67">
      <w:pPr>
        <w:spacing w:after="0" w:line="240" w:lineRule="auto"/>
        <w:ind w:left="0" w:firstLine="0"/>
        <w:rPr>
          <w:color w:val="auto"/>
          <w:lang w:val="es-ES"/>
        </w:rPr>
      </w:pPr>
      <w:r w:rsidRPr="00443040">
        <w:rPr>
          <w:color w:val="auto"/>
          <w:lang w:val="es-ES"/>
        </w:rPr>
        <w:t>100 mg/4 ml</w:t>
      </w:r>
    </w:p>
    <w:p w14:paraId="2637FDFA" w14:textId="77777777" w:rsidR="00FB24C0" w:rsidRPr="00443040" w:rsidRDefault="00FB24C0" w:rsidP="00AE2D67">
      <w:pPr>
        <w:spacing w:after="0" w:line="240" w:lineRule="auto"/>
        <w:ind w:left="0" w:firstLine="0"/>
        <w:rPr>
          <w:color w:val="auto"/>
          <w:lang w:val="es-ES"/>
        </w:rPr>
      </w:pPr>
    </w:p>
    <w:p w14:paraId="4D1713D2" w14:textId="77777777" w:rsidR="00FB24C0" w:rsidRPr="00443040" w:rsidRDefault="00FB24C0" w:rsidP="00AE2D67">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B24C0" w:rsidRPr="00443040" w14:paraId="4BD2B4C8" w14:textId="77777777" w:rsidTr="00C33F4C">
        <w:tc>
          <w:tcPr>
            <w:tcW w:w="9062" w:type="dxa"/>
          </w:tcPr>
          <w:p w14:paraId="09603B61" w14:textId="77777777" w:rsidR="00FB24C0" w:rsidRPr="00C33F4C" w:rsidRDefault="00FB24C0" w:rsidP="00C33F4C">
            <w:pPr>
              <w:keepNext/>
              <w:spacing w:after="0" w:line="240" w:lineRule="auto"/>
              <w:ind w:left="567" w:hanging="567"/>
              <w:rPr>
                <w:b/>
                <w:color w:val="auto"/>
                <w:lang w:val="es-ES"/>
              </w:rPr>
            </w:pPr>
            <w:r w:rsidRPr="00C33F4C">
              <w:rPr>
                <w:b/>
                <w:color w:val="auto"/>
                <w:lang w:val="es-ES"/>
              </w:rPr>
              <w:t>6.</w:t>
            </w:r>
            <w:r w:rsidRPr="00C33F4C">
              <w:rPr>
                <w:b/>
                <w:color w:val="auto"/>
                <w:lang w:val="es-ES"/>
              </w:rPr>
              <w:tab/>
              <w:t>OTROS</w:t>
            </w:r>
          </w:p>
        </w:tc>
      </w:tr>
    </w:tbl>
    <w:p w14:paraId="6D6E2D80" w14:textId="77777777" w:rsidR="00FB24C0" w:rsidRDefault="00FB24C0" w:rsidP="00275407">
      <w:pPr>
        <w:keepNext/>
        <w:spacing w:after="0" w:line="240" w:lineRule="auto"/>
        <w:ind w:left="0" w:firstLine="0"/>
        <w:rPr>
          <w:color w:val="auto"/>
          <w:lang w:val="es-ES"/>
        </w:rPr>
      </w:pPr>
    </w:p>
    <w:p w14:paraId="36D48754" w14:textId="77777777" w:rsidR="00275407" w:rsidRDefault="00275407">
      <w:pPr>
        <w:spacing w:after="160" w:line="259" w:lineRule="auto"/>
        <w:ind w:left="0" w:firstLine="0"/>
        <w:rPr>
          <w:color w:val="auto"/>
          <w:lang w:val="es-ES"/>
        </w:rPr>
      </w:pPr>
      <w:r>
        <w:rPr>
          <w:color w:val="auto"/>
          <w:lang w:val="es-ES"/>
        </w:rPr>
        <w:br w:type="page"/>
      </w:r>
    </w:p>
    <w:p w14:paraId="1324325E" w14:textId="1D045CC8" w:rsidR="00105E39" w:rsidRPr="00443040" w:rsidRDefault="00105E39" w:rsidP="007C7557">
      <w:pPr>
        <w:spacing w:after="160" w:line="259"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05E39" w:rsidRPr="00443040" w14:paraId="3BF942ED" w14:textId="77777777" w:rsidTr="00C33F4C">
        <w:tc>
          <w:tcPr>
            <w:tcW w:w="9060" w:type="dxa"/>
          </w:tcPr>
          <w:p w14:paraId="6EACEFA7" w14:textId="77777777" w:rsidR="00105E39" w:rsidRPr="00C33F4C" w:rsidRDefault="00105E39" w:rsidP="00C33F4C">
            <w:pPr>
              <w:spacing w:after="0" w:line="240" w:lineRule="auto"/>
              <w:ind w:left="0" w:firstLine="0"/>
              <w:rPr>
                <w:b/>
                <w:color w:val="auto"/>
                <w:lang w:val="es-ES"/>
              </w:rPr>
            </w:pPr>
            <w:r w:rsidRPr="00C33F4C">
              <w:rPr>
                <w:b/>
                <w:color w:val="auto"/>
                <w:lang w:val="es-ES"/>
              </w:rPr>
              <w:t>INFORMACIÓN QUE DEBE FIGURAR EN EL EMBALAJE EXTERIOR</w:t>
            </w:r>
          </w:p>
          <w:p w14:paraId="7B72B9A6" w14:textId="77777777" w:rsidR="00105E39" w:rsidRPr="00C33F4C" w:rsidRDefault="00105E39" w:rsidP="00C33F4C">
            <w:pPr>
              <w:spacing w:after="0" w:line="240" w:lineRule="auto"/>
              <w:ind w:left="0" w:firstLine="0"/>
              <w:rPr>
                <w:color w:val="auto"/>
                <w:lang w:val="es-ES"/>
              </w:rPr>
            </w:pPr>
          </w:p>
          <w:p w14:paraId="7B49095E" w14:textId="77777777" w:rsidR="00105E39" w:rsidRPr="00C33F4C" w:rsidRDefault="00105E39" w:rsidP="00C33F4C">
            <w:pPr>
              <w:spacing w:after="0" w:line="240" w:lineRule="auto"/>
              <w:ind w:left="0" w:firstLine="0"/>
              <w:rPr>
                <w:b/>
                <w:color w:val="auto"/>
                <w:lang w:val="es-ES"/>
              </w:rPr>
            </w:pPr>
            <w:r w:rsidRPr="00C33F4C">
              <w:rPr>
                <w:b/>
                <w:color w:val="auto"/>
                <w:lang w:val="es-ES"/>
              </w:rPr>
              <w:t>CARTONAJE</w:t>
            </w:r>
          </w:p>
        </w:tc>
      </w:tr>
    </w:tbl>
    <w:p w14:paraId="6489479A" w14:textId="77777777" w:rsidR="00105E39" w:rsidRPr="00443040" w:rsidRDefault="00105E39" w:rsidP="00105E39">
      <w:pPr>
        <w:spacing w:after="0" w:line="240" w:lineRule="auto"/>
        <w:ind w:left="0" w:firstLine="0"/>
        <w:rPr>
          <w:color w:val="auto"/>
          <w:lang w:val="es-ES"/>
        </w:rPr>
      </w:pPr>
    </w:p>
    <w:p w14:paraId="018CC00E" w14:textId="77777777" w:rsidR="00105E39" w:rsidRPr="00443040" w:rsidRDefault="00105E39" w:rsidP="00105E39">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105E39" w:rsidRPr="00443040" w14:paraId="05632717" w14:textId="77777777" w:rsidTr="00C33F4C">
        <w:tc>
          <w:tcPr>
            <w:tcW w:w="9063" w:type="dxa"/>
          </w:tcPr>
          <w:p w14:paraId="0FB09C26" w14:textId="77777777" w:rsidR="00105E39" w:rsidRPr="00C33F4C" w:rsidRDefault="00105E39" w:rsidP="00C33F4C">
            <w:pPr>
              <w:keepNext/>
              <w:spacing w:after="0" w:line="240" w:lineRule="auto"/>
              <w:ind w:left="567" w:hanging="567"/>
              <w:rPr>
                <w:b/>
                <w:color w:val="auto"/>
                <w:lang w:val="es-ES"/>
              </w:rPr>
            </w:pPr>
            <w:r w:rsidRPr="00C33F4C">
              <w:rPr>
                <w:b/>
                <w:color w:val="auto"/>
                <w:lang w:val="es-ES"/>
              </w:rPr>
              <w:t>1.</w:t>
            </w:r>
            <w:r w:rsidRPr="00C33F4C">
              <w:rPr>
                <w:b/>
                <w:color w:val="auto"/>
                <w:lang w:val="es-ES"/>
              </w:rPr>
              <w:tab/>
              <w:t>NOMBRE DEL MEDICAMENTO</w:t>
            </w:r>
          </w:p>
        </w:tc>
      </w:tr>
    </w:tbl>
    <w:p w14:paraId="47DF4EB2" w14:textId="77777777" w:rsidR="00105E39" w:rsidRPr="00443040" w:rsidRDefault="00105E39" w:rsidP="00105E39">
      <w:pPr>
        <w:keepNext/>
        <w:spacing w:after="0" w:line="240" w:lineRule="auto"/>
        <w:ind w:left="0" w:firstLine="0"/>
        <w:rPr>
          <w:color w:val="auto"/>
          <w:lang w:val="es-ES"/>
        </w:rPr>
      </w:pPr>
    </w:p>
    <w:p w14:paraId="5CDAE0BC" w14:textId="77777777" w:rsidR="00105E39" w:rsidRPr="00443040" w:rsidRDefault="00105E39" w:rsidP="00105E39">
      <w:pPr>
        <w:spacing w:after="0" w:line="240" w:lineRule="auto"/>
        <w:ind w:left="0" w:firstLine="0"/>
        <w:rPr>
          <w:color w:val="auto"/>
          <w:lang w:val="es-ES"/>
        </w:rPr>
      </w:pPr>
      <w:r>
        <w:rPr>
          <w:color w:val="auto"/>
          <w:lang w:val="es-ES"/>
        </w:rPr>
        <w:t>MVASI</w:t>
      </w:r>
      <w:r w:rsidRPr="00443040">
        <w:rPr>
          <w:color w:val="auto"/>
          <w:lang w:val="es-ES"/>
        </w:rPr>
        <w:t xml:space="preserve"> 25 mg/ml concentrado para solución para perfusión</w:t>
      </w:r>
    </w:p>
    <w:p w14:paraId="53EC7B31" w14:textId="77777777" w:rsidR="00105E39" w:rsidRPr="00443040" w:rsidRDefault="00105E39" w:rsidP="00105E39">
      <w:pPr>
        <w:spacing w:after="0" w:line="240" w:lineRule="auto"/>
        <w:ind w:left="0" w:firstLine="0"/>
        <w:rPr>
          <w:color w:val="auto"/>
          <w:lang w:val="es-ES"/>
        </w:rPr>
      </w:pPr>
      <w:r>
        <w:rPr>
          <w:color w:val="auto"/>
          <w:lang w:val="es-ES"/>
        </w:rPr>
        <w:t>b</w:t>
      </w:r>
      <w:r w:rsidRPr="00443040">
        <w:rPr>
          <w:color w:val="auto"/>
          <w:lang w:val="es-ES"/>
        </w:rPr>
        <w:t>evacizumab</w:t>
      </w:r>
    </w:p>
    <w:p w14:paraId="323EDA0C" w14:textId="77777777" w:rsidR="00105E39" w:rsidRPr="00443040" w:rsidRDefault="00105E39" w:rsidP="00105E39">
      <w:pPr>
        <w:spacing w:after="0" w:line="240" w:lineRule="auto"/>
        <w:ind w:left="0" w:firstLine="0"/>
        <w:rPr>
          <w:color w:val="auto"/>
          <w:lang w:val="es-ES"/>
        </w:rPr>
      </w:pPr>
    </w:p>
    <w:p w14:paraId="303FD0A2" w14:textId="77777777" w:rsidR="00105E39" w:rsidRPr="00443040" w:rsidRDefault="00105E39" w:rsidP="00105E39">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105E39" w:rsidRPr="00443040" w14:paraId="25D82CF6" w14:textId="77777777" w:rsidTr="00C33F4C">
        <w:tc>
          <w:tcPr>
            <w:tcW w:w="9063" w:type="dxa"/>
          </w:tcPr>
          <w:p w14:paraId="1B339B43" w14:textId="77777777" w:rsidR="00105E39" w:rsidRPr="00C33F4C" w:rsidRDefault="00105E39" w:rsidP="00C33F4C">
            <w:pPr>
              <w:keepNext/>
              <w:spacing w:after="0" w:line="240" w:lineRule="auto"/>
              <w:ind w:left="567" w:hanging="567"/>
              <w:rPr>
                <w:b/>
                <w:color w:val="auto"/>
                <w:lang w:val="es-ES"/>
              </w:rPr>
            </w:pPr>
            <w:r w:rsidRPr="00C33F4C">
              <w:rPr>
                <w:b/>
                <w:color w:val="auto"/>
                <w:lang w:val="es-ES"/>
              </w:rPr>
              <w:t>2.</w:t>
            </w:r>
            <w:r w:rsidRPr="00C33F4C">
              <w:rPr>
                <w:b/>
                <w:color w:val="auto"/>
                <w:lang w:val="es-ES"/>
              </w:rPr>
              <w:tab/>
              <w:t>PRINCIPIO(S) ACTIVO(S)</w:t>
            </w:r>
          </w:p>
        </w:tc>
      </w:tr>
    </w:tbl>
    <w:p w14:paraId="7141A81D" w14:textId="77777777" w:rsidR="00105E39" w:rsidRPr="00443040" w:rsidRDefault="00105E39" w:rsidP="00105E39">
      <w:pPr>
        <w:keepNext/>
        <w:spacing w:after="0" w:line="240" w:lineRule="auto"/>
        <w:ind w:left="0" w:firstLine="0"/>
        <w:rPr>
          <w:color w:val="auto"/>
          <w:lang w:val="es-ES"/>
        </w:rPr>
      </w:pPr>
    </w:p>
    <w:p w14:paraId="7EDB5D10" w14:textId="0027B8FC" w:rsidR="00105E39" w:rsidRDefault="00105E39" w:rsidP="00105E39">
      <w:pPr>
        <w:spacing w:after="0" w:line="240" w:lineRule="auto"/>
        <w:ind w:left="0" w:firstLine="0"/>
        <w:rPr>
          <w:color w:val="auto"/>
          <w:lang w:val="es-ES"/>
        </w:rPr>
      </w:pPr>
      <w:r>
        <w:rPr>
          <w:color w:val="auto"/>
          <w:lang w:val="es-ES"/>
        </w:rPr>
        <w:t>Cada vial contiene 4</w:t>
      </w:r>
      <w:r w:rsidRPr="00443040">
        <w:rPr>
          <w:color w:val="auto"/>
          <w:lang w:val="es-ES"/>
        </w:rPr>
        <w:t>00 mg de bevacizumab</w:t>
      </w:r>
      <w:r>
        <w:rPr>
          <w:color w:val="auto"/>
          <w:lang w:val="es-ES"/>
        </w:rPr>
        <w:t xml:space="preserve"> en 16</w:t>
      </w:r>
      <w:r w:rsidRPr="00443040">
        <w:rPr>
          <w:color w:val="auto"/>
          <w:lang w:val="es-ES"/>
        </w:rPr>
        <w:t> </w:t>
      </w:r>
      <w:r>
        <w:rPr>
          <w:color w:val="auto"/>
          <w:lang w:val="es-ES"/>
        </w:rPr>
        <w:t>ml de concentrado</w:t>
      </w:r>
      <w:r w:rsidRPr="00443040">
        <w:rPr>
          <w:color w:val="auto"/>
          <w:lang w:val="es-ES"/>
        </w:rPr>
        <w:t>.</w:t>
      </w:r>
      <w:r>
        <w:rPr>
          <w:color w:val="auto"/>
          <w:lang w:val="es-ES"/>
        </w:rPr>
        <w:br/>
      </w:r>
    </w:p>
    <w:p w14:paraId="408E2AD2" w14:textId="701C7C88" w:rsidR="00105E39" w:rsidRDefault="00105E39" w:rsidP="00105E39">
      <w:pPr>
        <w:spacing w:after="0" w:line="240" w:lineRule="auto"/>
        <w:ind w:left="0" w:firstLine="0"/>
        <w:rPr>
          <w:color w:val="auto"/>
          <w:lang w:val="es-ES"/>
        </w:rPr>
      </w:pPr>
      <w:r>
        <w:rPr>
          <w:color w:val="auto"/>
          <w:lang w:val="es-ES"/>
        </w:rPr>
        <w:t>400</w:t>
      </w:r>
      <w:r w:rsidRPr="00443040">
        <w:rPr>
          <w:color w:val="auto"/>
          <w:lang w:val="es-ES"/>
        </w:rPr>
        <w:t> </w:t>
      </w:r>
      <w:r>
        <w:rPr>
          <w:color w:val="auto"/>
          <w:lang w:val="es-ES"/>
        </w:rPr>
        <w:t>mg/16</w:t>
      </w:r>
      <w:r w:rsidRPr="00443040">
        <w:rPr>
          <w:color w:val="auto"/>
          <w:lang w:val="es-ES"/>
        </w:rPr>
        <w:t> </w:t>
      </w:r>
      <w:r>
        <w:rPr>
          <w:color w:val="auto"/>
          <w:lang w:val="es-ES"/>
        </w:rPr>
        <w:t>ml</w:t>
      </w:r>
    </w:p>
    <w:p w14:paraId="290D8572" w14:textId="77777777" w:rsidR="00105E39" w:rsidRPr="00443040" w:rsidRDefault="00105E39" w:rsidP="00105E39">
      <w:pPr>
        <w:spacing w:after="0" w:line="240" w:lineRule="auto"/>
        <w:ind w:left="0" w:firstLine="0"/>
        <w:rPr>
          <w:color w:val="auto"/>
          <w:lang w:val="es-ES"/>
        </w:rPr>
      </w:pPr>
    </w:p>
    <w:p w14:paraId="06C52103" w14:textId="77777777" w:rsidR="00105E39" w:rsidRPr="00443040" w:rsidRDefault="00105E39" w:rsidP="00105E39">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105E39" w:rsidRPr="00443040" w14:paraId="5BF08080" w14:textId="77777777" w:rsidTr="00C33F4C">
        <w:tc>
          <w:tcPr>
            <w:tcW w:w="9063" w:type="dxa"/>
          </w:tcPr>
          <w:p w14:paraId="53902537" w14:textId="77777777" w:rsidR="00105E39" w:rsidRPr="00C33F4C" w:rsidRDefault="00105E39" w:rsidP="00C33F4C">
            <w:pPr>
              <w:keepNext/>
              <w:spacing w:after="0" w:line="240" w:lineRule="auto"/>
              <w:ind w:left="567" w:hanging="567"/>
              <w:rPr>
                <w:b/>
                <w:color w:val="auto"/>
                <w:lang w:val="es-ES"/>
              </w:rPr>
            </w:pPr>
            <w:r w:rsidRPr="00C33F4C">
              <w:rPr>
                <w:b/>
                <w:color w:val="auto"/>
                <w:lang w:val="es-ES"/>
              </w:rPr>
              <w:t>3.</w:t>
            </w:r>
            <w:r w:rsidRPr="00C33F4C">
              <w:rPr>
                <w:b/>
                <w:color w:val="auto"/>
                <w:lang w:val="es-ES"/>
              </w:rPr>
              <w:tab/>
              <w:t>LISTA DE EXCIPIENTES</w:t>
            </w:r>
          </w:p>
        </w:tc>
      </w:tr>
    </w:tbl>
    <w:p w14:paraId="347EA051" w14:textId="77777777" w:rsidR="00105E39" w:rsidRPr="00443040" w:rsidRDefault="00105E39" w:rsidP="00105E39">
      <w:pPr>
        <w:keepNext/>
        <w:spacing w:after="0" w:line="240" w:lineRule="auto"/>
        <w:ind w:left="0" w:firstLine="0"/>
        <w:rPr>
          <w:color w:val="auto"/>
          <w:lang w:val="es-ES"/>
        </w:rPr>
      </w:pPr>
    </w:p>
    <w:p w14:paraId="78D919E4" w14:textId="77777777" w:rsidR="00105E39" w:rsidRPr="00443040" w:rsidRDefault="00105E39" w:rsidP="00105E39">
      <w:pPr>
        <w:spacing w:after="0" w:line="240" w:lineRule="auto"/>
        <w:ind w:left="0" w:firstLine="0"/>
        <w:rPr>
          <w:color w:val="auto"/>
          <w:lang w:val="es-ES"/>
        </w:rPr>
      </w:pPr>
      <w:proofErr w:type="spellStart"/>
      <w:r w:rsidRPr="00443040">
        <w:rPr>
          <w:color w:val="auto"/>
          <w:lang w:val="es-ES"/>
        </w:rPr>
        <w:t>Trehalosa</w:t>
      </w:r>
      <w:proofErr w:type="spellEnd"/>
      <w:r w:rsidRPr="00443040">
        <w:rPr>
          <w:color w:val="auto"/>
          <w:lang w:val="es-ES"/>
        </w:rPr>
        <w:t xml:space="preserve"> </w:t>
      </w:r>
      <w:proofErr w:type="spellStart"/>
      <w:r w:rsidRPr="00443040">
        <w:rPr>
          <w:color w:val="auto"/>
          <w:lang w:val="es-ES"/>
        </w:rPr>
        <w:t>dihidrato</w:t>
      </w:r>
      <w:proofErr w:type="spellEnd"/>
      <w:r w:rsidRPr="00443040">
        <w:rPr>
          <w:color w:val="auto"/>
          <w:lang w:val="es-ES"/>
        </w:rPr>
        <w:t>, fosfato sódico, polisorbato 20, agua para preparaciones inyectables.</w:t>
      </w:r>
    </w:p>
    <w:p w14:paraId="3BC33132" w14:textId="77777777" w:rsidR="00105E39" w:rsidRPr="00443040" w:rsidRDefault="00105E39" w:rsidP="00105E39">
      <w:pPr>
        <w:spacing w:after="0" w:line="240" w:lineRule="auto"/>
        <w:ind w:left="0" w:firstLine="0"/>
        <w:rPr>
          <w:color w:val="auto"/>
          <w:lang w:val="es-ES"/>
        </w:rPr>
      </w:pPr>
    </w:p>
    <w:p w14:paraId="4A431E42" w14:textId="77777777" w:rsidR="00105E39" w:rsidRPr="00443040" w:rsidRDefault="00105E39" w:rsidP="00105E39">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105E39" w:rsidRPr="00714463" w14:paraId="12DC1D81" w14:textId="77777777" w:rsidTr="00C33F4C">
        <w:tc>
          <w:tcPr>
            <w:tcW w:w="9063" w:type="dxa"/>
          </w:tcPr>
          <w:p w14:paraId="0BECB4AE" w14:textId="77777777" w:rsidR="00105E39" w:rsidRPr="00C33F4C" w:rsidRDefault="00105E39" w:rsidP="00C33F4C">
            <w:pPr>
              <w:keepNext/>
              <w:spacing w:after="0" w:line="240" w:lineRule="auto"/>
              <w:ind w:left="567" w:hanging="567"/>
              <w:rPr>
                <w:b/>
                <w:color w:val="auto"/>
                <w:lang w:val="es-ES"/>
              </w:rPr>
            </w:pPr>
            <w:r w:rsidRPr="00C33F4C">
              <w:rPr>
                <w:b/>
                <w:color w:val="auto"/>
                <w:lang w:val="es-ES"/>
              </w:rPr>
              <w:t>4.</w:t>
            </w:r>
            <w:r w:rsidRPr="00C33F4C">
              <w:rPr>
                <w:b/>
                <w:color w:val="auto"/>
                <w:lang w:val="es-ES"/>
              </w:rPr>
              <w:tab/>
              <w:t>FORMA FARMACÉUTICA Y CONTENIDO DEL ENVASE</w:t>
            </w:r>
          </w:p>
        </w:tc>
      </w:tr>
    </w:tbl>
    <w:p w14:paraId="21648A5F" w14:textId="77777777" w:rsidR="00105E39" w:rsidRPr="00443040" w:rsidRDefault="00105E39" w:rsidP="00105E39">
      <w:pPr>
        <w:keepNext/>
        <w:spacing w:after="0" w:line="240" w:lineRule="auto"/>
        <w:ind w:left="0" w:firstLine="0"/>
        <w:rPr>
          <w:color w:val="auto"/>
          <w:lang w:val="es-ES"/>
        </w:rPr>
      </w:pPr>
    </w:p>
    <w:p w14:paraId="291D344E" w14:textId="77777777" w:rsidR="00105E39" w:rsidRPr="00443040" w:rsidRDefault="00105E39" w:rsidP="00105E39">
      <w:pPr>
        <w:spacing w:after="0" w:line="240" w:lineRule="auto"/>
        <w:ind w:left="0" w:firstLine="0"/>
        <w:rPr>
          <w:color w:val="auto"/>
          <w:lang w:val="es-ES"/>
        </w:rPr>
      </w:pPr>
      <w:r>
        <w:rPr>
          <w:color w:val="auto"/>
          <w:highlight w:val="lightGray"/>
          <w:lang w:val="es-ES"/>
        </w:rPr>
        <w:t>Concentrado para solución para perfusión.</w:t>
      </w:r>
    </w:p>
    <w:p w14:paraId="606C6D59" w14:textId="77777777" w:rsidR="00105E39" w:rsidRPr="00443040" w:rsidRDefault="00105E39" w:rsidP="00105E39">
      <w:pPr>
        <w:spacing w:after="0" w:line="240" w:lineRule="auto"/>
        <w:ind w:left="0" w:firstLine="0"/>
        <w:rPr>
          <w:color w:val="auto"/>
          <w:lang w:val="es-ES"/>
        </w:rPr>
      </w:pPr>
      <w:r w:rsidRPr="00443040">
        <w:rPr>
          <w:color w:val="auto"/>
          <w:lang w:val="es-ES"/>
        </w:rPr>
        <w:t xml:space="preserve">1 vial </w:t>
      </w:r>
    </w:p>
    <w:p w14:paraId="3AABE771" w14:textId="77777777" w:rsidR="00105E39" w:rsidRPr="00443040" w:rsidRDefault="00105E39" w:rsidP="00105E39">
      <w:pPr>
        <w:spacing w:after="0" w:line="240" w:lineRule="auto"/>
        <w:ind w:left="0" w:firstLine="0"/>
        <w:rPr>
          <w:color w:val="auto"/>
          <w:lang w:val="es-ES"/>
        </w:rPr>
      </w:pPr>
    </w:p>
    <w:p w14:paraId="6FDABA68" w14:textId="77777777" w:rsidR="00105E39" w:rsidRPr="00443040" w:rsidRDefault="00105E39" w:rsidP="00105E39">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105E39" w:rsidRPr="00714463" w14:paraId="44651B74" w14:textId="77777777" w:rsidTr="00C33F4C">
        <w:tc>
          <w:tcPr>
            <w:tcW w:w="9063" w:type="dxa"/>
          </w:tcPr>
          <w:p w14:paraId="352E1840" w14:textId="77777777" w:rsidR="00105E39" w:rsidRPr="00C33F4C" w:rsidRDefault="00105E39" w:rsidP="00C33F4C">
            <w:pPr>
              <w:keepNext/>
              <w:spacing w:after="0" w:line="240" w:lineRule="auto"/>
              <w:ind w:left="567" w:hanging="567"/>
              <w:rPr>
                <w:b/>
                <w:color w:val="auto"/>
                <w:lang w:val="es-ES"/>
              </w:rPr>
            </w:pPr>
            <w:r w:rsidRPr="00C33F4C">
              <w:rPr>
                <w:b/>
                <w:color w:val="auto"/>
                <w:lang w:val="es-ES"/>
              </w:rPr>
              <w:t>5.</w:t>
            </w:r>
            <w:r w:rsidRPr="00C33F4C">
              <w:rPr>
                <w:b/>
                <w:color w:val="auto"/>
                <w:lang w:val="es-ES"/>
              </w:rPr>
              <w:tab/>
              <w:t>FORMA Y VÍA(S) DE ADMINISTRACIÓN</w:t>
            </w:r>
          </w:p>
        </w:tc>
      </w:tr>
    </w:tbl>
    <w:p w14:paraId="75DB0090" w14:textId="77777777" w:rsidR="00105E39" w:rsidRPr="00443040" w:rsidRDefault="00105E39" w:rsidP="00105E39">
      <w:pPr>
        <w:keepNext/>
        <w:spacing w:after="0" w:line="240" w:lineRule="auto"/>
        <w:ind w:left="0" w:firstLine="0"/>
        <w:rPr>
          <w:color w:val="auto"/>
          <w:lang w:val="es-ES"/>
        </w:rPr>
      </w:pPr>
    </w:p>
    <w:p w14:paraId="6DB182D4" w14:textId="77777777" w:rsidR="00105E39" w:rsidRPr="00443040" w:rsidRDefault="00105E39" w:rsidP="00105E39">
      <w:pPr>
        <w:spacing w:after="0" w:line="240" w:lineRule="auto"/>
        <w:ind w:left="0" w:firstLine="0"/>
        <w:rPr>
          <w:color w:val="auto"/>
          <w:lang w:val="es-ES"/>
        </w:rPr>
      </w:pPr>
      <w:r w:rsidRPr="00443040">
        <w:rPr>
          <w:color w:val="auto"/>
          <w:lang w:val="es-ES"/>
        </w:rPr>
        <w:t>Vía intravenosa, previa dilución</w:t>
      </w:r>
      <w:r>
        <w:rPr>
          <w:color w:val="auto"/>
          <w:lang w:val="es-ES"/>
        </w:rPr>
        <w:t>.</w:t>
      </w:r>
    </w:p>
    <w:p w14:paraId="4DF4FC38" w14:textId="77777777" w:rsidR="00105E39" w:rsidRPr="00443040" w:rsidRDefault="00105E39" w:rsidP="00105E39">
      <w:pPr>
        <w:spacing w:after="0" w:line="240" w:lineRule="auto"/>
        <w:ind w:left="0" w:firstLine="0"/>
        <w:rPr>
          <w:color w:val="auto"/>
          <w:lang w:val="es-ES"/>
        </w:rPr>
      </w:pPr>
      <w:r w:rsidRPr="00443040">
        <w:rPr>
          <w:color w:val="auto"/>
          <w:lang w:val="es-ES"/>
        </w:rPr>
        <w:t>Leer el prospecto antes de utilizar este medicamento</w:t>
      </w:r>
      <w:r>
        <w:rPr>
          <w:color w:val="auto"/>
          <w:lang w:val="es-ES"/>
        </w:rPr>
        <w:t>.</w:t>
      </w:r>
    </w:p>
    <w:p w14:paraId="4A7CDE43" w14:textId="77777777" w:rsidR="00105E39" w:rsidRPr="00443040" w:rsidRDefault="00105E39" w:rsidP="00105E39">
      <w:pPr>
        <w:spacing w:after="0" w:line="240" w:lineRule="auto"/>
        <w:ind w:left="0" w:firstLine="0"/>
        <w:rPr>
          <w:color w:val="auto"/>
          <w:lang w:val="es-ES"/>
        </w:rPr>
      </w:pPr>
    </w:p>
    <w:p w14:paraId="33679C16" w14:textId="77777777" w:rsidR="00105E39" w:rsidRPr="00443040" w:rsidRDefault="00105E39" w:rsidP="00105E39">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105E39" w:rsidRPr="00714463" w14:paraId="1532DCDD" w14:textId="77777777" w:rsidTr="00C33F4C">
        <w:tc>
          <w:tcPr>
            <w:tcW w:w="9063" w:type="dxa"/>
          </w:tcPr>
          <w:p w14:paraId="28DBD97A" w14:textId="77777777" w:rsidR="00105E39" w:rsidRPr="00C33F4C" w:rsidRDefault="00105E39" w:rsidP="00C33F4C">
            <w:pPr>
              <w:keepNext/>
              <w:spacing w:after="0" w:line="240" w:lineRule="auto"/>
              <w:ind w:left="567" w:hanging="567"/>
              <w:rPr>
                <w:b/>
                <w:color w:val="auto"/>
                <w:lang w:val="es-ES"/>
              </w:rPr>
            </w:pPr>
            <w:r w:rsidRPr="00C33F4C">
              <w:rPr>
                <w:b/>
                <w:color w:val="auto"/>
                <w:lang w:val="es-ES"/>
              </w:rPr>
              <w:t>6.</w:t>
            </w:r>
            <w:r w:rsidRPr="00C33F4C">
              <w:rPr>
                <w:b/>
                <w:color w:val="auto"/>
                <w:lang w:val="es-ES"/>
              </w:rPr>
              <w:tab/>
              <w:t>ADVERTENCIA ESPECIAL DE QUE EL MEDICAMENTO DEBE MANTENERSE FUERA DE LA VISTA Y DEL ALCANCE DE LOS NIÑOS</w:t>
            </w:r>
          </w:p>
        </w:tc>
      </w:tr>
    </w:tbl>
    <w:p w14:paraId="5B4FBEF5" w14:textId="77777777" w:rsidR="00105E39" w:rsidRPr="00443040" w:rsidRDefault="00105E39" w:rsidP="00105E39">
      <w:pPr>
        <w:keepNext/>
        <w:spacing w:after="0" w:line="240" w:lineRule="auto"/>
        <w:ind w:left="0" w:firstLine="0"/>
        <w:rPr>
          <w:color w:val="auto"/>
          <w:lang w:val="es-ES"/>
        </w:rPr>
      </w:pPr>
    </w:p>
    <w:p w14:paraId="1D5DB172" w14:textId="77777777" w:rsidR="00105E39" w:rsidRPr="00443040" w:rsidRDefault="00105E39" w:rsidP="00105E39">
      <w:pPr>
        <w:spacing w:after="0" w:line="240" w:lineRule="auto"/>
        <w:ind w:left="0" w:firstLine="0"/>
        <w:rPr>
          <w:color w:val="auto"/>
          <w:lang w:val="es-ES"/>
        </w:rPr>
      </w:pPr>
      <w:r w:rsidRPr="00443040">
        <w:rPr>
          <w:color w:val="auto"/>
          <w:lang w:val="es-ES"/>
        </w:rPr>
        <w:t>Mantener fuera de la vista y del alcance de los niños</w:t>
      </w:r>
      <w:r>
        <w:rPr>
          <w:color w:val="auto"/>
          <w:lang w:val="es-ES"/>
        </w:rPr>
        <w:t>.</w:t>
      </w:r>
    </w:p>
    <w:p w14:paraId="2E6D203B" w14:textId="77777777" w:rsidR="00105E39" w:rsidRPr="00443040" w:rsidRDefault="00105E39" w:rsidP="00105E39">
      <w:pPr>
        <w:spacing w:after="0" w:line="240" w:lineRule="auto"/>
        <w:ind w:left="0" w:firstLine="0"/>
        <w:rPr>
          <w:color w:val="auto"/>
          <w:lang w:val="es-ES"/>
        </w:rPr>
      </w:pPr>
    </w:p>
    <w:p w14:paraId="2B7A4BA8" w14:textId="77777777" w:rsidR="00105E39" w:rsidRPr="00443040" w:rsidRDefault="00105E39" w:rsidP="00105E39">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105E39" w:rsidRPr="00714463" w14:paraId="79780508" w14:textId="77777777" w:rsidTr="00C33F4C">
        <w:tc>
          <w:tcPr>
            <w:tcW w:w="9063" w:type="dxa"/>
          </w:tcPr>
          <w:p w14:paraId="0DB525CE" w14:textId="77777777" w:rsidR="00105E39" w:rsidRPr="00C33F4C" w:rsidRDefault="00105E39" w:rsidP="00C33F4C">
            <w:pPr>
              <w:keepNext/>
              <w:spacing w:after="0" w:line="240" w:lineRule="auto"/>
              <w:ind w:left="567" w:hanging="567"/>
              <w:rPr>
                <w:b/>
                <w:color w:val="auto"/>
                <w:lang w:val="es-ES"/>
              </w:rPr>
            </w:pPr>
            <w:r w:rsidRPr="00C33F4C">
              <w:rPr>
                <w:b/>
                <w:color w:val="auto"/>
                <w:lang w:val="es-ES"/>
              </w:rPr>
              <w:t>7.</w:t>
            </w:r>
            <w:r w:rsidRPr="00C33F4C">
              <w:rPr>
                <w:b/>
                <w:color w:val="auto"/>
                <w:lang w:val="es-ES"/>
              </w:rPr>
              <w:tab/>
              <w:t>OTRA(S) ADVERTENCIA(S) ESPECIAL(ES), SI ES NECESARIO</w:t>
            </w:r>
          </w:p>
        </w:tc>
      </w:tr>
    </w:tbl>
    <w:p w14:paraId="0C6602C3" w14:textId="77777777" w:rsidR="00105E39" w:rsidRPr="00443040" w:rsidRDefault="00105E39" w:rsidP="00105E39">
      <w:pPr>
        <w:keepNext/>
        <w:spacing w:after="0" w:line="240" w:lineRule="auto"/>
        <w:ind w:left="0" w:firstLine="0"/>
        <w:rPr>
          <w:color w:val="auto"/>
          <w:lang w:val="es-ES"/>
        </w:rPr>
      </w:pPr>
    </w:p>
    <w:p w14:paraId="4084BA3F" w14:textId="77777777" w:rsidR="00105E39" w:rsidRPr="00443040" w:rsidRDefault="00105E39" w:rsidP="00105E39">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105E39" w:rsidRPr="00443040" w14:paraId="2D5DF664" w14:textId="77777777" w:rsidTr="00C33F4C">
        <w:tc>
          <w:tcPr>
            <w:tcW w:w="9063" w:type="dxa"/>
          </w:tcPr>
          <w:p w14:paraId="3EE9E0B3" w14:textId="77777777" w:rsidR="00105E39" w:rsidRPr="00C33F4C" w:rsidRDefault="00105E39" w:rsidP="00C33F4C">
            <w:pPr>
              <w:keepNext/>
              <w:spacing w:after="0" w:line="240" w:lineRule="auto"/>
              <w:ind w:left="567" w:hanging="567"/>
              <w:rPr>
                <w:b/>
                <w:color w:val="auto"/>
                <w:lang w:val="es-ES"/>
              </w:rPr>
            </w:pPr>
            <w:r w:rsidRPr="00C33F4C">
              <w:rPr>
                <w:b/>
                <w:color w:val="auto"/>
                <w:lang w:val="es-ES"/>
              </w:rPr>
              <w:t>8.</w:t>
            </w:r>
            <w:r w:rsidRPr="00C33F4C">
              <w:rPr>
                <w:b/>
                <w:color w:val="auto"/>
                <w:lang w:val="es-ES"/>
              </w:rPr>
              <w:tab/>
              <w:t>FECHA DE CADUCIDAD</w:t>
            </w:r>
          </w:p>
        </w:tc>
      </w:tr>
    </w:tbl>
    <w:p w14:paraId="08C2191F" w14:textId="77777777" w:rsidR="00105E39" w:rsidRPr="00443040" w:rsidRDefault="00105E39" w:rsidP="00105E39">
      <w:pPr>
        <w:keepNext/>
        <w:spacing w:after="0" w:line="240" w:lineRule="auto"/>
        <w:ind w:left="0" w:firstLine="0"/>
        <w:rPr>
          <w:color w:val="auto"/>
          <w:lang w:val="es-ES"/>
        </w:rPr>
      </w:pPr>
    </w:p>
    <w:p w14:paraId="194A75FB" w14:textId="77777777" w:rsidR="00105E39" w:rsidRPr="00443040" w:rsidRDefault="00105E39" w:rsidP="00105E39">
      <w:pPr>
        <w:spacing w:after="0" w:line="240" w:lineRule="auto"/>
        <w:ind w:left="0" w:firstLine="0"/>
        <w:rPr>
          <w:color w:val="auto"/>
          <w:lang w:val="es-ES"/>
        </w:rPr>
      </w:pPr>
      <w:r w:rsidRPr="00443040">
        <w:rPr>
          <w:color w:val="auto"/>
          <w:lang w:val="es-ES"/>
        </w:rPr>
        <w:t>CAD</w:t>
      </w:r>
    </w:p>
    <w:p w14:paraId="589CEF1B" w14:textId="77777777" w:rsidR="00105E39" w:rsidRPr="00443040" w:rsidRDefault="00105E39" w:rsidP="00105E39">
      <w:pPr>
        <w:spacing w:after="0" w:line="240" w:lineRule="auto"/>
        <w:ind w:left="0" w:firstLine="0"/>
        <w:rPr>
          <w:color w:val="auto"/>
          <w:lang w:val="es-ES"/>
        </w:rPr>
      </w:pPr>
    </w:p>
    <w:p w14:paraId="178DBF3E" w14:textId="77777777" w:rsidR="00105E39" w:rsidRPr="00443040" w:rsidRDefault="00105E39" w:rsidP="00105E39">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105E39" w:rsidRPr="00443040" w14:paraId="5F7B7B96" w14:textId="77777777" w:rsidTr="00C33F4C">
        <w:tc>
          <w:tcPr>
            <w:tcW w:w="9063" w:type="dxa"/>
          </w:tcPr>
          <w:p w14:paraId="33EE7E99" w14:textId="77777777" w:rsidR="00105E39" w:rsidRPr="00C33F4C" w:rsidRDefault="00105E39" w:rsidP="00B65A1C">
            <w:pPr>
              <w:keepNext/>
              <w:keepLines/>
              <w:spacing w:after="0" w:line="240" w:lineRule="auto"/>
              <w:ind w:left="567" w:hanging="567"/>
              <w:rPr>
                <w:b/>
                <w:color w:val="auto"/>
                <w:lang w:val="es-ES"/>
              </w:rPr>
            </w:pPr>
            <w:r w:rsidRPr="00C33F4C">
              <w:rPr>
                <w:b/>
                <w:color w:val="auto"/>
                <w:lang w:val="es-ES"/>
              </w:rPr>
              <w:lastRenderedPageBreak/>
              <w:t>9.</w:t>
            </w:r>
            <w:r w:rsidRPr="00C33F4C">
              <w:rPr>
                <w:b/>
                <w:color w:val="auto"/>
                <w:lang w:val="es-ES"/>
              </w:rPr>
              <w:tab/>
              <w:t>CONDICIONES ESPECIALES DE CONSERVACIÓN</w:t>
            </w:r>
          </w:p>
        </w:tc>
      </w:tr>
    </w:tbl>
    <w:p w14:paraId="1F4118B0" w14:textId="77777777" w:rsidR="00105E39" w:rsidRPr="00443040" w:rsidRDefault="00105E39" w:rsidP="00B65A1C">
      <w:pPr>
        <w:keepNext/>
        <w:keepLines/>
        <w:spacing w:after="0" w:line="240" w:lineRule="auto"/>
        <w:ind w:left="0" w:firstLine="0"/>
        <w:rPr>
          <w:color w:val="auto"/>
          <w:lang w:val="es-ES"/>
        </w:rPr>
      </w:pPr>
    </w:p>
    <w:p w14:paraId="1F5CE0B2" w14:textId="77777777" w:rsidR="00105E39" w:rsidRPr="00443040" w:rsidRDefault="00105E39" w:rsidP="00B65A1C">
      <w:pPr>
        <w:keepNext/>
        <w:keepLines/>
        <w:spacing w:after="0" w:line="240" w:lineRule="auto"/>
        <w:ind w:left="0" w:firstLine="0"/>
        <w:rPr>
          <w:color w:val="auto"/>
          <w:lang w:val="es-ES"/>
        </w:rPr>
      </w:pPr>
      <w:r w:rsidRPr="00443040">
        <w:rPr>
          <w:color w:val="auto"/>
          <w:lang w:val="es-ES"/>
        </w:rPr>
        <w:t>Conservar en nevera</w:t>
      </w:r>
      <w:r>
        <w:rPr>
          <w:color w:val="auto"/>
          <w:lang w:val="es-ES"/>
        </w:rPr>
        <w:t>.</w:t>
      </w:r>
    </w:p>
    <w:p w14:paraId="4924CE73" w14:textId="77777777" w:rsidR="00105E39" w:rsidRPr="00443040" w:rsidRDefault="00105E39" w:rsidP="00B65A1C">
      <w:pPr>
        <w:keepNext/>
        <w:keepLines/>
        <w:spacing w:after="0" w:line="240" w:lineRule="auto"/>
        <w:ind w:left="0" w:firstLine="0"/>
        <w:rPr>
          <w:color w:val="auto"/>
          <w:lang w:val="es-ES"/>
        </w:rPr>
      </w:pPr>
      <w:r w:rsidRPr="00443040">
        <w:rPr>
          <w:color w:val="auto"/>
          <w:lang w:val="es-ES"/>
        </w:rPr>
        <w:t>No congelar</w:t>
      </w:r>
      <w:r>
        <w:rPr>
          <w:color w:val="auto"/>
          <w:lang w:val="es-ES"/>
        </w:rPr>
        <w:t>.</w:t>
      </w:r>
    </w:p>
    <w:p w14:paraId="2410FE0D" w14:textId="539440AF" w:rsidR="00105E39" w:rsidRPr="00443040" w:rsidRDefault="00105E39" w:rsidP="00B65A1C">
      <w:pPr>
        <w:keepNext/>
        <w:keepLines/>
        <w:spacing w:after="0" w:line="240" w:lineRule="auto"/>
        <w:ind w:left="0" w:firstLine="0"/>
        <w:rPr>
          <w:color w:val="auto"/>
          <w:lang w:val="es-ES"/>
        </w:rPr>
      </w:pPr>
      <w:r w:rsidRPr="00443040">
        <w:rPr>
          <w:color w:val="auto"/>
          <w:lang w:val="es-ES"/>
        </w:rPr>
        <w:t>Conservar en el embalaje exterior para protegerlo de la luz</w:t>
      </w:r>
      <w:r>
        <w:rPr>
          <w:color w:val="auto"/>
          <w:lang w:val="es-ES"/>
        </w:rPr>
        <w:t>.</w:t>
      </w:r>
    </w:p>
    <w:p w14:paraId="3AEEFE42" w14:textId="77777777" w:rsidR="00105E39" w:rsidRPr="00443040" w:rsidRDefault="00105E39" w:rsidP="00105E39">
      <w:pPr>
        <w:spacing w:after="0" w:line="240" w:lineRule="auto"/>
        <w:ind w:left="0" w:firstLine="0"/>
        <w:rPr>
          <w:color w:val="auto"/>
          <w:lang w:val="es-ES"/>
        </w:rPr>
      </w:pPr>
    </w:p>
    <w:p w14:paraId="7D9CF307" w14:textId="77777777" w:rsidR="00105E39" w:rsidRPr="00443040" w:rsidRDefault="00105E39" w:rsidP="00105E39">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105E39" w:rsidRPr="00714463" w14:paraId="5240319D" w14:textId="77777777" w:rsidTr="00C33F4C">
        <w:tc>
          <w:tcPr>
            <w:tcW w:w="9063" w:type="dxa"/>
          </w:tcPr>
          <w:p w14:paraId="09245792" w14:textId="77777777" w:rsidR="00105E39" w:rsidRPr="00C33F4C" w:rsidRDefault="00105E39" w:rsidP="00C33F4C">
            <w:pPr>
              <w:keepNext/>
              <w:spacing w:after="0" w:line="240" w:lineRule="auto"/>
              <w:ind w:left="567" w:hanging="567"/>
              <w:rPr>
                <w:b/>
                <w:color w:val="auto"/>
                <w:lang w:val="es-ES"/>
              </w:rPr>
            </w:pPr>
            <w:r w:rsidRPr="00C33F4C">
              <w:rPr>
                <w:b/>
                <w:color w:val="auto"/>
                <w:lang w:val="es-ES"/>
              </w:rPr>
              <w:t>10.</w:t>
            </w:r>
            <w:r w:rsidRPr="00C33F4C">
              <w:rPr>
                <w:b/>
                <w:color w:val="auto"/>
                <w:lang w:val="es-ES"/>
              </w:rPr>
              <w:tab/>
              <w:t>PRECAUCIONES ESPECIALES DE ELIMINACIÓN DEL MEDICAMENTO NO UTILIZADO Y DE LOS MATERIALES DERIVADOS DE SU USO, CUANDO CORRESPONDA</w:t>
            </w:r>
          </w:p>
        </w:tc>
      </w:tr>
    </w:tbl>
    <w:p w14:paraId="03BC2902" w14:textId="77777777" w:rsidR="00105E39" w:rsidRPr="00443040" w:rsidRDefault="00105E39" w:rsidP="00105E39">
      <w:pPr>
        <w:keepNext/>
        <w:spacing w:after="0" w:line="240" w:lineRule="auto"/>
        <w:ind w:left="0" w:firstLine="0"/>
        <w:rPr>
          <w:color w:val="auto"/>
          <w:lang w:val="es-ES"/>
        </w:rPr>
      </w:pPr>
    </w:p>
    <w:p w14:paraId="647DE473" w14:textId="77777777" w:rsidR="00105E39" w:rsidRPr="00443040" w:rsidRDefault="00105E39" w:rsidP="00105E39">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05E39" w:rsidRPr="00714463" w14:paraId="65F0C3CB" w14:textId="77777777" w:rsidTr="00C33F4C">
        <w:tc>
          <w:tcPr>
            <w:tcW w:w="9062" w:type="dxa"/>
          </w:tcPr>
          <w:p w14:paraId="4CB20EDB" w14:textId="77777777" w:rsidR="00105E39" w:rsidRPr="00C33F4C" w:rsidRDefault="00105E39" w:rsidP="00C33F4C">
            <w:pPr>
              <w:keepNext/>
              <w:spacing w:after="0" w:line="240" w:lineRule="auto"/>
              <w:ind w:left="567" w:hanging="567"/>
              <w:rPr>
                <w:b/>
                <w:color w:val="auto"/>
                <w:lang w:val="es-ES"/>
              </w:rPr>
            </w:pPr>
            <w:r w:rsidRPr="00C33F4C">
              <w:rPr>
                <w:b/>
                <w:color w:val="auto"/>
                <w:lang w:val="es-ES"/>
              </w:rPr>
              <w:t>11.</w:t>
            </w:r>
            <w:r w:rsidRPr="00C33F4C">
              <w:rPr>
                <w:b/>
                <w:color w:val="auto"/>
                <w:lang w:val="es-ES"/>
              </w:rPr>
              <w:tab/>
              <w:t>NOMBRE Y DIRECCIÓN DEL TITULAR DE LA AUTORIZACIÓN DE COMERCIALIZACIÓN</w:t>
            </w:r>
          </w:p>
        </w:tc>
      </w:tr>
    </w:tbl>
    <w:p w14:paraId="60943396" w14:textId="77777777" w:rsidR="00105E39" w:rsidRPr="00443040" w:rsidRDefault="00105E39" w:rsidP="00105E39">
      <w:pPr>
        <w:keepNext/>
        <w:spacing w:after="0" w:line="240" w:lineRule="auto"/>
        <w:ind w:left="0" w:firstLine="0"/>
        <w:rPr>
          <w:color w:val="auto"/>
          <w:lang w:val="es-ES"/>
        </w:rPr>
      </w:pPr>
    </w:p>
    <w:p w14:paraId="2C888C95" w14:textId="77777777" w:rsidR="00027916" w:rsidRPr="00537EA4" w:rsidRDefault="00027916" w:rsidP="00027916">
      <w:pPr>
        <w:keepNext/>
        <w:spacing w:line="240" w:lineRule="auto"/>
        <w:ind w:right="-1"/>
      </w:pPr>
      <w:r w:rsidRPr="00B6605D">
        <w:t xml:space="preserve">Amgen Technology </w:t>
      </w:r>
      <w:r w:rsidRPr="00537EA4">
        <w:t>(Ireland) UC</w:t>
      </w:r>
      <w:r>
        <w:t>,</w:t>
      </w:r>
    </w:p>
    <w:p w14:paraId="0D85EBB3" w14:textId="77777777" w:rsidR="00027916" w:rsidRPr="00537EA4" w:rsidRDefault="00027916" w:rsidP="00027916">
      <w:pPr>
        <w:keepNext/>
        <w:spacing w:line="240" w:lineRule="auto"/>
        <w:ind w:right="-1"/>
      </w:pPr>
      <w:r w:rsidRPr="00537EA4">
        <w:t>Pottery Road</w:t>
      </w:r>
      <w:r>
        <w:t>,</w:t>
      </w:r>
    </w:p>
    <w:p w14:paraId="65AFF503" w14:textId="77777777" w:rsidR="00027916" w:rsidRPr="00537EA4" w:rsidRDefault="00027916" w:rsidP="00027916">
      <w:pPr>
        <w:keepNext/>
        <w:spacing w:line="240" w:lineRule="auto"/>
        <w:ind w:right="-1"/>
      </w:pPr>
      <w:r w:rsidRPr="00537EA4">
        <w:t>Dun Laoghaire</w:t>
      </w:r>
      <w:r>
        <w:t>,</w:t>
      </w:r>
    </w:p>
    <w:p w14:paraId="2A575CC4" w14:textId="77777777" w:rsidR="00027916" w:rsidRPr="00C33F4C" w:rsidRDefault="00027916" w:rsidP="00027916">
      <w:pPr>
        <w:autoSpaceDE w:val="0"/>
        <w:autoSpaceDN w:val="0"/>
        <w:adjustRightInd w:val="0"/>
        <w:spacing w:after="0" w:line="240" w:lineRule="auto"/>
        <w:ind w:left="0" w:firstLine="0"/>
        <w:rPr>
          <w:rFonts w:eastAsia="Calibri"/>
          <w:lang w:val="es-ES" w:eastAsia="en-US"/>
        </w:rPr>
      </w:pPr>
      <w:r w:rsidRPr="00537EA4">
        <w:t>Co</w:t>
      </w:r>
      <w:r>
        <w:t>.</w:t>
      </w:r>
      <w:r w:rsidRPr="00537EA4">
        <w:t xml:space="preserve"> Dublin</w:t>
      </w:r>
      <w:r>
        <w:t>,</w:t>
      </w:r>
    </w:p>
    <w:p w14:paraId="748E9B86" w14:textId="77777777" w:rsidR="00027916" w:rsidRPr="006D35C1" w:rsidRDefault="00027916" w:rsidP="00027916">
      <w:pPr>
        <w:spacing w:after="0" w:line="240" w:lineRule="auto"/>
        <w:ind w:left="0" w:firstLine="0"/>
        <w:rPr>
          <w:color w:val="auto"/>
          <w:lang w:val="es-ES"/>
        </w:rPr>
      </w:pPr>
      <w:r w:rsidRPr="007C7557">
        <w:rPr>
          <w:lang w:val="es-ES"/>
        </w:rPr>
        <w:t>Irlanda</w:t>
      </w:r>
      <w:r w:rsidRPr="00C33F4C" w:rsidDel="00F83BD0">
        <w:rPr>
          <w:rFonts w:eastAsia="Calibri"/>
          <w:lang w:val="es-ES" w:eastAsia="en-US"/>
        </w:rPr>
        <w:t xml:space="preserve"> </w:t>
      </w:r>
    </w:p>
    <w:p w14:paraId="620ED04C" w14:textId="77777777" w:rsidR="00105E39" w:rsidRDefault="00105E39" w:rsidP="00105E39">
      <w:pPr>
        <w:spacing w:after="0" w:line="240" w:lineRule="auto"/>
        <w:ind w:left="0" w:firstLine="0"/>
        <w:rPr>
          <w:color w:val="auto"/>
          <w:lang w:val="es-ES"/>
        </w:rPr>
      </w:pPr>
    </w:p>
    <w:p w14:paraId="6D59E220" w14:textId="77777777" w:rsidR="00105E39" w:rsidRPr="00443040" w:rsidRDefault="00105E39" w:rsidP="00105E39">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05E39" w:rsidRPr="00714463" w14:paraId="69BBED23" w14:textId="77777777" w:rsidTr="00C33F4C">
        <w:tc>
          <w:tcPr>
            <w:tcW w:w="9062" w:type="dxa"/>
          </w:tcPr>
          <w:p w14:paraId="2C44E2C2" w14:textId="77777777" w:rsidR="00105E39" w:rsidRPr="00C33F4C" w:rsidRDefault="00105E39" w:rsidP="00C33F4C">
            <w:pPr>
              <w:keepNext/>
              <w:spacing w:after="0" w:line="240" w:lineRule="auto"/>
              <w:ind w:left="567" w:hanging="567"/>
              <w:rPr>
                <w:b/>
                <w:color w:val="auto"/>
                <w:lang w:val="es-ES"/>
              </w:rPr>
            </w:pPr>
            <w:r w:rsidRPr="00C33F4C">
              <w:rPr>
                <w:b/>
                <w:color w:val="auto"/>
                <w:lang w:val="es-ES"/>
              </w:rPr>
              <w:t>12.</w:t>
            </w:r>
            <w:r w:rsidRPr="00C33F4C">
              <w:rPr>
                <w:b/>
                <w:color w:val="auto"/>
                <w:lang w:val="es-ES"/>
              </w:rPr>
              <w:tab/>
              <w:t>NÚMERO(S) DE AUTORIZACIÓN DE COMERCIALIZACIÓN</w:t>
            </w:r>
          </w:p>
        </w:tc>
      </w:tr>
    </w:tbl>
    <w:p w14:paraId="69854E8D" w14:textId="77777777" w:rsidR="00105E39" w:rsidRPr="00443040" w:rsidRDefault="00105E39" w:rsidP="00105E39">
      <w:pPr>
        <w:keepNext/>
        <w:spacing w:after="0" w:line="240" w:lineRule="auto"/>
        <w:ind w:left="0" w:firstLine="0"/>
        <w:rPr>
          <w:color w:val="auto"/>
          <w:lang w:val="es-ES"/>
        </w:rPr>
      </w:pPr>
    </w:p>
    <w:p w14:paraId="3A235436" w14:textId="319EE72D" w:rsidR="00105E39" w:rsidRDefault="00105E39" w:rsidP="00105E39">
      <w:pPr>
        <w:pStyle w:val="Default"/>
        <w:rPr>
          <w:rFonts w:cs="Verdana"/>
          <w:sz w:val="22"/>
          <w:szCs w:val="22"/>
        </w:rPr>
      </w:pPr>
      <w:r>
        <w:rPr>
          <w:rFonts w:cs="Verdana"/>
          <w:sz w:val="22"/>
          <w:szCs w:val="22"/>
        </w:rPr>
        <w:t>EU/1/17/1246/002</w:t>
      </w:r>
    </w:p>
    <w:p w14:paraId="78625F0D" w14:textId="77777777" w:rsidR="00105E39" w:rsidRDefault="00105E39" w:rsidP="00105E39">
      <w:pPr>
        <w:spacing w:after="0" w:line="240" w:lineRule="auto"/>
        <w:ind w:left="0" w:firstLine="0"/>
        <w:rPr>
          <w:color w:val="auto"/>
          <w:lang w:val="es-ES"/>
        </w:rPr>
      </w:pPr>
    </w:p>
    <w:p w14:paraId="70E561D7" w14:textId="77777777" w:rsidR="00105E39" w:rsidRPr="00443040" w:rsidRDefault="00105E39" w:rsidP="00105E39">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05E39" w:rsidRPr="00443040" w14:paraId="0D2D2235" w14:textId="77777777" w:rsidTr="00C33F4C">
        <w:tc>
          <w:tcPr>
            <w:tcW w:w="9062" w:type="dxa"/>
          </w:tcPr>
          <w:p w14:paraId="2AE77981" w14:textId="77777777" w:rsidR="00105E39" w:rsidRPr="00C33F4C" w:rsidRDefault="00105E39" w:rsidP="00C33F4C">
            <w:pPr>
              <w:keepNext/>
              <w:spacing w:after="0" w:line="240" w:lineRule="auto"/>
              <w:ind w:left="567" w:hanging="567"/>
              <w:rPr>
                <w:b/>
                <w:color w:val="auto"/>
                <w:lang w:val="es-ES"/>
              </w:rPr>
            </w:pPr>
            <w:r w:rsidRPr="00C33F4C">
              <w:rPr>
                <w:b/>
                <w:color w:val="auto"/>
                <w:lang w:val="es-ES"/>
              </w:rPr>
              <w:t>13.</w:t>
            </w:r>
            <w:r w:rsidRPr="00C33F4C">
              <w:rPr>
                <w:b/>
                <w:color w:val="auto"/>
                <w:lang w:val="es-ES"/>
              </w:rPr>
              <w:tab/>
              <w:t>NÚMERO DE LOTE</w:t>
            </w:r>
          </w:p>
        </w:tc>
      </w:tr>
    </w:tbl>
    <w:p w14:paraId="178604A7" w14:textId="77777777" w:rsidR="00105E39" w:rsidRPr="00443040" w:rsidRDefault="00105E39" w:rsidP="00105E39">
      <w:pPr>
        <w:keepNext/>
        <w:spacing w:after="0" w:line="240" w:lineRule="auto"/>
        <w:ind w:left="0" w:firstLine="0"/>
        <w:rPr>
          <w:color w:val="auto"/>
          <w:lang w:val="es-ES"/>
        </w:rPr>
      </w:pPr>
    </w:p>
    <w:p w14:paraId="0B6D3364" w14:textId="77777777" w:rsidR="00105E39" w:rsidRPr="00443040" w:rsidRDefault="00105E39" w:rsidP="00105E39">
      <w:pPr>
        <w:spacing w:after="0" w:line="240" w:lineRule="auto"/>
        <w:ind w:left="0" w:firstLine="0"/>
        <w:rPr>
          <w:color w:val="auto"/>
          <w:lang w:val="es-ES"/>
        </w:rPr>
      </w:pPr>
      <w:r w:rsidRPr="00443040">
        <w:rPr>
          <w:color w:val="auto"/>
          <w:lang w:val="es-ES"/>
        </w:rPr>
        <w:t>Lote</w:t>
      </w:r>
    </w:p>
    <w:p w14:paraId="77594A0F" w14:textId="77777777" w:rsidR="00105E39" w:rsidRPr="00443040" w:rsidRDefault="00105E39" w:rsidP="00105E39">
      <w:pPr>
        <w:spacing w:after="0" w:line="240" w:lineRule="auto"/>
        <w:ind w:left="0" w:firstLine="0"/>
        <w:rPr>
          <w:color w:val="auto"/>
          <w:lang w:val="es-ES"/>
        </w:rPr>
      </w:pPr>
    </w:p>
    <w:p w14:paraId="377B0D46" w14:textId="77777777" w:rsidR="00105E39" w:rsidRPr="00443040" w:rsidRDefault="00105E39" w:rsidP="00105E39">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05E39" w:rsidRPr="00443040" w14:paraId="0125A19C" w14:textId="77777777" w:rsidTr="00C33F4C">
        <w:tc>
          <w:tcPr>
            <w:tcW w:w="9062" w:type="dxa"/>
          </w:tcPr>
          <w:p w14:paraId="06B8F898" w14:textId="77777777" w:rsidR="00105E39" w:rsidRPr="00C33F4C" w:rsidRDefault="00105E39" w:rsidP="00C33F4C">
            <w:pPr>
              <w:keepNext/>
              <w:spacing w:after="0" w:line="240" w:lineRule="auto"/>
              <w:ind w:left="567" w:hanging="567"/>
              <w:rPr>
                <w:b/>
                <w:color w:val="auto"/>
                <w:lang w:val="es-ES"/>
              </w:rPr>
            </w:pPr>
            <w:r w:rsidRPr="00C33F4C">
              <w:rPr>
                <w:b/>
                <w:color w:val="auto"/>
                <w:lang w:val="es-ES"/>
              </w:rPr>
              <w:t>14.</w:t>
            </w:r>
            <w:r w:rsidRPr="00C33F4C">
              <w:rPr>
                <w:b/>
                <w:color w:val="auto"/>
                <w:lang w:val="es-ES"/>
              </w:rPr>
              <w:tab/>
              <w:t>CONDICIONES GENERALES DE DISPENSACIÓN</w:t>
            </w:r>
          </w:p>
        </w:tc>
      </w:tr>
    </w:tbl>
    <w:p w14:paraId="1BB58E9A" w14:textId="77777777" w:rsidR="00105E39" w:rsidRPr="00443040" w:rsidRDefault="00105E39" w:rsidP="00105E39">
      <w:pPr>
        <w:keepNext/>
        <w:spacing w:after="0" w:line="240" w:lineRule="auto"/>
        <w:ind w:left="0" w:firstLine="0"/>
        <w:rPr>
          <w:color w:val="auto"/>
          <w:lang w:val="es-ES"/>
        </w:rPr>
      </w:pPr>
    </w:p>
    <w:p w14:paraId="1F2C74E1" w14:textId="77777777" w:rsidR="00105E39" w:rsidRPr="00443040" w:rsidRDefault="00105E39" w:rsidP="00105E39">
      <w:pPr>
        <w:spacing w:after="0" w:line="240" w:lineRule="auto"/>
        <w:ind w:left="0" w:firstLine="0"/>
        <w:rPr>
          <w:color w:val="auto"/>
          <w:lang w:val="es-ES"/>
        </w:rPr>
      </w:pPr>
    </w:p>
    <w:p w14:paraId="078C8CEF" w14:textId="77777777" w:rsidR="00105E39" w:rsidRPr="00443040" w:rsidRDefault="00105E39" w:rsidP="00105E39">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05E39" w:rsidRPr="00443040" w14:paraId="5291FC64" w14:textId="77777777" w:rsidTr="00C33F4C">
        <w:tc>
          <w:tcPr>
            <w:tcW w:w="9062" w:type="dxa"/>
          </w:tcPr>
          <w:p w14:paraId="36075699" w14:textId="77777777" w:rsidR="00105E39" w:rsidRPr="00C33F4C" w:rsidRDefault="00105E39" w:rsidP="00C33F4C">
            <w:pPr>
              <w:keepNext/>
              <w:spacing w:after="0" w:line="240" w:lineRule="auto"/>
              <w:ind w:left="567" w:hanging="567"/>
              <w:rPr>
                <w:b/>
                <w:color w:val="auto"/>
                <w:lang w:val="es-ES"/>
              </w:rPr>
            </w:pPr>
            <w:r w:rsidRPr="00C33F4C">
              <w:rPr>
                <w:b/>
                <w:color w:val="auto"/>
                <w:lang w:val="es-ES"/>
              </w:rPr>
              <w:t>15.</w:t>
            </w:r>
            <w:r w:rsidRPr="00C33F4C">
              <w:rPr>
                <w:b/>
                <w:color w:val="auto"/>
                <w:lang w:val="es-ES"/>
              </w:rPr>
              <w:tab/>
              <w:t>INSTRUCCIONES DE USO</w:t>
            </w:r>
          </w:p>
        </w:tc>
      </w:tr>
    </w:tbl>
    <w:p w14:paraId="458C7187" w14:textId="77777777" w:rsidR="00105E39" w:rsidRPr="00443040" w:rsidRDefault="00105E39" w:rsidP="00105E39">
      <w:pPr>
        <w:keepNext/>
        <w:spacing w:after="0" w:line="240" w:lineRule="auto"/>
        <w:ind w:left="0" w:firstLine="0"/>
        <w:rPr>
          <w:color w:val="auto"/>
          <w:lang w:val="es-ES"/>
        </w:rPr>
      </w:pPr>
    </w:p>
    <w:p w14:paraId="37EC22C8" w14:textId="77777777" w:rsidR="00105E39" w:rsidRPr="00443040" w:rsidRDefault="00105E39" w:rsidP="00105E39">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05E39" w:rsidRPr="00443040" w14:paraId="7029F801" w14:textId="77777777" w:rsidTr="00C33F4C">
        <w:tc>
          <w:tcPr>
            <w:tcW w:w="9062" w:type="dxa"/>
          </w:tcPr>
          <w:p w14:paraId="78FF2B38" w14:textId="77777777" w:rsidR="00105E39" w:rsidRPr="00C33F4C" w:rsidRDefault="00105E39" w:rsidP="00C33F4C">
            <w:pPr>
              <w:keepNext/>
              <w:spacing w:after="0" w:line="240" w:lineRule="auto"/>
              <w:ind w:left="567" w:hanging="567"/>
              <w:rPr>
                <w:b/>
                <w:color w:val="auto"/>
                <w:lang w:val="es-ES"/>
              </w:rPr>
            </w:pPr>
            <w:r w:rsidRPr="00C33F4C">
              <w:rPr>
                <w:b/>
                <w:color w:val="auto"/>
                <w:lang w:val="es-ES"/>
              </w:rPr>
              <w:t>16.</w:t>
            </w:r>
            <w:r w:rsidRPr="00C33F4C">
              <w:rPr>
                <w:b/>
                <w:color w:val="auto"/>
                <w:lang w:val="es-ES"/>
              </w:rPr>
              <w:tab/>
              <w:t>INFORMACIÓN EN BRAILLE</w:t>
            </w:r>
          </w:p>
        </w:tc>
      </w:tr>
    </w:tbl>
    <w:p w14:paraId="151C3786" w14:textId="77777777" w:rsidR="00105E39" w:rsidRPr="00443040" w:rsidRDefault="00105E39" w:rsidP="00105E39">
      <w:pPr>
        <w:keepNext/>
        <w:spacing w:after="0" w:line="240" w:lineRule="auto"/>
        <w:ind w:left="0" w:firstLine="0"/>
        <w:rPr>
          <w:color w:val="auto"/>
          <w:lang w:val="es-ES"/>
        </w:rPr>
      </w:pPr>
    </w:p>
    <w:p w14:paraId="768ADE94" w14:textId="77777777" w:rsidR="00105E39" w:rsidRPr="00443040" w:rsidRDefault="00105E39" w:rsidP="00105E39">
      <w:pPr>
        <w:spacing w:after="0" w:line="240" w:lineRule="auto"/>
        <w:ind w:left="0" w:firstLine="0"/>
        <w:rPr>
          <w:color w:val="auto"/>
          <w:lang w:val="es-ES"/>
        </w:rPr>
      </w:pPr>
      <w:r>
        <w:rPr>
          <w:color w:val="auto"/>
          <w:highlight w:val="lightGray"/>
          <w:lang w:val="es-ES"/>
        </w:rPr>
        <w:t>Se acepta la justificación para no incluir la información en Braille.</w:t>
      </w:r>
    </w:p>
    <w:p w14:paraId="4889B7DF" w14:textId="77777777" w:rsidR="00105E39" w:rsidRPr="00443040" w:rsidRDefault="00105E39" w:rsidP="00105E39">
      <w:pPr>
        <w:spacing w:after="0" w:line="240" w:lineRule="auto"/>
        <w:ind w:left="0" w:firstLine="0"/>
        <w:rPr>
          <w:color w:val="auto"/>
          <w:lang w:val="es-ES"/>
        </w:rPr>
      </w:pPr>
    </w:p>
    <w:p w14:paraId="665FB343" w14:textId="77777777" w:rsidR="00105E39" w:rsidRPr="00443040" w:rsidRDefault="00105E39" w:rsidP="00105E39">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05E39" w:rsidRPr="00714463" w14:paraId="6F16A367" w14:textId="77777777" w:rsidTr="00C33F4C">
        <w:tc>
          <w:tcPr>
            <w:tcW w:w="9062" w:type="dxa"/>
          </w:tcPr>
          <w:p w14:paraId="006CF599" w14:textId="77777777" w:rsidR="00105E39" w:rsidRPr="00C33F4C" w:rsidRDefault="00105E39" w:rsidP="00C33F4C">
            <w:pPr>
              <w:keepNext/>
              <w:spacing w:after="0" w:line="240" w:lineRule="auto"/>
              <w:ind w:left="567" w:hanging="567"/>
              <w:rPr>
                <w:b/>
                <w:color w:val="auto"/>
                <w:lang w:val="es-ES"/>
              </w:rPr>
            </w:pPr>
            <w:r w:rsidRPr="00C33F4C">
              <w:rPr>
                <w:b/>
                <w:color w:val="auto"/>
                <w:lang w:val="es-ES"/>
              </w:rPr>
              <w:t>17.</w:t>
            </w:r>
            <w:r w:rsidRPr="00C33F4C">
              <w:rPr>
                <w:b/>
                <w:color w:val="auto"/>
                <w:lang w:val="es-ES"/>
              </w:rPr>
              <w:tab/>
              <w:t>IDENTIFICADOR ÚNICO – CÓDIGO DE BARRAS 2D</w:t>
            </w:r>
          </w:p>
        </w:tc>
      </w:tr>
    </w:tbl>
    <w:p w14:paraId="5287A8CB" w14:textId="77777777" w:rsidR="00105E39" w:rsidRPr="00443040" w:rsidRDefault="00105E39" w:rsidP="00105E39">
      <w:pPr>
        <w:keepNext/>
        <w:spacing w:after="0" w:line="240" w:lineRule="auto"/>
        <w:ind w:left="0" w:firstLine="0"/>
        <w:rPr>
          <w:color w:val="auto"/>
          <w:lang w:val="es-ES"/>
        </w:rPr>
      </w:pPr>
    </w:p>
    <w:p w14:paraId="39635B39" w14:textId="77777777" w:rsidR="00105E39" w:rsidRPr="00443040" w:rsidRDefault="00105E39" w:rsidP="00105E39">
      <w:pPr>
        <w:spacing w:after="0" w:line="240" w:lineRule="auto"/>
        <w:ind w:left="0" w:firstLine="0"/>
        <w:rPr>
          <w:color w:val="auto"/>
          <w:lang w:val="es-ES"/>
        </w:rPr>
      </w:pPr>
      <w:r>
        <w:rPr>
          <w:color w:val="auto"/>
          <w:highlight w:val="lightGray"/>
          <w:lang w:val="es-ES"/>
        </w:rPr>
        <w:t>Incluido el código de barras 2D que lleva el identificador único.</w:t>
      </w:r>
    </w:p>
    <w:p w14:paraId="33AF6DA1" w14:textId="77777777" w:rsidR="00105E39" w:rsidRPr="00443040" w:rsidRDefault="00105E39" w:rsidP="00105E39">
      <w:pPr>
        <w:spacing w:after="0" w:line="240" w:lineRule="auto"/>
        <w:ind w:left="0" w:firstLine="0"/>
        <w:rPr>
          <w:color w:val="auto"/>
          <w:lang w:val="es-ES"/>
        </w:rPr>
      </w:pPr>
    </w:p>
    <w:p w14:paraId="6C0D7DBF" w14:textId="77777777" w:rsidR="00105E39" w:rsidRPr="00443040" w:rsidRDefault="00105E39" w:rsidP="00105E39">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05E39" w:rsidRPr="00714463" w14:paraId="32B71D78" w14:textId="77777777" w:rsidTr="00C33F4C">
        <w:tc>
          <w:tcPr>
            <w:tcW w:w="9062" w:type="dxa"/>
          </w:tcPr>
          <w:p w14:paraId="5C9DF46F" w14:textId="77777777" w:rsidR="00105E39" w:rsidRPr="00C33F4C" w:rsidRDefault="00105E39" w:rsidP="00C33F4C">
            <w:pPr>
              <w:keepNext/>
              <w:spacing w:after="0" w:line="240" w:lineRule="auto"/>
              <w:ind w:left="567" w:hanging="567"/>
              <w:rPr>
                <w:b/>
                <w:color w:val="auto"/>
                <w:lang w:val="es-ES"/>
              </w:rPr>
            </w:pPr>
            <w:r w:rsidRPr="00C33F4C">
              <w:rPr>
                <w:b/>
                <w:color w:val="auto"/>
                <w:lang w:val="es-ES"/>
              </w:rPr>
              <w:t>18.</w:t>
            </w:r>
            <w:r w:rsidRPr="00C33F4C">
              <w:rPr>
                <w:b/>
                <w:color w:val="auto"/>
                <w:lang w:val="es-ES"/>
              </w:rPr>
              <w:tab/>
              <w:t>IDENTIFICADOR ÚNICO – INFORMACIÓN EN CARACTERES VISUALES</w:t>
            </w:r>
          </w:p>
        </w:tc>
      </w:tr>
    </w:tbl>
    <w:p w14:paraId="35F24196" w14:textId="77777777" w:rsidR="00105E39" w:rsidRPr="00443040" w:rsidRDefault="00105E39" w:rsidP="00105E39">
      <w:pPr>
        <w:keepNext/>
        <w:spacing w:after="0" w:line="240" w:lineRule="auto"/>
        <w:ind w:left="0" w:firstLine="0"/>
        <w:rPr>
          <w:color w:val="auto"/>
          <w:lang w:val="es-ES"/>
        </w:rPr>
      </w:pPr>
    </w:p>
    <w:p w14:paraId="29CAEBCA" w14:textId="77777777" w:rsidR="00105E39" w:rsidRPr="00443040" w:rsidRDefault="00105E39" w:rsidP="00105E39">
      <w:pPr>
        <w:spacing w:after="0" w:line="240" w:lineRule="auto"/>
        <w:ind w:left="0" w:firstLine="0"/>
        <w:rPr>
          <w:color w:val="auto"/>
          <w:lang w:val="es-ES"/>
        </w:rPr>
      </w:pPr>
      <w:r>
        <w:rPr>
          <w:color w:val="auto"/>
          <w:lang w:val="es-ES"/>
        </w:rPr>
        <w:t>PC</w:t>
      </w:r>
    </w:p>
    <w:p w14:paraId="68C4651E" w14:textId="77777777" w:rsidR="00105E39" w:rsidRDefault="00105E39" w:rsidP="00105E39">
      <w:pPr>
        <w:spacing w:after="0" w:line="240" w:lineRule="auto"/>
        <w:ind w:left="0" w:firstLine="0"/>
        <w:rPr>
          <w:color w:val="auto"/>
          <w:lang w:val="es-ES"/>
        </w:rPr>
      </w:pPr>
      <w:r>
        <w:rPr>
          <w:color w:val="auto"/>
          <w:lang w:val="es-ES"/>
        </w:rPr>
        <w:t>SN</w:t>
      </w:r>
    </w:p>
    <w:p w14:paraId="51682DB4" w14:textId="77777777" w:rsidR="00105E39" w:rsidRDefault="00105E39" w:rsidP="00105E39">
      <w:pPr>
        <w:spacing w:after="0" w:line="240" w:lineRule="auto"/>
        <w:ind w:left="0" w:firstLine="0"/>
        <w:rPr>
          <w:color w:val="auto"/>
          <w:lang w:val="es-ES"/>
        </w:rPr>
      </w:pPr>
      <w:r>
        <w:rPr>
          <w:color w:val="auto"/>
          <w:lang w:val="es-ES"/>
        </w:rPr>
        <w:t>NN</w:t>
      </w:r>
    </w:p>
    <w:p w14:paraId="24AE2B42" w14:textId="77777777" w:rsidR="00105E39" w:rsidRDefault="00105E39" w:rsidP="00105E39">
      <w:pPr>
        <w:spacing w:after="0" w:line="240" w:lineRule="auto"/>
        <w:ind w:left="0" w:firstLine="0"/>
        <w:rPr>
          <w:color w:val="auto"/>
          <w:lang w:val="es-ES"/>
        </w:rPr>
      </w:pPr>
    </w:p>
    <w:p w14:paraId="48BE46C9" w14:textId="77777777" w:rsidR="00105E39" w:rsidRPr="00443040" w:rsidRDefault="00105E39" w:rsidP="00105E39">
      <w:pPr>
        <w:spacing w:after="0" w:line="240" w:lineRule="auto"/>
        <w:ind w:left="0" w:firstLine="0"/>
        <w:rPr>
          <w:color w:val="auto"/>
          <w:lang w:val="es-ES"/>
        </w:rPr>
      </w:pPr>
    </w:p>
    <w:p w14:paraId="46AE759F" w14:textId="77777777" w:rsidR="00105E39" w:rsidRPr="00443040" w:rsidRDefault="00105E39" w:rsidP="00105E39">
      <w:pPr>
        <w:spacing w:after="160" w:line="259" w:lineRule="auto"/>
        <w:ind w:left="0" w:firstLine="0"/>
        <w:rPr>
          <w:color w:val="auto"/>
          <w:lang w:val="es-ES"/>
        </w:rPr>
      </w:pPr>
      <w:r w:rsidRPr="00443040">
        <w:rPr>
          <w:color w:val="auto"/>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05E39" w14:paraId="6FD81712" w14:textId="77777777" w:rsidTr="00C33F4C">
        <w:tc>
          <w:tcPr>
            <w:tcW w:w="9062" w:type="dxa"/>
          </w:tcPr>
          <w:p w14:paraId="5A41A5F8" w14:textId="77777777" w:rsidR="00105E39" w:rsidRPr="00C33F4C" w:rsidRDefault="00105E39" w:rsidP="00C33F4C">
            <w:pPr>
              <w:spacing w:after="0" w:line="240" w:lineRule="auto"/>
              <w:ind w:left="0" w:firstLine="0"/>
              <w:rPr>
                <w:b/>
                <w:color w:val="auto"/>
                <w:lang w:val="es-ES"/>
              </w:rPr>
            </w:pPr>
            <w:r w:rsidRPr="00C33F4C">
              <w:rPr>
                <w:b/>
                <w:color w:val="auto"/>
                <w:lang w:val="es-ES"/>
              </w:rPr>
              <w:t>INFORMACIÓN MÍNIMA QUE DEBE INCLUIRSE EN PEQUEÑOS ACONDICIONAMIENTOS PRIMARIOS</w:t>
            </w:r>
          </w:p>
          <w:p w14:paraId="2388F30D" w14:textId="77777777" w:rsidR="00105E39" w:rsidRPr="00C33F4C" w:rsidRDefault="00105E39" w:rsidP="00C33F4C">
            <w:pPr>
              <w:spacing w:after="0" w:line="240" w:lineRule="auto"/>
              <w:ind w:left="0" w:firstLine="0"/>
              <w:rPr>
                <w:b/>
                <w:color w:val="auto"/>
                <w:lang w:val="es-ES"/>
              </w:rPr>
            </w:pPr>
          </w:p>
          <w:p w14:paraId="57E10DB7" w14:textId="77777777" w:rsidR="00105E39" w:rsidRPr="00C33F4C" w:rsidRDefault="00105E39" w:rsidP="00C33F4C">
            <w:pPr>
              <w:spacing w:after="0" w:line="240" w:lineRule="auto"/>
              <w:ind w:left="0" w:firstLine="0"/>
              <w:rPr>
                <w:color w:val="auto"/>
                <w:lang w:val="es-ES"/>
              </w:rPr>
            </w:pPr>
            <w:r w:rsidRPr="00C33F4C">
              <w:rPr>
                <w:b/>
                <w:color w:val="auto"/>
                <w:lang w:val="es-ES"/>
              </w:rPr>
              <w:t>VIAL</w:t>
            </w:r>
          </w:p>
        </w:tc>
      </w:tr>
    </w:tbl>
    <w:p w14:paraId="4FF9F577" w14:textId="77777777" w:rsidR="00105E39" w:rsidRPr="00443040" w:rsidRDefault="00105E39" w:rsidP="00105E39">
      <w:pPr>
        <w:spacing w:after="0" w:line="240" w:lineRule="auto"/>
        <w:ind w:left="0" w:firstLine="0"/>
        <w:rPr>
          <w:color w:val="auto"/>
          <w:lang w:val="es-ES"/>
        </w:rPr>
      </w:pPr>
    </w:p>
    <w:p w14:paraId="434AADAC" w14:textId="77777777" w:rsidR="00105E39" w:rsidRPr="00443040" w:rsidRDefault="00105E39" w:rsidP="00105E39">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05E39" w:rsidRPr="00714463" w14:paraId="3E16D882" w14:textId="77777777" w:rsidTr="00C33F4C">
        <w:tc>
          <w:tcPr>
            <w:tcW w:w="9062" w:type="dxa"/>
          </w:tcPr>
          <w:p w14:paraId="22F5785A" w14:textId="77777777" w:rsidR="00105E39" w:rsidRPr="00C33F4C" w:rsidRDefault="00105E39" w:rsidP="00C33F4C">
            <w:pPr>
              <w:keepNext/>
              <w:spacing w:after="0" w:line="240" w:lineRule="auto"/>
              <w:ind w:left="567" w:hanging="567"/>
              <w:rPr>
                <w:color w:val="auto"/>
                <w:lang w:val="es-ES"/>
              </w:rPr>
            </w:pPr>
            <w:r w:rsidRPr="00C33F4C">
              <w:rPr>
                <w:b/>
                <w:color w:val="auto"/>
                <w:lang w:val="es-ES"/>
              </w:rPr>
              <w:t>1.</w:t>
            </w:r>
            <w:r w:rsidRPr="00C33F4C">
              <w:rPr>
                <w:b/>
                <w:color w:val="auto"/>
                <w:lang w:val="es-ES"/>
              </w:rPr>
              <w:tab/>
              <w:t>NOMBRE DEL MEDICAMENTO Y VÍA(S) DE ADMINISTRACIÓN</w:t>
            </w:r>
          </w:p>
        </w:tc>
      </w:tr>
    </w:tbl>
    <w:p w14:paraId="0D7CB577" w14:textId="77777777" w:rsidR="00105E39" w:rsidRPr="00443040" w:rsidRDefault="00105E39" w:rsidP="00105E39">
      <w:pPr>
        <w:keepNext/>
        <w:spacing w:after="0" w:line="240" w:lineRule="auto"/>
        <w:ind w:left="0" w:firstLine="0"/>
        <w:rPr>
          <w:color w:val="auto"/>
          <w:lang w:val="es-ES"/>
        </w:rPr>
      </w:pPr>
    </w:p>
    <w:p w14:paraId="044A5F97" w14:textId="77777777" w:rsidR="00105E39" w:rsidRPr="00251B88" w:rsidRDefault="00105E39" w:rsidP="00105E39">
      <w:pPr>
        <w:spacing w:after="0" w:line="240" w:lineRule="auto"/>
        <w:ind w:left="0" w:firstLine="0"/>
        <w:rPr>
          <w:color w:val="auto"/>
          <w:lang w:val="es-ES"/>
        </w:rPr>
      </w:pPr>
      <w:r w:rsidRPr="00251B88">
        <w:rPr>
          <w:color w:val="auto"/>
          <w:lang w:val="es-ES"/>
        </w:rPr>
        <w:t xml:space="preserve">MVASI 25 mg/ml </w:t>
      </w:r>
      <w:r>
        <w:rPr>
          <w:color w:val="auto"/>
          <w:lang w:val="es-ES"/>
        </w:rPr>
        <w:t>c</w:t>
      </w:r>
      <w:r w:rsidRPr="00251B88">
        <w:rPr>
          <w:color w:val="auto"/>
          <w:lang w:val="es-ES"/>
        </w:rPr>
        <w:t>oncentrado estéril</w:t>
      </w:r>
    </w:p>
    <w:p w14:paraId="3441D0AA" w14:textId="77777777" w:rsidR="00105E39" w:rsidRPr="00443040" w:rsidRDefault="00105E39" w:rsidP="00105E39">
      <w:pPr>
        <w:spacing w:after="0" w:line="240" w:lineRule="auto"/>
        <w:ind w:left="0" w:firstLine="0"/>
        <w:rPr>
          <w:color w:val="auto"/>
          <w:lang w:val="es-ES"/>
        </w:rPr>
      </w:pPr>
      <w:r>
        <w:rPr>
          <w:color w:val="auto"/>
          <w:lang w:val="es-ES"/>
        </w:rPr>
        <w:t>b</w:t>
      </w:r>
      <w:r w:rsidRPr="00443040">
        <w:rPr>
          <w:color w:val="auto"/>
          <w:lang w:val="es-ES"/>
        </w:rPr>
        <w:t>evacizumab</w:t>
      </w:r>
    </w:p>
    <w:p w14:paraId="5BEED50F" w14:textId="77777777" w:rsidR="00105E39" w:rsidRDefault="00105E39" w:rsidP="00105E39">
      <w:pPr>
        <w:tabs>
          <w:tab w:val="left" w:pos="567"/>
        </w:tabs>
        <w:spacing w:after="0" w:line="240" w:lineRule="auto"/>
        <w:ind w:left="0" w:firstLine="0"/>
        <w:rPr>
          <w:noProof/>
          <w:color w:val="auto"/>
          <w:highlight w:val="lightGray"/>
          <w:lang w:val="es-ES" w:eastAsia="en-US"/>
        </w:rPr>
      </w:pPr>
      <w:r>
        <w:rPr>
          <w:noProof/>
          <w:color w:val="auto"/>
          <w:highlight w:val="lightGray"/>
          <w:lang w:val="es-ES" w:eastAsia="en-US"/>
        </w:rPr>
        <w:t>IV</w:t>
      </w:r>
    </w:p>
    <w:p w14:paraId="74708F57" w14:textId="77777777" w:rsidR="00105E39" w:rsidRPr="00443040" w:rsidRDefault="00105E39" w:rsidP="00105E39">
      <w:pPr>
        <w:spacing w:after="0" w:line="240" w:lineRule="auto"/>
        <w:ind w:left="0" w:firstLine="0"/>
        <w:rPr>
          <w:color w:val="auto"/>
          <w:lang w:val="es-ES"/>
        </w:rPr>
      </w:pPr>
    </w:p>
    <w:p w14:paraId="1D37F637" w14:textId="77777777" w:rsidR="00105E39" w:rsidRPr="00443040" w:rsidRDefault="00105E39" w:rsidP="00105E39">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05E39" w:rsidRPr="00443040" w14:paraId="5DAE57E4" w14:textId="77777777" w:rsidTr="00C33F4C">
        <w:tc>
          <w:tcPr>
            <w:tcW w:w="9062" w:type="dxa"/>
          </w:tcPr>
          <w:p w14:paraId="06ED6E55" w14:textId="77777777" w:rsidR="00105E39" w:rsidRPr="00C33F4C" w:rsidRDefault="00105E39" w:rsidP="00C33F4C">
            <w:pPr>
              <w:keepNext/>
              <w:spacing w:after="0" w:line="240" w:lineRule="auto"/>
              <w:ind w:left="567" w:hanging="567"/>
              <w:rPr>
                <w:b/>
                <w:color w:val="auto"/>
                <w:lang w:val="es-ES"/>
              </w:rPr>
            </w:pPr>
            <w:r w:rsidRPr="00C33F4C">
              <w:rPr>
                <w:b/>
                <w:color w:val="auto"/>
                <w:lang w:val="es-ES"/>
              </w:rPr>
              <w:t>2.</w:t>
            </w:r>
            <w:r w:rsidRPr="00C33F4C">
              <w:rPr>
                <w:b/>
                <w:color w:val="auto"/>
                <w:lang w:val="es-ES"/>
              </w:rPr>
              <w:tab/>
              <w:t>FORMA DE ADMINISTRACIÓN</w:t>
            </w:r>
          </w:p>
        </w:tc>
      </w:tr>
    </w:tbl>
    <w:p w14:paraId="046EBBB2" w14:textId="77777777" w:rsidR="00105E39" w:rsidRPr="00443040" w:rsidRDefault="00105E39" w:rsidP="00105E39">
      <w:pPr>
        <w:keepNext/>
        <w:spacing w:after="0" w:line="240" w:lineRule="auto"/>
        <w:ind w:left="0" w:firstLine="0"/>
        <w:rPr>
          <w:color w:val="auto"/>
          <w:lang w:val="es-ES"/>
        </w:rPr>
      </w:pPr>
    </w:p>
    <w:p w14:paraId="0F04DC3F" w14:textId="29C12203" w:rsidR="00105E39" w:rsidRDefault="009E7F5B" w:rsidP="00105E39">
      <w:pPr>
        <w:spacing w:after="0" w:line="240" w:lineRule="auto"/>
        <w:ind w:left="0" w:firstLine="0"/>
        <w:rPr>
          <w:color w:val="auto"/>
          <w:lang w:val="es-ES"/>
        </w:rPr>
      </w:pPr>
      <w:r w:rsidRPr="009E7F5B">
        <w:rPr>
          <w:color w:val="auto"/>
          <w:lang w:val="es-ES"/>
        </w:rPr>
        <w:t>Vía intravenosa, previa dilución.</w:t>
      </w:r>
    </w:p>
    <w:p w14:paraId="714292B2" w14:textId="77777777" w:rsidR="009E7F5B" w:rsidRPr="00443040" w:rsidRDefault="009E7F5B" w:rsidP="00105E39">
      <w:pPr>
        <w:spacing w:after="0" w:line="240" w:lineRule="auto"/>
        <w:ind w:left="0" w:firstLine="0"/>
        <w:rPr>
          <w:color w:val="auto"/>
          <w:lang w:val="es-ES"/>
        </w:rPr>
      </w:pPr>
    </w:p>
    <w:p w14:paraId="48821DC6" w14:textId="77777777" w:rsidR="00105E39" w:rsidRPr="00443040" w:rsidRDefault="00105E39" w:rsidP="00105E39">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05E39" w:rsidRPr="00443040" w14:paraId="6BA71952" w14:textId="77777777" w:rsidTr="00C33F4C">
        <w:tc>
          <w:tcPr>
            <w:tcW w:w="9062" w:type="dxa"/>
          </w:tcPr>
          <w:p w14:paraId="42BD1A4F" w14:textId="77777777" w:rsidR="00105E39" w:rsidRPr="00C33F4C" w:rsidRDefault="00105E39" w:rsidP="00C33F4C">
            <w:pPr>
              <w:keepNext/>
              <w:spacing w:after="0" w:line="240" w:lineRule="auto"/>
              <w:ind w:left="567" w:hanging="567"/>
              <w:rPr>
                <w:b/>
                <w:color w:val="auto"/>
                <w:lang w:val="es-ES"/>
              </w:rPr>
            </w:pPr>
            <w:r w:rsidRPr="00C33F4C">
              <w:rPr>
                <w:b/>
                <w:color w:val="auto"/>
                <w:lang w:val="es-ES"/>
              </w:rPr>
              <w:t>3.</w:t>
            </w:r>
            <w:r w:rsidRPr="00C33F4C">
              <w:rPr>
                <w:b/>
                <w:color w:val="auto"/>
                <w:lang w:val="es-ES"/>
              </w:rPr>
              <w:tab/>
              <w:t>FECHA DE CADUCIDAD</w:t>
            </w:r>
          </w:p>
        </w:tc>
      </w:tr>
    </w:tbl>
    <w:p w14:paraId="048349B7" w14:textId="77777777" w:rsidR="00105E39" w:rsidRPr="00443040" w:rsidRDefault="00105E39" w:rsidP="00105E39">
      <w:pPr>
        <w:keepNext/>
        <w:spacing w:after="0" w:line="240" w:lineRule="auto"/>
        <w:ind w:left="0" w:firstLine="0"/>
        <w:rPr>
          <w:color w:val="auto"/>
          <w:lang w:val="es-ES"/>
        </w:rPr>
      </w:pPr>
    </w:p>
    <w:p w14:paraId="3BAFACC0" w14:textId="77777777" w:rsidR="00105E39" w:rsidRPr="00443040" w:rsidRDefault="00105E39" w:rsidP="00105E39">
      <w:pPr>
        <w:spacing w:after="0" w:line="240" w:lineRule="auto"/>
        <w:ind w:left="0" w:firstLine="0"/>
        <w:rPr>
          <w:color w:val="auto"/>
          <w:lang w:val="es-ES"/>
        </w:rPr>
      </w:pPr>
      <w:r w:rsidRPr="00443040">
        <w:rPr>
          <w:color w:val="auto"/>
          <w:lang w:val="es-ES"/>
        </w:rPr>
        <w:t>EXP</w:t>
      </w:r>
    </w:p>
    <w:p w14:paraId="5D830F39" w14:textId="77777777" w:rsidR="00105E39" w:rsidRPr="00443040" w:rsidRDefault="00105E39" w:rsidP="00105E39">
      <w:pPr>
        <w:spacing w:after="0" w:line="240" w:lineRule="auto"/>
        <w:ind w:left="0" w:firstLine="0"/>
        <w:rPr>
          <w:color w:val="auto"/>
          <w:lang w:val="es-ES"/>
        </w:rPr>
      </w:pPr>
    </w:p>
    <w:p w14:paraId="07EBF6DF" w14:textId="77777777" w:rsidR="00105E39" w:rsidRPr="00443040" w:rsidRDefault="00105E39" w:rsidP="00105E39">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05E39" w:rsidRPr="00443040" w14:paraId="48900C18" w14:textId="77777777" w:rsidTr="00C33F4C">
        <w:tc>
          <w:tcPr>
            <w:tcW w:w="9062" w:type="dxa"/>
          </w:tcPr>
          <w:p w14:paraId="026A717A" w14:textId="77777777" w:rsidR="00105E39" w:rsidRPr="00C33F4C" w:rsidRDefault="00105E39" w:rsidP="00C33F4C">
            <w:pPr>
              <w:keepNext/>
              <w:spacing w:after="0" w:line="240" w:lineRule="auto"/>
              <w:ind w:left="567" w:hanging="567"/>
              <w:rPr>
                <w:b/>
                <w:color w:val="auto"/>
                <w:lang w:val="es-ES"/>
              </w:rPr>
            </w:pPr>
            <w:r w:rsidRPr="00C33F4C">
              <w:rPr>
                <w:b/>
                <w:color w:val="auto"/>
                <w:lang w:val="es-ES"/>
              </w:rPr>
              <w:t>4.</w:t>
            </w:r>
            <w:r w:rsidRPr="00C33F4C">
              <w:rPr>
                <w:b/>
                <w:color w:val="auto"/>
                <w:lang w:val="es-ES"/>
              </w:rPr>
              <w:tab/>
              <w:t>NÚMERO DE LOTE</w:t>
            </w:r>
          </w:p>
        </w:tc>
      </w:tr>
    </w:tbl>
    <w:p w14:paraId="592CC618" w14:textId="77777777" w:rsidR="00105E39" w:rsidRPr="00443040" w:rsidRDefault="00105E39" w:rsidP="00105E39">
      <w:pPr>
        <w:keepNext/>
        <w:spacing w:after="0" w:line="240" w:lineRule="auto"/>
        <w:ind w:left="0" w:firstLine="0"/>
        <w:rPr>
          <w:color w:val="auto"/>
          <w:lang w:val="es-ES"/>
        </w:rPr>
      </w:pPr>
    </w:p>
    <w:p w14:paraId="25B85B3D" w14:textId="77777777" w:rsidR="00105E39" w:rsidRPr="00443040" w:rsidRDefault="00105E39" w:rsidP="00105E39">
      <w:pPr>
        <w:spacing w:after="0" w:line="240" w:lineRule="auto"/>
        <w:ind w:left="0" w:firstLine="0"/>
        <w:rPr>
          <w:color w:val="auto"/>
          <w:lang w:val="es-ES"/>
        </w:rPr>
      </w:pPr>
      <w:r w:rsidRPr="00443040">
        <w:rPr>
          <w:color w:val="auto"/>
          <w:lang w:val="es-ES"/>
        </w:rPr>
        <w:t>Lot</w:t>
      </w:r>
    </w:p>
    <w:p w14:paraId="2C9108CE" w14:textId="77777777" w:rsidR="00105E39" w:rsidRPr="00443040" w:rsidRDefault="00105E39" w:rsidP="00105E39">
      <w:pPr>
        <w:spacing w:after="0" w:line="240" w:lineRule="auto"/>
        <w:ind w:left="0" w:firstLine="0"/>
        <w:rPr>
          <w:color w:val="auto"/>
          <w:lang w:val="es-ES"/>
        </w:rPr>
      </w:pPr>
    </w:p>
    <w:p w14:paraId="530B91EA" w14:textId="77777777" w:rsidR="00105E39" w:rsidRPr="00443040" w:rsidRDefault="00105E39" w:rsidP="00105E39">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05E39" w:rsidRPr="00714463" w14:paraId="0578F140" w14:textId="77777777" w:rsidTr="00C33F4C">
        <w:tc>
          <w:tcPr>
            <w:tcW w:w="9062" w:type="dxa"/>
          </w:tcPr>
          <w:p w14:paraId="7DE997FE" w14:textId="77777777" w:rsidR="00105E39" w:rsidRPr="00C33F4C" w:rsidRDefault="00105E39" w:rsidP="00C33F4C">
            <w:pPr>
              <w:keepNext/>
              <w:spacing w:after="0" w:line="240" w:lineRule="auto"/>
              <w:ind w:left="567" w:hanging="567"/>
              <w:rPr>
                <w:b/>
                <w:color w:val="auto"/>
                <w:lang w:val="es-ES"/>
              </w:rPr>
            </w:pPr>
            <w:r w:rsidRPr="00C33F4C">
              <w:rPr>
                <w:b/>
                <w:color w:val="auto"/>
                <w:lang w:val="es-ES"/>
              </w:rPr>
              <w:t>5.</w:t>
            </w:r>
            <w:r w:rsidRPr="00C33F4C">
              <w:rPr>
                <w:b/>
                <w:color w:val="auto"/>
                <w:lang w:val="es-ES"/>
              </w:rPr>
              <w:tab/>
              <w:t>CONTENIDO EN PESO, EN VOLUMEN O EN UNIDADES</w:t>
            </w:r>
          </w:p>
        </w:tc>
      </w:tr>
    </w:tbl>
    <w:p w14:paraId="0BCBCF0A" w14:textId="77777777" w:rsidR="00105E39" w:rsidRPr="00443040" w:rsidRDefault="00105E39" w:rsidP="00105E39">
      <w:pPr>
        <w:keepNext/>
        <w:spacing w:after="0" w:line="240" w:lineRule="auto"/>
        <w:ind w:left="0" w:firstLine="0"/>
        <w:rPr>
          <w:color w:val="auto"/>
          <w:lang w:val="es-ES"/>
        </w:rPr>
      </w:pPr>
    </w:p>
    <w:p w14:paraId="24D25B3F" w14:textId="77777777" w:rsidR="00105E39" w:rsidRPr="00443040" w:rsidRDefault="00105E39" w:rsidP="00105E39">
      <w:pPr>
        <w:spacing w:after="0" w:line="240" w:lineRule="auto"/>
        <w:ind w:left="0" w:firstLine="0"/>
        <w:rPr>
          <w:color w:val="auto"/>
          <w:lang w:val="es-ES"/>
        </w:rPr>
      </w:pPr>
      <w:r w:rsidRPr="00443040">
        <w:rPr>
          <w:color w:val="auto"/>
          <w:lang w:val="es-ES"/>
        </w:rPr>
        <w:t>400 mg/16 ml</w:t>
      </w:r>
    </w:p>
    <w:p w14:paraId="35034499" w14:textId="77777777" w:rsidR="00105E39" w:rsidRPr="00443040" w:rsidRDefault="00105E39" w:rsidP="00105E39">
      <w:pPr>
        <w:spacing w:after="0" w:line="240" w:lineRule="auto"/>
        <w:ind w:left="0" w:firstLine="0"/>
        <w:rPr>
          <w:color w:val="auto"/>
          <w:lang w:val="es-ES"/>
        </w:rPr>
      </w:pPr>
    </w:p>
    <w:p w14:paraId="596B6AB6" w14:textId="77777777" w:rsidR="00105E39" w:rsidRPr="00443040" w:rsidRDefault="00105E39" w:rsidP="00105E39">
      <w:pPr>
        <w:spacing w:after="0" w:line="240" w:lineRule="auto"/>
        <w:ind w:left="0" w:firstLine="0"/>
        <w:rPr>
          <w:color w:val="auto"/>
          <w:lang w:val="es-E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05E39" w:rsidRPr="00443040" w14:paraId="0794F30E" w14:textId="77777777" w:rsidTr="00C33F4C">
        <w:tc>
          <w:tcPr>
            <w:tcW w:w="9062" w:type="dxa"/>
          </w:tcPr>
          <w:p w14:paraId="08E9ACC0" w14:textId="77777777" w:rsidR="00105E39" w:rsidRPr="00C33F4C" w:rsidRDefault="00105E39" w:rsidP="00C33F4C">
            <w:pPr>
              <w:keepNext/>
              <w:spacing w:after="0" w:line="240" w:lineRule="auto"/>
              <w:ind w:left="567" w:hanging="567"/>
              <w:rPr>
                <w:b/>
                <w:color w:val="auto"/>
                <w:lang w:val="es-ES"/>
              </w:rPr>
            </w:pPr>
            <w:r w:rsidRPr="00C33F4C">
              <w:rPr>
                <w:b/>
                <w:color w:val="auto"/>
                <w:lang w:val="es-ES"/>
              </w:rPr>
              <w:t>6.</w:t>
            </w:r>
            <w:r w:rsidRPr="00C33F4C">
              <w:rPr>
                <w:b/>
                <w:color w:val="auto"/>
                <w:lang w:val="es-ES"/>
              </w:rPr>
              <w:tab/>
              <w:t>OTROS</w:t>
            </w:r>
          </w:p>
        </w:tc>
      </w:tr>
    </w:tbl>
    <w:p w14:paraId="783D277D" w14:textId="77777777" w:rsidR="00105E39" w:rsidRPr="00443040" w:rsidRDefault="00105E39" w:rsidP="00105E39">
      <w:pPr>
        <w:keepNext/>
        <w:spacing w:after="0" w:line="240" w:lineRule="auto"/>
        <w:ind w:left="0" w:firstLine="0"/>
        <w:rPr>
          <w:color w:val="auto"/>
          <w:lang w:val="es-ES"/>
        </w:rPr>
      </w:pPr>
    </w:p>
    <w:p w14:paraId="5D20EA95" w14:textId="77777777" w:rsidR="00105E39" w:rsidRPr="00443040" w:rsidRDefault="00105E39" w:rsidP="00105E39">
      <w:pPr>
        <w:spacing w:after="0" w:line="240" w:lineRule="auto"/>
        <w:ind w:left="0" w:firstLine="0"/>
        <w:rPr>
          <w:color w:val="auto"/>
          <w:lang w:val="es-ES"/>
        </w:rPr>
      </w:pPr>
    </w:p>
    <w:p w14:paraId="10E6B94E" w14:textId="52D43FDA" w:rsidR="00FB24C0" w:rsidRPr="00443040" w:rsidRDefault="00105E39" w:rsidP="00105E39">
      <w:pPr>
        <w:spacing w:after="0" w:line="240" w:lineRule="auto"/>
        <w:ind w:left="0" w:firstLine="0"/>
        <w:jc w:val="center"/>
        <w:rPr>
          <w:color w:val="auto"/>
          <w:lang w:val="es-ES"/>
        </w:rPr>
      </w:pPr>
      <w:r w:rsidRPr="00443040">
        <w:rPr>
          <w:color w:val="auto"/>
          <w:lang w:val="es-ES"/>
        </w:rPr>
        <w:br w:type="page"/>
      </w:r>
    </w:p>
    <w:p w14:paraId="7E5F9327" w14:textId="77777777" w:rsidR="00FB24C0" w:rsidRPr="00443040" w:rsidRDefault="00FB24C0" w:rsidP="00FB24C0">
      <w:pPr>
        <w:spacing w:after="0" w:line="240" w:lineRule="auto"/>
        <w:ind w:left="0" w:firstLine="0"/>
        <w:jc w:val="center"/>
        <w:rPr>
          <w:color w:val="auto"/>
          <w:lang w:val="es-ES"/>
        </w:rPr>
      </w:pPr>
    </w:p>
    <w:p w14:paraId="339D2F00" w14:textId="77777777" w:rsidR="00FB24C0" w:rsidRPr="00443040" w:rsidRDefault="00FB24C0" w:rsidP="00FB24C0">
      <w:pPr>
        <w:spacing w:after="0" w:line="240" w:lineRule="auto"/>
        <w:ind w:left="0" w:firstLine="0"/>
        <w:jc w:val="center"/>
        <w:rPr>
          <w:color w:val="auto"/>
          <w:lang w:val="es-ES"/>
        </w:rPr>
      </w:pPr>
    </w:p>
    <w:p w14:paraId="3020DD8E" w14:textId="77777777" w:rsidR="00FB24C0" w:rsidRPr="00443040" w:rsidRDefault="00FB24C0" w:rsidP="00FB24C0">
      <w:pPr>
        <w:spacing w:after="0" w:line="240" w:lineRule="auto"/>
        <w:ind w:left="0" w:firstLine="0"/>
        <w:jc w:val="center"/>
        <w:rPr>
          <w:color w:val="auto"/>
          <w:lang w:val="es-ES"/>
        </w:rPr>
      </w:pPr>
    </w:p>
    <w:p w14:paraId="77E06028" w14:textId="77777777" w:rsidR="00FB24C0" w:rsidRPr="00443040" w:rsidRDefault="00FB24C0" w:rsidP="00FB24C0">
      <w:pPr>
        <w:spacing w:after="0" w:line="240" w:lineRule="auto"/>
        <w:ind w:left="0" w:firstLine="0"/>
        <w:jc w:val="center"/>
        <w:rPr>
          <w:color w:val="auto"/>
          <w:lang w:val="es-ES"/>
        </w:rPr>
      </w:pPr>
    </w:p>
    <w:p w14:paraId="75D5DAFC" w14:textId="77777777" w:rsidR="00FB24C0" w:rsidRPr="00443040" w:rsidRDefault="00FB24C0" w:rsidP="00FB24C0">
      <w:pPr>
        <w:spacing w:after="0" w:line="240" w:lineRule="auto"/>
        <w:ind w:left="0" w:firstLine="0"/>
        <w:jc w:val="center"/>
        <w:rPr>
          <w:color w:val="auto"/>
          <w:lang w:val="es-ES"/>
        </w:rPr>
      </w:pPr>
    </w:p>
    <w:p w14:paraId="283EEA83" w14:textId="77777777" w:rsidR="00FB24C0" w:rsidRPr="00443040" w:rsidRDefault="00FB24C0" w:rsidP="00FB24C0">
      <w:pPr>
        <w:spacing w:after="0" w:line="240" w:lineRule="auto"/>
        <w:ind w:left="0" w:firstLine="0"/>
        <w:jc w:val="center"/>
        <w:rPr>
          <w:color w:val="auto"/>
          <w:lang w:val="es-ES"/>
        </w:rPr>
      </w:pPr>
    </w:p>
    <w:p w14:paraId="10B76BE6" w14:textId="77777777" w:rsidR="00FB24C0" w:rsidRPr="00443040" w:rsidRDefault="00FB24C0" w:rsidP="00FB24C0">
      <w:pPr>
        <w:spacing w:after="0" w:line="240" w:lineRule="auto"/>
        <w:ind w:left="0" w:firstLine="0"/>
        <w:jc w:val="center"/>
        <w:rPr>
          <w:color w:val="auto"/>
          <w:lang w:val="es-ES"/>
        </w:rPr>
      </w:pPr>
    </w:p>
    <w:p w14:paraId="67B314E5" w14:textId="77777777" w:rsidR="00FB24C0" w:rsidRPr="00443040" w:rsidRDefault="00FB24C0" w:rsidP="00FB24C0">
      <w:pPr>
        <w:spacing w:after="0" w:line="240" w:lineRule="auto"/>
        <w:ind w:left="0" w:firstLine="0"/>
        <w:jc w:val="center"/>
        <w:rPr>
          <w:color w:val="auto"/>
          <w:lang w:val="es-ES"/>
        </w:rPr>
      </w:pPr>
    </w:p>
    <w:p w14:paraId="5C3573D3" w14:textId="77777777" w:rsidR="00FB24C0" w:rsidRPr="00443040" w:rsidRDefault="00FB24C0" w:rsidP="00FB24C0">
      <w:pPr>
        <w:spacing w:after="0" w:line="240" w:lineRule="auto"/>
        <w:ind w:left="0" w:firstLine="0"/>
        <w:jc w:val="center"/>
        <w:rPr>
          <w:color w:val="auto"/>
          <w:lang w:val="es-ES"/>
        </w:rPr>
      </w:pPr>
    </w:p>
    <w:p w14:paraId="09A94F4E" w14:textId="77777777" w:rsidR="00FB24C0" w:rsidRPr="00443040" w:rsidRDefault="00FB24C0" w:rsidP="00FB24C0">
      <w:pPr>
        <w:spacing w:after="0" w:line="240" w:lineRule="auto"/>
        <w:ind w:left="0" w:firstLine="0"/>
        <w:jc w:val="center"/>
        <w:rPr>
          <w:color w:val="auto"/>
          <w:lang w:val="es-ES"/>
        </w:rPr>
      </w:pPr>
    </w:p>
    <w:p w14:paraId="3F541B28" w14:textId="77777777" w:rsidR="00FB24C0" w:rsidRPr="00443040" w:rsidRDefault="00FB24C0" w:rsidP="00FB24C0">
      <w:pPr>
        <w:spacing w:after="0" w:line="240" w:lineRule="auto"/>
        <w:ind w:left="0" w:firstLine="0"/>
        <w:jc w:val="center"/>
        <w:rPr>
          <w:color w:val="auto"/>
          <w:lang w:val="es-ES"/>
        </w:rPr>
      </w:pPr>
    </w:p>
    <w:p w14:paraId="18A2B3BC" w14:textId="77777777" w:rsidR="00FB24C0" w:rsidRPr="00443040" w:rsidRDefault="00FB24C0" w:rsidP="00FB24C0">
      <w:pPr>
        <w:spacing w:after="0" w:line="240" w:lineRule="auto"/>
        <w:ind w:left="0" w:firstLine="0"/>
        <w:jc w:val="center"/>
        <w:rPr>
          <w:color w:val="auto"/>
          <w:lang w:val="es-ES"/>
        </w:rPr>
      </w:pPr>
    </w:p>
    <w:p w14:paraId="34D603D9" w14:textId="77777777" w:rsidR="00FB24C0" w:rsidRPr="00443040" w:rsidRDefault="00FB24C0" w:rsidP="00FB24C0">
      <w:pPr>
        <w:spacing w:after="0" w:line="240" w:lineRule="auto"/>
        <w:ind w:left="0" w:firstLine="0"/>
        <w:jc w:val="center"/>
        <w:rPr>
          <w:color w:val="auto"/>
          <w:lang w:val="es-ES"/>
        </w:rPr>
      </w:pPr>
    </w:p>
    <w:p w14:paraId="115E596D" w14:textId="77777777" w:rsidR="00FB24C0" w:rsidRPr="00443040" w:rsidRDefault="00FB24C0" w:rsidP="00FB24C0">
      <w:pPr>
        <w:spacing w:after="0" w:line="240" w:lineRule="auto"/>
        <w:ind w:left="0" w:firstLine="0"/>
        <w:jc w:val="center"/>
        <w:rPr>
          <w:color w:val="auto"/>
          <w:lang w:val="es-ES"/>
        </w:rPr>
      </w:pPr>
    </w:p>
    <w:p w14:paraId="6B9969E9" w14:textId="77777777" w:rsidR="00FB24C0" w:rsidRPr="00443040" w:rsidRDefault="00FB24C0" w:rsidP="00FB24C0">
      <w:pPr>
        <w:spacing w:after="0" w:line="240" w:lineRule="auto"/>
        <w:ind w:left="0" w:firstLine="0"/>
        <w:jc w:val="center"/>
        <w:rPr>
          <w:color w:val="auto"/>
          <w:lang w:val="es-ES"/>
        </w:rPr>
      </w:pPr>
    </w:p>
    <w:p w14:paraId="7780FC23" w14:textId="77777777" w:rsidR="00FB24C0" w:rsidRPr="00443040" w:rsidRDefault="00FB24C0" w:rsidP="00FB24C0">
      <w:pPr>
        <w:spacing w:after="0" w:line="240" w:lineRule="auto"/>
        <w:ind w:left="0" w:firstLine="0"/>
        <w:jc w:val="center"/>
        <w:rPr>
          <w:color w:val="auto"/>
          <w:lang w:val="es-ES"/>
        </w:rPr>
      </w:pPr>
    </w:p>
    <w:p w14:paraId="2A55CB85" w14:textId="77777777" w:rsidR="00FB24C0" w:rsidRPr="00443040" w:rsidRDefault="00FB24C0" w:rsidP="00FB24C0">
      <w:pPr>
        <w:spacing w:after="0" w:line="240" w:lineRule="auto"/>
        <w:ind w:left="0" w:firstLine="0"/>
        <w:jc w:val="center"/>
        <w:rPr>
          <w:color w:val="auto"/>
          <w:lang w:val="es-ES"/>
        </w:rPr>
      </w:pPr>
    </w:p>
    <w:p w14:paraId="386D6A16" w14:textId="77777777" w:rsidR="00FB24C0" w:rsidRPr="00443040" w:rsidRDefault="00FB24C0" w:rsidP="00FB24C0">
      <w:pPr>
        <w:spacing w:after="0" w:line="240" w:lineRule="auto"/>
        <w:ind w:left="0" w:firstLine="0"/>
        <w:jc w:val="center"/>
        <w:rPr>
          <w:color w:val="auto"/>
          <w:lang w:val="es-ES"/>
        </w:rPr>
      </w:pPr>
    </w:p>
    <w:p w14:paraId="588B8D61" w14:textId="77777777" w:rsidR="00FB24C0" w:rsidRPr="00443040" w:rsidRDefault="00FB24C0" w:rsidP="00FB24C0">
      <w:pPr>
        <w:spacing w:after="0" w:line="240" w:lineRule="auto"/>
        <w:ind w:left="0" w:firstLine="0"/>
        <w:jc w:val="center"/>
        <w:rPr>
          <w:color w:val="auto"/>
          <w:lang w:val="es-ES"/>
        </w:rPr>
      </w:pPr>
    </w:p>
    <w:p w14:paraId="7CBBB5B3" w14:textId="77777777" w:rsidR="00FB24C0" w:rsidRDefault="00FB24C0" w:rsidP="00FB24C0">
      <w:pPr>
        <w:spacing w:after="0" w:line="240" w:lineRule="auto"/>
        <w:ind w:left="0" w:firstLine="0"/>
        <w:jc w:val="center"/>
        <w:rPr>
          <w:color w:val="auto"/>
          <w:lang w:val="es-ES"/>
        </w:rPr>
      </w:pPr>
    </w:p>
    <w:p w14:paraId="705A532E" w14:textId="5F959494" w:rsidR="00312DC1" w:rsidRDefault="00312DC1" w:rsidP="00FB24C0">
      <w:pPr>
        <w:spacing w:after="0" w:line="240" w:lineRule="auto"/>
        <w:ind w:left="0" w:firstLine="0"/>
        <w:jc w:val="center"/>
        <w:rPr>
          <w:color w:val="auto"/>
          <w:lang w:val="es-ES"/>
        </w:rPr>
      </w:pPr>
    </w:p>
    <w:p w14:paraId="0871C95C" w14:textId="77777777" w:rsidR="00EF0812" w:rsidRPr="00443040" w:rsidRDefault="00EF0812" w:rsidP="00FB24C0">
      <w:pPr>
        <w:spacing w:after="0" w:line="240" w:lineRule="auto"/>
        <w:ind w:left="0" w:firstLine="0"/>
        <w:jc w:val="center"/>
        <w:rPr>
          <w:color w:val="auto"/>
          <w:lang w:val="es-ES"/>
        </w:rPr>
      </w:pPr>
    </w:p>
    <w:p w14:paraId="54360D56" w14:textId="77777777" w:rsidR="00FB24C0" w:rsidRPr="00443040" w:rsidRDefault="00FB24C0" w:rsidP="00FB24C0">
      <w:pPr>
        <w:pStyle w:val="TitleA"/>
        <w:rPr>
          <w:color w:val="auto"/>
        </w:rPr>
      </w:pPr>
      <w:r w:rsidRPr="00443040">
        <w:rPr>
          <w:color w:val="auto"/>
        </w:rPr>
        <w:t>B. PROSPECTO</w:t>
      </w:r>
    </w:p>
    <w:p w14:paraId="38AA7F60" w14:textId="77777777" w:rsidR="00FB24C0" w:rsidRPr="00443040" w:rsidRDefault="00FB24C0" w:rsidP="00FB24C0">
      <w:pPr>
        <w:spacing w:after="0" w:line="259" w:lineRule="auto"/>
        <w:ind w:right="3736" w:hanging="10"/>
        <w:jc w:val="right"/>
        <w:rPr>
          <w:color w:val="auto"/>
          <w:lang w:val="es-ES"/>
        </w:rPr>
      </w:pPr>
      <w:r w:rsidRPr="00443040">
        <w:rPr>
          <w:color w:val="auto"/>
          <w:lang w:val="es-ES"/>
        </w:rPr>
        <w:br w:type="page"/>
      </w:r>
    </w:p>
    <w:p w14:paraId="7FE54543" w14:textId="3454FD12" w:rsidR="00FB24C0" w:rsidRPr="00443040" w:rsidRDefault="00FB24C0" w:rsidP="00682ECE">
      <w:pPr>
        <w:spacing w:after="0" w:line="240" w:lineRule="auto"/>
        <w:ind w:left="0" w:firstLine="0"/>
        <w:jc w:val="center"/>
        <w:rPr>
          <w:b/>
          <w:color w:val="auto"/>
          <w:lang w:val="es-ES"/>
        </w:rPr>
      </w:pPr>
      <w:r w:rsidRPr="00443040">
        <w:rPr>
          <w:b/>
          <w:color w:val="auto"/>
          <w:lang w:val="es-ES"/>
        </w:rPr>
        <w:t xml:space="preserve">Prospecto: </w:t>
      </w:r>
      <w:r w:rsidR="00970D29">
        <w:rPr>
          <w:b/>
          <w:color w:val="auto"/>
          <w:lang w:val="es-ES"/>
        </w:rPr>
        <w:t>i</w:t>
      </w:r>
      <w:r w:rsidRPr="00443040">
        <w:rPr>
          <w:b/>
          <w:color w:val="auto"/>
          <w:lang w:val="es-ES"/>
        </w:rPr>
        <w:t>nformación para el paciente</w:t>
      </w:r>
    </w:p>
    <w:p w14:paraId="199F0ECF" w14:textId="77777777" w:rsidR="00FB24C0" w:rsidRPr="00443040" w:rsidRDefault="00FB24C0" w:rsidP="00682ECE">
      <w:pPr>
        <w:spacing w:after="0" w:line="240" w:lineRule="auto"/>
        <w:ind w:left="0" w:firstLine="0"/>
        <w:jc w:val="center"/>
        <w:rPr>
          <w:color w:val="auto"/>
          <w:lang w:val="es-ES"/>
        </w:rPr>
      </w:pPr>
    </w:p>
    <w:p w14:paraId="0607CB3B" w14:textId="77777777" w:rsidR="00FB24C0" w:rsidRPr="00312DC1" w:rsidRDefault="00AA71D6" w:rsidP="00312DC1">
      <w:pPr>
        <w:spacing w:after="0" w:line="240" w:lineRule="auto"/>
        <w:ind w:left="0" w:firstLine="0"/>
        <w:jc w:val="center"/>
        <w:rPr>
          <w:b/>
          <w:color w:val="auto"/>
          <w:lang w:val="es-ES"/>
        </w:rPr>
      </w:pPr>
      <w:r>
        <w:rPr>
          <w:b/>
          <w:noProof/>
          <w:lang w:val="es-ES"/>
        </w:rPr>
        <w:t>MVASI</w:t>
      </w:r>
      <w:r w:rsidR="00FB24C0" w:rsidRPr="00312DC1">
        <w:rPr>
          <w:b/>
          <w:color w:val="auto"/>
          <w:lang w:val="es-ES"/>
        </w:rPr>
        <w:t xml:space="preserve"> 25 mg/ml concentrado para solución para perfusión</w:t>
      </w:r>
    </w:p>
    <w:p w14:paraId="740C5A77" w14:textId="77777777" w:rsidR="00FB24C0" w:rsidRDefault="00D13A66" w:rsidP="00682ECE">
      <w:pPr>
        <w:spacing w:after="0" w:line="240" w:lineRule="auto"/>
        <w:ind w:left="0" w:firstLine="0"/>
        <w:jc w:val="center"/>
        <w:rPr>
          <w:color w:val="auto"/>
          <w:lang w:val="es-ES"/>
        </w:rPr>
      </w:pPr>
      <w:r>
        <w:rPr>
          <w:color w:val="auto"/>
          <w:lang w:val="es-ES"/>
        </w:rPr>
        <w:t>b</w:t>
      </w:r>
      <w:r w:rsidRPr="00443040">
        <w:rPr>
          <w:color w:val="auto"/>
          <w:lang w:val="es-ES"/>
        </w:rPr>
        <w:t>evacizumab</w:t>
      </w:r>
    </w:p>
    <w:p w14:paraId="18F784BD" w14:textId="77777777" w:rsidR="00D13A66" w:rsidRDefault="00D13A66" w:rsidP="00682ECE">
      <w:pPr>
        <w:spacing w:after="0" w:line="240" w:lineRule="auto"/>
        <w:ind w:left="0" w:firstLine="0"/>
        <w:jc w:val="center"/>
        <w:rPr>
          <w:color w:val="auto"/>
          <w:lang w:val="es-ES"/>
        </w:rPr>
      </w:pPr>
    </w:p>
    <w:p w14:paraId="00D9BB5D" w14:textId="01E9BD85" w:rsidR="00FB24C0" w:rsidRPr="00443040" w:rsidRDefault="00FB24C0" w:rsidP="007A6FF7">
      <w:pPr>
        <w:keepNext/>
        <w:spacing w:after="0" w:line="240" w:lineRule="auto"/>
        <w:ind w:left="0" w:firstLine="0"/>
        <w:rPr>
          <w:color w:val="auto"/>
          <w:lang w:val="es-ES"/>
        </w:rPr>
      </w:pPr>
      <w:r w:rsidRPr="00443040">
        <w:rPr>
          <w:b/>
          <w:color w:val="auto"/>
          <w:lang w:val="es-ES"/>
        </w:rPr>
        <w:t>Lea todo el prospecto detenidamente antes de empezar a usar este medicamento</w:t>
      </w:r>
      <w:r w:rsidR="00970D29">
        <w:rPr>
          <w:b/>
          <w:color w:val="auto"/>
          <w:lang w:val="es-ES"/>
        </w:rPr>
        <w:t>,</w:t>
      </w:r>
      <w:r w:rsidRPr="00443040">
        <w:rPr>
          <w:b/>
          <w:color w:val="auto"/>
          <w:lang w:val="es-ES"/>
        </w:rPr>
        <w:t xml:space="preserve"> porque contiene información importante para usted.</w:t>
      </w:r>
    </w:p>
    <w:p w14:paraId="3BF5903D" w14:textId="77777777" w:rsidR="00FB24C0" w:rsidRPr="00443040" w:rsidRDefault="00FB24C0" w:rsidP="00D1096C">
      <w:pPr>
        <w:keepNext/>
        <w:numPr>
          <w:ilvl w:val="0"/>
          <w:numId w:val="48"/>
        </w:numPr>
        <w:spacing w:after="0" w:line="240" w:lineRule="auto"/>
        <w:ind w:hanging="567"/>
        <w:rPr>
          <w:color w:val="auto"/>
          <w:lang w:val="es-ES"/>
        </w:rPr>
      </w:pPr>
      <w:r w:rsidRPr="00443040">
        <w:rPr>
          <w:color w:val="auto"/>
          <w:lang w:val="es-ES"/>
        </w:rPr>
        <w:t>Conserve este prospecto, ya que puede tener que volver a leerlo.</w:t>
      </w:r>
    </w:p>
    <w:p w14:paraId="56AB4981" w14:textId="77777777" w:rsidR="00FB24C0" w:rsidRPr="00443040" w:rsidRDefault="00FB24C0" w:rsidP="00D1096C">
      <w:pPr>
        <w:keepNext/>
        <w:numPr>
          <w:ilvl w:val="0"/>
          <w:numId w:val="48"/>
        </w:numPr>
        <w:spacing w:after="0" w:line="240" w:lineRule="auto"/>
        <w:ind w:hanging="567"/>
        <w:rPr>
          <w:color w:val="auto"/>
          <w:lang w:val="es-ES"/>
        </w:rPr>
      </w:pPr>
      <w:r w:rsidRPr="00443040">
        <w:rPr>
          <w:color w:val="auto"/>
          <w:lang w:val="es-ES"/>
        </w:rPr>
        <w:t>Si tiene alguna duda, consulte a su médico, farmacéutico o enfermero.</w:t>
      </w:r>
    </w:p>
    <w:p w14:paraId="042FBAE6" w14:textId="77777777" w:rsidR="00FB24C0" w:rsidRPr="00443040" w:rsidRDefault="00FB24C0" w:rsidP="00D1096C">
      <w:pPr>
        <w:numPr>
          <w:ilvl w:val="0"/>
          <w:numId w:val="48"/>
        </w:numPr>
        <w:spacing w:after="0" w:line="240" w:lineRule="auto"/>
        <w:ind w:hanging="567"/>
        <w:rPr>
          <w:b/>
          <w:color w:val="auto"/>
          <w:lang w:val="es-ES"/>
        </w:rPr>
      </w:pPr>
      <w:r w:rsidRPr="00443040">
        <w:rPr>
          <w:color w:val="auto"/>
          <w:lang w:val="es-ES"/>
        </w:rPr>
        <w:t>Si experimenta efectos adversos, consulte a su médico, farmacéutico o enfermero, incluso si se trata de efectos adversos que no aparecen en este prospecto. Ver sección 4.</w:t>
      </w:r>
    </w:p>
    <w:p w14:paraId="3621C5A6" w14:textId="77777777" w:rsidR="00FB24C0" w:rsidRPr="00443040" w:rsidRDefault="00FB24C0" w:rsidP="00FB24C0">
      <w:pPr>
        <w:spacing w:after="0" w:line="240" w:lineRule="auto"/>
        <w:ind w:left="0" w:firstLine="0"/>
        <w:rPr>
          <w:color w:val="auto"/>
          <w:lang w:val="es-ES"/>
        </w:rPr>
      </w:pPr>
    </w:p>
    <w:p w14:paraId="48A83EB5" w14:textId="77777777" w:rsidR="00FB24C0" w:rsidRPr="00443040" w:rsidRDefault="007A6FF7" w:rsidP="00FB24C0">
      <w:pPr>
        <w:spacing w:after="0" w:line="240" w:lineRule="auto"/>
        <w:ind w:left="0" w:firstLine="0"/>
        <w:rPr>
          <w:b/>
          <w:color w:val="auto"/>
          <w:lang w:val="es-ES"/>
        </w:rPr>
      </w:pPr>
      <w:r>
        <w:rPr>
          <w:b/>
          <w:color w:val="auto"/>
          <w:lang w:val="es-ES"/>
        </w:rPr>
        <w:t>Contenido del prospecto</w:t>
      </w:r>
    </w:p>
    <w:p w14:paraId="797A7194" w14:textId="77777777" w:rsidR="00FB24C0" w:rsidRPr="00443040" w:rsidRDefault="00FB24C0" w:rsidP="00FB24C0">
      <w:pPr>
        <w:spacing w:after="0" w:line="240" w:lineRule="auto"/>
        <w:ind w:left="0" w:firstLine="0"/>
        <w:rPr>
          <w:color w:val="auto"/>
          <w:lang w:val="es-ES"/>
        </w:rPr>
      </w:pPr>
    </w:p>
    <w:p w14:paraId="69643413" w14:textId="77777777" w:rsidR="00FB24C0" w:rsidRPr="00443040" w:rsidRDefault="00FB24C0" w:rsidP="00FB24C0">
      <w:pPr>
        <w:spacing w:after="0" w:line="240" w:lineRule="auto"/>
        <w:ind w:left="567" w:hanging="567"/>
        <w:rPr>
          <w:color w:val="auto"/>
          <w:lang w:val="es-ES"/>
        </w:rPr>
      </w:pPr>
      <w:r w:rsidRPr="00443040">
        <w:rPr>
          <w:color w:val="auto"/>
          <w:lang w:val="es-ES"/>
        </w:rPr>
        <w:t>1.</w:t>
      </w:r>
      <w:r w:rsidRPr="00443040">
        <w:rPr>
          <w:color w:val="auto"/>
          <w:lang w:val="es-ES"/>
        </w:rPr>
        <w:tab/>
        <w:t xml:space="preserve">Qué es </w:t>
      </w:r>
      <w:r w:rsidR="00AA71D6">
        <w:rPr>
          <w:color w:val="auto"/>
          <w:lang w:val="es-ES"/>
        </w:rPr>
        <w:t>MVASI</w:t>
      </w:r>
      <w:r w:rsidRPr="00443040">
        <w:rPr>
          <w:color w:val="auto"/>
          <w:lang w:val="es-ES"/>
        </w:rPr>
        <w:t xml:space="preserve"> y para qué se utiliza</w:t>
      </w:r>
    </w:p>
    <w:p w14:paraId="442E99BD" w14:textId="77777777" w:rsidR="00FB24C0" w:rsidRPr="00443040" w:rsidRDefault="00FB24C0" w:rsidP="00FB24C0">
      <w:pPr>
        <w:spacing w:after="0" w:line="240" w:lineRule="auto"/>
        <w:ind w:left="567" w:hanging="567"/>
        <w:rPr>
          <w:color w:val="auto"/>
          <w:lang w:val="es-ES"/>
        </w:rPr>
      </w:pPr>
      <w:r w:rsidRPr="00443040">
        <w:rPr>
          <w:color w:val="auto"/>
          <w:lang w:val="es-ES"/>
        </w:rPr>
        <w:t>2.</w:t>
      </w:r>
      <w:r w:rsidRPr="00443040">
        <w:rPr>
          <w:color w:val="auto"/>
          <w:lang w:val="es-ES"/>
        </w:rPr>
        <w:tab/>
        <w:t xml:space="preserve">Qué necesita saber antes de empezar a usar </w:t>
      </w:r>
      <w:r w:rsidR="00AA71D6">
        <w:rPr>
          <w:color w:val="auto"/>
          <w:lang w:val="es-ES"/>
        </w:rPr>
        <w:t>MVASI</w:t>
      </w:r>
    </w:p>
    <w:p w14:paraId="4ACCC386" w14:textId="77777777" w:rsidR="00FB24C0" w:rsidRPr="00443040" w:rsidRDefault="00FB24C0" w:rsidP="00FB24C0">
      <w:pPr>
        <w:spacing w:after="0" w:line="240" w:lineRule="auto"/>
        <w:ind w:left="567" w:hanging="567"/>
        <w:rPr>
          <w:color w:val="auto"/>
          <w:lang w:val="es-ES"/>
        </w:rPr>
      </w:pPr>
      <w:r w:rsidRPr="00443040">
        <w:rPr>
          <w:color w:val="auto"/>
          <w:lang w:val="es-ES"/>
        </w:rPr>
        <w:t>3.</w:t>
      </w:r>
      <w:r w:rsidRPr="00443040">
        <w:rPr>
          <w:color w:val="auto"/>
          <w:lang w:val="es-ES"/>
        </w:rPr>
        <w:tab/>
        <w:t xml:space="preserve">Cómo usar </w:t>
      </w:r>
      <w:r w:rsidR="00AA71D6">
        <w:rPr>
          <w:color w:val="auto"/>
          <w:lang w:val="es-ES"/>
        </w:rPr>
        <w:t>MVASI</w:t>
      </w:r>
    </w:p>
    <w:p w14:paraId="2C75B9AE" w14:textId="77777777" w:rsidR="00FB24C0" w:rsidRPr="00443040" w:rsidRDefault="00FB24C0" w:rsidP="00FB24C0">
      <w:pPr>
        <w:spacing w:after="0" w:line="240" w:lineRule="auto"/>
        <w:ind w:left="567" w:hanging="567"/>
        <w:rPr>
          <w:color w:val="auto"/>
          <w:lang w:val="es-ES"/>
        </w:rPr>
      </w:pPr>
      <w:r w:rsidRPr="00443040">
        <w:rPr>
          <w:color w:val="auto"/>
          <w:lang w:val="es-ES"/>
        </w:rPr>
        <w:t>4.</w:t>
      </w:r>
      <w:r w:rsidRPr="00443040">
        <w:rPr>
          <w:color w:val="auto"/>
          <w:lang w:val="es-ES"/>
        </w:rPr>
        <w:tab/>
        <w:t>Posibles efectos adversos</w:t>
      </w:r>
    </w:p>
    <w:p w14:paraId="3B61256C" w14:textId="77777777" w:rsidR="00FB24C0" w:rsidRPr="00443040" w:rsidRDefault="00FB24C0" w:rsidP="00FB24C0">
      <w:pPr>
        <w:spacing w:after="0" w:line="240" w:lineRule="auto"/>
        <w:ind w:left="567" w:hanging="567"/>
        <w:rPr>
          <w:color w:val="auto"/>
          <w:lang w:val="es-ES"/>
        </w:rPr>
      </w:pPr>
      <w:r w:rsidRPr="00443040">
        <w:rPr>
          <w:color w:val="auto"/>
          <w:lang w:val="es-ES"/>
        </w:rPr>
        <w:t>5.</w:t>
      </w:r>
      <w:r w:rsidRPr="00443040">
        <w:rPr>
          <w:color w:val="auto"/>
          <w:lang w:val="es-ES"/>
        </w:rPr>
        <w:tab/>
        <w:t xml:space="preserve">Conservación de </w:t>
      </w:r>
      <w:r w:rsidR="00AA71D6">
        <w:rPr>
          <w:color w:val="auto"/>
          <w:lang w:val="es-ES"/>
        </w:rPr>
        <w:t>MVASI</w:t>
      </w:r>
    </w:p>
    <w:p w14:paraId="18E57894" w14:textId="77777777" w:rsidR="00FB24C0" w:rsidRPr="00443040" w:rsidRDefault="00FB24C0" w:rsidP="00FB24C0">
      <w:pPr>
        <w:spacing w:after="0" w:line="240" w:lineRule="auto"/>
        <w:ind w:left="567" w:hanging="567"/>
        <w:rPr>
          <w:color w:val="auto"/>
          <w:lang w:val="es-ES"/>
        </w:rPr>
      </w:pPr>
      <w:r w:rsidRPr="00443040">
        <w:rPr>
          <w:color w:val="auto"/>
          <w:lang w:val="es-ES"/>
        </w:rPr>
        <w:t>6.</w:t>
      </w:r>
      <w:r w:rsidRPr="00443040">
        <w:rPr>
          <w:color w:val="auto"/>
          <w:lang w:val="es-ES"/>
        </w:rPr>
        <w:tab/>
        <w:t>Contenido del envase e información adicional</w:t>
      </w:r>
    </w:p>
    <w:p w14:paraId="364F7F29" w14:textId="77777777" w:rsidR="00FB24C0" w:rsidRPr="00443040" w:rsidRDefault="00FB24C0" w:rsidP="00FB24C0">
      <w:pPr>
        <w:spacing w:after="0" w:line="240" w:lineRule="auto"/>
        <w:ind w:left="0" w:firstLine="0"/>
        <w:rPr>
          <w:color w:val="auto"/>
          <w:lang w:val="es-ES"/>
        </w:rPr>
      </w:pPr>
    </w:p>
    <w:p w14:paraId="22CE26FB" w14:textId="77777777" w:rsidR="00FB24C0" w:rsidRPr="00443040" w:rsidRDefault="00FB24C0" w:rsidP="00FB24C0">
      <w:pPr>
        <w:spacing w:after="0" w:line="240" w:lineRule="auto"/>
        <w:ind w:left="0" w:firstLine="0"/>
        <w:rPr>
          <w:color w:val="auto"/>
          <w:lang w:val="es-ES"/>
        </w:rPr>
      </w:pPr>
    </w:p>
    <w:p w14:paraId="59BA31EA" w14:textId="77777777" w:rsidR="00FB24C0" w:rsidRPr="00682ECE" w:rsidRDefault="00FB24C0" w:rsidP="00682ECE">
      <w:pPr>
        <w:keepNext/>
        <w:spacing w:after="0" w:line="240" w:lineRule="auto"/>
        <w:ind w:left="567" w:hanging="567"/>
        <w:rPr>
          <w:b/>
          <w:color w:val="auto"/>
          <w:lang w:val="es-ES"/>
        </w:rPr>
      </w:pPr>
      <w:r w:rsidRPr="00682ECE">
        <w:rPr>
          <w:b/>
          <w:color w:val="auto"/>
          <w:lang w:val="es-ES"/>
        </w:rPr>
        <w:t>1.</w:t>
      </w:r>
      <w:r w:rsidRPr="00682ECE">
        <w:rPr>
          <w:b/>
          <w:color w:val="auto"/>
          <w:lang w:val="es-ES"/>
        </w:rPr>
        <w:tab/>
        <w:t xml:space="preserve">Qué es </w:t>
      </w:r>
      <w:r w:rsidR="00AA71D6">
        <w:rPr>
          <w:b/>
          <w:color w:val="auto"/>
          <w:lang w:val="es-ES"/>
        </w:rPr>
        <w:t>MVASI</w:t>
      </w:r>
      <w:r w:rsidRPr="00682ECE">
        <w:rPr>
          <w:b/>
          <w:color w:val="auto"/>
          <w:lang w:val="es-ES"/>
        </w:rPr>
        <w:t xml:space="preserve"> y para qué se utiliza</w:t>
      </w:r>
    </w:p>
    <w:p w14:paraId="5719C9D4" w14:textId="77777777" w:rsidR="00FB24C0" w:rsidRPr="00443040" w:rsidRDefault="00FB24C0" w:rsidP="00682ECE">
      <w:pPr>
        <w:keepNext/>
        <w:spacing w:after="0" w:line="240" w:lineRule="auto"/>
        <w:ind w:left="0" w:firstLine="0"/>
        <w:rPr>
          <w:color w:val="auto"/>
          <w:lang w:val="es-ES"/>
        </w:rPr>
      </w:pPr>
    </w:p>
    <w:p w14:paraId="1360B278" w14:textId="77777777" w:rsidR="00FB24C0" w:rsidRPr="00443040" w:rsidRDefault="00FB24C0" w:rsidP="00FB24C0">
      <w:pPr>
        <w:spacing w:after="0" w:line="240" w:lineRule="auto"/>
        <w:ind w:left="0" w:firstLine="0"/>
        <w:rPr>
          <w:color w:val="auto"/>
          <w:lang w:val="es-ES"/>
        </w:rPr>
      </w:pPr>
      <w:r w:rsidRPr="00443040">
        <w:rPr>
          <w:color w:val="auto"/>
          <w:lang w:val="es-ES"/>
        </w:rPr>
        <w:t xml:space="preserve">El principio activo de </w:t>
      </w:r>
      <w:r w:rsidR="00AA71D6">
        <w:rPr>
          <w:color w:val="auto"/>
          <w:lang w:val="es-ES"/>
        </w:rPr>
        <w:t>MVASI</w:t>
      </w:r>
      <w:r w:rsidRPr="00443040">
        <w:rPr>
          <w:color w:val="auto"/>
          <w:lang w:val="es-ES"/>
        </w:rPr>
        <w:t xml:space="preserve"> es bevacizumab, un anticuerpo monoclonal humanizado (un tipo de proteína que normalmente es producida por el sistema inmune para ayudar al organismo a defenderse de infecciones y cáncer). </w:t>
      </w:r>
      <w:r w:rsidR="00D13A66">
        <w:rPr>
          <w:color w:val="auto"/>
          <w:lang w:val="es-ES"/>
        </w:rPr>
        <w:t>B</w:t>
      </w:r>
      <w:r w:rsidRPr="00443040">
        <w:rPr>
          <w:color w:val="auto"/>
          <w:lang w:val="es-ES"/>
        </w:rPr>
        <w:t>evacizumab se une de forma selectiva a una proteína que se llama factor de crecimiento del endotelio vascular (VEGF, siglas en inglés), que se localiza en las paredes de los vasos sanguíneos y linfáticos del organismo. La proteína VEGF provoca que los vasos sanguíneos crezcan dentro del tumor, que lo suplen con nutrientes y oxígeno. Cuando el bevacizumab se une al VEGF previene el crecimiento del tumor al bloquear el crecimiento de los vasos sanguíneos, los cuales aportan los nutrientes y oxígeno necesarios para el tumor.</w:t>
      </w:r>
    </w:p>
    <w:p w14:paraId="7FAB6102" w14:textId="77777777" w:rsidR="00FB24C0" w:rsidRPr="00443040" w:rsidRDefault="00FB24C0" w:rsidP="00FB24C0">
      <w:pPr>
        <w:spacing w:after="0" w:line="240" w:lineRule="auto"/>
        <w:ind w:left="0" w:firstLine="0"/>
        <w:rPr>
          <w:color w:val="auto"/>
          <w:lang w:val="es-ES"/>
        </w:rPr>
      </w:pPr>
    </w:p>
    <w:p w14:paraId="6CB58B80" w14:textId="77777777" w:rsidR="00FB24C0" w:rsidRPr="00443040" w:rsidRDefault="00AA71D6" w:rsidP="00FB24C0">
      <w:pPr>
        <w:spacing w:after="0" w:line="240" w:lineRule="auto"/>
        <w:ind w:left="0" w:firstLine="0"/>
        <w:rPr>
          <w:color w:val="auto"/>
          <w:lang w:val="es-ES"/>
        </w:rPr>
      </w:pPr>
      <w:r>
        <w:rPr>
          <w:color w:val="auto"/>
          <w:lang w:val="es-ES"/>
        </w:rPr>
        <w:t>MVASI</w:t>
      </w:r>
      <w:r w:rsidR="00FB24C0" w:rsidRPr="00443040">
        <w:rPr>
          <w:color w:val="auto"/>
          <w:lang w:val="es-ES"/>
        </w:rPr>
        <w:t xml:space="preserve"> es un medicamento que se utiliza para el tratamiento de pacientes adultos con cáncer de colon o recto avanzado. </w:t>
      </w:r>
      <w:r>
        <w:rPr>
          <w:color w:val="auto"/>
          <w:lang w:val="es-ES"/>
        </w:rPr>
        <w:t>MVASI</w:t>
      </w:r>
      <w:r w:rsidR="00FB24C0" w:rsidRPr="00443040">
        <w:rPr>
          <w:color w:val="auto"/>
          <w:lang w:val="es-ES"/>
        </w:rPr>
        <w:t xml:space="preserve"> se administrará en combinación con un tratamiento de quimioterapia que contenga un medicamento </w:t>
      </w:r>
      <w:proofErr w:type="spellStart"/>
      <w:r w:rsidR="00FB24C0" w:rsidRPr="00443040">
        <w:rPr>
          <w:color w:val="auto"/>
          <w:lang w:val="es-ES"/>
        </w:rPr>
        <w:t>fluoropirimidínico</w:t>
      </w:r>
      <w:proofErr w:type="spellEnd"/>
      <w:r w:rsidR="00FB24C0" w:rsidRPr="00443040">
        <w:rPr>
          <w:color w:val="auto"/>
          <w:lang w:val="es-ES"/>
        </w:rPr>
        <w:t>.</w:t>
      </w:r>
    </w:p>
    <w:p w14:paraId="0BB59E6C" w14:textId="77777777" w:rsidR="00FB24C0" w:rsidRPr="00443040" w:rsidRDefault="00FB24C0" w:rsidP="00FB24C0">
      <w:pPr>
        <w:spacing w:after="0" w:line="240" w:lineRule="auto"/>
        <w:ind w:left="0" w:firstLine="0"/>
        <w:rPr>
          <w:color w:val="auto"/>
          <w:lang w:val="es-ES"/>
        </w:rPr>
      </w:pPr>
    </w:p>
    <w:p w14:paraId="518B3E85" w14:textId="3906037D" w:rsidR="00FB24C0" w:rsidRPr="00443040" w:rsidRDefault="00AA71D6" w:rsidP="00FB24C0">
      <w:pPr>
        <w:spacing w:after="0" w:line="240" w:lineRule="auto"/>
        <w:ind w:left="0" w:firstLine="0"/>
        <w:rPr>
          <w:color w:val="auto"/>
          <w:lang w:val="es-ES"/>
        </w:rPr>
      </w:pPr>
      <w:r>
        <w:rPr>
          <w:color w:val="auto"/>
          <w:lang w:val="es-ES"/>
        </w:rPr>
        <w:t>MVASI</w:t>
      </w:r>
      <w:r w:rsidR="00FB24C0" w:rsidRPr="00443040">
        <w:rPr>
          <w:color w:val="auto"/>
          <w:lang w:val="es-ES"/>
        </w:rPr>
        <w:t xml:space="preserve"> se utiliza también para el tratamiento de pacientes adultos con cáncer de mama metastásico. Cuando se utilice en pacientes con cáncer de mama, se administrará con un medicamento quimioterápico llamado </w:t>
      </w:r>
      <w:proofErr w:type="spellStart"/>
      <w:r w:rsidR="00FB24C0" w:rsidRPr="00443040">
        <w:rPr>
          <w:color w:val="auto"/>
          <w:lang w:val="es-ES"/>
        </w:rPr>
        <w:t>paclitaxel</w:t>
      </w:r>
      <w:proofErr w:type="spellEnd"/>
      <w:r w:rsidR="0071031C">
        <w:rPr>
          <w:color w:val="auto"/>
          <w:lang w:val="es-ES"/>
        </w:rPr>
        <w:t xml:space="preserve"> o </w:t>
      </w:r>
      <w:proofErr w:type="spellStart"/>
      <w:r w:rsidR="0071031C">
        <w:rPr>
          <w:color w:val="auto"/>
          <w:lang w:val="es-ES"/>
        </w:rPr>
        <w:t>capecitabina</w:t>
      </w:r>
      <w:proofErr w:type="spellEnd"/>
      <w:r w:rsidR="00FB24C0" w:rsidRPr="00443040">
        <w:rPr>
          <w:color w:val="auto"/>
          <w:lang w:val="es-ES"/>
        </w:rPr>
        <w:t>.</w:t>
      </w:r>
    </w:p>
    <w:p w14:paraId="65EA5160" w14:textId="77777777" w:rsidR="00FB24C0" w:rsidRPr="00443040" w:rsidRDefault="00FB24C0" w:rsidP="00FB24C0">
      <w:pPr>
        <w:spacing w:after="0" w:line="240" w:lineRule="auto"/>
        <w:ind w:left="0" w:firstLine="0"/>
        <w:rPr>
          <w:color w:val="auto"/>
          <w:lang w:val="es-ES"/>
        </w:rPr>
      </w:pPr>
    </w:p>
    <w:p w14:paraId="6940C0A4" w14:textId="77777777" w:rsidR="00FB24C0" w:rsidRDefault="00AA71D6" w:rsidP="00FB24C0">
      <w:pPr>
        <w:spacing w:after="0" w:line="240" w:lineRule="auto"/>
        <w:ind w:left="0" w:firstLine="0"/>
        <w:rPr>
          <w:color w:val="auto"/>
          <w:lang w:val="es-ES"/>
        </w:rPr>
      </w:pPr>
      <w:r>
        <w:rPr>
          <w:color w:val="auto"/>
          <w:lang w:val="es-ES"/>
        </w:rPr>
        <w:t>MVASI</w:t>
      </w:r>
      <w:r w:rsidR="00FB24C0" w:rsidRPr="00443040">
        <w:rPr>
          <w:color w:val="auto"/>
          <w:lang w:val="es-ES"/>
        </w:rPr>
        <w:t xml:space="preserve"> se utiliza también para el tratamiento de pacientes adultos con cáncer de pulmón no microcítico avanzado. </w:t>
      </w:r>
      <w:r>
        <w:rPr>
          <w:color w:val="auto"/>
          <w:lang w:val="es-ES"/>
        </w:rPr>
        <w:t>MVASI</w:t>
      </w:r>
      <w:r w:rsidR="00FB24C0" w:rsidRPr="00443040">
        <w:rPr>
          <w:color w:val="auto"/>
          <w:lang w:val="es-ES"/>
        </w:rPr>
        <w:t xml:space="preserve"> se administrará junto con un régimen de quimioterapia con platino.</w:t>
      </w:r>
    </w:p>
    <w:p w14:paraId="5DEB2B95" w14:textId="77777777" w:rsidR="0071031C" w:rsidRDefault="0071031C" w:rsidP="00FB24C0">
      <w:pPr>
        <w:spacing w:after="0" w:line="240" w:lineRule="auto"/>
        <w:ind w:left="0" w:firstLine="0"/>
        <w:rPr>
          <w:color w:val="auto"/>
          <w:lang w:val="es-ES"/>
        </w:rPr>
      </w:pPr>
    </w:p>
    <w:p w14:paraId="756C5C85" w14:textId="1CA2CFB2" w:rsidR="0071031C" w:rsidRPr="0071031C" w:rsidRDefault="0071031C" w:rsidP="00FB24C0">
      <w:pPr>
        <w:spacing w:after="0" w:line="240" w:lineRule="auto"/>
        <w:ind w:left="0" w:firstLine="0"/>
        <w:rPr>
          <w:color w:val="auto"/>
          <w:lang w:val="es-ES"/>
        </w:rPr>
      </w:pPr>
      <w:r>
        <w:rPr>
          <w:lang w:val="es-ES"/>
        </w:rPr>
        <w:t>MVASI</w:t>
      </w:r>
      <w:r w:rsidRPr="005F3B14">
        <w:rPr>
          <w:lang w:val="es-ES"/>
        </w:rPr>
        <w:t xml:space="preserve"> se utiliza también para el tratamiento de pacientes adultos con cáncer de pulmón no microcítico avanzado cuando las células cancerosas tienen mutaciones específicas en una proteína llamada receptor del factor de crecimiento epidérmico (EGFR). </w:t>
      </w:r>
      <w:r>
        <w:rPr>
          <w:lang w:val="es-ES"/>
        </w:rPr>
        <w:t>MVASI</w:t>
      </w:r>
      <w:r w:rsidRPr="005F3B14">
        <w:rPr>
          <w:lang w:val="es-ES"/>
        </w:rPr>
        <w:t xml:space="preserve"> se administrará en combinación con </w:t>
      </w:r>
      <w:proofErr w:type="spellStart"/>
      <w:r w:rsidRPr="005F3B14">
        <w:rPr>
          <w:lang w:val="es-ES"/>
        </w:rPr>
        <w:t>erlotinib</w:t>
      </w:r>
      <w:proofErr w:type="spellEnd"/>
      <w:r w:rsidRPr="005F3B14">
        <w:rPr>
          <w:lang w:val="es-ES"/>
        </w:rPr>
        <w:t>.</w:t>
      </w:r>
    </w:p>
    <w:p w14:paraId="5014624C" w14:textId="77777777" w:rsidR="00FB24C0" w:rsidRPr="00443040" w:rsidRDefault="00FB24C0" w:rsidP="00FB24C0">
      <w:pPr>
        <w:spacing w:after="0" w:line="240" w:lineRule="auto"/>
        <w:ind w:left="0" w:firstLine="0"/>
        <w:rPr>
          <w:color w:val="auto"/>
          <w:lang w:val="es-ES"/>
        </w:rPr>
      </w:pPr>
    </w:p>
    <w:p w14:paraId="390BCCE2" w14:textId="77777777" w:rsidR="00FB24C0" w:rsidRPr="00443040" w:rsidRDefault="00AA71D6" w:rsidP="00FB24C0">
      <w:pPr>
        <w:spacing w:after="0" w:line="240" w:lineRule="auto"/>
        <w:ind w:left="0" w:firstLine="0"/>
        <w:rPr>
          <w:color w:val="auto"/>
          <w:lang w:val="es-ES"/>
        </w:rPr>
      </w:pPr>
      <w:r>
        <w:rPr>
          <w:color w:val="auto"/>
          <w:lang w:val="es-ES"/>
        </w:rPr>
        <w:t>MVASI</w:t>
      </w:r>
      <w:r w:rsidR="00FB24C0" w:rsidRPr="00443040">
        <w:rPr>
          <w:color w:val="auto"/>
          <w:lang w:val="es-ES"/>
        </w:rPr>
        <w:t xml:space="preserve"> se utiliza también para el tratamiento de pacientes adultos con cáncer renal avanzado. Cuando se utilice en pacientes con cáncer renal, se administrará con otro tipo de medicamento llamado interferón.</w:t>
      </w:r>
    </w:p>
    <w:p w14:paraId="14BFDAB0" w14:textId="77777777" w:rsidR="00FB24C0" w:rsidRPr="00443040" w:rsidRDefault="00FB24C0" w:rsidP="00FB24C0">
      <w:pPr>
        <w:spacing w:after="0" w:line="240" w:lineRule="auto"/>
        <w:ind w:left="0" w:firstLine="0"/>
        <w:rPr>
          <w:color w:val="auto"/>
          <w:lang w:val="es-ES"/>
        </w:rPr>
      </w:pPr>
    </w:p>
    <w:p w14:paraId="1F354A96" w14:textId="77777777" w:rsidR="00FB24C0" w:rsidRDefault="00AA71D6" w:rsidP="00FB24C0">
      <w:pPr>
        <w:spacing w:after="0" w:line="240" w:lineRule="auto"/>
        <w:ind w:left="0" w:firstLine="0"/>
        <w:rPr>
          <w:color w:val="auto"/>
          <w:lang w:val="es-ES"/>
        </w:rPr>
      </w:pPr>
      <w:r>
        <w:rPr>
          <w:color w:val="auto"/>
          <w:lang w:val="es-ES"/>
        </w:rPr>
        <w:t>MVASI</w:t>
      </w:r>
      <w:r w:rsidR="00FB24C0" w:rsidRPr="00443040">
        <w:rPr>
          <w:color w:val="auto"/>
          <w:lang w:val="es-ES"/>
        </w:rPr>
        <w:t xml:space="preserve"> se utiliza también para el tratamiento de pacientes adultos con cáncer avanzado de ovario epitelial, trompa de Falopio, o peritoneal primario. Cuando se utilice en pacientes con cáncer de ovario </w:t>
      </w:r>
      <w:r w:rsidR="00FB24C0" w:rsidRPr="00443040">
        <w:rPr>
          <w:color w:val="auto"/>
          <w:lang w:val="es-ES"/>
        </w:rPr>
        <w:lastRenderedPageBreak/>
        <w:t xml:space="preserve">epitelial, trompa de Falopio, o peritoneal primario, se administrará en combinación con carboplatino y </w:t>
      </w:r>
      <w:proofErr w:type="spellStart"/>
      <w:r w:rsidR="00FB24C0" w:rsidRPr="00443040">
        <w:rPr>
          <w:color w:val="auto"/>
          <w:lang w:val="es-ES"/>
        </w:rPr>
        <w:t>paclitaxel</w:t>
      </w:r>
      <w:proofErr w:type="spellEnd"/>
      <w:r w:rsidR="00FB24C0" w:rsidRPr="00443040">
        <w:rPr>
          <w:color w:val="auto"/>
          <w:lang w:val="es-ES"/>
        </w:rPr>
        <w:t>.</w:t>
      </w:r>
    </w:p>
    <w:p w14:paraId="5A7B1C41" w14:textId="77777777" w:rsidR="00B621FA" w:rsidRPr="00443040" w:rsidRDefault="00B621FA" w:rsidP="00FB24C0">
      <w:pPr>
        <w:spacing w:after="0" w:line="240" w:lineRule="auto"/>
        <w:ind w:left="0" w:firstLine="0"/>
        <w:rPr>
          <w:color w:val="auto"/>
          <w:lang w:val="es-ES"/>
        </w:rPr>
      </w:pPr>
    </w:p>
    <w:p w14:paraId="3FF7D98E" w14:textId="77777777" w:rsidR="00FB24C0" w:rsidRPr="00443040" w:rsidRDefault="00FB24C0" w:rsidP="00FB24C0">
      <w:pPr>
        <w:spacing w:after="0" w:line="240" w:lineRule="auto"/>
        <w:ind w:left="0" w:firstLine="0"/>
        <w:rPr>
          <w:color w:val="auto"/>
          <w:lang w:val="es-ES"/>
        </w:rPr>
      </w:pPr>
      <w:r w:rsidRPr="00443040">
        <w:rPr>
          <w:color w:val="auto"/>
          <w:lang w:val="es-ES"/>
        </w:rPr>
        <w:t xml:space="preserve">Cuando se utiliza en aquellos pacientes adultos con cáncer avanzado de ovario epitelial, trompa de Falopio o peritoneal primario que tengan una recaída de su enfermedad de al menos 6 meses después desde la última vez en que fueron tratados con un régimen de quimioterapia con platino, </w:t>
      </w:r>
      <w:r w:rsidR="00AA71D6">
        <w:rPr>
          <w:color w:val="auto"/>
          <w:lang w:val="es-ES"/>
        </w:rPr>
        <w:t>MVASI</w:t>
      </w:r>
      <w:r w:rsidRPr="00443040">
        <w:rPr>
          <w:color w:val="auto"/>
          <w:lang w:val="es-ES"/>
        </w:rPr>
        <w:t xml:space="preserve"> se administrará en combinación con carboplatino y </w:t>
      </w:r>
      <w:proofErr w:type="spellStart"/>
      <w:r w:rsidRPr="00443040">
        <w:rPr>
          <w:color w:val="auto"/>
          <w:lang w:val="es-ES"/>
        </w:rPr>
        <w:t>gemcitabina</w:t>
      </w:r>
      <w:proofErr w:type="spellEnd"/>
      <w:r w:rsidRPr="00443040">
        <w:rPr>
          <w:color w:val="auto"/>
          <w:lang w:val="es-ES"/>
        </w:rPr>
        <w:t xml:space="preserve"> o con carboplatino y </w:t>
      </w:r>
      <w:proofErr w:type="spellStart"/>
      <w:r w:rsidRPr="00443040">
        <w:rPr>
          <w:color w:val="auto"/>
          <w:lang w:val="es-ES"/>
        </w:rPr>
        <w:t>paclitaxel</w:t>
      </w:r>
      <w:proofErr w:type="spellEnd"/>
      <w:r w:rsidRPr="00443040">
        <w:rPr>
          <w:color w:val="auto"/>
          <w:lang w:val="es-ES"/>
        </w:rPr>
        <w:t>.</w:t>
      </w:r>
    </w:p>
    <w:p w14:paraId="226204AA" w14:textId="77777777" w:rsidR="00FB24C0" w:rsidRPr="00443040" w:rsidRDefault="00FB24C0" w:rsidP="00FB24C0">
      <w:pPr>
        <w:spacing w:after="0" w:line="240" w:lineRule="auto"/>
        <w:ind w:left="0" w:firstLine="0"/>
        <w:rPr>
          <w:color w:val="auto"/>
          <w:lang w:val="es-ES"/>
        </w:rPr>
      </w:pPr>
    </w:p>
    <w:p w14:paraId="2559ACB3" w14:textId="4F825A77" w:rsidR="00FB24C0" w:rsidRPr="00443040" w:rsidRDefault="00FB24C0" w:rsidP="00FB24C0">
      <w:pPr>
        <w:spacing w:after="0" w:line="240" w:lineRule="auto"/>
        <w:ind w:left="0" w:firstLine="0"/>
        <w:rPr>
          <w:color w:val="auto"/>
          <w:lang w:val="es-ES"/>
        </w:rPr>
      </w:pPr>
      <w:r w:rsidRPr="00443040">
        <w:rPr>
          <w:color w:val="auto"/>
          <w:lang w:val="es-ES"/>
        </w:rPr>
        <w:t xml:space="preserve">Cuando se utiliza en aquellos pacientes adultos con cáncer avanzado de ovario epitelial, trompa de Falopio, o peritoneal primario que tengan una recaída de su enfermedad de al menos 6 meses después desde la última vez en que fueron tratados con un régimen de quimioterapia con platino, </w:t>
      </w:r>
      <w:r w:rsidR="00AA71D6">
        <w:rPr>
          <w:color w:val="auto"/>
          <w:lang w:val="es-ES"/>
        </w:rPr>
        <w:t>MVASI</w:t>
      </w:r>
      <w:r w:rsidRPr="00443040">
        <w:rPr>
          <w:color w:val="auto"/>
          <w:lang w:val="es-ES"/>
        </w:rPr>
        <w:t xml:space="preserve"> se administrará en combinación con </w:t>
      </w:r>
      <w:proofErr w:type="spellStart"/>
      <w:r w:rsidR="00D03D1C">
        <w:rPr>
          <w:color w:val="auto"/>
          <w:lang w:val="es-ES"/>
        </w:rPr>
        <w:t>paclitaxel</w:t>
      </w:r>
      <w:proofErr w:type="spellEnd"/>
      <w:r w:rsidR="00D03D1C">
        <w:rPr>
          <w:color w:val="auto"/>
          <w:lang w:val="es-ES"/>
        </w:rPr>
        <w:t xml:space="preserve">, </w:t>
      </w:r>
      <w:proofErr w:type="spellStart"/>
      <w:r w:rsidRPr="00443040">
        <w:rPr>
          <w:color w:val="auto"/>
          <w:lang w:val="es-ES"/>
        </w:rPr>
        <w:t>topotecán</w:t>
      </w:r>
      <w:proofErr w:type="spellEnd"/>
      <w:r w:rsidR="001408E2">
        <w:rPr>
          <w:color w:val="auto"/>
          <w:lang w:val="es-ES"/>
        </w:rPr>
        <w:t>,</w:t>
      </w:r>
      <w:r w:rsidR="00B74F9B">
        <w:rPr>
          <w:color w:val="auto"/>
          <w:lang w:val="es-ES"/>
        </w:rPr>
        <w:t xml:space="preserve"> </w:t>
      </w:r>
      <w:r w:rsidRPr="00443040">
        <w:rPr>
          <w:color w:val="auto"/>
          <w:lang w:val="es-ES"/>
        </w:rPr>
        <w:t xml:space="preserve">o doxorrubicina </w:t>
      </w:r>
      <w:proofErr w:type="spellStart"/>
      <w:r w:rsidRPr="00443040">
        <w:rPr>
          <w:color w:val="auto"/>
          <w:lang w:val="es-ES"/>
        </w:rPr>
        <w:t>liposomal</w:t>
      </w:r>
      <w:proofErr w:type="spellEnd"/>
      <w:r w:rsidRPr="00443040">
        <w:rPr>
          <w:color w:val="auto"/>
          <w:lang w:val="es-ES"/>
        </w:rPr>
        <w:t xml:space="preserve"> </w:t>
      </w:r>
      <w:proofErr w:type="spellStart"/>
      <w:r w:rsidRPr="00443040">
        <w:rPr>
          <w:color w:val="auto"/>
          <w:lang w:val="es-ES"/>
        </w:rPr>
        <w:t>pegilada</w:t>
      </w:r>
      <w:proofErr w:type="spellEnd"/>
      <w:r w:rsidRPr="00443040">
        <w:rPr>
          <w:color w:val="auto"/>
          <w:lang w:val="es-ES"/>
        </w:rPr>
        <w:t>.</w:t>
      </w:r>
    </w:p>
    <w:p w14:paraId="7C4318AE" w14:textId="77777777" w:rsidR="00FB24C0" w:rsidRPr="00443040" w:rsidRDefault="00FB24C0" w:rsidP="00FB24C0">
      <w:pPr>
        <w:spacing w:after="0" w:line="240" w:lineRule="auto"/>
        <w:ind w:left="0" w:firstLine="0"/>
        <w:rPr>
          <w:color w:val="auto"/>
          <w:lang w:val="es-ES"/>
        </w:rPr>
      </w:pPr>
    </w:p>
    <w:p w14:paraId="3516BA41" w14:textId="77777777" w:rsidR="00FB24C0" w:rsidRPr="00443040" w:rsidRDefault="00AA71D6" w:rsidP="00FB24C0">
      <w:pPr>
        <w:spacing w:after="0" w:line="240" w:lineRule="auto"/>
        <w:ind w:left="0" w:firstLine="0"/>
        <w:rPr>
          <w:color w:val="auto"/>
          <w:lang w:val="es-ES"/>
        </w:rPr>
      </w:pPr>
      <w:r>
        <w:rPr>
          <w:color w:val="auto"/>
          <w:lang w:val="es-ES"/>
        </w:rPr>
        <w:t>MVASI</w:t>
      </w:r>
      <w:r w:rsidR="00FB24C0" w:rsidRPr="00443040">
        <w:rPr>
          <w:color w:val="auto"/>
          <w:lang w:val="es-ES"/>
        </w:rPr>
        <w:t xml:space="preserve"> se utiliza también para el tratamiento de pacientes adultos con cáncer de cérvix persistente, recurrente o metastásico. </w:t>
      </w:r>
      <w:r>
        <w:rPr>
          <w:color w:val="auto"/>
          <w:lang w:val="es-ES"/>
        </w:rPr>
        <w:t>MVASI</w:t>
      </w:r>
      <w:r w:rsidR="00FB24C0" w:rsidRPr="00443040">
        <w:rPr>
          <w:color w:val="auto"/>
          <w:lang w:val="es-ES"/>
        </w:rPr>
        <w:t xml:space="preserve"> se administrará en combinación con </w:t>
      </w:r>
      <w:proofErr w:type="spellStart"/>
      <w:r w:rsidR="00FB24C0" w:rsidRPr="00443040">
        <w:rPr>
          <w:color w:val="auto"/>
          <w:lang w:val="es-ES"/>
        </w:rPr>
        <w:t>paclitaxel</w:t>
      </w:r>
      <w:proofErr w:type="spellEnd"/>
      <w:r w:rsidR="00FB24C0" w:rsidRPr="00443040">
        <w:rPr>
          <w:color w:val="auto"/>
          <w:lang w:val="es-ES"/>
        </w:rPr>
        <w:t xml:space="preserve"> y cisplatino o, alternativamente, </w:t>
      </w:r>
      <w:proofErr w:type="spellStart"/>
      <w:r w:rsidR="00FB24C0" w:rsidRPr="00443040">
        <w:rPr>
          <w:color w:val="auto"/>
          <w:lang w:val="es-ES"/>
        </w:rPr>
        <w:t>paclitaxel</w:t>
      </w:r>
      <w:proofErr w:type="spellEnd"/>
      <w:r w:rsidR="00FB24C0" w:rsidRPr="00443040">
        <w:rPr>
          <w:color w:val="auto"/>
          <w:lang w:val="es-ES"/>
        </w:rPr>
        <w:t xml:space="preserve"> y </w:t>
      </w:r>
      <w:proofErr w:type="spellStart"/>
      <w:r w:rsidR="00FB24C0" w:rsidRPr="00443040">
        <w:rPr>
          <w:color w:val="auto"/>
          <w:lang w:val="es-ES"/>
        </w:rPr>
        <w:t>topotecán</w:t>
      </w:r>
      <w:proofErr w:type="spellEnd"/>
      <w:r w:rsidR="00FB24C0" w:rsidRPr="00443040">
        <w:rPr>
          <w:color w:val="auto"/>
          <w:lang w:val="es-ES"/>
        </w:rPr>
        <w:t xml:space="preserve"> en pacientes que no puedan recibir terapia con platino.</w:t>
      </w:r>
    </w:p>
    <w:p w14:paraId="43F430F2" w14:textId="77777777" w:rsidR="00FB24C0" w:rsidRPr="00443040" w:rsidRDefault="00FB24C0" w:rsidP="00FB24C0">
      <w:pPr>
        <w:spacing w:after="0" w:line="240" w:lineRule="auto"/>
        <w:ind w:left="0" w:firstLine="0"/>
        <w:rPr>
          <w:color w:val="auto"/>
          <w:lang w:val="es-ES"/>
        </w:rPr>
      </w:pPr>
    </w:p>
    <w:p w14:paraId="0A068BE2" w14:textId="77777777" w:rsidR="00FB24C0" w:rsidRPr="00443040" w:rsidRDefault="00FB24C0" w:rsidP="00FB24C0">
      <w:pPr>
        <w:spacing w:after="0" w:line="240" w:lineRule="auto"/>
        <w:ind w:left="0" w:firstLine="0"/>
        <w:rPr>
          <w:color w:val="auto"/>
          <w:lang w:val="es-ES"/>
        </w:rPr>
      </w:pPr>
    </w:p>
    <w:p w14:paraId="38311A05" w14:textId="77777777" w:rsidR="00FB24C0" w:rsidRPr="00443040" w:rsidRDefault="00FB24C0" w:rsidP="00115001">
      <w:pPr>
        <w:keepNext/>
        <w:spacing w:after="0" w:line="240" w:lineRule="auto"/>
        <w:ind w:left="567" w:hanging="567"/>
        <w:rPr>
          <w:color w:val="auto"/>
          <w:lang w:val="es-ES"/>
        </w:rPr>
      </w:pPr>
      <w:r w:rsidRPr="00443040">
        <w:rPr>
          <w:b/>
          <w:color w:val="auto"/>
          <w:lang w:val="es-ES"/>
        </w:rPr>
        <w:t>2.</w:t>
      </w:r>
      <w:r w:rsidRPr="00443040">
        <w:rPr>
          <w:b/>
          <w:color w:val="auto"/>
          <w:lang w:val="es-ES"/>
        </w:rPr>
        <w:tab/>
        <w:t xml:space="preserve">Qué necesita saber antes de empezar a usar </w:t>
      </w:r>
      <w:r w:rsidR="00AA71D6">
        <w:rPr>
          <w:b/>
          <w:color w:val="auto"/>
          <w:lang w:val="es-ES"/>
        </w:rPr>
        <w:t>MVASI</w:t>
      </w:r>
    </w:p>
    <w:p w14:paraId="3DB86405" w14:textId="77777777" w:rsidR="00B621FA" w:rsidRPr="00443040" w:rsidRDefault="00B621FA" w:rsidP="00B621FA">
      <w:pPr>
        <w:keepNext/>
        <w:spacing w:after="0" w:line="240" w:lineRule="auto"/>
        <w:ind w:left="0" w:firstLine="0"/>
        <w:rPr>
          <w:color w:val="auto"/>
          <w:lang w:val="es-ES"/>
        </w:rPr>
      </w:pPr>
    </w:p>
    <w:p w14:paraId="65E1EC4E" w14:textId="53ADCE43" w:rsidR="00FB24C0" w:rsidRDefault="00FB24C0" w:rsidP="00682ECE">
      <w:pPr>
        <w:keepNext/>
        <w:spacing w:after="0" w:line="240" w:lineRule="auto"/>
        <w:ind w:left="0" w:firstLine="0"/>
        <w:rPr>
          <w:b/>
          <w:color w:val="auto"/>
          <w:lang w:val="es-ES"/>
        </w:rPr>
      </w:pPr>
      <w:r w:rsidRPr="00443040">
        <w:rPr>
          <w:b/>
          <w:color w:val="auto"/>
          <w:lang w:val="es-ES"/>
        </w:rPr>
        <w:t xml:space="preserve">No use </w:t>
      </w:r>
      <w:r w:rsidR="00AA71D6">
        <w:rPr>
          <w:b/>
          <w:color w:val="auto"/>
          <w:lang w:val="es-ES"/>
        </w:rPr>
        <w:t>MVASI</w:t>
      </w:r>
    </w:p>
    <w:p w14:paraId="27335A08" w14:textId="77777777" w:rsidR="00682ECE" w:rsidRPr="00682ECE" w:rsidRDefault="00682ECE" w:rsidP="00682ECE">
      <w:pPr>
        <w:keepNext/>
        <w:spacing w:after="0" w:line="240" w:lineRule="auto"/>
        <w:ind w:left="0" w:firstLine="0"/>
        <w:rPr>
          <w:color w:val="auto"/>
          <w:lang w:val="es-ES"/>
        </w:rPr>
      </w:pPr>
    </w:p>
    <w:p w14:paraId="7811BBBF" w14:textId="3B7D6292" w:rsidR="00FB24C0" w:rsidRPr="00D1096C" w:rsidRDefault="00FB24C0" w:rsidP="00B515AD">
      <w:pPr>
        <w:numPr>
          <w:ilvl w:val="0"/>
          <w:numId w:val="13"/>
        </w:numPr>
        <w:spacing w:after="0" w:line="240" w:lineRule="auto"/>
        <w:ind w:left="567" w:hanging="567"/>
        <w:rPr>
          <w:color w:val="auto"/>
          <w:lang w:val="es-ES"/>
        </w:rPr>
      </w:pPr>
      <w:proofErr w:type="spellStart"/>
      <w:r w:rsidRPr="00D1096C">
        <w:rPr>
          <w:color w:val="auto"/>
          <w:lang w:val="es-ES"/>
        </w:rPr>
        <w:t>si</w:t>
      </w:r>
      <w:proofErr w:type="spellEnd"/>
      <w:r w:rsidRPr="00D1096C">
        <w:rPr>
          <w:color w:val="auto"/>
          <w:lang w:val="es-ES"/>
        </w:rPr>
        <w:t xml:space="preserve"> es alérgico </w:t>
      </w:r>
      <w:r w:rsidRPr="0010377D">
        <w:rPr>
          <w:color w:val="auto"/>
          <w:lang w:val="es-ES"/>
        </w:rPr>
        <w:t>(hipersensible)</w:t>
      </w:r>
      <w:r w:rsidRPr="00D1096C">
        <w:rPr>
          <w:color w:val="auto"/>
          <w:lang w:val="es-ES"/>
        </w:rPr>
        <w:t xml:space="preserve"> a bevacizumab o a </w:t>
      </w:r>
      <w:r w:rsidR="00970D29">
        <w:rPr>
          <w:color w:val="auto"/>
          <w:lang w:val="es-ES"/>
        </w:rPr>
        <w:t>alguno</w:t>
      </w:r>
      <w:r w:rsidR="00970D29" w:rsidRPr="00D1096C">
        <w:rPr>
          <w:color w:val="auto"/>
          <w:lang w:val="es-ES"/>
        </w:rPr>
        <w:t xml:space="preserve"> </w:t>
      </w:r>
      <w:r w:rsidRPr="00D1096C">
        <w:rPr>
          <w:color w:val="auto"/>
          <w:lang w:val="es-ES"/>
        </w:rPr>
        <w:t>de los demás componentes de este medicamento (incluidos en la sección 6).</w:t>
      </w:r>
    </w:p>
    <w:p w14:paraId="5B5C7C3B" w14:textId="713786BB" w:rsidR="00FB24C0" w:rsidRPr="00D1096C" w:rsidRDefault="00FB24C0" w:rsidP="002B6EAC">
      <w:pPr>
        <w:numPr>
          <w:ilvl w:val="0"/>
          <w:numId w:val="13"/>
        </w:numPr>
        <w:spacing w:after="0" w:line="240" w:lineRule="auto"/>
        <w:ind w:left="567" w:hanging="567"/>
        <w:rPr>
          <w:color w:val="auto"/>
          <w:lang w:val="es-ES"/>
        </w:rPr>
      </w:pPr>
      <w:proofErr w:type="spellStart"/>
      <w:r w:rsidRPr="00D1096C">
        <w:rPr>
          <w:color w:val="auto"/>
          <w:lang w:val="es-ES"/>
        </w:rPr>
        <w:t>si</w:t>
      </w:r>
      <w:proofErr w:type="spellEnd"/>
      <w:r w:rsidRPr="00D1096C">
        <w:rPr>
          <w:color w:val="auto"/>
          <w:lang w:val="es-ES"/>
        </w:rPr>
        <w:t xml:space="preserve"> es alérgico </w:t>
      </w:r>
      <w:r w:rsidRPr="0010377D">
        <w:rPr>
          <w:color w:val="auto"/>
          <w:lang w:val="es-ES"/>
        </w:rPr>
        <w:t>(hipersensible)</w:t>
      </w:r>
      <w:r w:rsidRPr="00D1096C">
        <w:rPr>
          <w:color w:val="auto"/>
          <w:lang w:val="es-ES"/>
        </w:rPr>
        <w:t xml:space="preserve"> a productos derivados de </w:t>
      </w:r>
      <w:r w:rsidR="002B6EAC">
        <w:rPr>
          <w:color w:val="auto"/>
          <w:lang w:val="es-ES"/>
        </w:rPr>
        <w:t>c</w:t>
      </w:r>
      <w:r w:rsidRPr="00D1096C">
        <w:rPr>
          <w:color w:val="auto"/>
          <w:lang w:val="es-ES"/>
        </w:rPr>
        <w:t>élulas de ovario de hámster chino (CHO) o a otros anticuerpos recombinantes humanos o humanizados.</w:t>
      </w:r>
    </w:p>
    <w:p w14:paraId="0616C85E" w14:textId="77777777" w:rsidR="00FB24C0" w:rsidRPr="00D1096C" w:rsidRDefault="00FB24C0" w:rsidP="00B515AD">
      <w:pPr>
        <w:numPr>
          <w:ilvl w:val="0"/>
          <w:numId w:val="13"/>
        </w:numPr>
        <w:spacing w:after="0" w:line="240" w:lineRule="auto"/>
        <w:ind w:left="567" w:hanging="567"/>
        <w:rPr>
          <w:color w:val="auto"/>
          <w:lang w:val="es-ES"/>
        </w:rPr>
      </w:pPr>
      <w:proofErr w:type="spellStart"/>
      <w:r w:rsidRPr="00D1096C">
        <w:rPr>
          <w:color w:val="auto"/>
          <w:lang w:val="es-ES"/>
        </w:rPr>
        <w:t>si</w:t>
      </w:r>
      <w:proofErr w:type="spellEnd"/>
      <w:r w:rsidRPr="00D1096C">
        <w:rPr>
          <w:color w:val="auto"/>
          <w:lang w:val="es-ES"/>
        </w:rPr>
        <w:t xml:space="preserve"> está embarazada.</w:t>
      </w:r>
    </w:p>
    <w:p w14:paraId="331164F6" w14:textId="77777777" w:rsidR="00FB24C0" w:rsidRPr="00115001" w:rsidRDefault="00FB24C0" w:rsidP="00FB24C0">
      <w:pPr>
        <w:spacing w:after="0" w:line="240" w:lineRule="auto"/>
        <w:ind w:left="0" w:firstLine="0"/>
        <w:rPr>
          <w:color w:val="auto"/>
          <w:lang w:val="es-ES"/>
        </w:rPr>
      </w:pPr>
    </w:p>
    <w:p w14:paraId="3D5B0EA7" w14:textId="77777777" w:rsidR="00FB24C0" w:rsidRPr="00115001" w:rsidRDefault="00FB24C0" w:rsidP="00682ECE">
      <w:pPr>
        <w:keepNext/>
        <w:spacing w:after="0" w:line="240" w:lineRule="auto"/>
        <w:ind w:left="0" w:firstLine="0"/>
        <w:rPr>
          <w:b/>
          <w:color w:val="auto"/>
          <w:lang w:val="es-ES"/>
        </w:rPr>
      </w:pPr>
      <w:r w:rsidRPr="00115001">
        <w:rPr>
          <w:b/>
          <w:color w:val="auto"/>
          <w:lang w:val="es-ES"/>
        </w:rPr>
        <w:t>Advertencias y precauciones</w:t>
      </w:r>
    </w:p>
    <w:p w14:paraId="694DFBF9" w14:textId="77777777" w:rsidR="00682ECE" w:rsidRPr="00115001" w:rsidRDefault="00682ECE" w:rsidP="00682ECE">
      <w:pPr>
        <w:keepNext/>
        <w:spacing w:after="0" w:line="240" w:lineRule="auto"/>
        <w:ind w:left="0" w:firstLine="0"/>
        <w:rPr>
          <w:color w:val="auto"/>
          <w:lang w:val="es-ES"/>
        </w:rPr>
      </w:pPr>
    </w:p>
    <w:p w14:paraId="6FC88174" w14:textId="77777777" w:rsidR="00FB24C0" w:rsidRPr="00115001" w:rsidRDefault="00FB24C0" w:rsidP="00682ECE">
      <w:pPr>
        <w:keepNext/>
        <w:spacing w:after="0" w:line="240" w:lineRule="auto"/>
        <w:ind w:left="0" w:firstLine="0"/>
        <w:rPr>
          <w:color w:val="auto"/>
          <w:lang w:val="es-ES"/>
        </w:rPr>
      </w:pPr>
      <w:r w:rsidRPr="00115001">
        <w:rPr>
          <w:color w:val="auto"/>
          <w:lang w:val="es-ES"/>
        </w:rPr>
        <w:t xml:space="preserve">Consulte a su médico, farmacéutico o enfermero antes de empezar a usar </w:t>
      </w:r>
      <w:r w:rsidR="00AA71D6">
        <w:rPr>
          <w:color w:val="auto"/>
          <w:lang w:val="es-ES"/>
        </w:rPr>
        <w:t>MVASI</w:t>
      </w:r>
      <w:r w:rsidRPr="00115001">
        <w:rPr>
          <w:color w:val="auto"/>
          <w:lang w:val="es-ES"/>
        </w:rPr>
        <w:t>:</w:t>
      </w:r>
    </w:p>
    <w:p w14:paraId="7A1B44F6" w14:textId="77777777" w:rsidR="00FB24C0" w:rsidRPr="00115001" w:rsidRDefault="00FB24C0" w:rsidP="00682ECE">
      <w:pPr>
        <w:keepNext/>
        <w:spacing w:after="0" w:line="240" w:lineRule="auto"/>
        <w:ind w:left="0" w:firstLine="0"/>
        <w:rPr>
          <w:color w:val="auto"/>
          <w:lang w:val="es-ES"/>
        </w:rPr>
      </w:pPr>
    </w:p>
    <w:p w14:paraId="03317B18" w14:textId="77777777" w:rsidR="00FB24C0" w:rsidRPr="0026415E" w:rsidRDefault="00FB24C0" w:rsidP="00B515AD">
      <w:pPr>
        <w:numPr>
          <w:ilvl w:val="0"/>
          <w:numId w:val="13"/>
        </w:numPr>
        <w:spacing w:after="0" w:line="240" w:lineRule="auto"/>
        <w:ind w:left="567" w:hanging="567"/>
        <w:rPr>
          <w:color w:val="auto"/>
          <w:lang w:val="es-ES"/>
        </w:rPr>
      </w:pPr>
      <w:r w:rsidRPr="0026415E">
        <w:rPr>
          <w:color w:val="auto"/>
          <w:lang w:val="es-ES"/>
        </w:rPr>
        <w:t xml:space="preserve">Es posible que </w:t>
      </w:r>
      <w:r w:rsidR="00AA71D6">
        <w:rPr>
          <w:color w:val="auto"/>
          <w:lang w:val="es-ES"/>
        </w:rPr>
        <w:t>MVASI</w:t>
      </w:r>
      <w:r w:rsidRPr="0026415E">
        <w:rPr>
          <w:color w:val="auto"/>
          <w:lang w:val="es-ES"/>
        </w:rPr>
        <w:t xml:space="preserve"> pueda aumentar el riesgo de provocar perforaciones en la pared del intestino. Si tiene alguna enfermedad que cause inflamación en el abdomen (p.ej. diverticulitis, úlcera de estómago, colitis producida por la quimioterapia), consulte con su médico.</w:t>
      </w:r>
    </w:p>
    <w:p w14:paraId="1C4C0696" w14:textId="77777777" w:rsidR="00FB24C0" w:rsidRPr="0026415E" w:rsidRDefault="00AA71D6" w:rsidP="00B515AD">
      <w:pPr>
        <w:numPr>
          <w:ilvl w:val="0"/>
          <w:numId w:val="13"/>
        </w:numPr>
        <w:spacing w:after="0" w:line="240" w:lineRule="auto"/>
        <w:ind w:left="567" w:hanging="567"/>
        <w:rPr>
          <w:color w:val="auto"/>
          <w:lang w:val="es-ES"/>
        </w:rPr>
      </w:pPr>
      <w:r>
        <w:rPr>
          <w:color w:val="auto"/>
          <w:lang w:val="es-ES"/>
        </w:rPr>
        <w:t>MVASI</w:t>
      </w:r>
      <w:r w:rsidR="00FB24C0" w:rsidRPr="0026415E">
        <w:rPr>
          <w:color w:val="auto"/>
          <w:lang w:val="es-ES"/>
        </w:rPr>
        <w:t xml:space="preserve"> puede aumentar el riesgo de desarrollar un conducto anormal entre dos órganos o vesículas. El riesgo de desarrollar comunicaciones entre la vagina y cualquier parte del intestino puede aumentar si tiene cáncer de cérvix persistente, recurrente o metastásico.</w:t>
      </w:r>
    </w:p>
    <w:p w14:paraId="2BA56B2F" w14:textId="77777777" w:rsidR="00FB24C0" w:rsidRPr="0026415E" w:rsidRDefault="00AA71D6" w:rsidP="00B515AD">
      <w:pPr>
        <w:numPr>
          <w:ilvl w:val="0"/>
          <w:numId w:val="13"/>
        </w:numPr>
        <w:spacing w:after="0" w:line="240" w:lineRule="auto"/>
        <w:ind w:left="567" w:hanging="567"/>
        <w:rPr>
          <w:color w:val="auto"/>
          <w:lang w:val="es-ES"/>
        </w:rPr>
      </w:pPr>
      <w:r>
        <w:rPr>
          <w:color w:val="auto"/>
          <w:lang w:val="es-ES"/>
        </w:rPr>
        <w:t>MVASI</w:t>
      </w:r>
      <w:r w:rsidR="00FB24C0" w:rsidRPr="0026415E">
        <w:rPr>
          <w:color w:val="auto"/>
          <w:lang w:val="es-ES"/>
        </w:rPr>
        <w:t xml:space="preserve"> puede aumentar el riesgo de hemorragias o de problemas con la cicatrización de heridas quirúrgicas. Si va a ser operado, ha sido intervenido con cirugía mayor en los últimos 28 días o tiene una herida operatoria sin cicatrizar, no debe usar este medicamento.</w:t>
      </w:r>
    </w:p>
    <w:p w14:paraId="040DA785" w14:textId="77777777" w:rsidR="00FB24C0" w:rsidRPr="0026415E" w:rsidRDefault="00AA71D6" w:rsidP="00B515AD">
      <w:pPr>
        <w:numPr>
          <w:ilvl w:val="0"/>
          <w:numId w:val="13"/>
        </w:numPr>
        <w:spacing w:after="0" w:line="240" w:lineRule="auto"/>
        <w:ind w:left="567" w:hanging="567"/>
        <w:rPr>
          <w:color w:val="auto"/>
          <w:lang w:val="es-ES"/>
        </w:rPr>
      </w:pPr>
      <w:r>
        <w:rPr>
          <w:color w:val="auto"/>
          <w:lang w:val="es-ES"/>
        </w:rPr>
        <w:t>MVASI</w:t>
      </w:r>
      <w:r w:rsidR="00FB24C0" w:rsidRPr="0026415E">
        <w:rPr>
          <w:color w:val="auto"/>
          <w:lang w:val="es-ES"/>
        </w:rPr>
        <w:t xml:space="preserve"> puede aumentar el riesgo de desarrollar infecciones graves de piel o de las capas profundas de la piel, especialmente si tuvo perforaciones en la pared del intestino o problemas de cicatrización.</w:t>
      </w:r>
    </w:p>
    <w:p w14:paraId="1AE04AB2" w14:textId="77777777" w:rsidR="00FB24C0" w:rsidRPr="0026415E" w:rsidRDefault="00AA71D6" w:rsidP="00B515AD">
      <w:pPr>
        <w:numPr>
          <w:ilvl w:val="0"/>
          <w:numId w:val="13"/>
        </w:numPr>
        <w:spacing w:after="0" w:line="240" w:lineRule="auto"/>
        <w:ind w:left="567" w:hanging="567"/>
        <w:rPr>
          <w:color w:val="auto"/>
          <w:lang w:val="es-ES"/>
        </w:rPr>
      </w:pPr>
      <w:r>
        <w:rPr>
          <w:color w:val="auto"/>
          <w:lang w:val="es-ES"/>
        </w:rPr>
        <w:t>MVASI</w:t>
      </w:r>
      <w:r w:rsidR="00FB24C0" w:rsidRPr="0026415E">
        <w:rPr>
          <w:color w:val="auto"/>
          <w:lang w:val="es-ES"/>
        </w:rPr>
        <w:t xml:space="preserve"> puede aumentar el riesgo de hipertensión. Si tiene la tensión alta no controlada adecuadamente con los medicamentos para la tensión, consulte a su médico, es importante asegurarse de que su tensión está controlada antes de comenzar el tratamiento con </w:t>
      </w:r>
      <w:r>
        <w:rPr>
          <w:color w:val="auto"/>
          <w:lang w:val="es-ES"/>
        </w:rPr>
        <w:t>MVASI</w:t>
      </w:r>
      <w:r w:rsidR="00FB24C0" w:rsidRPr="0026415E">
        <w:rPr>
          <w:color w:val="auto"/>
          <w:lang w:val="es-ES"/>
        </w:rPr>
        <w:t>.</w:t>
      </w:r>
    </w:p>
    <w:p w14:paraId="299E5D0A" w14:textId="77777777" w:rsidR="00FB24C0" w:rsidRPr="0026415E" w:rsidRDefault="00AA71D6" w:rsidP="00B515AD">
      <w:pPr>
        <w:numPr>
          <w:ilvl w:val="0"/>
          <w:numId w:val="13"/>
        </w:numPr>
        <w:spacing w:after="0" w:line="240" w:lineRule="auto"/>
        <w:ind w:left="567" w:hanging="567"/>
        <w:rPr>
          <w:color w:val="auto"/>
          <w:lang w:val="es-ES"/>
        </w:rPr>
      </w:pPr>
      <w:r>
        <w:rPr>
          <w:color w:val="auto"/>
          <w:lang w:val="es-ES"/>
        </w:rPr>
        <w:t>MVASI</w:t>
      </w:r>
      <w:r w:rsidR="00FB24C0" w:rsidRPr="0026415E">
        <w:rPr>
          <w:color w:val="auto"/>
          <w:lang w:val="es-ES"/>
        </w:rPr>
        <w:t xml:space="preserve"> aumenta el riesgo de tener proteínas en la orina, especialmente si ya tiene la tensión alta.</w:t>
      </w:r>
    </w:p>
    <w:p w14:paraId="3B642253" w14:textId="77777777" w:rsidR="00FB24C0" w:rsidRPr="0026415E" w:rsidRDefault="00FB24C0" w:rsidP="00B515AD">
      <w:pPr>
        <w:numPr>
          <w:ilvl w:val="0"/>
          <w:numId w:val="13"/>
        </w:numPr>
        <w:spacing w:after="0" w:line="240" w:lineRule="auto"/>
        <w:ind w:left="567" w:hanging="567"/>
        <w:rPr>
          <w:color w:val="auto"/>
          <w:lang w:val="es-ES"/>
        </w:rPr>
      </w:pPr>
      <w:r w:rsidRPr="0026415E">
        <w:rPr>
          <w:color w:val="auto"/>
          <w:lang w:val="es-ES"/>
        </w:rPr>
        <w:t>El riesgo de desarrollar trombos o coágulos en sus arterias (un tipo de vaso sanguíneo) puede aumentar si es mayor de 65 años, si tiene diabetes o si ha tenido en el pasado trombos o coágulos en sus arterias. Consulte con su médico, ya que los trombos o coágulos pueden provocar un ataque al corazón y apoplejía.</w:t>
      </w:r>
    </w:p>
    <w:p w14:paraId="0B858DE4" w14:textId="77777777" w:rsidR="00FB24C0" w:rsidRPr="0026415E" w:rsidRDefault="00AA71D6" w:rsidP="00B515AD">
      <w:pPr>
        <w:numPr>
          <w:ilvl w:val="0"/>
          <w:numId w:val="13"/>
        </w:numPr>
        <w:spacing w:after="0" w:line="240" w:lineRule="auto"/>
        <w:ind w:left="567" w:hanging="567"/>
        <w:rPr>
          <w:color w:val="auto"/>
          <w:lang w:val="es-ES"/>
        </w:rPr>
      </w:pPr>
      <w:r>
        <w:rPr>
          <w:color w:val="auto"/>
          <w:lang w:val="es-ES"/>
        </w:rPr>
        <w:t>MVASI</w:t>
      </w:r>
      <w:r w:rsidR="00FB24C0" w:rsidRPr="0026415E">
        <w:rPr>
          <w:color w:val="auto"/>
          <w:lang w:val="es-ES"/>
        </w:rPr>
        <w:t xml:space="preserve"> también puede incrementar el riesgo de desarrollar trombos o coágulos en las venas (un tipo de vaso sanguíneo).</w:t>
      </w:r>
    </w:p>
    <w:p w14:paraId="1DA11F19" w14:textId="77777777" w:rsidR="00FB24C0" w:rsidRPr="0026415E" w:rsidRDefault="00AA71D6" w:rsidP="00B515AD">
      <w:pPr>
        <w:numPr>
          <w:ilvl w:val="0"/>
          <w:numId w:val="13"/>
        </w:numPr>
        <w:spacing w:after="0" w:line="240" w:lineRule="auto"/>
        <w:ind w:left="567" w:hanging="567"/>
        <w:rPr>
          <w:color w:val="auto"/>
          <w:lang w:val="es-ES"/>
        </w:rPr>
      </w:pPr>
      <w:r>
        <w:rPr>
          <w:color w:val="auto"/>
          <w:lang w:val="es-ES"/>
        </w:rPr>
        <w:t>MVASI</w:t>
      </w:r>
      <w:r w:rsidR="00FB24C0" w:rsidRPr="0026415E">
        <w:rPr>
          <w:color w:val="auto"/>
          <w:lang w:val="es-ES"/>
        </w:rPr>
        <w:t xml:space="preserve"> puede provocar hemorragias, especialmente hemorragias relacionadas con el tumor. Consulte con su médico si tiene tendencia o antecedentes familiares de trastornos de la </w:t>
      </w:r>
      <w:r w:rsidR="00FB24C0" w:rsidRPr="0026415E">
        <w:rPr>
          <w:color w:val="auto"/>
          <w:lang w:val="es-ES"/>
        </w:rPr>
        <w:lastRenderedPageBreak/>
        <w:t>coagulación (hemorragias) o está tomando medicamentos que diluyen la sangre por cualquier razón.</w:t>
      </w:r>
    </w:p>
    <w:p w14:paraId="4932CF8F" w14:textId="77777777" w:rsidR="00FB24C0" w:rsidRPr="0026415E" w:rsidRDefault="00FB24C0" w:rsidP="00B515AD">
      <w:pPr>
        <w:numPr>
          <w:ilvl w:val="0"/>
          <w:numId w:val="13"/>
        </w:numPr>
        <w:spacing w:after="0" w:line="240" w:lineRule="auto"/>
        <w:ind w:left="567" w:hanging="567"/>
        <w:rPr>
          <w:color w:val="auto"/>
          <w:lang w:val="es-ES"/>
        </w:rPr>
      </w:pPr>
      <w:r w:rsidRPr="0026415E">
        <w:rPr>
          <w:color w:val="auto"/>
          <w:lang w:val="es-ES"/>
        </w:rPr>
        <w:t xml:space="preserve">Es posible que </w:t>
      </w:r>
      <w:r w:rsidR="00AA71D6">
        <w:rPr>
          <w:color w:val="auto"/>
          <w:lang w:val="es-ES"/>
        </w:rPr>
        <w:t>MVASI</w:t>
      </w:r>
      <w:r w:rsidRPr="0026415E">
        <w:rPr>
          <w:color w:val="auto"/>
          <w:lang w:val="es-ES"/>
        </w:rPr>
        <w:t xml:space="preserve"> provoque hemorragias en, y alrededor, de su cerebro. Consulte con su médico si tiene cáncer metastásico que afecte a su cerebro.</w:t>
      </w:r>
    </w:p>
    <w:p w14:paraId="3D5173BF" w14:textId="77777777" w:rsidR="00FB24C0" w:rsidRPr="0026415E" w:rsidRDefault="00FB24C0" w:rsidP="00B515AD">
      <w:pPr>
        <w:numPr>
          <w:ilvl w:val="0"/>
          <w:numId w:val="13"/>
        </w:numPr>
        <w:spacing w:after="0" w:line="240" w:lineRule="auto"/>
        <w:ind w:left="567" w:hanging="567"/>
        <w:rPr>
          <w:color w:val="auto"/>
          <w:lang w:val="es-ES"/>
        </w:rPr>
      </w:pPr>
      <w:r w:rsidRPr="0026415E">
        <w:rPr>
          <w:color w:val="auto"/>
          <w:lang w:val="es-ES"/>
        </w:rPr>
        <w:t xml:space="preserve">Es posible que </w:t>
      </w:r>
      <w:r w:rsidR="00AA71D6">
        <w:rPr>
          <w:color w:val="auto"/>
          <w:lang w:val="es-ES"/>
        </w:rPr>
        <w:t>MVASI</w:t>
      </w:r>
      <w:r w:rsidRPr="0026415E">
        <w:rPr>
          <w:color w:val="auto"/>
          <w:lang w:val="es-ES"/>
        </w:rPr>
        <w:t xml:space="preserve"> pueda aumentar el riesgo de hemorragia en sus pulmones, incluyendo tos o expectoración de sangre. Consulte con su médico si ha notado esto previamente.</w:t>
      </w:r>
    </w:p>
    <w:p w14:paraId="78D23535" w14:textId="77777777" w:rsidR="00FB24C0" w:rsidRPr="0026415E" w:rsidRDefault="00AA71D6" w:rsidP="00B515AD">
      <w:pPr>
        <w:numPr>
          <w:ilvl w:val="0"/>
          <w:numId w:val="13"/>
        </w:numPr>
        <w:spacing w:after="0" w:line="240" w:lineRule="auto"/>
        <w:ind w:left="567" w:hanging="567"/>
        <w:rPr>
          <w:color w:val="auto"/>
          <w:lang w:val="es-ES"/>
        </w:rPr>
      </w:pPr>
      <w:r>
        <w:rPr>
          <w:color w:val="auto"/>
          <w:lang w:val="es-ES"/>
        </w:rPr>
        <w:t>MVASI</w:t>
      </w:r>
      <w:r w:rsidR="00FB24C0" w:rsidRPr="0026415E">
        <w:rPr>
          <w:color w:val="auto"/>
          <w:lang w:val="es-ES"/>
        </w:rPr>
        <w:t xml:space="preserve"> puede incrementar el riesgo de que el corazón se debilite. Es importante que informe a su médico si alguna vez ha sido tratado con antraciclinas (un tipo específico de quimioterapia utilizada para el tratamiento de algunos tipos de cáncer, como por ejemplo doxorrubicina) o ha recibido radioterapia en el tórax, o si tiene una enfermedad del corazón.</w:t>
      </w:r>
    </w:p>
    <w:p w14:paraId="335035C1" w14:textId="77777777" w:rsidR="00FB24C0" w:rsidRPr="0026415E" w:rsidRDefault="00302236" w:rsidP="00B515AD">
      <w:pPr>
        <w:numPr>
          <w:ilvl w:val="0"/>
          <w:numId w:val="13"/>
        </w:numPr>
        <w:spacing w:after="0" w:line="240" w:lineRule="auto"/>
        <w:ind w:left="567" w:hanging="567"/>
        <w:rPr>
          <w:color w:val="auto"/>
          <w:lang w:val="es-ES"/>
        </w:rPr>
      </w:pPr>
      <w:r>
        <w:rPr>
          <w:color w:val="auto"/>
          <w:lang w:val="es-ES"/>
        </w:rPr>
        <w:t>MVASI</w:t>
      </w:r>
      <w:r w:rsidR="00FB24C0" w:rsidRPr="0026415E">
        <w:rPr>
          <w:color w:val="auto"/>
          <w:lang w:val="es-ES"/>
        </w:rPr>
        <w:t xml:space="preserve"> puede provocar infecciones y disminuir el número de neutrófilos (un tipo de células sanguíneas importantes para su protección frente a bacterias).</w:t>
      </w:r>
    </w:p>
    <w:p w14:paraId="272AFE90" w14:textId="468CBC4A" w:rsidR="00FB24C0" w:rsidRPr="0026415E" w:rsidRDefault="00FB24C0" w:rsidP="00B515AD">
      <w:pPr>
        <w:numPr>
          <w:ilvl w:val="0"/>
          <w:numId w:val="13"/>
        </w:numPr>
        <w:spacing w:after="0" w:line="240" w:lineRule="auto"/>
        <w:ind w:left="567" w:hanging="567"/>
        <w:rPr>
          <w:color w:val="auto"/>
          <w:lang w:val="es-ES"/>
        </w:rPr>
      </w:pPr>
      <w:r w:rsidRPr="0026415E">
        <w:rPr>
          <w:color w:val="auto"/>
          <w:lang w:val="es-ES"/>
        </w:rPr>
        <w:t xml:space="preserve">Es posible que </w:t>
      </w:r>
      <w:r w:rsidR="00AA71D6">
        <w:rPr>
          <w:color w:val="auto"/>
          <w:lang w:val="es-ES"/>
        </w:rPr>
        <w:t>MVASI</w:t>
      </w:r>
      <w:r w:rsidRPr="0026415E">
        <w:rPr>
          <w:color w:val="auto"/>
          <w:lang w:val="es-ES"/>
        </w:rPr>
        <w:t xml:space="preserve"> pueda provocar hipersensibilidad</w:t>
      </w:r>
      <w:r w:rsidR="00712003">
        <w:rPr>
          <w:color w:val="auto"/>
          <w:lang w:val="es-ES"/>
        </w:rPr>
        <w:t xml:space="preserve"> </w:t>
      </w:r>
      <w:r w:rsidR="00712003">
        <w:rPr>
          <w:lang w:val="es-ES"/>
        </w:rPr>
        <w:t>(incluyendo reacciones anafilácticas)</w:t>
      </w:r>
      <w:r w:rsidRPr="0026415E">
        <w:rPr>
          <w:color w:val="auto"/>
          <w:lang w:val="es-ES"/>
        </w:rPr>
        <w:t xml:space="preserve"> y/o reacciones tras la perfusión (reacciones relacionadas con la inyección del medicamento). Consulte con su médico, farmacéutico o enfermero si ha experimentado previamente problemas tras inyecciones, como mareo/sensación de desvanecimiento, dificultad para respirar, hinchazón o erupción cutánea.</w:t>
      </w:r>
    </w:p>
    <w:p w14:paraId="37749ECC" w14:textId="2E8E7BF9" w:rsidR="00FB24C0" w:rsidRDefault="00FB24C0" w:rsidP="00B515AD">
      <w:pPr>
        <w:numPr>
          <w:ilvl w:val="0"/>
          <w:numId w:val="13"/>
        </w:numPr>
        <w:spacing w:after="0" w:line="240" w:lineRule="auto"/>
        <w:ind w:left="567" w:hanging="567"/>
        <w:rPr>
          <w:color w:val="auto"/>
          <w:lang w:val="es-ES"/>
        </w:rPr>
      </w:pPr>
      <w:r w:rsidRPr="0026415E">
        <w:rPr>
          <w:color w:val="auto"/>
          <w:lang w:val="es-ES"/>
        </w:rPr>
        <w:t xml:space="preserve">Un raro efecto adverso neurológico llamado síndrome de encefalopatía reversible posterior (SERP) ha sido asociado con el tratamiento con </w:t>
      </w:r>
      <w:r w:rsidR="00AA71D6">
        <w:rPr>
          <w:color w:val="auto"/>
          <w:lang w:val="es-ES"/>
        </w:rPr>
        <w:t>MVASI</w:t>
      </w:r>
      <w:r w:rsidRPr="0026415E">
        <w:rPr>
          <w:color w:val="auto"/>
          <w:lang w:val="es-ES"/>
        </w:rPr>
        <w:t>. Si tiene dolor de cabeza, alteraciones en la visión, estado de confusión o ataques (convulsiones) con o sin tensión alta, consulte a su médico.</w:t>
      </w:r>
    </w:p>
    <w:p w14:paraId="2B36CF68" w14:textId="794694B9" w:rsidR="001B74AB" w:rsidRPr="0026415E" w:rsidRDefault="001B74AB" w:rsidP="00B515AD">
      <w:pPr>
        <w:numPr>
          <w:ilvl w:val="0"/>
          <w:numId w:val="13"/>
        </w:numPr>
        <w:spacing w:after="0" w:line="240" w:lineRule="auto"/>
        <w:ind w:left="567" w:hanging="567"/>
        <w:rPr>
          <w:color w:val="auto"/>
          <w:lang w:val="es-ES"/>
        </w:rPr>
      </w:pPr>
      <w:r>
        <w:rPr>
          <w:color w:val="auto"/>
          <w:lang w:val="es-ES"/>
        </w:rPr>
        <w:t>S</w:t>
      </w:r>
      <w:r w:rsidRPr="00720ECE">
        <w:rPr>
          <w:color w:val="auto"/>
          <w:lang w:val="es-ES"/>
        </w:rPr>
        <w:t>i tiene o ha tenido un aneurisma (aumento y debilitamiento de la pared de un vaso sanguíneo) o un desgarro en la pared de un vaso sanguíneo.</w:t>
      </w:r>
    </w:p>
    <w:p w14:paraId="0FFCD2B3" w14:textId="794694B9" w:rsidR="00FB24C0" w:rsidRPr="006F70C1" w:rsidRDefault="00FB24C0" w:rsidP="00FB24C0">
      <w:pPr>
        <w:spacing w:after="0" w:line="240" w:lineRule="auto"/>
        <w:ind w:left="0" w:firstLine="0"/>
        <w:rPr>
          <w:color w:val="auto"/>
          <w:lang w:val="es-ES"/>
        </w:rPr>
      </w:pPr>
    </w:p>
    <w:p w14:paraId="712BE7A7" w14:textId="77777777" w:rsidR="00FB24C0" w:rsidRPr="006F70C1" w:rsidRDefault="00FB24C0" w:rsidP="00FB24C0">
      <w:pPr>
        <w:spacing w:after="0" w:line="240" w:lineRule="auto"/>
        <w:ind w:left="0" w:firstLine="0"/>
        <w:rPr>
          <w:color w:val="auto"/>
          <w:lang w:val="es-ES"/>
        </w:rPr>
      </w:pPr>
      <w:r w:rsidRPr="006F70C1">
        <w:rPr>
          <w:color w:val="auto"/>
          <w:lang w:val="es-ES"/>
        </w:rPr>
        <w:t>Por favor, consulte a su médico incluso si cualquiera de las situaciones arriba indicadas le afecta o le ha ocurrido en el pasado.</w:t>
      </w:r>
    </w:p>
    <w:p w14:paraId="3C62EE93" w14:textId="77777777" w:rsidR="00FB24C0" w:rsidRPr="006F70C1" w:rsidRDefault="00FB24C0" w:rsidP="00FB24C0">
      <w:pPr>
        <w:spacing w:after="0" w:line="240" w:lineRule="auto"/>
        <w:ind w:left="0" w:firstLine="0"/>
        <w:rPr>
          <w:color w:val="auto"/>
          <w:lang w:val="es-ES"/>
        </w:rPr>
      </w:pPr>
    </w:p>
    <w:p w14:paraId="3A674F73" w14:textId="77777777" w:rsidR="00FB24C0" w:rsidRPr="006F70C1" w:rsidRDefault="00FB24C0" w:rsidP="00682ECE">
      <w:pPr>
        <w:keepNext/>
        <w:spacing w:after="0" w:line="240" w:lineRule="auto"/>
        <w:ind w:left="0" w:firstLine="0"/>
        <w:rPr>
          <w:color w:val="auto"/>
          <w:lang w:val="es-ES"/>
        </w:rPr>
      </w:pPr>
      <w:r w:rsidRPr="006F70C1">
        <w:rPr>
          <w:color w:val="auto"/>
          <w:lang w:val="es-ES"/>
        </w:rPr>
        <w:t xml:space="preserve">Antes de comenzar un tratamiento con </w:t>
      </w:r>
      <w:r w:rsidR="00AA71D6">
        <w:rPr>
          <w:color w:val="auto"/>
          <w:lang w:val="es-ES"/>
        </w:rPr>
        <w:t>MVASI</w:t>
      </w:r>
      <w:r w:rsidRPr="006F70C1">
        <w:rPr>
          <w:color w:val="auto"/>
          <w:lang w:val="es-ES"/>
        </w:rPr>
        <w:t xml:space="preserve"> o durante el tratamiento con </w:t>
      </w:r>
      <w:r w:rsidR="00AA71D6">
        <w:rPr>
          <w:color w:val="auto"/>
          <w:lang w:val="es-ES"/>
        </w:rPr>
        <w:t>MVASI</w:t>
      </w:r>
      <w:r w:rsidRPr="006F70C1">
        <w:rPr>
          <w:color w:val="auto"/>
          <w:lang w:val="es-ES"/>
        </w:rPr>
        <w:t>:</w:t>
      </w:r>
    </w:p>
    <w:p w14:paraId="285FC4A6" w14:textId="77777777" w:rsidR="00682ECE" w:rsidRPr="006F70C1" w:rsidRDefault="00682ECE" w:rsidP="00682ECE">
      <w:pPr>
        <w:keepNext/>
        <w:spacing w:after="0" w:line="240" w:lineRule="auto"/>
        <w:ind w:left="0" w:firstLine="0"/>
        <w:rPr>
          <w:color w:val="auto"/>
          <w:lang w:val="es-ES"/>
        </w:rPr>
      </w:pPr>
    </w:p>
    <w:p w14:paraId="7D07CDEC" w14:textId="77777777" w:rsidR="00FB24C0" w:rsidRPr="006F70C1" w:rsidRDefault="00FB24C0" w:rsidP="00B515AD">
      <w:pPr>
        <w:numPr>
          <w:ilvl w:val="0"/>
          <w:numId w:val="13"/>
        </w:numPr>
        <w:spacing w:after="0" w:line="240" w:lineRule="auto"/>
        <w:ind w:left="567" w:hanging="567"/>
        <w:rPr>
          <w:color w:val="auto"/>
          <w:lang w:val="es-ES"/>
        </w:rPr>
      </w:pPr>
      <w:r w:rsidRPr="006F70C1">
        <w:rPr>
          <w:color w:val="auto"/>
          <w:lang w:val="es-ES"/>
        </w:rPr>
        <w:t>si tiene o ha tenido dolor en la boca, los dientes y/o la mandíbula, hinchazón o llagas en la boca, adormecimiento o sensación de pesadez de la mandíbula, o pérdida de un diente, informe inmediatamente a su médico y a su dentista.</w:t>
      </w:r>
    </w:p>
    <w:p w14:paraId="2F73CABA" w14:textId="77777777" w:rsidR="00FB24C0" w:rsidRPr="006F70C1" w:rsidRDefault="00FB24C0" w:rsidP="00B515AD">
      <w:pPr>
        <w:numPr>
          <w:ilvl w:val="0"/>
          <w:numId w:val="13"/>
        </w:numPr>
        <w:spacing w:after="0" w:line="240" w:lineRule="auto"/>
        <w:ind w:left="567" w:hanging="567"/>
        <w:rPr>
          <w:color w:val="auto"/>
          <w:lang w:val="es-ES"/>
        </w:rPr>
      </w:pPr>
      <w:proofErr w:type="spellStart"/>
      <w:r w:rsidRPr="006F70C1">
        <w:rPr>
          <w:color w:val="auto"/>
          <w:lang w:val="es-ES"/>
        </w:rPr>
        <w:t>si</w:t>
      </w:r>
      <w:proofErr w:type="spellEnd"/>
      <w:r w:rsidRPr="006F70C1">
        <w:rPr>
          <w:color w:val="auto"/>
          <w:lang w:val="es-ES"/>
        </w:rPr>
        <w:t xml:space="preserve"> necesita someterse a un tratamiento dental invasivo o a una cirugía dental, informe a su dentista que está siendo tratado con </w:t>
      </w:r>
      <w:r w:rsidR="00AA71D6">
        <w:rPr>
          <w:color w:val="auto"/>
          <w:lang w:val="es-ES"/>
        </w:rPr>
        <w:t>MVASI</w:t>
      </w:r>
      <w:r w:rsidR="00D4188A">
        <w:rPr>
          <w:color w:val="auto"/>
          <w:lang w:val="es-ES"/>
        </w:rPr>
        <w:t xml:space="preserve"> (bevacizumab)</w:t>
      </w:r>
      <w:r w:rsidRPr="006F70C1">
        <w:rPr>
          <w:color w:val="auto"/>
          <w:lang w:val="es-ES"/>
        </w:rPr>
        <w:t>, en particular cuando también está recibiendo o ha recibido una inyección de bisfosfonatos en su sangre.</w:t>
      </w:r>
    </w:p>
    <w:p w14:paraId="0834FBF1" w14:textId="77777777" w:rsidR="00FB24C0" w:rsidRPr="006F70C1" w:rsidRDefault="00FB24C0" w:rsidP="00FB24C0">
      <w:pPr>
        <w:spacing w:after="0" w:line="240" w:lineRule="auto"/>
        <w:ind w:left="0" w:firstLine="0"/>
        <w:rPr>
          <w:color w:val="auto"/>
          <w:lang w:val="es-ES"/>
        </w:rPr>
      </w:pPr>
    </w:p>
    <w:p w14:paraId="73B21321" w14:textId="77777777" w:rsidR="00FB24C0" w:rsidRPr="006F70C1" w:rsidRDefault="00FB24C0" w:rsidP="00FB24C0">
      <w:pPr>
        <w:spacing w:after="0" w:line="240" w:lineRule="auto"/>
        <w:ind w:left="0" w:firstLine="0"/>
        <w:rPr>
          <w:color w:val="auto"/>
          <w:lang w:val="es-ES"/>
        </w:rPr>
      </w:pPr>
      <w:r w:rsidRPr="006F70C1">
        <w:rPr>
          <w:color w:val="auto"/>
          <w:lang w:val="es-ES"/>
        </w:rPr>
        <w:t xml:space="preserve">Antes de que comience el tratamiento con </w:t>
      </w:r>
      <w:r w:rsidR="00AA71D6">
        <w:rPr>
          <w:color w:val="auto"/>
          <w:lang w:val="es-ES"/>
        </w:rPr>
        <w:t>MVASI</w:t>
      </w:r>
      <w:r w:rsidRPr="006F70C1">
        <w:rPr>
          <w:color w:val="auto"/>
          <w:lang w:val="es-ES"/>
        </w:rPr>
        <w:t xml:space="preserve"> puede que le aconsejen hacerse una revisión dental.</w:t>
      </w:r>
    </w:p>
    <w:p w14:paraId="1194DD3D" w14:textId="77777777" w:rsidR="00FB24C0" w:rsidRPr="006F70C1" w:rsidRDefault="00FB24C0" w:rsidP="00FB24C0">
      <w:pPr>
        <w:spacing w:after="0" w:line="240" w:lineRule="auto"/>
        <w:ind w:left="0" w:firstLine="0"/>
        <w:rPr>
          <w:color w:val="auto"/>
          <w:lang w:val="es-ES"/>
        </w:rPr>
      </w:pPr>
    </w:p>
    <w:p w14:paraId="16F83791" w14:textId="77777777" w:rsidR="00FB24C0" w:rsidRPr="006F70C1" w:rsidRDefault="00FB24C0" w:rsidP="00682ECE">
      <w:pPr>
        <w:keepNext/>
        <w:spacing w:after="0" w:line="240" w:lineRule="auto"/>
        <w:ind w:left="0" w:firstLine="0"/>
        <w:rPr>
          <w:b/>
          <w:color w:val="auto"/>
          <w:lang w:val="es-ES"/>
        </w:rPr>
      </w:pPr>
      <w:r w:rsidRPr="006F70C1">
        <w:rPr>
          <w:b/>
          <w:color w:val="auto"/>
          <w:lang w:val="es-ES"/>
        </w:rPr>
        <w:t>Niños y adolescentes</w:t>
      </w:r>
    </w:p>
    <w:p w14:paraId="4B787750" w14:textId="77777777" w:rsidR="00682ECE" w:rsidRPr="006F70C1" w:rsidRDefault="00682ECE" w:rsidP="00682ECE">
      <w:pPr>
        <w:keepNext/>
        <w:spacing w:after="0" w:line="240" w:lineRule="auto"/>
        <w:ind w:left="0" w:firstLine="0"/>
        <w:rPr>
          <w:color w:val="auto"/>
          <w:lang w:val="es-ES"/>
        </w:rPr>
      </w:pPr>
    </w:p>
    <w:p w14:paraId="67861665" w14:textId="77777777" w:rsidR="00FB24C0" w:rsidRPr="006F70C1" w:rsidRDefault="00FB24C0" w:rsidP="00FB24C0">
      <w:pPr>
        <w:spacing w:after="0" w:line="240" w:lineRule="auto"/>
        <w:ind w:left="0" w:firstLine="0"/>
        <w:rPr>
          <w:color w:val="auto"/>
          <w:lang w:val="es-ES"/>
        </w:rPr>
      </w:pPr>
      <w:r w:rsidRPr="006F70C1">
        <w:rPr>
          <w:color w:val="auto"/>
          <w:lang w:val="es-ES"/>
        </w:rPr>
        <w:t xml:space="preserve">No se recomienda el uso de </w:t>
      </w:r>
      <w:r w:rsidR="00AA71D6">
        <w:rPr>
          <w:color w:val="auto"/>
          <w:lang w:val="es-ES"/>
        </w:rPr>
        <w:t>MVASI</w:t>
      </w:r>
      <w:r w:rsidRPr="006F70C1">
        <w:rPr>
          <w:color w:val="auto"/>
          <w:lang w:val="es-ES"/>
        </w:rPr>
        <w:t xml:space="preserve"> en niños y adolescentes menores de 18 años ya que no se ha establecido la seguridad y el beneficio en estos pacientes.</w:t>
      </w:r>
    </w:p>
    <w:p w14:paraId="1E1614D5" w14:textId="77777777" w:rsidR="00FB24C0" w:rsidRPr="006F70C1" w:rsidRDefault="00FB24C0" w:rsidP="00FB24C0">
      <w:pPr>
        <w:spacing w:after="0" w:line="240" w:lineRule="auto"/>
        <w:ind w:left="0" w:firstLine="0"/>
        <w:rPr>
          <w:color w:val="auto"/>
          <w:lang w:val="es-ES"/>
        </w:rPr>
      </w:pPr>
    </w:p>
    <w:p w14:paraId="5029F7AF" w14:textId="77777777" w:rsidR="00FB24C0" w:rsidRPr="006F70C1" w:rsidRDefault="00FB24C0" w:rsidP="00FB24C0">
      <w:pPr>
        <w:spacing w:after="0" w:line="240" w:lineRule="auto"/>
        <w:ind w:left="0" w:firstLine="0"/>
        <w:rPr>
          <w:color w:val="auto"/>
          <w:lang w:val="es-ES"/>
        </w:rPr>
      </w:pPr>
      <w:r w:rsidRPr="006F70C1">
        <w:rPr>
          <w:color w:val="auto"/>
          <w:lang w:val="es-ES"/>
        </w:rPr>
        <w:t xml:space="preserve">Se han notificado casos de muerte de tejido óseo (osteonecrosis) en huesos distintos a la mandíbula en pacientes menores de 18 años tratados con </w:t>
      </w:r>
      <w:r w:rsidR="00D13A66">
        <w:rPr>
          <w:color w:val="auto"/>
          <w:lang w:val="es-ES"/>
        </w:rPr>
        <w:t>b</w:t>
      </w:r>
      <w:r w:rsidR="00863B46">
        <w:rPr>
          <w:color w:val="auto"/>
          <w:lang w:val="es-ES"/>
        </w:rPr>
        <w:t>evacizumab</w:t>
      </w:r>
      <w:r w:rsidRPr="006F70C1">
        <w:rPr>
          <w:color w:val="auto"/>
          <w:lang w:val="es-ES"/>
        </w:rPr>
        <w:t>.</w:t>
      </w:r>
    </w:p>
    <w:p w14:paraId="750FD946" w14:textId="77777777" w:rsidR="00FB24C0" w:rsidRPr="006F70C1" w:rsidRDefault="00FB24C0" w:rsidP="00FB24C0">
      <w:pPr>
        <w:spacing w:after="0" w:line="240" w:lineRule="auto"/>
        <w:ind w:left="0" w:firstLine="0"/>
        <w:rPr>
          <w:color w:val="auto"/>
          <w:lang w:val="es-ES"/>
        </w:rPr>
      </w:pPr>
    </w:p>
    <w:p w14:paraId="7C0F576D" w14:textId="77777777" w:rsidR="00FB24C0" w:rsidRPr="006F70C1" w:rsidRDefault="00FB24C0" w:rsidP="00682ECE">
      <w:pPr>
        <w:keepNext/>
        <w:spacing w:after="0" w:line="240" w:lineRule="auto"/>
        <w:ind w:left="0" w:firstLine="0"/>
        <w:rPr>
          <w:b/>
          <w:color w:val="auto"/>
          <w:lang w:val="es-ES"/>
        </w:rPr>
      </w:pPr>
      <w:r w:rsidRPr="006F70C1">
        <w:rPr>
          <w:b/>
          <w:color w:val="auto"/>
          <w:lang w:val="es-ES"/>
        </w:rPr>
        <w:t xml:space="preserve">Otros medicamentos y </w:t>
      </w:r>
      <w:r w:rsidR="00AA71D6">
        <w:rPr>
          <w:b/>
          <w:color w:val="auto"/>
          <w:lang w:val="es-ES"/>
        </w:rPr>
        <w:t>MVASI</w:t>
      </w:r>
    </w:p>
    <w:p w14:paraId="7399DA52" w14:textId="77777777" w:rsidR="00682ECE" w:rsidRPr="006F70C1" w:rsidRDefault="00682ECE" w:rsidP="00682ECE">
      <w:pPr>
        <w:keepNext/>
        <w:spacing w:after="0" w:line="240" w:lineRule="auto"/>
        <w:ind w:left="0" w:firstLine="0"/>
        <w:rPr>
          <w:color w:val="auto"/>
          <w:lang w:val="es-ES"/>
        </w:rPr>
      </w:pPr>
    </w:p>
    <w:p w14:paraId="70596104" w14:textId="77777777" w:rsidR="00FB24C0" w:rsidRPr="006F70C1" w:rsidRDefault="00FB24C0" w:rsidP="00FB24C0">
      <w:pPr>
        <w:spacing w:after="0" w:line="240" w:lineRule="auto"/>
        <w:ind w:left="0" w:firstLine="0"/>
        <w:rPr>
          <w:color w:val="auto"/>
          <w:lang w:val="es-ES"/>
        </w:rPr>
      </w:pPr>
      <w:r w:rsidRPr="006F70C1">
        <w:rPr>
          <w:color w:val="auto"/>
          <w:lang w:val="es-ES"/>
        </w:rPr>
        <w:t>Informe a su médico, farmacéutico o enfermero si está utilizando, ha utilizado recientemente o podría tener que utilizar cualquier otro medicamento.</w:t>
      </w:r>
    </w:p>
    <w:p w14:paraId="2FEBBF94" w14:textId="77777777" w:rsidR="00FB24C0" w:rsidRPr="006F70C1" w:rsidRDefault="00FB24C0" w:rsidP="00FB24C0">
      <w:pPr>
        <w:spacing w:after="0" w:line="240" w:lineRule="auto"/>
        <w:ind w:left="0" w:firstLine="0"/>
        <w:rPr>
          <w:color w:val="auto"/>
          <w:lang w:val="es-ES"/>
        </w:rPr>
      </w:pPr>
    </w:p>
    <w:p w14:paraId="0221649D" w14:textId="77777777" w:rsidR="00FB24C0" w:rsidRPr="006F70C1" w:rsidRDefault="00FB24C0" w:rsidP="00FB24C0">
      <w:pPr>
        <w:spacing w:after="0" w:line="240" w:lineRule="auto"/>
        <w:ind w:left="0" w:firstLine="0"/>
        <w:rPr>
          <w:color w:val="auto"/>
          <w:lang w:val="es-ES"/>
        </w:rPr>
      </w:pPr>
      <w:r w:rsidRPr="006F70C1">
        <w:rPr>
          <w:color w:val="auto"/>
          <w:lang w:val="es-ES"/>
        </w:rPr>
        <w:t xml:space="preserve">La combinación de </w:t>
      </w:r>
      <w:r w:rsidR="00AA71D6">
        <w:rPr>
          <w:color w:val="auto"/>
          <w:lang w:val="es-ES"/>
        </w:rPr>
        <w:t>MVASI</w:t>
      </w:r>
      <w:r w:rsidRPr="006F70C1">
        <w:rPr>
          <w:color w:val="auto"/>
          <w:lang w:val="es-ES"/>
        </w:rPr>
        <w:t xml:space="preserve"> con otro medicamento llamado maleato de </w:t>
      </w:r>
      <w:proofErr w:type="spellStart"/>
      <w:r w:rsidRPr="006F70C1">
        <w:rPr>
          <w:color w:val="auto"/>
          <w:lang w:val="es-ES"/>
        </w:rPr>
        <w:t>sunitinib</w:t>
      </w:r>
      <w:proofErr w:type="spellEnd"/>
      <w:r w:rsidRPr="006F70C1">
        <w:rPr>
          <w:color w:val="auto"/>
          <w:lang w:val="es-ES"/>
        </w:rPr>
        <w:t xml:space="preserve"> (prescrito para cáncer renal y gastrointestinal) puede provocar graves efectos adversos. Consulte con su médico para asegurarse que no combina estos medicamentos.</w:t>
      </w:r>
    </w:p>
    <w:p w14:paraId="561D9853" w14:textId="77777777" w:rsidR="00FB24C0" w:rsidRPr="006F70C1" w:rsidRDefault="00FB24C0" w:rsidP="00FB24C0">
      <w:pPr>
        <w:spacing w:after="0" w:line="240" w:lineRule="auto"/>
        <w:ind w:left="0" w:firstLine="0"/>
        <w:rPr>
          <w:color w:val="auto"/>
          <w:lang w:val="es-ES"/>
        </w:rPr>
      </w:pPr>
    </w:p>
    <w:p w14:paraId="48699852" w14:textId="77777777" w:rsidR="00FB24C0" w:rsidRPr="006F70C1" w:rsidRDefault="00FB24C0" w:rsidP="00FB24C0">
      <w:pPr>
        <w:spacing w:after="0" w:line="240" w:lineRule="auto"/>
        <w:ind w:left="0" w:firstLine="0"/>
        <w:rPr>
          <w:color w:val="auto"/>
          <w:lang w:val="es-ES"/>
        </w:rPr>
      </w:pPr>
      <w:r w:rsidRPr="006F70C1">
        <w:rPr>
          <w:color w:val="auto"/>
          <w:lang w:val="es-ES"/>
        </w:rPr>
        <w:lastRenderedPageBreak/>
        <w:t xml:space="preserve">Consulte a su médico si está recibiendo tratamiento basado en platino o </w:t>
      </w:r>
      <w:proofErr w:type="spellStart"/>
      <w:r w:rsidRPr="006F70C1">
        <w:rPr>
          <w:color w:val="auto"/>
          <w:lang w:val="es-ES"/>
        </w:rPr>
        <w:t>taxanos</w:t>
      </w:r>
      <w:proofErr w:type="spellEnd"/>
      <w:r w:rsidRPr="006F70C1">
        <w:rPr>
          <w:color w:val="auto"/>
          <w:lang w:val="es-ES"/>
        </w:rPr>
        <w:t xml:space="preserve"> para cáncer metastásico de mama o pulmón. Estas terapias en combinación con </w:t>
      </w:r>
      <w:r w:rsidR="00AA71D6">
        <w:rPr>
          <w:color w:val="auto"/>
          <w:lang w:val="es-ES"/>
        </w:rPr>
        <w:t>MVASI</w:t>
      </w:r>
      <w:r w:rsidRPr="006F70C1">
        <w:rPr>
          <w:color w:val="auto"/>
          <w:lang w:val="es-ES"/>
        </w:rPr>
        <w:t xml:space="preserve"> pueden incrementar el riesgo de efectos adversos graves.</w:t>
      </w:r>
    </w:p>
    <w:p w14:paraId="16056F69" w14:textId="77777777" w:rsidR="00FB24C0" w:rsidRPr="006F70C1" w:rsidRDefault="00FB24C0" w:rsidP="00FB24C0">
      <w:pPr>
        <w:spacing w:after="0" w:line="240" w:lineRule="auto"/>
        <w:ind w:left="0" w:firstLine="0"/>
        <w:rPr>
          <w:color w:val="auto"/>
          <w:lang w:val="es-ES"/>
        </w:rPr>
      </w:pPr>
    </w:p>
    <w:p w14:paraId="698FDF04" w14:textId="77777777" w:rsidR="00FB24C0" w:rsidRPr="006F70C1" w:rsidRDefault="00FB24C0" w:rsidP="00FB24C0">
      <w:pPr>
        <w:spacing w:after="0" w:line="240" w:lineRule="auto"/>
        <w:ind w:left="0" w:firstLine="0"/>
        <w:rPr>
          <w:color w:val="auto"/>
          <w:lang w:val="es-ES"/>
        </w:rPr>
      </w:pPr>
      <w:r w:rsidRPr="006F70C1">
        <w:rPr>
          <w:color w:val="auto"/>
          <w:lang w:val="es-ES"/>
        </w:rPr>
        <w:t>Informe a su médico si ha recibido recientemente o está recibiendo radioterapia.</w:t>
      </w:r>
    </w:p>
    <w:p w14:paraId="4F6B8E6B" w14:textId="77777777" w:rsidR="00FB24C0" w:rsidRPr="006F70C1" w:rsidRDefault="00FB24C0" w:rsidP="00FB24C0">
      <w:pPr>
        <w:spacing w:after="0" w:line="240" w:lineRule="auto"/>
        <w:ind w:left="0" w:firstLine="0"/>
        <w:rPr>
          <w:color w:val="auto"/>
          <w:lang w:val="es-ES"/>
        </w:rPr>
      </w:pPr>
    </w:p>
    <w:p w14:paraId="6C438346" w14:textId="77777777" w:rsidR="00FB24C0" w:rsidRPr="00961B95" w:rsidRDefault="00FB24C0" w:rsidP="00682ECE">
      <w:pPr>
        <w:keepNext/>
        <w:spacing w:after="0" w:line="240" w:lineRule="auto"/>
        <w:ind w:left="0" w:firstLine="0"/>
        <w:rPr>
          <w:b/>
          <w:color w:val="auto"/>
          <w:lang w:val="es-ES"/>
        </w:rPr>
      </w:pPr>
      <w:r w:rsidRPr="00961B95">
        <w:rPr>
          <w:b/>
          <w:color w:val="auto"/>
          <w:lang w:val="es-ES"/>
        </w:rPr>
        <w:t>Embarazo, lactancia y fertilidad</w:t>
      </w:r>
    </w:p>
    <w:p w14:paraId="750FFD8D" w14:textId="77777777" w:rsidR="00682ECE" w:rsidRPr="00961B95" w:rsidRDefault="00682ECE" w:rsidP="00682ECE">
      <w:pPr>
        <w:keepNext/>
        <w:spacing w:after="0" w:line="240" w:lineRule="auto"/>
        <w:ind w:left="0" w:firstLine="0"/>
        <w:rPr>
          <w:color w:val="auto"/>
          <w:lang w:val="es-ES"/>
        </w:rPr>
      </w:pPr>
    </w:p>
    <w:p w14:paraId="017F046F" w14:textId="77777777" w:rsidR="00FB24C0" w:rsidRPr="00961B95" w:rsidRDefault="00FB24C0" w:rsidP="00FB24C0">
      <w:pPr>
        <w:spacing w:after="0" w:line="240" w:lineRule="auto"/>
        <w:ind w:left="0" w:firstLine="0"/>
        <w:rPr>
          <w:color w:val="auto"/>
          <w:lang w:val="es-ES"/>
        </w:rPr>
      </w:pPr>
      <w:r w:rsidRPr="00961B95">
        <w:rPr>
          <w:color w:val="auto"/>
          <w:lang w:val="es-ES"/>
        </w:rPr>
        <w:t xml:space="preserve">No debe usar </w:t>
      </w:r>
      <w:r w:rsidR="00AA71D6">
        <w:rPr>
          <w:color w:val="auto"/>
          <w:lang w:val="es-ES"/>
        </w:rPr>
        <w:t>MVASI</w:t>
      </w:r>
      <w:r w:rsidRPr="00961B95">
        <w:rPr>
          <w:color w:val="auto"/>
          <w:lang w:val="es-ES"/>
        </w:rPr>
        <w:t xml:space="preserve"> si está embarazada. </w:t>
      </w:r>
      <w:r w:rsidR="00AA71D6">
        <w:rPr>
          <w:color w:val="auto"/>
          <w:lang w:val="es-ES"/>
        </w:rPr>
        <w:t>MVASI</w:t>
      </w:r>
      <w:r w:rsidRPr="00961B95">
        <w:rPr>
          <w:color w:val="auto"/>
          <w:lang w:val="es-ES"/>
        </w:rPr>
        <w:t xml:space="preserve"> puede dañar al feto, ya que puede frenar la formación de nuevos vasos sanguíneos. Su médico le debe advertir que utilice un método anticonceptivo durante el tratamiento con </w:t>
      </w:r>
      <w:r w:rsidR="00AA71D6">
        <w:rPr>
          <w:color w:val="auto"/>
          <w:lang w:val="es-ES"/>
        </w:rPr>
        <w:t>MVASI</w:t>
      </w:r>
      <w:r w:rsidRPr="00961B95">
        <w:rPr>
          <w:color w:val="auto"/>
          <w:lang w:val="es-ES"/>
        </w:rPr>
        <w:t xml:space="preserve"> y al menos hasta 6 meses después de la última dosis de </w:t>
      </w:r>
      <w:r w:rsidR="00AA71D6">
        <w:rPr>
          <w:color w:val="auto"/>
          <w:lang w:val="es-ES"/>
        </w:rPr>
        <w:t>MVASI</w:t>
      </w:r>
      <w:r w:rsidRPr="00961B95">
        <w:rPr>
          <w:color w:val="auto"/>
          <w:lang w:val="es-ES"/>
        </w:rPr>
        <w:t>.</w:t>
      </w:r>
    </w:p>
    <w:p w14:paraId="00D9D3B2" w14:textId="77777777" w:rsidR="00FB24C0" w:rsidRPr="00961B95" w:rsidRDefault="00FB24C0" w:rsidP="00FB24C0">
      <w:pPr>
        <w:spacing w:after="0" w:line="240" w:lineRule="auto"/>
        <w:ind w:left="0" w:firstLine="0"/>
        <w:rPr>
          <w:color w:val="auto"/>
          <w:lang w:val="es-ES"/>
        </w:rPr>
      </w:pPr>
    </w:p>
    <w:p w14:paraId="3F9AFE13" w14:textId="72A96104" w:rsidR="00FB24C0" w:rsidRPr="00961B95" w:rsidRDefault="00FB24C0" w:rsidP="00FB24C0">
      <w:pPr>
        <w:spacing w:after="0" w:line="240" w:lineRule="auto"/>
        <w:ind w:left="0" w:firstLine="0"/>
        <w:rPr>
          <w:color w:val="auto"/>
          <w:lang w:val="es-ES"/>
        </w:rPr>
      </w:pPr>
      <w:r w:rsidRPr="00961B95">
        <w:rPr>
          <w:color w:val="auto"/>
          <w:lang w:val="es-ES"/>
        </w:rPr>
        <w:t xml:space="preserve">Informe de inmediato a su médico si ya está embarazada, si se queda embarazada durante el tratamiento con </w:t>
      </w:r>
      <w:r w:rsidR="00D4188A">
        <w:rPr>
          <w:color w:val="auto"/>
          <w:lang w:val="es-ES"/>
        </w:rPr>
        <w:t>este medicamento</w:t>
      </w:r>
      <w:r w:rsidR="00214E52">
        <w:rPr>
          <w:color w:val="auto"/>
          <w:lang w:val="es-ES"/>
        </w:rPr>
        <w:t xml:space="preserve"> </w:t>
      </w:r>
      <w:r w:rsidRPr="00961B95">
        <w:rPr>
          <w:color w:val="auto"/>
          <w:lang w:val="es-ES"/>
        </w:rPr>
        <w:t>o si planea estarlo en un futuro próximo.</w:t>
      </w:r>
    </w:p>
    <w:p w14:paraId="3811FCE6" w14:textId="77777777" w:rsidR="00FB24C0" w:rsidRPr="00961B95" w:rsidRDefault="00FB24C0" w:rsidP="00FB24C0">
      <w:pPr>
        <w:spacing w:after="0" w:line="240" w:lineRule="auto"/>
        <w:ind w:left="0" w:firstLine="0"/>
        <w:rPr>
          <w:color w:val="auto"/>
          <w:lang w:val="es-ES"/>
        </w:rPr>
      </w:pPr>
    </w:p>
    <w:p w14:paraId="251FD48E" w14:textId="77777777" w:rsidR="00FB24C0" w:rsidRPr="00961B95" w:rsidRDefault="00FB24C0" w:rsidP="00FB24C0">
      <w:pPr>
        <w:spacing w:after="0" w:line="240" w:lineRule="auto"/>
        <w:ind w:left="0" w:firstLine="0"/>
        <w:rPr>
          <w:color w:val="auto"/>
          <w:lang w:val="es-ES"/>
        </w:rPr>
      </w:pPr>
      <w:r w:rsidRPr="00961B95">
        <w:rPr>
          <w:color w:val="auto"/>
          <w:lang w:val="es-ES"/>
        </w:rPr>
        <w:t xml:space="preserve">No debe dar el pecho a su bebé durante el tratamiento con </w:t>
      </w:r>
      <w:r w:rsidR="00AA71D6">
        <w:rPr>
          <w:color w:val="auto"/>
          <w:lang w:val="es-ES"/>
        </w:rPr>
        <w:t>MVASI</w:t>
      </w:r>
      <w:r w:rsidRPr="00961B95">
        <w:rPr>
          <w:color w:val="auto"/>
          <w:lang w:val="es-ES"/>
        </w:rPr>
        <w:t xml:space="preserve"> y al menos hasta 6 meses después de la última dosis de </w:t>
      </w:r>
      <w:r w:rsidR="00AA71D6">
        <w:rPr>
          <w:color w:val="auto"/>
          <w:lang w:val="es-ES"/>
        </w:rPr>
        <w:t>MVASI</w:t>
      </w:r>
      <w:r w:rsidRPr="00961B95">
        <w:rPr>
          <w:color w:val="auto"/>
          <w:lang w:val="es-ES"/>
        </w:rPr>
        <w:t>, ya que este medicamento puede interferir en el crecimiento y desarrollo de su bebé.</w:t>
      </w:r>
    </w:p>
    <w:p w14:paraId="512A0C9F" w14:textId="77777777" w:rsidR="00FB24C0" w:rsidRPr="00961B95" w:rsidRDefault="00FB24C0" w:rsidP="00FB24C0">
      <w:pPr>
        <w:spacing w:after="0" w:line="240" w:lineRule="auto"/>
        <w:ind w:left="0" w:firstLine="0"/>
        <w:rPr>
          <w:color w:val="auto"/>
          <w:lang w:val="es-ES"/>
        </w:rPr>
      </w:pPr>
    </w:p>
    <w:p w14:paraId="55332313" w14:textId="77777777" w:rsidR="00FB24C0" w:rsidRPr="00961B95" w:rsidRDefault="00AA71D6" w:rsidP="00FB24C0">
      <w:pPr>
        <w:spacing w:after="0" w:line="240" w:lineRule="auto"/>
        <w:ind w:left="0" w:firstLine="0"/>
        <w:rPr>
          <w:color w:val="auto"/>
          <w:lang w:val="es-ES"/>
        </w:rPr>
      </w:pPr>
      <w:r>
        <w:rPr>
          <w:color w:val="auto"/>
          <w:lang w:val="es-ES"/>
        </w:rPr>
        <w:t>MVASI</w:t>
      </w:r>
      <w:r w:rsidR="00FB24C0" w:rsidRPr="00961B95">
        <w:rPr>
          <w:color w:val="auto"/>
          <w:lang w:val="es-ES"/>
        </w:rPr>
        <w:t xml:space="preserve"> puede afectar la fertilidad femenina. Consulte con su médico para más información.</w:t>
      </w:r>
    </w:p>
    <w:p w14:paraId="25D57EA6" w14:textId="77777777" w:rsidR="00FB24C0" w:rsidRPr="00961B95" w:rsidRDefault="00FB24C0" w:rsidP="00FB24C0">
      <w:pPr>
        <w:spacing w:after="0" w:line="240" w:lineRule="auto"/>
        <w:ind w:left="0" w:firstLine="0"/>
        <w:rPr>
          <w:color w:val="auto"/>
          <w:lang w:val="es-ES"/>
        </w:rPr>
      </w:pPr>
    </w:p>
    <w:p w14:paraId="0A686B9E" w14:textId="77777777" w:rsidR="00FB24C0" w:rsidRPr="00961B95" w:rsidRDefault="00FB24C0" w:rsidP="00FB24C0">
      <w:pPr>
        <w:spacing w:after="0" w:line="240" w:lineRule="auto"/>
        <w:ind w:left="0" w:firstLine="0"/>
        <w:rPr>
          <w:color w:val="auto"/>
          <w:lang w:val="es-ES"/>
        </w:rPr>
      </w:pPr>
      <w:r w:rsidRPr="00961B95">
        <w:rPr>
          <w:color w:val="auto"/>
          <w:lang w:val="es-ES"/>
        </w:rPr>
        <w:t>Consulte a su médico, farmacéutico o enfermero antes de utilizar cualquier medicamento.</w:t>
      </w:r>
    </w:p>
    <w:p w14:paraId="62F5408C" w14:textId="77777777" w:rsidR="00FB24C0" w:rsidRPr="00961B95" w:rsidRDefault="00FB24C0" w:rsidP="00FB24C0">
      <w:pPr>
        <w:spacing w:after="0" w:line="240" w:lineRule="auto"/>
        <w:ind w:left="0" w:firstLine="0"/>
        <w:rPr>
          <w:color w:val="auto"/>
          <w:lang w:val="es-ES"/>
        </w:rPr>
      </w:pPr>
    </w:p>
    <w:p w14:paraId="75BA24E1" w14:textId="77777777" w:rsidR="00FB24C0" w:rsidRPr="00961B95" w:rsidRDefault="00FB24C0" w:rsidP="00682ECE">
      <w:pPr>
        <w:keepNext/>
        <w:spacing w:after="0" w:line="240" w:lineRule="auto"/>
        <w:ind w:left="0" w:firstLine="0"/>
        <w:rPr>
          <w:b/>
          <w:color w:val="auto"/>
          <w:lang w:val="es-ES"/>
        </w:rPr>
      </w:pPr>
      <w:r w:rsidRPr="00961B95">
        <w:rPr>
          <w:b/>
          <w:color w:val="auto"/>
          <w:lang w:val="es-ES"/>
        </w:rPr>
        <w:t>Conducción y uso de máquinas</w:t>
      </w:r>
    </w:p>
    <w:p w14:paraId="0125CCC5" w14:textId="77777777" w:rsidR="00682ECE" w:rsidRPr="00961B95" w:rsidRDefault="00682ECE" w:rsidP="00682ECE">
      <w:pPr>
        <w:keepNext/>
        <w:spacing w:after="0" w:line="240" w:lineRule="auto"/>
        <w:ind w:left="0" w:firstLine="0"/>
        <w:rPr>
          <w:color w:val="auto"/>
          <w:lang w:val="es-ES"/>
        </w:rPr>
      </w:pPr>
    </w:p>
    <w:p w14:paraId="222D4CF4" w14:textId="77777777" w:rsidR="00FB24C0" w:rsidRPr="00961B95" w:rsidRDefault="00FB24C0" w:rsidP="00FB24C0">
      <w:pPr>
        <w:spacing w:after="0" w:line="240" w:lineRule="auto"/>
        <w:ind w:left="0" w:firstLine="0"/>
        <w:rPr>
          <w:color w:val="auto"/>
          <w:lang w:val="es-ES"/>
        </w:rPr>
      </w:pPr>
      <w:r w:rsidRPr="00961B95">
        <w:rPr>
          <w:color w:val="auto"/>
          <w:lang w:val="es-ES"/>
        </w:rPr>
        <w:t xml:space="preserve">No se ha observado que </w:t>
      </w:r>
      <w:r w:rsidR="00AA71D6">
        <w:rPr>
          <w:color w:val="auto"/>
          <w:lang w:val="es-ES"/>
        </w:rPr>
        <w:t>MVASI</w:t>
      </w:r>
      <w:r w:rsidR="00173D95">
        <w:rPr>
          <w:color w:val="auto"/>
          <w:lang w:val="es-ES"/>
        </w:rPr>
        <w:t xml:space="preserve"> </w:t>
      </w:r>
      <w:r w:rsidRPr="00961B95">
        <w:rPr>
          <w:color w:val="auto"/>
          <w:lang w:val="es-ES"/>
        </w:rPr>
        <w:t xml:space="preserve">pueda disminuir su capacidad para conducir o manejar herramientas o máquinas. Sin embargo, se han comunicado somnolencia y desmayos con el uso de </w:t>
      </w:r>
      <w:r w:rsidR="00AA71D6">
        <w:rPr>
          <w:color w:val="auto"/>
          <w:lang w:val="es-ES"/>
        </w:rPr>
        <w:t>MVASI</w:t>
      </w:r>
      <w:r w:rsidRPr="00961B95">
        <w:rPr>
          <w:color w:val="auto"/>
          <w:lang w:val="es-ES"/>
        </w:rPr>
        <w:t>. Si usted experimenta síntomas que afectan su visión o concentración, o su capacidad de reacción, no conduzca ni utilice máquinas hasta que los síntomas desaparezcan.</w:t>
      </w:r>
    </w:p>
    <w:p w14:paraId="79FB63E6" w14:textId="77777777" w:rsidR="004915A6" w:rsidRDefault="004915A6" w:rsidP="004915A6">
      <w:pPr>
        <w:spacing w:after="0" w:line="240" w:lineRule="auto"/>
        <w:ind w:left="0" w:firstLine="0"/>
        <w:rPr>
          <w:color w:val="auto"/>
          <w:lang w:val="es-ES"/>
        </w:rPr>
      </w:pPr>
    </w:p>
    <w:p w14:paraId="3C34641E" w14:textId="77777777" w:rsidR="004915A6" w:rsidRDefault="004915A6" w:rsidP="004915A6">
      <w:pPr>
        <w:spacing w:after="0" w:line="240" w:lineRule="auto"/>
        <w:ind w:left="0" w:firstLine="0"/>
        <w:rPr>
          <w:b/>
          <w:color w:val="auto"/>
          <w:lang w:val="es-ES"/>
        </w:rPr>
      </w:pPr>
      <w:r>
        <w:rPr>
          <w:b/>
          <w:color w:val="auto"/>
          <w:lang w:val="es-ES"/>
        </w:rPr>
        <w:t>MVASI contiene sodio</w:t>
      </w:r>
    </w:p>
    <w:p w14:paraId="40F1AC96" w14:textId="77777777" w:rsidR="004915A6" w:rsidRDefault="004915A6" w:rsidP="004915A6">
      <w:pPr>
        <w:spacing w:after="0" w:line="240" w:lineRule="auto"/>
        <w:ind w:left="0" w:firstLine="0"/>
        <w:rPr>
          <w:color w:val="auto"/>
          <w:lang w:val="es-ES"/>
        </w:rPr>
      </w:pPr>
    </w:p>
    <w:p w14:paraId="1276E098" w14:textId="77777777" w:rsidR="004915A6" w:rsidRDefault="004915A6" w:rsidP="004915A6">
      <w:pPr>
        <w:spacing w:after="0" w:line="240" w:lineRule="auto"/>
        <w:ind w:left="0" w:firstLine="0"/>
        <w:rPr>
          <w:color w:val="auto"/>
          <w:u w:val="single"/>
          <w:lang w:val="es-ES"/>
        </w:rPr>
      </w:pPr>
      <w:r>
        <w:rPr>
          <w:color w:val="auto"/>
          <w:u w:val="single"/>
          <w:lang w:val="es-ES"/>
        </w:rPr>
        <w:t>MVASI 25 mg/ml concentrado para solución para perfusión (4 ml)</w:t>
      </w:r>
    </w:p>
    <w:p w14:paraId="7592E27C" w14:textId="77777777" w:rsidR="004915A6" w:rsidRDefault="004915A6" w:rsidP="004915A6">
      <w:pPr>
        <w:spacing w:after="0" w:line="240" w:lineRule="auto"/>
        <w:ind w:left="0" w:firstLine="0"/>
        <w:rPr>
          <w:color w:val="auto"/>
          <w:lang w:val="es-ES"/>
        </w:rPr>
      </w:pPr>
    </w:p>
    <w:p w14:paraId="1F07A2E3" w14:textId="0E592D6E" w:rsidR="004915A6" w:rsidRDefault="004915A6" w:rsidP="004915A6">
      <w:pPr>
        <w:spacing w:after="0" w:line="240" w:lineRule="auto"/>
        <w:ind w:left="0" w:firstLine="0"/>
        <w:rPr>
          <w:color w:val="auto"/>
          <w:lang w:val="es-ES"/>
        </w:rPr>
      </w:pPr>
      <w:r>
        <w:rPr>
          <w:color w:val="auto"/>
          <w:lang w:val="es-ES"/>
        </w:rPr>
        <w:t xml:space="preserve">Este medicamento contiene </w:t>
      </w:r>
      <w:r w:rsidR="003A3BC9">
        <w:rPr>
          <w:color w:val="auto"/>
          <w:lang w:val="es-ES"/>
        </w:rPr>
        <w:t xml:space="preserve">5,4 </w:t>
      </w:r>
      <w:r>
        <w:rPr>
          <w:color w:val="auto"/>
          <w:lang w:val="es-ES"/>
        </w:rPr>
        <w:t>mg de sodio (componente principal de la sal de mesa/para cocinar) en cada vial de 4 ml. Esto equivale al 0,</w:t>
      </w:r>
      <w:r w:rsidR="003A3BC9">
        <w:rPr>
          <w:color w:val="auto"/>
          <w:lang w:val="es-ES"/>
        </w:rPr>
        <w:t>3</w:t>
      </w:r>
      <w:r>
        <w:rPr>
          <w:color w:val="auto"/>
          <w:lang w:val="es-ES"/>
        </w:rPr>
        <w:t xml:space="preserve">% de la ingesta diaria máxima de sodio recomendada para un adulto. </w:t>
      </w:r>
    </w:p>
    <w:p w14:paraId="0300B16A" w14:textId="77777777" w:rsidR="004915A6" w:rsidRDefault="004915A6" w:rsidP="004915A6">
      <w:pPr>
        <w:spacing w:after="0" w:line="240" w:lineRule="auto"/>
        <w:ind w:left="0" w:firstLine="0"/>
        <w:rPr>
          <w:color w:val="auto"/>
          <w:lang w:val="es-ES"/>
        </w:rPr>
      </w:pPr>
    </w:p>
    <w:p w14:paraId="4CA2E5E8" w14:textId="77777777" w:rsidR="004915A6" w:rsidRDefault="004915A6" w:rsidP="004915A6">
      <w:pPr>
        <w:spacing w:after="0" w:line="240" w:lineRule="auto"/>
        <w:ind w:left="0" w:firstLine="0"/>
        <w:rPr>
          <w:color w:val="auto"/>
          <w:u w:val="single"/>
          <w:lang w:val="es-ES"/>
        </w:rPr>
      </w:pPr>
      <w:r>
        <w:rPr>
          <w:color w:val="auto"/>
          <w:u w:val="single"/>
          <w:lang w:val="es-ES"/>
        </w:rPr>
        <w:t>MVASI 25 mg/ml concentrado para solución para perfusión (16 ml)</w:t>
      </w:r>
    </w:p>
    <w:p w14:paraId="205ACA2E" w14:textId="77777777" w:rsidR="004915A6" w:rsidRDefault="004915A6" w:rsidP="004915A6">
      <w:pPr>
        <w:spacing w:after="0" w:line="240" w:lineRule="auto"/>
        <w:ind w:left="0" w:firstLine="0"/>
        <w:rPr>
          <w:color w:val="auto"/>
          <w:lang w:val="es-ES"/>
        </w:rPr>
      </w:pPr>
    </w:p>
    <w:p w14:paraId="560B0979" w14:textId="77F49696" w:rsidR="004915A6" w:rsidRDefault="004915A6" w:rsidP="004915A6">
      <w:pPr>
        <w:spacing w:after="0" w:line="240" w:lineRule="auto"/>
        <w:ind w:left="0" w:firstLine="0"/>
        <w:rPr>
          <w:color w:val="auto"/>
          <w:lang w:val="es-ES"/>
        </w:rPr>
      </w:pPr>
      <w:r>
        <w:rPr>
          <w:color w:val="auto"/>
          <w:lang w:val="es-ES"/>
        </w:rPr>
        <w:t xml:space="preserve">Este medicamento contiene </w:t>
      </w:r>
      <w:r w:rsidR="003A3BC9">
        <w:rPr>
          <w:color w:val="auto"/>
          <w:lang w:val="es-ES"/>
        </w:rPr>
        <w:t>21,7</w:t>
      </w:r>
      <w:r>
        <w:rPr>
          <w:color w:val="auto"/>
          <w:lang w:val="es-ES"/>
        </w:rPr>
        <w:t xml:space="preserve"> mg de sodio (componente principal de la sal de mesa/para cocinar) en cada vial de 16 ml. Esto equivale al </w:t>
      </w:r>
      <w:r w:rsidR="003A3BC9">
        <w:rPr>
          <w:color w:val="auto"/>
          <w:lang w:val="es-ES"/>
        </w:rPr>
        <w:t>1,1</w:t>
      </w:r>
      <w:r>
        <w:rPr>
          <w:color w:val="auto"/>
          <w:lang w:val="es-ES"/>
        </w:rPr>
        <w:t xml:space="preserve">% de la ingesta diaria máxima de sodio recomendada para un adulto. </w:t>
      </w:r>
    </w:p>
    <w:p w14:paraId="3EEDE6A3" w14:textId="77777777" w:rsidR="00FB24C0" w:rsidRPr="00961B95" w:rsidRDefault="00FB24C0" w:rsidP="00FB24C0">
      <w:pPr>
        <w:spacing w:after="0" w:line="240" w:lineRule="auto"/>
        <w:ind w:left="0" w:firstLine="0"/>
        <w:rPr>
          <w:color w:val="auto"/>
          <w:lang w:val="es-ES"/>
        </w:rPr>
      </w:pPr>
    </w:p>
    <w:p w14:paraId="47B5D0D2" w14:textId="77777777" w:rsidR="00FB24C0" w:rsidRPr="00961B95" w:rsidRDefault="00FB24C0" w:rsidP="00FB24C0">
      <w:pPr>
        <w:spacing w:after="0" w:line="240" w:lineRule="auto"/>
        <w:ind w:left="0" w:firstLine="0"/>
        <w:rPr>
          <w:color w:val="auto"/>
          <w:lang w:val="es-ES"/>
        </w:rPr>
      </w:pPr>
    </w:p>
    <w:p w14:paraId="2518E31B" w14:textId="77777777" w:rsidR="00FB24C0" w:rsidRPr="00682ECE" w:rsidRDefault="00FB24C0" w:rsidP="00682ECE">
      <w:pPr>
        <w:keepNext/>
        <w:spacing w:after="0" w:line="240" w:lineRule="auto"/>
        <w:ind w:left="567" w:hanging="567"/>
        <w:rPr>
          <w:b/>
          <w:color w:val="auto"/>
          <w:lang w:val="es-ES"/>
        </w:rPr>
      </w:pPr>
      <w:r w:rsidRPr="00443040">
        <w:rPr>
          <w:b/>
          <w:color w:val="auto"/>
          <w:lang w:val="es-ES"/>
        </w:rPr>
        <w:t>3.</w:t>
      </w:r>
      <w:r w:rsidRPr="00443040">
        <w:rPr>
          <w:b/>
          <w:color w:val="auto"/>
          <w:lang w:val="es-ES"/>
        </w:rPr>
        <w:tab/>
        <w:t xml:space="preserve">Cómo usar </w:t>
      </w:r>
      <w:r w:rsidR="00AA71D6">
        <w:rPr>
          <w:b/>
          <w:color w:val="auto"/>
          <w:lang w:val="es-ES"/>
        </w:rPr>
        <w:t>MVASI</w:t>
      </w:r>
    </w:p>
    <w:p w14:paraId="46CD3BFB" w14:textId="77777777" w:rsidR="00FB24C0" w:rsidRPr="00961B95" w:rsidRDefault="00FB24C0" w:rsidP="00682ECE">
      <w:pPr>
        <w:keepNext/>
        <w:spacing w:after="0" w:line="240" w:lineRule="auto"/>
        <w:ind w:left="0" w:firstLine="0"/>
        <w:rPr>
          <w:color w:val="auto"/>
          <w:lang w:val="es-ES"/>
        </w:rPr>
      </w:pPr>
    </w:p>
    <w:p w14:paraId="4A82D65D" w14:textId="77777777" w:rsidR="00FB24C0" w:rsidRPr="00961B95" w:rsidRDefault="00FB24C0" w:rsidP="00682ECE">
      <w:pPr>
        <w:keepNext/>
        <w:spacing w:after="0" w:line="240" w:lineRule="auto"/>
        <w:ind w:left="0" w:firstLine="0"/>
        <w:rPr>
          <w:b/>
          <w:color w:val="auto"/>
          <w:lang w:val="es-ES"/>
        </w:rPr>
      </w:pPr>
      <w:r w:rsidRPr="00961B95">
        <w:rPr>
          <w:b/>
          <w:color w:val="auto"/>
          <w:lang w:val="es-ES"/>
        </w:rPr>
        <w:t>Dosis y frecuencia de administración</w:t>
      </w:r>
    </w:p>
    <w:p w14:paraId="186680E2" w14:textId="77777777" w:rsidR="00682ECE" w:rsidRPr="00961B95" w:rsidRDefault="00682ECE" w:rsidP="00682ECE">
      <w:pPr>
        <w:keepNext/>
        <w:spacing w:after="0" w:line="240" w:lineRule="auto"/>
        <w:ind w:left="0" w:firstLine="0"/>
        <w:rPr>
          <w:color w:val="auto"/>
          <w:lang w:val="es-ES"/>
        </w:rPr>
      </w:pPr>
    </w:p>
    <w:p w14:paraId="2F6B2270" w14:textId="77777777" w:rsidR="00FB24C0" w:rsidRPr="00961B95" w:rsidRDefault="00FB24C0" w:rsidP="00FB24C0">
      <w:pPr>
        <w:spacing w:after="0" w:line="240" w:lineRule="auto"/>
        <w:ind w:left="0" w:firstLine="0"/>
        <w:rPr>
          <w:color w:val="auto"/>
          <w:lang w:val="es-ES"/>
        </w:rPr>
      </w:pPr>
      <w:r w:rsidRPr="00961B95">
        <w:rPr>
          <w:color w:val="auto"/>
          <w:lang w:val="es-ES"/>
        </w:rPr>
        <w:t xml:space="preserve">La dosis de </w:t>
      </w:r>
      <w:r w:rsidR="00AA71D6">
        <w:rPr>
          <w:color w:val="auto"/>
          <w:lang w:val="es-ES"/>
        </w:rPr>
        <w:t>MVASI</w:t>
      </w:r>
      <w:r w:rsidRPr="00961B95">
        <w:rPr>
          <w:color w:val="auto"/>
          <w:lang w:val="es-ES"/>
        </w:rPr>
        <w:t xml:space="preserve"> necesaria depende de su peso y del tipo de cáncer a ser tratado. La dosis recomendada es de 5 mg, 7,5 mg, 10 mg o 15 mg por kilogramo de peso corporal. Su médico le recetará la dosis de </w:t>
      </w:r>
      <w:r w:rsidR="00AA71D6">
        <w:rPr>
          <w:color w:val="auto"/>
          <w:lang w:val="es-ES"/>
        </w:rPr>
        <w:t>MVASI</w:t>
      </w:r>
      <w:r w:rsidRPr="00961B95">
        <w:rPr>
          <w:color w:val="auto"/>
          <w:lang w:val="es-ES"/>
        </w:rPr>
        <w:t xml:space="preserve"> más adecuada en su caso, y será tratado con </w:t>
      </w:r>
      <w:r w:rsidR="00AA71D6">
        <w:rPr>
          <w:color w:val="auto"/>
          <w:lang w:val="es-ES"/>
        </w:rPr>
        <w:t>MVASI</w:t>
      </w:r>
      <w:r w:rsidRPr="00961B95">
        <w:rPr>
          <w:color w:val="auto"/>
          <w:lang w:val="es-ES"/>
        </w:rPr>
        <w:t xml:space="preserve"> una vez cada 2 o 3 semanas. El número de perfusiones que reciba dependerá de cómo responda al tratamiento y debe continuarlo hasta que </w:t>
      </w:r>
      <w:r w:rsidR="00AA71D6">
        <w:rPr>
          <w:color w:val="auto"/>
          <w:lang w:val="es-ES"/>
        </w:rPr>
        <w:t>MVASI</w:t>
      </w:r>
      <w:r w:rsidRPr="00961B95">
        <w:rPr>
          <w:color w:val="auto"/>
          <w:lang w:val="es-ES"/>
        </w:rPr>
        <w:t xml:space="preserve"> no pueda frenar el crecimiento del tumor. Su médico le comentará estos aspectos.</w:t>
      </w:r>
    </w:p>
    <w:p w14:paraId="3C14EF57" w14:textId="77777777" w:rsidR="00FB24C0" w:rsidRPr="00961B95" w:rsidRDefault="00FB24C0" w:rsidP="00FB24C0">
      <w:pPr>
        <w:spacing w:after="0" w:line="240" w:lineRule="auto"/>
        <w:ind w:left="0" w:firstLine="0"/>
        <w:rPr>
          <w:color w:val="auto"/>
          <w:lang w:val="es-ES"/>
        </w:rPr>
      </w:pPr>
    </w:p>
    <w:p w14:paraId="0A2EAF7B" w14:textId="77777777" w:rsidR="00FB24C0" w:rsidRPr="00961B95" w:rsidRDefault="00FB24C0" w:rsidP="00601F7E">
      <w:pPr>
        <w:keepNext/>
        <w:spacing w:after="0" w:line="240" w:lineRule="auto"/>
        <w:ind w:left="0" w:firstLine="0"/>
        <w:rPr>
          <w:b/>
          <w:color w:val="auto"/>
          <w:lang w:val="es-ES"/>
        </w:rPr>
      </w:pPr>
      <w:r w:rsidRPr="00961B95">
        <w:rPr>
          <w:b/>
          <w:color w:val="auto"/>
          <w:lang w:val="es-ES"/>
        </w:rPr>
        <w:lastRenderedPageBreak/>
        <w:t>Forma y vía de administración</w:t>
      </w:r>
    </w:p>
    <w:p w14:paraId="3C0EB11D" w14:textId="77777777" w:rsidR="00601F7E" w:rsidRPr="00961B95" w:rsidRDefault="00601F7E" w:rsidP="00601F7E">
      <w:pPr>
        <w:keepNext/>
        <w:spacing w:after="0" w:line="240" w:lineRule="auto"/>
        <w:ind w:left="0" w:firstLine="0"/>
        <w:rPr>
          <w:color w:val="auto"/>
          <w:lang w:val="es-ES"/>
        </w:rPr>
      </w:pPr>
    </w:p>
    <w:p w14:paraId="1AAD7E8D" w14:textId="498CAFDF" w:rsidR="00FB24C0" w:rsidRPr="00961B95" w:rsidRDefault="00EE0FE2" w:rsidP="00FB24C0">
      <w:pPr>
        <w:spacing w:after="0" w:line="240" w:lineRule="auto"/>
        <w:ind w:left="0" w:firstLine="0"/>
        <w:rPr>
          <w:color w:val="auto"/>
          <w:lang w:val="es-ES"/>
        </w:rPr>
      </w:pPr>
      <w:r w:rsidRPr="00EE0FE2">
        <w:rPr>
          <w:color w:val="auto"/>
          <w:lang w:val="es-ES"/>
        </w:rPr>
        <w:t>No agitar el vial.</w:t>
      </w:r>
      <w:r>
        <w:rPr>
          <w:color w:val="auto"/>
          <w:lang w:val="es-ES"/>
        </w:rPr>
        <w:t xml:space="preserve"> </w:t>
      </w:r>
      <w:r w:rsidR="00AA71D6">
        <w:rPr>
          <w:color w:val="auto"/>
          <w:lang w:val="es-ES"/>
        </w:rPr>
        <w:t>MVASI</w:t>
      </w:r>
      <w:r w:rsidR="00FB24C0" w:rsidRPr="00961B95">
        <w:rPr>
          <w:color w:val="auto"/>
          <w:lang w:val="es-ES"/>
        </w:rPr>
        <w:t xml:space="preserve"> es un concentrado para solución para perfusión. Dependiendo de la dosis que le hayan recetado, una fracción o todo el contenido del vial de </w:t>
      </w:r>
      <w:r w:rsidR="00AA71D6">
        <w:rPr>
          <w:color w:val="auto"/>
          <w:lang w:val="es-ES"/>
        </w:rPr>
        <w:t>MVASI</w:t>
      </w:r>
      <w:r w:rsidR="00FB24C0" w:rsidRPr="00961B95">
        <w:rPr>
          <w:color w:val="auto"/>
          <w:lang w:val="es-ES"/>
        </w:rPr>
        <w:t xml:space="preserve"> se diluirá con solución de cloruro sódico antes de su administración. Un médico o enfermero/a le administrará esta solución diluida de </w:t>
      </w:r>
      <w:r w:rsidR="00AA71D6">
        <w:rPr>
          <w:color w:val="auto"/>
          <w:lang w:val="es-ES"/>
        </w:rPr>
        <w:t>MVASI</w:t>
      </w:r>
      <w:r w:rsidR="00FB24C0" w:rsidRPr="00961B95">
        <w:rPr>
          <w:color w:val="auto"/>
          <w:lang w:val="es-ES"/>
        </w:rPr>
        <w:t xml:space="preserve"> como perfusión intravenosa (por goteo en sus venas). La primera perfusión se administrará durante 90 minutos. Si tolera bien esta perfusión, la segunda se podrá administrar durante 60 minutos. Las perfusiones posteriores se podrán administrar durante 30 minutos.</w:t>
      </w:r>
    </w:p>
    <w:p w14:paraId="0CDCB8F9" w14:textId="77777777" w:rsidR="00FB24C0" w:rsidRPr="00961B95" w:rsidRDefault="00FB24C0" w:rsidP="00FB24C0">
      <w:pPr>
        <w:spacing w:after="0" w:line="240" w:lineRule="auto"/>
        <w:ind w:left="0" w:firstLine="0"/>
        <w:rPr>
          <w:color w:val="auto"/>
          <w:lang w:val="es-ES"/>
        </w:rPr>
      </w:pPr>
    </w:p>
    <w:p w14:paraId="0AB0E275" w14:textId="32A1F611" w:rsidR="00FB24C0" w:rsidRPr="00961B95" w:rsidRDefault="00FB24C0" w:rsidP="00EF0812">
      <w:pPr>
        <w:keepNext/>
        <w:keepLines/>
        <w:spacing w:after="0" w:line="240" w:lineRule="auto"/>
        <w:ind w:left="0" w:firstLine="0"/>
        <w:rPr>
          <w:b/>
          <w:color w:val="auto"/>
          <w:lang w:val="es-ES"/>
        </w:rPr>
      </w:pPr>
      <w:r w:rsidRPr="00961B95">
        <w:rPr>
          <w:b/>
          <w:color w:val="auto"/>
          <w:lang w:val="es-ES"/>
        </w:rPr>
        <w:t xml:space="preserve">La administración de </w:t>
      </w:r>
      <w:r w:rsidR="00AA71D6">
        <w:rPr>
          <w:b/>
          <w:color w:val="auto"/>
          <w:lang w:val="es-ES"/>
        </w:rPr>
        <w:t>MVASI</w:t>
      </w:r>
      <w:r w:rsidRPr="00961B95">
        <w:rPr>
          <w:b/>
          <w:color w:val="auto"/>
          <w:lang w:val="es-ES"/>
        </w:rPr>
        <w:t xml:space="preserve"> </w:t>
      </w:r>
      <w:r w:rsidR="007F3DA8">
        <w:rPr>
          <w:b/>
          <w:color w:val="auto"/>
          <w:lang w:val="es-ES"/>
        </w:rPr>
        <w:t xml:space="preserve">se </w:t>
      </w:r>
      <w:r w:rsidRPr="00961B95">
        <w:rPr>
          <w:b/>
          <w:color w:val="auto"/>
          <w:lang w:val="es-ES"/>
        </w:rPr>
        <w:t>debe interrumpir</w:t>
      </w:r>
      <w:r w:rsidR="007F3DA8">
        <w:rPr>
          <w:b/>
          <w:color w:val="auto"/>
          <w:lang w:val="es-ES"/>
        </w:rPr>
        <w:t xml:space="preserve"> de forma</w:t>
      </w:r>
      <w:r w:rsidRPr="00961B95">
        <w:rPr>
          <w:b/>
          <w:color w:val="auto"/>
          <w:lang w:val="es-ES"/>
        </w:rPr>
        <w:t xml:space="preserve"> temporal:</w:t>
      </w:r>
    </w:p>
    <w:p w14:paraId="3EEC463F" w14:textId="77777777" w:rsidR="00601F7E" w:rsidRPr="00961B95" w:rsidRDefault="00601F7E" w:rsidP="00EF0812">
      <w:pPr>
        <w:keepNext/>
        <w:keepLines/>
        <w:spacing w:after="0" w:line="240" w:lineRule="auto"/>
        <w:ind w:left="0" w:firstLine="0"/>
        <w:rPr>
          <w:color w:val="auto"/>
          <w:lang w:val="es-ES"/>
        </w:rPr>
      </w:pPr>
    </w:p>
    <w:p w14:paraId="094FAB04" w14:textId="77777777" w:rsidR="00FB24C0" w:rsidRPr="00443040" w:rsidRDefault="00FB24C0" w:rsidP="00EF0812">
      <w:pPr>
        <w:keepNext/>
        <w:keepLines/>
        <w:numPr>
          <w:ilvl w:val="0"/>
          <w:numId w:val="13"/>
        </w:numPr>
        <w:spacing w:after="0" w:line="240" w:lineRule="auto"/>
        <w:ind w:left="567" w:hanging="567"/>
        <w:rPr>
          <w:color w:val="auto"/>
          <w:lang w:val="es-ES"/>
        </w:rPr>
      </w:pPr>
      <w:proofErr w:type="spellStart"/>
      <w:r w:rsidRPr="00443040">
        <w:rPr>
          <w:color w:val="auto"/>
          <w:lang w:val="es-ES"/>
        </w:rPr>
        <w:t>si</w:t>
      </w:r>
      <w:proofErr w:type="spellEnd"/>
      <w:r w:rsidRPr="00443040">
        <w:rPr>
          <w:color w:val="auto"/>
          <w:lang w:val="es-ES"/>
        </w:rPr>
        <w:t xml:space="preserve"> desarrolla hipertensión grave que requiera tratamiento con medicamentos para la tensión,</w:t>
      </w:r>
    </w:p>
    <w:p w14:paraId="506080E8" w14:textId="77777777" w:rsidR="00FB24C0" w:rsidRPr="00443040" w:rsidRDefault="00FB24C0" w:rsidP="00EF0812">
      <w:pPr>
        <w:keepNext/>
        <w:keepLines/>
        <w:numPr>
          <w:ilvl w:val="0"/>
          <w:numId w:val="13"/>
        </w:numPr>
        <w:spacing w:after="0" w:line="240" w:lineRule="auto"/>
        <w:ind w:left="567" w:hanging="567"/>
        <w:rPr>
          <w:color w:val="auto"/>
          <w:lang w:val="es-ES"/>
        </w:rPr>
      </w:pPr>
      <w:proofErr w:type="spellStart"/>
      <w:r w:rsidRPr="00443040">
        <w:rPr>
          <w:color w:val="auto"/>
          <w:lang w:val="es-ES"/>
        </w:rPr>
        <w:t>si</w:t>
      </w:r>
      <w:proofErr w:type="spellEnd"/>
      <w:r w:rsidRPr="00443040">
        <w:rPr>
          <w:color w:val="auto"/>
          <w:lang w:val="es-ES"/>
        </w:rPr>
        <w:t xml:space="preserve"> tiene problemas de cicatrización de heridas tras la cirugía,</w:t>
      </w:r>
    </w:p>
    <w:p w14:paraId="213E36EC" w14:textId="77777777" w:rsidR="00FB24C0" w:rsidRPr="00443040" w:rsidRDefault="00FB24C0" w:rsidP="00B515AD">
      <w:pPr>
        <w:numPr>
          <w:ilvl w:val="0"/>
          <w:numId w:val="13"/>
        </w:numPr>
        <w:spacing w:after="0" w:line="240" w:lineRule="auto"/>
        <w:ind w:left="567" w:hanging="567"/>
        <w:rPr>
          <w:color w:val="auto"/>
          <w:lang w:val="es-ES"/>
        </w:rPr>
      </w:pPr>
      <w:proofErr w:type="spellStart"/>
      <w:r w:rsidRPr="00443040">
        <w:rPr>
          <w:color w:val="auto"/>
          <w:lang w:val="es-ES"/>
        </w:rPr>
        <w:t>si</w:t>
      </w:r>
      <w:proofErr w:type="spellEnd"/>
      <w:r w:rsidRPr="00443040">
        <w:rPr>
          <w:color w:val="auto"/>
          <w:lang w:val="es-ES"/>
        </w:rPr>
        <w:t xml:space="preserve"> le han operado.</w:t>
      </w:r>
    </w:p>
    <w:p w14:paraId="6ACDD220" w14:textId="77777777" w:rsidR="00FB24C0" w:rsidRPr="005C382F" w:rsidRDefault="00FB24C0" w:rsidP="00FB24C0">
      <w:pPr>
        <w:spacing w:after="0" w:line="240" w:lineRule="auto"/>
        <w:ind w:left="0" w:firstLine="0"/>
        <w:rPr>
          <w:color w:val="auto"/>
          <w:lang w:val="es-ES"/>
        </w:rPr>
      </w:pPr>
    </w:p>
    <w:p w14:paraId="75030005" w14:textId="0A69B4F5" w:rsidR="00FB24C0" w:rsidRPr="005C382F" w:rsidRDefault="00FB24C0" w:rsidP="00601F7E">
      <w:pPr>
        <w:keepNext/>
        <w:spacing w:after="0" w:line="240" w:lineRule="auto"/>
        <w:ind w:left="0" w:firstLine="0"/>
        <w:rPr>
          <w:b/>
          <w:color w:val="auto"/>
          <w:lang w:val="es-ES"/>
        </w:rPr>
      </w:pPr>
      <w:r w:rsidRPr="005C382F">
        <w:rPr>
          <w:b/>
          <w:color w:val="auto"/>
          <w:lang w:val="es-ES"/>
        </w:rPr>
        <w:t xml:space="preserve">La administración de </w:t>
      </w:r>
      <w:r w:rsidR="00AA71D6">
        <w:rPr>
          <w:b/>
          <w:color w:val="auto"/>
          <w:lang w:val="es-ES"/>
        </w:rPr>
        <w:t>MVASI</w:t>
      </w:r>
      <w:r w:rsidRPr="005C382F">
        <w:rPr>
          <w:b/>
          <w:color w:val="auto"/>
          <w:lang w:val="es-ES"/>
        </w:rPr>
        <w:t xml:space="preserve"> </w:t>
      </w:r>
      <w:r w:rsidR="007F3DA8">
        <w:rPr>
          <w:b/>
          <w:color w:val="auto"/>
          <w:lang w:val="es-ES"/>
        </w:rPr>
        <w:t xml:space="preserve">se </w:t>
      </w:r>
      <w:r w:rsidRPr="005C382F">
        <w:rPr>
          <w:b/>
          <w:color w:val="auto"/>
          <w:lang w:val="es-ES"/>
        </w:rPr>
        <w:t>debe suspender de forma permanente si tiene:</w:t>
      </w:r>
    </w:p>
    <w:p w14:paraId="0F24BD53" w14:textId="77777777" w:rsidR="00601F7E" w:rsidRPr="005C382F" w:rsidRDefault="00601F7E" w:rsidP="00601F7E">
      <w:pPr>
        <w:keepNext/>
        <w:spacing w:after="0" w:line="240" w:lineRule="auto"/>
        <w:ind w:left="0" w:firstLine="0"/>
        <w:rPr>
          <w:color w:val="auto"/>
          <w:lang w:val="es-ES"/>
        </w:rPr>
      </w:pPr>
    </w:p>
    <w:p w14:paraId="0F7FD639" w14:textId="77777777" w:rsidR="00FB24C0" w:rsidRPr="005C382F" w:rsidRDefault="00FB24C0" w:rsidP="00B515AD">
      <w:pPr>
        <w:numPr>
          <w:ilvl w:val="0"/>
          <w:numId w:val="13"/>
        </w:numPr>
        <w:spacing w:after="0" w:line="240" w:lineRule="auto"/>
        <w:ind w:left="567" w:hanging="567"/>
        <w:rPr>
          <w:color w:val="auto"/>
          <w:lang w:val="es-ES"/>
        </w:rPr>
      </w:pPr>
      <w:r w:rsidRPr="005C382F">
        <w:rPr>
          <w:color w:val="auto"/>
          <w:lang w:val="es-ES"/>
        </w:rPr>
        <w:t>hipertensión grave que no pueda ser controlada con medicamentos para la tensión; o en caso de que se produzca una subida repentina y grave de la tensión,</w:t>
      </w:r>
    </w:p>
    <w:p w14:paraId="3649FD9B" w14:textId="77777777" w:rsidR="00FB24C0" w:rsidRPr="005C382F" w:rsidRDefault="00FB24C0" w:rsidP="00B515AD">
      <w:pPr>
        <w:numPr>
          <w:ilvl w:val="0"/>
          <w:numId w:val="13"/>
        </w:numPr>
        <w:spacing w:after="0" w:line="240" w:lineRule="auto"/>
        <w:ind w:left="567" w:hanging="567"/>
        <w:rPr>
          <w:color w:val="auto"/>
          <w:lang w:val="es-ES"/>
        </w:rPr>
      </w:pPr>
      <w:r w:rsidRPr="005C382F">
        <w:rPr>
          <w:color w:val="auto"/>
          <w:lang w:val="es-ES"/>
        </w:rPr>
        <w:t>proteínas en la orina acompañado de hinchazón del cuerpo,</w:t>
      </w:r>
    </w:p>
    <w:p w14:paraId="4F93064A" w14:textId="77777777" w:rsidR="00FB24C0" w:rsidRPr="005C382F" w:rsidRDefault="00FB24C0" w:rsidP="00B515AD">
      <w:pPr>
        <w:numPr>
          <w:ilvl w:val="0"/>
          <w:numId w:val="13"/>
        </w:numPr>
        <w:spacing w:after="0" w:line="240" w:lineRule="auto"/>
        <w:ind w:left="567" w:hanging="567"/>
        <w:rPr>
          <w:color w:val="auto"/>
          <w:lang w:val="es-ES"/>
        </w:rPr>
      </w:pPr>
      <w:r w:rsidRPr="005C382F">
        <w:rPr>
          <w:color w:val="auto"/>
          <w:lang w:val="es-ES"/>
        </w:rPr>
        <w:t>una perforación en la pared del intestino,</w:t>
      </w:r>
    </w:p>
    <w:p w14:paraId="56651CB3" w14:textId="77777777" w:rsidR="00FB24C0" w:rsidRPr="005C382F" w:rsidRDefault="00FB24C0" w:rsidP="00B515AD">
      <w:pPr>
        <w:numPr>
          <w:ilvl w:val="0"/>
          <w:numId w:val="13"/>
        </w:numPr>
        <w:spacing w:after="0" w:line="240" w:lineRule="auto"/>
        <w:ind w:left="567" w:hanging="567"/>
        <w:rPr>
          <w:color w:val="auto"/>
          <w:lang w:val="es-ES"/>
        </w:rPr>
      </w:pPr>
      <w:r w:rsidRPr="005C382F">
        <w:rPr>
          <w:color w:val="auto"/>
          <w:lang w:val="es-ES"/>
        </w:rPr>
        <w:t>una comunicación anormal de tipo tubular o fistuloso entre la tráquea y el esófago (conducto que va al estómago), entre órganos internos y la piel, entre la vagina y cualquier parte del intestino o entre otros tejidos que normalmente no están conectados (fístula), y que su médico considera grave,</w:t>
      </w:r>
    </w:p>
    <w:p w14:paraId="000AD460" w14:textId="77777777" w:rsidR="00FB24C0" w:rsidRPr="005C382F" w:rsidRDefault="00FB24C0" w:rsidP="00B515AD">
      <w:pPr>
        <w:numPr>
          <w:ilvl w:val="0"/>
          <w:numId w:val="13"/>
        </w:numPr>
        <w:spacing w:after="0" w:line="240" w:lineRule="auto"/>
        <w:ind w:left="567" w:hanging="567"/>
        <w:rPr>
          <w:color w:val="auto"/>
          <w:lang w:val="es-ES"/>
        </w:rPr>
      </w:pPr>
      <w:r w:rsidRPr="005C382F">
        <w:rPr>
          <w:color w:val="auto"/>
          <w:lang w:val="es-ES"/>
        </w:rPr>
        <w:t>infecciones graves de piel o capas profundas de la piel,</w:t>
      </w:r>
    </w:p>
    <w:p w14:paraId="3A821615" w14:textId="77777777" w:rsidR="00601F7E" w:rsidRPr="005C382F" w:rsidRDefault="00FB24C0" w:rsidP="00B515AD">
      <w:pPr>
        <w:numPr>
          <w:ilvl w:val="0"/>
          <w:numId w:val="13"/>
        </w:numPr>
        <w:spacing w:after="0" w:line="240" w:lineRule="auto"/>
        <w:ind w:left="567" w:hanging="567"/>
        <w:rPr>
          <w:color w:val="auto"/>
          <w:lang w:val="es-ES"/>
        </w:rPr>
      </w:pPr>
      <w:r w:rsidRPr="005C382F">
        <w:rPr>
          <w:color w:val="auto"/>
          <w:lang w:val="es-ES"/>
        </w:rPr>
        <w:t>embolia (coágulo de sangre) en las arterias,</w:t>
      </w:r>
    </w:p>
    <w:p w14:paraId="2B95E7BE" w14:textId="77777777" w:rsidR="00FB24C0" w:rsidRPr="005C382F" w:rsidRDefault="00FB24C0" w:rsidP="00B515AD">
      <w:pPr>
        <w:numPr>
          <w:ilvl w:val="0"/>
          <w:numId w:val="13"/>
        </w:numPr>
        <w:spacing w:after="0" w:line="240" w:lineRule="auto"/>
        <w:ind w:left="567" w:hanging="567"/>
        <w:rPr>
          <w:color w:val="auto"/>
          <w:lang w:val="es-ES"/>
        </w:rPr>
      </w:pPr>
      <w:r w:rsidRPr="005C382F">
        <w:rPr>
          <w:color w:val="auto"/>
          <w:lang w:val="es-ES"/>
        </w:rPr>
        <w:t>embolia en los vasos sanguíneos pulmonares,</w:t>
      </w:r>
    </w:p>
    <w:p w14:paraId="30E82969" w14:textId="77777777" w:rsidR="00FB24C0" w:rsidRPr="005C382F" w:rsidRDefault="00FB24C0" w:rsidP="00B515AD">
      <w:pPr>
        <w:numPr>
          <w:ilvl w:val="0"/>
          <w:numId w:val="13"/>
        </w:numPr>
        <w:spacing w:after="0" w:line="240" w:lineRule="auto"/>
        <w:ind w:left="567" w:hanging="567"/>
        <w:rPr>
          <w:color w:val="auto"/>
          <w:lang w:val="es-ES"/>
        </w:rPr>
      </w:pPr>
      <w:r w:rsidRPr="005C382F">
        <w:rPr>
          <w:color w:val="auto"/>
          <w:lang w:val="es-ES"/>
        </w:rPr>
        <w:t>cualquier hemorragia grave.</w:t>
      </w:r>
    </w:p>
    <w:p w14:paraId="55895C43" w14:textId="77777777" w:rsidR="00FB24C0" w:rsidRPr="005C382F" w:rsidRDefault="00FB24C0" w:rsidP="00FB24C0">
      <w:pPr>
        <w:spacing w:after="0" w:line="240" w:lineRule="auto"/>
        <w:ind w:left="0" w:firstLine="0"/>
        <w:rPr>
          <w:color w:val="auto"/>
          <w:lang w:val="es-ES"/>
        </w:rPr>
      </w:pPr>
    </w:p>
    <w:p w14:paraId="11A55C3F" w14:textId="77777777" w:rsidR="00FB24C0" w:rsidRPr="005C382F" w:rsidRDefault="00FB24C0" w:rsidP="00D413A3">
      <w:pPr>
        <w:keepNext/>
        <w:spacing w:after="0" w:line="240" w:lineRule="auto"/>
        <w:ind w:left="0" w:firstLine="0"/>
        <w:rPr>
          <w:b/>
          <w:color w:val="auto"/>
          <w:lang w:val="es-ES"/>
        </w:rPr>
      </w:pPr>
      <w:r w:rsidRPr="005C382F">
        <w:rPr>
          <w:b/>
          <w:color w:val="auto"/>
          <w:lang w:val="es-ES"/>
        </w:rPr>
        <w:t xml:space="preserve">Si usa más </w:t>
      </w:r>
      <w:r w:rsidR="00AA71D6">
        <w:rPr>
          <w:b/>
          <w:color w:val="auto"/>
          <w:lang w:val="es-ES"/>
        </w:rPr>
        <w:t>MVASI</w:t>
      </w:r>
      <w:r w:rsidRPr="005C382F">
        <w:rPr>
          <w:b/>
          <w:color w:val="auto"/>
          <w:lang w:val="es-ES"/>
        </w:rPr>
        <w:t xml:space="preserve"> del que debe</w:t>
      </w:r>
    </w:p>
    <w:p w14:paraId="0FD09191" w14:textId="77777777" w:rsidR="00601F7E" w:rsidRPr="005C382F" w:rsidRDefault="00601F7E" w:rsidP="00D413A3">
      <w:pPr>
        <w:keepNext/>
        <w:spacing w:after="0" w:line="240" w:lineRule="auto"/>
        <w:ind w:left="0" w:firstLine="0"/>
        <w:rPr>
          <w:color w:val="auto"/>
          <w:lang w:val="es-ES"/>
        </w:rPr>
      </w:pPr>
    </w:p>
    <w:p w14:paraId="4F6D0F63" w14:textId="77777777" w:rsidR="00FB24C0" w:rsidRPr="00601F7E" w:rsidRDefault="00FB24C0" w:rsidP="00B515AD">
      <w:pPr>
        <w:numPr>
          <w:ilvl w:val="0"/>
          <w:numId w:val="13"/>
        </w:numPr>
        <w:spacing w:after="0" w:line="240" w:lineRule="auto"/>
        <w:ind w:left="567" w:hanging="567"/>
        <w:rPr>
          <w:color w:val="auto"/>
          <w:lang w:val="es-ES"/>
        </w:rPr>
      </w:pPr>
      <w:r w:rsidRPr="00601F7E">
        <w:rPr>
          <w:color w:val="auto"/>
          <w:lang w:val="es-ES"/>
        </w:rPr>
        <w:t>puede tener migraña grave. Si esto ocurriera, debe advertir a su médico, farmacéutico o enfermero inmediatamente.</w:t>
      </w:r>
    </w:p>
    <w:p w14:paraId="25F42D25" w14:textId="77777777" w:rsidR="00FB24C0" w:rsidRPr="005C382F" w:rsidRDefault="00FB24C0" w:rsidP="00FB24C0">
      <w:pPr>
        <w:spacing w:after="0" w:line="240" w:lineRule="auto"/>
        <w:ind w:left="0" w:firstLine="0"/>
        <w:rPr>
          <w:color w:val="auto"/>
          <w:lang w:val="es-ES"/>
        </w:rPr>
      </w:pPr>
    </w:p>
    <w:p w14:paraId="2374B8AA" w14:textId="77777777" w:rsidR="00FB24C0" w:rsidRPr="005C382F" w:rsidRDefault="00FB24C0" w:rsidP="00D413A3">
      <w:pPr>
        <w:keepNext/>
        <w:spacing w:after="0" w:line="240" w:lineRule="auto"/>
        <w:ind w:left="0" w:firstLine="0"/>
        <w:rPr>
          <w:b/>
          <w:color w:val="auto"/>
          <w:lang w:val="es-ES"/>
        </w:rPr>
      </w:pPr>
      <w:r w:rsidRPr="005C382F">
        <w:rPr>
          <w:b/>
          <w:color w:val="auto"/>
          <w:lang w:val="es-ES"/>
        </w:rPr>
        <w:t xml:space="preserve">Si olvidó usar </w:t>
      </w:r>
      <w:r w:rsidR="00AA71D6">
        <w:rPr>
          <w:b/>
          <w:color w:val="auto"/>
          <w:lang w:val="es-ES"/>
        </w:rPr>
        <w:t>MVASI</w:t>
      </w:r>
    </w:p>
    <w:p w14:paraId="4FDD0B87" w14:textId="77777777" w:rsidR="00D413A3" w:rsidRPr="005C382F" w:rsidRDefault="00D413A3" w:rsidP="00D413A3">
      <w:pPr>
        <w:keepNext/>
        <w:spacing w:after="0" w:line="240" w:lineRule="auto"/>
        <w:ind w:left="0" w:firstLine="0"/>
        <w:rPr>
          <w:color w:val="auto"/>
          <w:lang w:val="es-ES"/>
        </w:rPr>
      </w:pPr>
    </w:p>
    <w:p w14:paraId="6E10159A"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 xml:space="preserve">su médico decidirá cuándo se le debe administrar la siguiente dosis de </w:t>
      </w:r>
      <w:r w:rsidR="00AA71D6">
        <w:rPr>
          <w:color w:val="auto"/>
          <w:lang w:val="es-ES"/>
        </w:rPr>
        <w:t>MVASI</w:t>
      </w:r>
      <w:r w:rsidRPr="00443040">
        <w:rPr>
          <w:color w:val="auto"/>
          <w:lang w:val="es-ES"/>
        </w:rPr>
        <w:t>. Debe informar a su médico de este olvido.</w:t>
      </w:r>
    </w:p>
    <w:p w14:paraId="7A19B3CC" w14:textId="77777777" w:rsidR="00FB24C0" w:rsidRPr="005C382F" w:rsidRDefault="00FB24C0" w:rsidP="00FB24C0">
      <w:pPr>
        <w:spacing w:after="0" w:line="240" w:lineRule="auto"/>
        <w:ind w:left="0" w:firstLine="0"/>
        <w:rPr>
          <w:color w:val="auto"/>
          <w:lang w:val="es-ES"/>
        </w:rPr>
      </w:pPr>
    </w:p>
    <w:p w14:paraId="471386E1" w14:textId="77777777" w:rsidR="00FB24C0" w:rsidRPr="005C382F" w:rsidRDefault="00FB24C0" w:rsidP="009C5E43">
      <w:pPr>
        <w:keepNext/>
        <w:spacing w:after="0" w:line="240" w:lineRule="auto"/>
        <w:ind w:left="0" w:firstLine="0"/>
        <w:rPr>
          <w:b/>
          <w:color w:val="auto"/>
          <w:lang w:val="es-ES"/>
        </w:rPr>
      </w:pPr>
      <w:r w:rsidRPr="005C382F">
        <w:rPr>
          <w:b/>
          <w:color w:val="auto"/>
          <w:lang w:val="es-ES"/>
        </w:rPr>
        <w:t xml:space="preserve">Si interrumpe el tratamiento con </w:t>
      </w:r>
      <w:r w:rsidR="00AA71D6">
        <w:rPr>
          <w:b/>
          <w:color w:val="auto"/>
          <w:lang w:val="es-ES"/>
        </w:rPr>
        <w:t>MVASI</w:t>
      </w:r>
    </w:p>
    <w:p w14:paraId="532A439F" w14:textId="77777777" w:rsidR="009C5E43" w:rsidRPr="005C382F" w:rsidRDefault="009C5E43" w:rsidP="009C5E43">
      <w:pPr>
        <w:keepNext/>
        <w:spacing w:after="0" w:line="240" w:lineRule="auto"/>
        <w:ind w:left="0" w:firstLine="0"/>
        <w:rPr>
          <w:color w:val="auto"/>
          <w:lang w:val="es-ES"/>
        </w:rPr>
      </w:pPr>
    </w:p>
    <w:p w14:paraId="17711B75" w14:textId="77777777" w:rsidR="00FB24C0" w:rsidRPr="005C382F" w:rsidRDefault="00FB24C0" w:rsidP="00FB24C0">
      <w:pPr>
        <w:spacing w:after="0" w:line="240" w:lineRule="auto"/>
        <w:ind w:left="0" w:firstLine="0"/>
        <w:rPr>
          <w:color w:val="auto"/>
          <w:lang w:val="es-ES"/>
        </w:rPr>
      </w:pPr>
      <w:r w:rsidRPr="005C382F">
        <w:rPr>
          <w:color w:val="auto"/>
          <w:lang w:val="es-ES"/>
        </w:rPr>
        <w:t xml:space="preserve">La interrupción del tratamiento con </w:t>
      </w:r>
      <w:r w:rsidR="00AA71D6">
        <w:rPr>
          <w:color w:val="auto"/>
          <w:lang w:val="es-ES"/>
        </w:rPr>
        <w:t>MVASI</w:t>
      </w:r>
      <w:r w:rsidRPr="005C382F">
        <w:rPr>
          <w:color w:val="auto"/>
          <w:lang w:val="es-ES"/>
        </w:rPr>
        <w:t xml:space="preserve"> puede suprimir su efecto sobre el crecimiento del tumor. No interrumpa el tratamiento con </w:t>
      </w:r>
      <w:r w:rsidR="00AA71D6">
        <w:rPr>
          <w:color w:val="auto"/>
          <w:lang w:val="es-ES"/>
        </w:rPr>
        <w:t>MVASI</w:t>
      </w:r>
      <w:r w:rsidRPr="005C382F">
        <w:rPr>
          <w:color w:val="auto"/>
          <w:lang w:val="es-ES"/>
        </w:rPr>
        <w:t xml:space="preserve"> a menos que lo haya consultado con su médico.</w:t>
      </w:r>
    </w:p>
    <w:p w14:paraId="6937122C" w14:textId="77777777" w:rsidR="00FB24C0" w:rsidRPr="005C382F" w:rsidRDefault="00FB24C0" w:rsidP="00FB24C0">
      <w:pPr>
        <w:spacing w:after="0" w:line="240" w:lineRule="auto"/>
        <w:ind w:left="0" w:firstLine="0"/>
        <w:rPr>
          <w:color w:val="auto"/>
          <w:lang w:val="es-ES"/>
        </w:rPr>
      </w:pPr>
    </w:p>
    <w:p w14:paraId="00C10472" w14:textId="77777777" w:rsidR="00FB24C0" w:rsidRPr="005C382F" w:rsidRDefault="00FB24C0" w:rsidP="00FB24C0">
      <w:pPr>
        <w:spacing w:after="0" w:line="240" w:lineRule="auto"/>
        <w:ind w:left="0" w:firstLine="0"/>
        <w:rPr>
          <w:color w:val="auto"/>
          <w:lang w:val="es-ES"/>
        </w:rPr>
      </w:pPr>
      <w:r w:rsidRPr="005C382F">
        <w:rPr>
          <w:color w:val="auto"/>
          <w:lang w:val="es-ES"/>
        </w:rPr>
        <w:t>Si tiene cualquier otra duda sobre el uso de este medicamento, pregunte a su médico, farmacéutico o enfermero.</w:t>
      </w:r>
    </w:p>
    <w:p w14:paraId="07D43075" w14:textId="77777777" w:rsidR="00FB24C0" w:rsidRPr="005C382F" w:rsidRDefault="00FB24C0" w:rsidP="00FB24C0">
      <w:pPr>
        <w:spacing w:after="0" w:line="240" w:lineRule="auto"/>
        <w:ind w:left="0" w:firstLine="0"/>
        <w:rPr>
          <w:color w:val="auto"/>
          <w:lang w:val="es-ES"/>
        </w:rPr>
      </w:pPr>
    </w:p>
    <w:p w14:paraId="72539DF7" w14:textId="77777777" w:rsidR="00FB24C0" w:rsidRPr="005C382F" w:rsidRDefault="00FB24C0" w:rsidP="00FB24C0">
      <w:pPr>
        <w:spacing w:after="0" w:line="240" w:lineRule="auto"/>
        <w:ind w:left="0" w:firstLine="0"/>
        <w:rPr>
          <w:color w:val="auto"/>
          <w:lang w:val="es-ES"/>
        </w:rPr>
      </w:pPr>
    </w:p>
    <w:p w14:paraId="0CE0118B" w14:textId="77777777" w:rsidR="00FB24C0" w:rsidRPr="009C5E43" w:rsidRDefault="00FB24C0" w:rsidP="009C5E43">
      <w:pPr>
        <w:keepNext/>
        <w:spacing w:after="0" w:line="240" w:lineRule="auto"/>
        <w:ind w:left="567" w:hanging="567"/>
        <w:rPr>
          <w:b/>
          <w:color w:val="auto"/>
          <w:lang w:val="es-ES"/>
        </w:rPr>
      </w:pPr>
      <w:r w:rsidRPr="009C5E43">
        <w:rPr>
          <w:b/>
          <w:color w:val="auto"/>
          <w:lang w:val="es-ES"/>
        </w:rPr>
        <w:t>4.</w:t>
      </w:r>
      <w:r w:rsidRPr="009C5E43">
        <w:rPr>
          <w:b/>
          <w:color w:val="auto"/>
          <w:lang w:val="es-ES"/>
        </w:rPr>
        <w:tab/>
        <w:t>Posibles efectos adversos</w:t>
      </w:r>
    </w:p>
    <w:p w14:paraId="0B0DC6A9" w14:textId="77777777" w:rsidR="00FB24C0" w:rsidRPr="00443040" w:rsidRDefault="00FB24C0" w:rsidP="009C5E43">
      <w:pPr>
        <w:keepNext/>
        <w:spacing w:after="0" w:line="240" w:lineRule="auto"/>
        <w:ind w:left="0" w:firstLine="0"/>
        <w:rPr>
          <w:color w:val="auto"/>
          <w:lang w:val="es-ES"/>
        </w:rPr>
      </w:pPr>
    </w:p>
    <w:p w14:paraId="2A8AE79C" w14:textId="77777777" w:rsidR="00FB24C0" w:rsidRPr="00443040" w:rsidRDefault="00FB24C0" w:rsidP="00FB24C0">
      <w:pPr>
        <w:spacing w:after="0" w:line="240" w:lineRule="auto"/>
        <w:ind w:left="0" w:firstLine="0"/>
        <w:rPr>
          <w:color w:val="auto"/>
          <w:lang w:val="es-ES"/>
        </w:rPr>
      </w:pPr>
      <w:r w:rsidRPr="00443040">
        <w:rPr>
          <w:color w:val="auto"/>
          <w:lang w:val="es-ES"/>
        </w:rPr>
        <w:t>Al igual que todos los medicamentos, este medicamento puede producir efectos adversos, aunque no todas las personas los sufran.</w:t>
      </w:r>
    </w:p>
    <w:p w14:paraId="2DE41793" w14:textId="77777777" w:rsidR="00FB24C0" w:rsidRPr="00443040" w:rsidRDefault="00FB24C0" w:rsidP="00FB24C0">
      <w:pPr>
        <w:spacing w:after="0" w:line="240" w:lineRule="auto"/>
        <w:ind w:left="0" w:firstLine="0"/>
        <w:rPr>
          <w:color w:val="auto"/>
          <w:lang w:val="es-ES"/>
        </w:rPr>
      </w:pPr>
    </w:p>
    <w:p w14:paraId="22693C52" w14:textId="77777777" w:rsidR="00FB24C0" w:rsidRPr="00443040" w:rsidRDefault="00FB24C0" w:rsidP="00FB24C0">
      <w:pPr>
        <w:spacing w:after="0" w:line="240" w:lineRule="auto"/>
        <w:ind w:left="0" w:firstLine="0"/>
        <w:rPr>
          <w:color w:val="auto"/>
          <w:lang w:val="es-ES"/>
        </w:rPr>
      </w:pPr>
      <w:r w:rsidRPr="00443040">
        <w:rPr>
          <w:color w:val="auto"/>
          <w:lang w:val="es-ES"/>
        </w:rPr>
        <w:t>Si experimenta efectos adversos, consulte a su médico, farmacéutico o enfermero, incluso si se trata de efectos adversos que no aparecen en este prospecto.</w:t>
      </w:r>
    </w:p>
    <w:p w14:paraId="3A3BC811" w14:textId="77777777" w:rsidR="00FB24C0" w:rsidRPr="00443040" w:rsidRDefault="00FB24C0" w:rsidP="00FB24C0">
      <w:pPr>
        <w:spacing w:after="0" w:line="240" w:lineRule="auto"/>
        <w:ind w:left="0" w:firstLine="0"/>
        <w:rPr>
          <w:color w:val="auto"/>
          <w:lang w:val="es-ES"/>
        </w:rPr>
      </w:pPr>
    </w:p>
    <w:p w14:paraId="22770972" w14:textId="77777777" w:rsidR="00FB24C0" w:rsidRPr="00443040" w:rsidRDefault="00FB24C0" w:rsidP="00FB24C0">
      <w:pPr>
        <w:spacing w:after="0" w:line="240" w:lineRule="auto"/>
        <w:ind w:left="0" w:firstLine="0"/>
        <w:rPr>
          <w:color w:val="auto"/>
          <w:lang w:val="es-ES"/>
        </w:rPr>
      </w:pPr>
      <w:r w:rsidRPr="00443040">
        <w:rPr>
          <w:color w:val="auto"/>
          <w:lang w:val="es-ES"/>
        </w:rPr>
        <w:lastRenderedPageBreak/>
        <w:t xml:space="preserve">Los efectos adversos que se mencionan a continuación se han observado cuando se administra </w:t>
      </w:r>
      <w:r w:rsidR="00AA71D6">
        <w:rPr>
          <w:color w:val="auto"/>
          <w:lang w:val="es-ES"/>
        </w:rPr>
        <w:t>MVASI</w:t>
      </w:r>
      <w:r w:rsidRPr="00443040">
        <w:rPr>
          <w:color w:val="auto"/>
          <w:lang w:val="es-ES"/>
        </w:rPr>
        <w:t xml:space="preserve"> con quimioterapia. Esto no significa necesariamente que estos efectos adversos fueran estrictamente causados por </w:t>
      </w:r>
      <w:r w:rsidR="00AA71D6">
        <w:rPr>
          <w:color w:val="auto"/>
          <w:lang w:val="es-ES"/>
        </w:rPr>
        <w:t>MVASI</w:t>
      </w:r>
      <w:r w:rsidRPr="00443040">
        <w:rPr>
          <w:color w:val="auto"/>
          <w:lang w:val="es-ES"/>
        </w:rPr>
        <w:t>.</w:t>
      </w:r>
    </w:p>
    <w:p w14:paraId="4BB22903" w14:textId="77777777" w:rsidR="00FB24C0" w:rsidRPr="00443040" w:rsidRDefault="00FB24C0" w:rsidP="00FB24C0">
      <w:pPr>
        <w:spacing w:after="0" w:line="240" w:lineRule="auto"/>
        <w:ind w:left="0" w:firstLine="0"/>
        <w:rPr>
          <w:color w:val="auto"/>
          <w:lang w:val="es-ES"/>
        </w:rPr>
      </w:pPr>
    </w:p>
    <w:p w14:paraId="0CDC46B0" w14:textId="77777777" w:rsidR="00FB24C0" w:rsidRPr="0033293E" w:rsidRDefault="00FB24C0" w:rsidP="0033293E">
      <w:pPr>
        <w:keepNext/>
        <w:spacing w:after="0" w:line="240" w:lineRule="auto"/>
        <w:ind w:left="0" w:firstLine="0"/>
        <w:rPr>
          <w:b/>
          <w:color w:val="auto"/>
          <w:lang w:val="es-ES"/>
        </w:rPr>
      </w:pPr>
      <w:r w:rsidRPr="0033293E">
        <w:rPr>
          <w:b/>
          <w:color w:val="auto"/>
          <w:lang w:val="es-ES"/>
        </w:rPr>
        <w:t>Reacciones alérgicas</w:t>
      </w:r>
    </w:p>
    <w:p w14:paraId="7990854E" w14:textId="77777777" w:rsidR="0033293E" w:rsidRDefault="0033293E" w:rsidP="0033293E">
      <w:pPr>
        <w:keepNext/>
        <w:spacing w:after="0" w:line="240" w:lineRule="auto"/>
        <w:ind w:left="0" w:firstLine="0"/>
        <w:rPr>
          <w:color w:val="auto"/>
          <w:lang w:val="es-ES"/>
        </w:rPr>
      </w:pPr>
    </w:p>
    <w:p w14:paraId="38570A75" w14:textId="7D6FA4C4" w:rsidR="00FB24C0" w:rsidRPr="00443040" w:rsidRDefault="00FB24C0" w:rsidP="00FB24C0">
      <w:pPr>
        <w:spacing w:after="0" w:line="240" w:lineRule="auto"/>
        <w:ind w:left="0" w:firstLine="0"/>
        <w:rPr>
          <w:color w:val="auto"/>
          <w:lang w:val="es-ES"/>
        </w:rPr>
      </w:pPr>
      <w:r w:rsidRPr="00443040">
        <w:rPr>
          <w:color w:val="auto"/>
          <w:lang w:val="es-ES"/>
        </w:rPr>
        <w:t>Si tiene una reacción alérgica consulte a su médico o profesional sanitario de inmediato. Los signos pueden incluir: dificultad al respirar o dolor en el pecho. También podría experimentar enrojecimiento o rubor de la piel o erupción, escalofríos y temblores, sensación de mareo (náuseas) o sensación de malestar (vómitos)</w:t>
      </w:r>
      <w:r w:rsidR="00712003">
        <w:rPr>
          <w:lang w:val="es-ES"/>
        </w:rPr>
        <w:t>, hinchazón, mareos, taquicardia y pérdida del conocimiento.</w:t>
      </w:r>
    </w:p>
    <w:p w14:paraId="7E38ED90" w14:textId="77777777" w:rsidR="00FB24C0" w:rsidRPr="00443040" w:rsidRDefault="00FB24C0" w:rsidP="00FB24C0">
      <w:pPr>
        <w:spacing w:after="0" w:line="240" w:lineRule="auto"/>
        <w:ind w:left="0" w:firstLine="0"/>
        <w:rPr>
          <w:color w:val="auto"/>
          <w:lang w:val="es-ES"/>
        </w:rPr>
      </w:pPr>
    </w:p>
    <w:p w14:paraId="68FE9CF4" w14:textId="144FD91F" w:rsidR="00FB24C0" w:rsidRPr="00443040" w:rsidRDefault="00FB24C0" w:rsidP="0033293E">
      <w:pPr>
        <w:keepNext/>
        <w:spacing w:after="0" w:line="240" w:lineRule="auto"/>
        <w:ind w:left="0" w:firstLine="0"/>
        <w:rPr>
          <w:b/>
          <w:color w:val="auto"/>
          <w:lang w:val="es-ES"/>
        </w:rPr>
      </w:pPr>
      <w:r w:rsidRPr="00443040">
        <w:rPr>
          <w:b/>
          <w:color w:val="auto"/>
          <w:lang w:val="es-ES"/>
        </w:rPr>
        <w:t xml:space="preserve">Debe buscar ayuda </w:t>
      </w:r>
      <w:r w:rsidR="007F3DA8">
        <w:rPr>
          <w:b/>
          <w:color w:val="auto"/>
          <w:lang w:val="es-ES"/>
        </w:rPr>
        <w:t xml:space="preserve">de forma </w:t>
      </w:r>
      <w:r w:rsidRPr="00443040">
        <w:rPr>
          <w:b/>
          <w:color w:val="auto"/>
          <w:lang w:val="es-ES"/>
        </w:rPr>
        <w:t>inmediata si sufre cualquiera de los efectos adversos que se mencionan a continuación.</w:t>
      </w:r>
    </w:p>
    <w:p w14:paraId="0AD82F5C" w14:textId="77777777" w:rsidR="00FB24C0" w:rsidRPr="00443040" w:rsidRDefault="00FB24C0" w:rsidP="0033293E">
      <w:pPr>
        <w:keepNext/>
        <w:spacing w:after="0" w:line="240" w:lineRule="auto"/>
        <w:ind w:left="0" w:firstLine="0"/>
        <w:rPr>
          <w:color w:val="auto"/>
          <w:lang w:val="es-ES"/>
        </w:rPr>
      </w:pPr>
    </w:p>
    <w:p w14:paraId="229D936C" w14:textId="3F10F282" w:rsidR="00FB24C0" w:rsidRDefault="00FB24C0" w:rsidP="0033293E">
      <w:pPr>
        <w:keepNext/>
        <w:spacing w:after="0" w:line="240" w:lineRule="auto"/>
        <w:ind w:left="0" w:firstLine="0"/>
        <w:rPr>
          <w:color w:val="auto"/>
          <w:lang w:val="es-ES"/>
        </w:rPr>
      </w:pPr>
      <w:r w:rsidRPr="00443040">
        <w:rPr>
          <w:color w:val="auto"/>
          <w:lang w:val="es-ES"/>
        </w:rPr>
        <w:t xml:space="preserve">Los efectos adversos graves que pueden ser </w:t>
      </w:r>
      <w:r w:rsidRPr="00443040">
        <w:rPr>
          <w:b/>
          <w:color w:val="auto"/>
          <w:lang w:val="es-ES"/>
        </w:rPr>
        <w:t xml:space="preserve">muy frecuentes </w:t>
      </w:r>
      <w:r w:rsidRPr="00C12F43">
        <w:rPr>
          <w:color w:val="auto"/>
          <w:lang w:val="es-ES"/>
        </w:rPr>
        <w:t>(</w:t>
      </w:r>
      <w:r w:rsidR="007144F3" w:rsidRPr="0030178C">
        <w:rPr>
          <w:color w:val="auto"/>
          <w:lang w:val="es-ES"/>
        </w:rPr>
        <w:t xml:space="preserve">pueden </w:t>
      </w:r>
      <w:r w:rsidR="0000125B" w:rsidRPr="00C12F43">
        <w:rPr>
          <w:color w:val="auto"/>
          <w:lang w:val="es-ES"/>
        </w:rPr>
        <w:t>afecta</w:t>
      </w:r>
      <w:r w:rsidR="009E28C6">
        <w:rPr>
          <w:color w:val="auto"/>
          <w:lang w:val="es-ES"/>
        </w:rPr>
        <w:t>r</w:t>
      </w:r>
      <w:r w:rsidR="0000125B" w:rsidRPr="00C12F43">
        <w:rPr>
          <w:color w:val="auto"/>
          <w:lang w:val="es-ES"/>
        </w:rPr>
        <w:t xml:space="preserve"> a más de 1 de cada 10 p</w:t>
      </w:r>
      <w:r w:rsidR="007144F3" w:rsidRPr="0030178C">
        <w:rPr>
          <w:color w:val="auto"/>
          <w:lang w:val="es-ES"/>
        </w:rPr>
        <w:t>ersonas</w:t>
      </w:r>
      <w:r w:rsidR="0000125B" w:rsidRPr="00C12F43">
        <w:rPr>
          <w:color w:val="auto"/>
          <w:lang w:val="es-ES"/>
        </w:rPr>
        <w:t>)</w:t>
      </w:r>
      <w:r w:rsidR="0000125B">
        <w:rPr>
          <w:color w:val="auto"/>
          <w:lang w:val="es-ES"/>
        </w:rPr>
        <w:t xml:space="preserve"> </w:t>
      </w:r>
      <w:r w:rsidRPr="00443040">
        <w:rPr>
          <w:color w:val="auto"/>
          <w:lang w:val="es-ES"/>
        </w:rPr>
        <w:t>incluyen:</w:t>
      </w:r>
    </w:p>
    <w:p w14:paraId="122D5627" w14:textId="77777777" w:rsidR="000666C3" w:rsidRPr="00443040" w:rsidRDefault="000666C3" w:rsidP="0033293E">
      <w:pPr>
        <w:keepNext/>
        <w:spacing w:after="0" w:line="240" w:lineRule="auto"/>
        <w:ind w:left="0" w:firstLine="0"/>
        <w:rPr>
          <w:color w:val="auto"/>
          <w:lang w:val="es-ES"/>
        </w:rPr>
      </w:pPr>
    </w:p>
    <w:p w14:paraId="704EC751" w14:textId="77777777" w:rsidR="00FB24C0" w:rsidRPr="00B515AD" w:rsidRDefault="00FB24C0" w:rsidP="00B515AD">
      <w:pPr>
        <w:numPr>
          <w:ilvl w:val="0"/>
          <w:numId w:val="13"/>
        </w:numPr>
        <w:spacing w:after="0" w:line="240" w:lineRule="auto"/>
        <w:ind w:left="567" w:hanging="567"/>
        <w:rPr>
          <w:color w:val="auto"/>
          <w:lang w:val="es-ES"/>
        </w:rPr>
      </w:pPr>
      <w:r w:rsidRPr="00B515AD">
        <w:rPr>
          <w:color w:val="auto"/>
          <w:lang w:val="es-ES"/>
        </w:rPr>
        <w:t>tensión alta,</w:t>
      </w:r>
    </w:p>
    <w:p w14:paraId="194174A0" w14:textId="77777777" w:rsidR="00FB24C0" w:rsidRPr="00B515AD" w:rsidRDefault="00FB24C0" w:rsidP="00B515AD">
      <w:pPr>
        <w:numPr>
          <w:ilvl w:val="0"/>
          <w:numId w:val="13"/>
        </w:numPr>
        <w:spacing w:after="0" w:line="240" w:lineRule="auto"/>
        <w:ind w:left="567" w:hanging="567"/>
        <w:rPr>
          <w:color w:val="auto"/>
          <w:lang w:val="es-ES"/>
        </w:rPr>
      </w:pPr>
      <w:r w:rsidRPr="00B515AD">
        <w:rPr>
          <w:color w:val="auto"/>
          <w:lang w:val="es-ES"/>
        </w:rPr>
        <w:t>sensación de entumecimiento u hormigueo en manos o pies,</w:t>
      </w:r>
    </w:p>
    <w:p w14:paraId="7F23DDE3" w14:textId="77777777" w:rsidR="00FB24C0" w:rsidRPr="00B515AD" w:rsidRDefault="00FB24C0" w:rsidP="00B515AD">
      <w:pPr>
        <w:numPr>
          <w:ilvl w:val="0"/>
          <w:numId w:val="13"/>
        </w:numPr>
        <w:spacing w:after="0" w:line="240" w:lineRule="auto"/>
        <w:ind w:left="567" w:hanging="567"/>
        <w:rPr>
          <w:color w:val="auto"/>
          <w:lang w:val="es-ES"/>
        </w:rPr>
      </w:pPr>
      <w:r w:rsidRPr="00B515AD">
        <w:rPr>
          <w:color w:val="auto"/>
          <w:lang w:val="es-ES"/>
        </w:rPr>
        <w:t>disminución del número de células sanguíneas, incluyendo los glóbulos blancos que ayudan a luchar frente a las infecciones (esto puede ir acompañado de fiebre), y las plaquetas que ayudan a que la sangre coagule,</w:t>
      </w:r>
    </w:p>
    <w:p w14:paraId="1E043D69" w14:textId="77777777" w:rsidR="00FB24C0" w:rsidRPr="00B515AD" w:rsidRDefault="00FB24C0" w:rsidP="00B515AD">
      <w:pPr>
        <w:numPr>
          <w:ilvl w:val="0"/>
          <w:numId w:val="13"/>
        </w:numPr>
        <w:spacing w:after="0" w:line="240" w:lineRule="auto"/>
        <w:ind w:left="567" w:hanging="567"/>
        <w:rPr>
          <w:color w:val="auto"/>
          <w:lang w:val="es-ES"/>
        </w:rPr>
      </w:pPr>
      <w:r w:rsidRPr="00B515AD">
        <w:rPr>
          <w:color w:val="auto"/>
          <w:lang w:val="es-ES"/>
        </w:rPr>
        <w:t>sensación de debilidad y falta de energía,</w:t>
      </w:r>
    </w:p>
    <w:p w14:paraId="23B4A702" w14:textId="77777777" w:rsidR="00FB24C0" w:rsidRPr="00B515AD" w:rsidRDefault="00FB24C0" w:rsidP="00B515AD">
      <w:pPr>
        <w:numPr>
          <w:ilvl w:val="0"/>
          <w:numId w:val="13"/>
        </w:numPr>
        <w:spacing w:after="0" w:line="240" w:lineRule="auto"/>
        <w:ind w:left="567" w:hanging="567"/>
        <w:rPr>
          <w:color w:val="auto"/>
          <w:lang w:val="es-ES"/>
        </w:rPr>
      </w:pPr>
      <w:r w:rsidRPr="00B515AD">
        <w:rPr>
          <w:color w:val="auto"/>
          <w:lang w:val="es-ES"/>
        </w:rPr>
        <w:t>cansancio,</w:t>
      </w:r>
    </w:p>
    <w:p w14:paraId="6477C49A" w14:textId="77777777" w:rsidR="00FB24C0" w:rsidRPr="00D1096C" w:rsidRDefault="00FB24C0" w:rsidP="00B515AD">
      <w:pPr>
        <w:numPr>
          <w:ilvl w:val="0"/>
          <w:numId w:val="13"/>
        </w:numPr>
        <w:spacing w:after="0" w:line="240" w:lineRule="auto"/>
        <w:ind w:left="567" w:hanging="567"/>
        <w:rPr>
          <w:noProof/>
          <w:color w:val="auto"/>
          <w:szCs w:val="20"/>
          <w:lang w:val="es-ES" w:eastAsia="en-US"/>
        </w:rPr>
      </w:pPr>
      <w:r w:rsidRPr="00B515AD">
        <w:rPr>
          <w:color w:val="auto"/>
          <w:lang w:val="es-ES"/>
        </w:rPr>
        <w:t>diarrea</w:t>
      </w:r>
      <w:r w:rsidRPr="00D1096C">
        <w:rPr>
          <w:noProof/>
          <w:color w:val="auto"/>
          <w:szCs w:val="20"/>
          <w:lang w:val="es-ES" w:eastAsia="en-US"/>
        </w:rPr>
        <w:t>, náuseas, vómitos y dolor abdominal.</w:t>
      </w:r>
    </w:p>
    <w:p w14:paraId="61BE2FB8" w14:textId="77777777" w:rsidR="00FB24C0" w:rsidRPr="00443040" w:rsidRDefault="00FB24C0" w:rsidP="00FB24C0">
      <w:pPr>
        <w:spacing w:after="0" w:line="240" w:lineRule="auto"/>
        <w:ind w:left="0" w:firstLine="0"/>
        <w:rPr>
          <w:color w:val="auto"/>
          <w:lang w:val="es-ES"/>
        </w:rPr>
      </w:pPr>
    </w:p>
    <w:p w14:paraId="583995A3" w14:textId="1908957F" w:rsidR="00FB24C0" w:rsidRPr="00443040" w:rsidRDefault="00FB24C0" w:rsidP="000666C3">
      <w:pPr>
        <w:keepNext/>
        <w:spacing w:after="0" w:line="240" w:lineRule="auto"/>
        <w:ind w:left="0" w:firstLine="0"/>
        <w:rPr>
          <w:color w:val="auto"/>
          <w:lang w:val="es-ES"/>
        </w:rPr>
      </w:pPr>
      <w:r w:rsidRPr="00443040">
        <w:rPr>
          <w:color w:val="auto"/>
          <w:lang w:val="es-ES"/>
        </w:rPr>
        <w:t xml:space="preserve">Los efectos adversos graves que pueden ser </w:t>
      </w:r>
      <w:r w:rsidRPr="000666C3">
        <w:rPr>
          <w:b/>
          <w:color w:val="auto"/>
          <w:lang w:val="es-ES"/>
        </w:rPr>
        <w:t>frecuentes</w:t>
      </w:r>
      <w:r w:rsidRPr="00443040">
        <w:rPr>
          <w:color w:val="auto"/>
          <w:lang w:val="es-ES"/>
        </w:rPr>
        <w:t xml:space="preserve"> </w:t>
      </w:r>
      <w:r w:rsidRPr="00C12F43">
        <w:rPr>
          <w:color w:val="auto"/>
          <w:lang w:val="es-ES"/>
        </w:rPr>
        <w:t>(</w:t>
      </w:r>
      <w:r w:rsidR="007144F3" w:rsidRPr="0030178C">
        <w:rPr>
          <w:color w:val="auto"/>
          <w:lang w:val="es-ES"/>
        </w:rPr>
        <w:t xml:space="preserve">pueden </w:t>
      </w:r>
      <w:r w:rsidR="0000125B" w:rsidRPr="00C12F43">
        <w:rPr>
          <w:color w:val="auto"/>
          <w:lang w:val="es-ES"/>
        </w:rPr>
        <w:t>afecta</w:t>
      </w:r>
      <w:r w:rsidR="007144F3" w:rsidRPr="0030178C">
        <w:rPr>
          <w:color w:val="auto"/>
          <w:lang w:val="es-ES"/>
        </w:rPr>
        <w:t>r</w:t>
      </w:r>
      <w:r w:rsidR="0000125B" w:rsidRPr="00C12F43">
        <w:rPr>
          <w:color w:val="auto"/>
          <w:lang w:val="es-ES"/>
        </w:rPr>
        <w:t xml:space="preserve"> </w:t>
      </w:r>
      <w:r w:rsidR="007144F3" w:rsidRPr="0030178C">
        <w:rPr>
          <w:color w:val="auto"/>
          <w:lang w:val="es-ES"/>
        </w:rPr>
        <w:t xml:space="preserve">hasta </w:t>
      </w:r>
      <w:r w:rsidR="00241E7E" w:rsidRPr="00EB64BB">
        <w:rPr>
          <w:color w:val="auto"/>
          <w:lang w:val="es-ES"/>
        </w:rPr>
        <w:t xml:space="preserve">1 </w:t>
      </w:r>
      <w:r w:rsidR="007144F3" w:rsidRPr="0030178C">
        <w:rPr>
          <w:color w:val="auto"/>
          <w:lang w:val="es-ES"/>
        </w:rPr>
        <w:t>de cada</w:t>
      </w:r>
      <w:r w:rsidR="0000125B" w:rsidRPr="0030178C">
        <w:rPr>
          <w:color w:val="auto"/>
          <w:lang w:val="es-ES"/>
        </w:rPr>
        <w:t xml:space="preserve"> 10 </w:t>
      </w:r>
      <w:r w:rsidR="007144F3" w:rsidRPr="0030178C">
        <w:rPr>
          <w:color w:val="auto"/>
          <w:lang w:val="es-ES"/>
        </w:rPr>
        <w:t>personas</w:t>
      </w:r>
      <w:r w:rsidRPr="00C12F43">
        <w:rPr>
          <w:color w:val="auto"/>
          <w:lang w:val="es-ES"/>
        </w:rPr>
        <w:t>)</w:t>
      </w:r>
      <w:r w:rsidRPr="00443040">
        <w:rPr>
          <w:color w:val="auto"/>
          <w:lang w:val="es-ES"/>
        </w:rPr>
        <w:t xml:space="preserve"> incluyen:</w:t>
      </w:r>
    </w:p>
    <w:p w14:paraId="342E685B"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perforación del intestino,</w:t>
      </w:r>
    </w:p>
    <w:p w14:paraId="7366323D"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sangrado, incluyendo hemorragia en los pulmones en pacientes con cáncer de pulmón no microcítico,</w:t>
      </w:r>
    </w:p>
    <w:p w14:paraId="32A23D6E"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bloqueo de las arterias por embolia,</w:t>
      </w:r>
    </w:p>
    <w:p w14:paraId="151B74C3"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bloqueo de las venas por embolia,</w:t>
      </w:r>
    </w:p>
    <w:p w14:paraId="595B2179"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bloqueo de los vasos sanguíneos de los pulmones por embolia,</w:t>
      </w:r>
    </w:p>
    <w:p w14:paraId="1820077C"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bloqueo de las venas de las piernas por embolia,</w:t>
      </w:r>
    </w:p>
    <w:p w14:paraId="1FCBE270"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fallo cardíaco,</w:t>
      </w:r>
    </w:p>
    <w:p w14:paraId="6BBA939D"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problemas con la cicatrización de heridas tras la cirugía,</w:t>
      </w:r>
    </w:p>
    <w:p w14:paraId="6FBDDF53"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enrojecimiento, descamación, sensibilidad, dolor, o ampollas en los dedos o pies,</w:t>
      </w:r>
    </w:p>
    <w:p w14:paraId="622D6591"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disminución del número de glóbulos rojos,</w:t>
      </w:r>
    </w:p>
    <w:p w14:paraId="029E539B"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falta de energía,</w:t>
      </w:r>
    </w:p>
    <w:p w14:paraId="0EFA1251"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alteraciones en el estómago e intestino,</w:t>
      </w:r>
    </w:p>
    <w:p w14:paraId="2A9D58F7"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dolor muscular y articular, debilidad muscular,</w:t>
      </w:r>
    </w:p>
    <w:p w14:paraId="716AB44C"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sequedad de boca combinada con sed y/o cantidad de orina reducida o de color oscuro,</w:t>
      </w:r>
    </w:p>
    <w:p w14:paraId="2593CD22"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inflamación del recubrimiento de la mucosa de la boca e intestino, de los pulmones y vías aéreas, del aparato reproductor y tracto urinario,</w:t>
      </w:r>
    </w:p>
    <w:p w14:paraId="32315F34"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llagas en la boca y el tubo que va desde la boca hasta el estómago, que pueden ser dolorosas y causar dificultad para tragar,</w:t>
      </w:r>
    </w:p>
    <w:p w14:paraId="2B1E1D2B"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dolor, incluyendo dolor de cabeza, dolor de espalda, en la pelvis y regiones anales,</w:t>
      </w:r>
    </w:p>
    <w:p w14:paraId="3D51B4D7"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focos localizados de pus,</w:t>
      </w:r>
    </w:p>
    <w:p w14:paraId="02937B1E"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infección, y en particular infección en la sangre o vejiga,</w:t>
      </w:r>
    </w:p>
    <w:p w14:paraId="6EE6EDA9"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disminución del riego sanguíneo al cerebro o apoplejía,</w:t>
      </w:r>
    </w:p>
    <w:p w14:paraId="2C385C57"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somnolencia,</w:t>
      </w:r>
    </w:p>
    <w:p w14:paraId="093B4E66"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sangrado por la nariz,</w:t>
      </w:r>
    </w:p>
    <w:p w14:paraId="433B5BE6" w14:textId="77777777" w:rsidR="00FB24C0" w:rsidRPr="00EE0FE2" w:rsidRDefault="00FB24C0" w:rsidP="00B515AD">
      <w:pPr>
        <w:numPr>
          <w:ilvl w:val="0"/>
          <w:numId w:val="13"/>
        </w:numPr>
        <w:spacing w:after="0" w:line="240" w:lineRule="auto"/>
        <w:ind w:left="567" w:hanging="567"/>
        <w:rPr>
          <w:color w:val="auto"/>
          <w:lang w:val="it-IT"/>
        </w:rPr>
      </w:pPr>
      <w:r w:rsidRPr="00EE0FE2">
        <w:rPr>
          <w:color w:val="auto"/>
          <w:lang w:val="it-IT"/>
        </w:rPr>
        <w:t>aumento del ritmo cardíaco (pulso),</w:t>
      </w:r>
    </w:p>
    <w:p w14:paraId="57414CE9"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obstrucción intestinal,</w:t>
      </w:r>
    </w:p>
    <w:p w14:paraId="7F3075FC"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prueba de orina anormal (proteínas en la orina),</w:t>
      </w:r>
    </w:p>
    <w:p w14:paraId="012B419B"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dificultad al respirar o disminución de los niveles de oxígeno en sangre,</w:t>
      </w:r>
    </w:p>
    <w:p w14:paraId="738090ED"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lastRenderedPageBreak/>
        <w:t>infecciones de la piel o de las capas más profundas bajo la piel,</w:t>
      </w:r>
    </w:p>
    <w:p w14:paraId="2644C817" w14:textId="08343015" w:rsidR="00FB24C0" w:rsidRDefault="00FB24C0" w:rsidP="00B515AD">
      <w:pPr>
        <w:numPr>
          <w:ilvl w:val="0"/>
          <w:numId w:val="13"/>
        </w:numPr>
        <w:spacing w:after="0" w:line="240" w:lineRule="auto"/>
        <w:ind w:left="567" w:hanging="567"/>
        <w:rPr>
          <w:color w:val="auto"/>
          <w:lang w:val="es-ES"/>
        </w:rPr>
      </w:pPr>
      <w:r w:rsidRPr="00443040">
        <w:rPr>
          <w:color w:val="auto"/>
          <w:lang w:val="es-ES"/>
        </w:rPr>
        <w:t>fístula: comunicación anormal de tipo tubular entre órganos internos y la piel u otros tejidos que normalmente no están conectados, incluyendo comunicaciones entre la vagina y el intestino en pacientes con cáncer de cérvix</w:t>
      </w:r>
      <w:r w:rsidR="00712003">
        <w:rPr>
          <w:color w:val="auto"/>
          <w:lang w:val="es-ES"/>
        </w:rPr>
        <w:t>,</w:t>
      </w:r>
    </w:p>
    <w:p w14:paraId="1BADAA39" w14:textId="08602766" w:rsidR="00712003" w:rsidRPr="007C09D3" w:rsidRDefault="00712003" w:rsidP="00B515AD">
      <w:pPr>
        <w:numPr>
          <w:ilvl w:val="0"/>
          <w:numId w:val="13"/>
        </w:numPr>
        <w:spacing w:after="0" w:line="240" w:lineRule="auto"/>
        <w:ind w:left="567" w:hanging="567"/>
        <w:rPr>
          <w:color w:val="auto"/>
          <w:lang w:val="es-ES"/>
        </w:rPr>
      </w:pPr>
      <w:r w:rsidRPr="00CF53EB">
        <w:rPr>
          <w:lang w:val="es-ES"/>
        </w:rPr>
        <w:t>reacciones alérgicas (los signos pueden incluir dificultad para respirar, enrojecimiento de la cara, erupción cutánea, tensión baja o tensión alta, niveles bajos de oxígeno en sangre, dolor de pecho o náuseas /</w:t>
      </w:r>
      <w:r w:rsidR="00FC0E82">
        <w:rPr>
          <w:lang w:val="es-ES"/>
        </w:rPr>
        <w:t xml:space="preserve"> </w:t>
      </w:r>
      <w:r w:rsidRPr="00CF53EB">
        <w:rPr>
          <w:lang w:val="es-ES"/>
        </w:rPr>
        <w:t>vómitos)</w:t>
      </w:r>
      <w:r>
        <w:rPr>
          <w:lang w:val="es-ES"/>
        </w:rPr>
        <w:t>.</w:t>
      </w:r>
    </w:p>
    <w:p w14:paraId="4AFA38B6" w14:textId="7C5E6F69" w:rsidR="00712003" w:rsidRDefault="00712003" w:rsidP="00712003">
      <w:pPr>
        <w:spacing w:after="0" w:line="240" w:lineRule="auto"/>
        <w:rPr>
          <w:lang w:val="es-ES"/>
        </w:rPr>
      </w:pPr>
    </w:p>
    <w:p w14:paraId="17DAE688" w14:textId="77777777" w:rsidR="00712003" w:rsidRDefault="00712003" w:rsidP="00712003">
      <w:pPr>
        <w:keepNext/>
        <w:keepLines/>
        <w:numPr>
          <w:ilvl w:val="12"/>
          <w:numId w:val="0"/>
        </w:numPr>
        <w:ind w:right="-2"/>
        <w:rPr>
          <w:lang w:val="es-ES"/>
        </w:rPr>
      </w:pPr>
      <w:r>
        <w:rPr>
          <w:lang w:val="es-ES"/>
        </w:rPr>
        <w:t>Los e</w:t>
      </w:r>
      <w:r w:rsidRPr="00CF53EB">
        <w:rPr>
          <w:lang w:val="es-ES"/>
        </w:rPr>
        <w:t xml:space="preserve">fectos adversos </w:t>
      </w:r>
      <w:r>
        <w:rPr>
          <w:lang w:val="es-ES"/>
        </w:rPr>
        <w:t xml:space="preserve">graves que pueden ser </w:t>
      </w:r>
      <w:r w:rsidRPr="00291D34">
        <w:rPr>
          <w:b/>
          <w:lang w:val="es-ES"/>
        </w:rPr>
        <w:t>raros</w:t>
      </w:r>
      <w:r>
        <w:rPr>
          <w:lang w:val="es-ES"/>
        </w:rPr>
        <w:t xml:space="preserve"> (pueden afectar hasta </w:t>
      </w:r>
      <w:r w:rsidRPr="00425E51">
        <w:rPr>
          <w:lang w:val="es-ES"/>
        </w:rPr>
        <w:t>1 de cada 100</w:t>
      </w:r>
      <w:r>
        <w:rPr>
          <w:lang w:val="es-ES"/>
        </w:rPr>
        <w:t>0</w:t>
      </w:r>
      <w:r w:rsidRPr="00425E51">
        <w:rPr>
          <w:lang w:val="es-ES"/>
        </w:rPr>
        <w:t xml:space="preserve"> pacientes</w:t>
      </w:r>
      <w:r w:rsidRPr="00425AF9">
        <w:rPr>
          <w:lang w:val="es-ES"/>
        </w:rPr>
        <w:t>)</w:t>
      </w:r>
      <w:r w:rsidRPr="007015FB">
        <w:rPr>
          <w:lang w:val="es-ES"/>
        </w:rPr>
        <w:t xml:space="preserve"> incluyen:</w:t>
      </w:r>
    </w:p>
    <w:p w14:paraId="43CAA98D" w14:textId="7362E78F" w:rsidR="00712003" w:rsidRPr="00CF53EB" w:rsidRDefault="00712003" w:rsidP="00712003">
      <w:pPr>
        <w:keepNext/>
        <w:keepLines/>
        <w:ind w:left="357" w:hanging="357"/>
        <w:rPr>
          <w:lang w:val="es-ES"/>
        </w:rPr>
      </w:pPr>
      <w:r w:rsidRPr="007015FB">
        <w:rPr>
          <w:lang w:val="es-ES"/>
        </w:rPr>
        <w:sym w:font="Symbol" w:char="F0B7"/>
      </w:r>
      <w:r w:rsidRPr="007015FB">
        <w:rPr>
          <w:lang w:val="es-ES"/>
        </w:rPr>
        <w:tab/>
      </w:r>
      <w:r w:rsidRPr="00CF53EB">
        <w:rPr>
          <w:lang w:val="es-ES"/>
        </w:rPr>
        <w:t>reacci</w:t>
      </w:r>
      <w:r>
        <w:rPr>
          <w:lang w:val="es-ES"/>
        </w:rPr>
        <w:t>ó</w:t>
      </w:r>
      <w:r w:rsidRPr="00CF53EB">
        <w:rPr>
          <w:lang w:val="es-ES"/>
        </w:rPr>
        <w:t>n alérgica</w:t>
      </w:r>
      <w:r>
        <w:rPr>
          <w:lang w:val="es-ES"/>
        </w:rPr>
        <w:t xml:space="preserve"> repentina y grave con dificultad para respirar, hinchazón, mareos, taquicardia, sudoración y </w:t>
      </w:r>
      <w:r w:rsidRPr="00243021">
        <w:rPr>
          <w:lang w:val="es-ES"/>
        </w:rPr>
        <w:t>pérdida de conocimiento</w:t>
      </w:r>
      <w:r>
        <w:rPr>
          <w:lang w:val="es-ES"/>
        </w:rPr>
        <w:t xml:space="preserve"> (shock anafiláctico)</w:t>
      </w:r>
      <w:r w:rsidRPr="00243021">
        <w:rPr>
          <w:lang w:val="es-ES"/>
        </w:rPr>
        <w:t xml:space="preserve">.  </w:t>
      </w:r>
    </w:p>
    <w:p w14:paraId="37BCE044" w14:textId="77777777" w:rsidR="00FB24C0" w:rsidRPr="00443040" w:rsidRDefault="00FB24C0" w:rsidP="00FB24C0">
      <w:pPr>
        <w:spacing w:after="0" w:line="240" w:lineRule="auto"/>
        <w:ind w:left="0" w:firstLine="0"/>
        <w:rPr>
          <w:color w:val="auto"/>
          <w:lang w:val="es-ES"/>
        </w:rPr>
      </w:pPr>
    </w:p>
    <w:p w14:paraId="63F4563C" w14:textId="77777777" w:rsidR="00FB24C0" w:rsidRPr="00443040" w:rsidRDefault="00FB24C0" w:rsidP="000666C3">
      <w:pPr>
        <w:keepNext/>
        <w:spacing w:after="0" w:line="240" w:lineRule="auto"/>
        <w:ind w:left="0" w:firstLine="0"/>
        <w:rPr>
          <w:color w:val="auto"/>
          <w:lang w:val="es-ES"/>
        </w:rPr>
      </w:pPr>
      <w:r w:rsidRPr="00443040">
        <w:rPr>
          <w:color w:val="auto"/>
          <w:lang w:val="es-ES"/>
        </w:rPr>
        <w:t xml:space="preserve">Los efectos adversos graves de frecuencia </w:t>
      </w:r>
      <w:r w:rsidRPr="000666C3">
        <w:rPr>
          <w:b/>
          <w:color w:val="auto"/>
          <w:lang w:val="es-ES"/>
        </w:rPr>
        <w:t>no conocida</w:t>
      </w:r>
      <w:r w:rsidRPr="00443040">
        <w:rPr>
          <w:color w:val="auto"/>
          <w:lang w:val="es-ES"/>
        </w:rPr>
        <w:t xml:space="preserve"> </w:t>
      </w:r>
      <w:r w:rsidRPr="00C12F43">
        <w:rPr>
          <w:color w:val="auto"/>
          <w:lang w:val="es-ES"/>
        </w:rPr>
        <w:t>(no puede estimarse a partir de los datos disponibles)</w:t>
      </w:r>
      <w:r w:rsidRPr="00443040">
        <w:rPr>
          <w:color w:val="auto"/>
          <w:lang w:val="es-ES"/>
        </w:rPr>
        <w:t xml:space="preserve"> incluyen:</w:t>
      </w:r>
    </w:p>
    <w:p w14:paraId="2F9D2B37"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infecciones graves de la piel o de las capas más profundas debajo de la piel, especialmente si usted tenía perforaciones en la pared intestinal o problemas con la cicatrización de heridas,</w:t>
      </w:r>
    </w:p>
    <w:p w14:paraId="13F8015E"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efecto negativo en la capacidad de la mujer para tener hijos (ver más abajo para más recomendaciones),</w:t>
      </w:r>
    </w:p>
    <w:p w14:paraId="2C593A2F" w14:textId="0D94B5FC" w:rsidR="00FB24C0" w:rsidRPr="00443040" w:rsidRDefault="00FB24C0" w:rsidP="00C64E96">
      <w:pPr>
        <w:numPr>
          <w:ilvl w:val="0"/>
          <w:numId w:val="13"/>
        </w:numPr>
        <w:spacing w:after="0" w:line="240" w:lineRule="auto"/>
        <w:ind w:left="567" w:hanging="567"/>
        <w:rPr>
          <w:color w:val="auto"/>
          <w:lang w:val="es-ES"/>
        </w:rPr>
      </w:pPr>
      <w:r w:rsidRPr="00443040">
        <w:rPr>
          <w:color w:val="auto"/>
          <w:lang w:val="es-ES"/>
        </w:rPr>
        <w:t>enfermedad cerebral con síntomas como convulsiones (ataques), dolor de cabeza, confusión y alteraciones en la visión (</w:t>
      </w:r>
      <w:r w:rsidR="00C64E96">
        <w:rPr>
          <w:color w:val="auto"/>
          <w:lang w:val="es-ES"/>
        </w:rPr>
        <w:t>s</w:t>
      </w:r>
      <w:r w:rsidRPr="00443040">
        <w:rPr>
          <w:color w:val="auto"/>
          <w:lang w:val="es-ES"/>
        </w:rPr>
        <w:t xml:space="preserve">índrome de </w:t>
      </w:r>
      <w:r w:rsidR="00C64E96">
        <w:rPr>
          <w:color w:val="auto"/>
          <w:lang w:val="es-ES"/>
        </w:rPr>
        <w:t>e</w:t>
      </w:r>
      <w:r w:rsidRPr="00443040">
        <w:rPr>
          <w:color w:val="auto"/>
          <w:lang w:val="es-ES"/>
        </w:rPr>
        <w:t xml:space="preserve">ncefalopatía </w:t>
      </w:r>
      <w:r w:rsidR="00C64E96">
        <w:rPr>
          <w:color w:val="auto"/>
          <w:lang w:val="es-ES"/>
        </w:rPr>
        <w:t>r</w:t>
      </w:r>
      <w:r w:rsidRPr="00443040">
        <w:rPr>
          <w:color w:val="auto"/>
          <w:lang w:val="es-ES"/>
        </w:rPr>
        <w:t xml:space="preserve">eversible </w:t>
      </w:r>
      <w:r w:rsidR="00C64E96">
        <w:rPr>
          <w:color w:val="auto"/>
          <w:lang w:val="es-ES"/>
        </w:rPr>
        <w:t>p</w:t>
      </w:r>
      <w:r w:rsidRPr="00443040">
        <w:rPr>
          <w:color w:val="auto"/>
          <w:lang w:val="es-ES"/>
        </w:rPr>
        <w:t>osterior o SERP),</w:t>
      </w:r>
    </w:p>
    <w:p w14:paraId="7619D80A"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síntomas que sugieran cambios en la función normal del cerebro (dolores de cabeza, alteración en la visión, confusión o convulsiones), y tensión alta,</w:t>
      </w:r>
    </w:p>
    <w:p w14:paraId="5881F5F6"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obstrucción de pequeños vasos sanguíneos en el riñón,</w:t>
      </w:r>
    </w:p>
    <w:p w14:paraId="0CC5C1CD"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tensión anormalmente alta en los vasos sanguíneos de los pulmones que hace que el lado derecho del corazón trabaje más duro de lo normal,</w:t>
      </w:r>
    </w:p>
    <w:p w14:paraId="19A88A60"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perforación en la pared del cartílago que separa los orificios nasales,</w:t>
      </w:r>
    </w:p>
    <w:p w14:paraId="71D1417D"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perforación en el estómago o intestino,</w:t>
      </w:r>
    </w:p>
    <w:p w14:paraId="03CA5698"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úlcera o perforación en el recubrimiento del estómago o del intestino delgado (estos signos pueden incluir dolor abdominal, sensación de hinchazón, heces negras, heces con sangre o sangre en el vómito),</w:t>
      </w:r>
    </w:p>
    <w:p w14:paraId="0468B434"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sangrado de la parte inferior del intestino grueso,</w:t>
      </w:r>
    </w:p>
    <w:p w14:paraId="3FD5DE19"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lesiones en las encías, con el hueso de la mandíbula expuesto que no se curan y pueden estar asociadas con dolor e inflamación de los tejidos circundantes (para más recomendaciones, ver en el párrafo más abajo la lista de efectos adversos),</w:t>
      </w:r>
    </w:p>
    <w:p w14:paraId="0AB62932" w14:textId="2B289D94" w:rsidR="00FB24C0" w:rsidRDefault="00FB24C0" w:rsidP="00B515AD">
      <w:pPr>
        <w:numPr>
          <w:ilvl w:val="0"/>
          <w:numId w:val="13"/>
        </w:numPr>
        <w:spacing w:after="0" w:line="240" w:lineRule="auto"/>
        <w:ind w:left="567" w:hanging="567"/>
        <w:rPr>
          <w:color w:val="auto"/>
          <w:lang w:val="es-ES"/>
        </w:rPr>
      </w:pPr>
      <w:r w:rsidRPr="00443040">
        <w:rPr>
          <w:color w:val="auto"/>
          <w:lang w:val="es-ES"/>
        </w:rPr>
        <w:t>perforación de la vesícula biliar (los síntomas y signos pueden incluir dolor abdominal, fiebre, náuseas y vómitos)</w:t>
      </w:r>
      <w:r w:rsidR="00301A5A">
        <w:rPr>
          <w:color w:val="auto"/>
          <w:lang w:val="es-ES"/>
        </w:rPr>
        <w:t>,</w:t>
      </w:r>
    </w:p>
    <w:p w14:paraId="50F86321" w14:textId="494A9D9C" w:rsidR="001B74AB" w:rsidRPr="001B74AB" w:rsidRDefault="00C52989" w:rsidP="001B74AB">
      <w:pPr>
        <w:numPr>
          <w:ilvl w:val="0"/>
          <w:numId w:val="13"/>
        </w:numPr>
        <w:spacing w:after="0" w:line="240" w:lineRule="auto"/>
        <w:ind w:left="567" w:hanging="567"/>
        <w:rPr>
          <w:color w:val="auto"/>
          <w:lang w:val="es-ES"/>
        </w:rPr>
      </w:pPr>
      <w:r>
        <w:rPr>
          <w:color w:val="auto"/>
          <w:lang w:val="es-ES"/>
        </w:rPr>
        <w:t>a</w:t>
      </w:r>
      <w:r w:rsidR="001B74AB" w:rsidRPr="00720ECE">
        <w:rPr>
          <w:color w:val="auto"/>
          <w:lang w:val="es-ES"/>
        </w:rPr>
        <w:t>umento y debilitamiento de la pared de un vaso sanguíneo o desgarro de la pared de un vaso sanguíneo (aneurismas y disecciones arteriales).</w:t>
      </w:r>
    </w:p>
    <w:p w14:paraId="09571AEA" w14:textId="77777777" w:rsidR="00FB24C0" w:rsidRPr="00443040" w:rsidRDefault="00FB24C0" w:rsidP="00FB24C0">
      <w:pPr>
        <w:spacing w:after="0" w:line="240" w:lineRule="auto"/>
        <w:ind w:left="0" w:firstLine="0"/>
        <w:rPr>
          <w:color w:val="auto"/>
          <w:lang w:val="es-ES"/>
        </w:rPr>
      </w:pPr>
    </w:p>
    <w:p w14:paraId="6DB03BE0" w14:textId="77777777" w:rsidR="00FB24C0" w:rsidRPr="00443040" w:rsidRDefault="00FB24C0" w:rsidP="000666C3">
      <w:pPr>
        <w:keepNext/>
        <w:spacing w:after="0" w:line="240" w:lineRule="auto"/>
        <w:ind w:left="0" w:firstLine="0"/>
        <w:rPr>
          <w:color w:val="auto"/>
          <w:lang w:val="es-ES"/>
        </w:rPr>
      </w:pPr>
      <w:r w:rsidRPr="00443040">
        <w:rPr>
          <w:b/>
          <w:color w:val="auto"/>
          <w:lang w:val="es-ES"/>
        </w:rPr>
        <w:t>Si aprecia cualquiera de estos efectos adversos mencionados, busque atención médica tan pronto como sea posible.</w:t>
      </w:r>
    </w:p>
    <w:p w14:paraId="1CF5FB69" w14:textId="77777777" w:rsidR="00FB24C0" w:rsidRPr="00443040" w:rsidRDefault="00FB24C0" w:rsidP="000666C3">
      <w:pPr>
        <w:keepNext/>
        <w:spacing w:after="0" w:line="240" w:lineRule="auto"/>
        <w:ind w:left="0" w:firstLine="0"/>
        <w:rPr>
          <w:color w:val="auto"/>
          <w:lang w:val="es-ES"/>
        </w:rPr>
      </w:pPr>
    </w:p>
    <w:p w14:paraId="23BAA883" w14:textId="5FD8047C" w:rsidR="00FB24C0" w:rsidRPr="00443040" w:rsidRDefault="00FB24C0" w:rsidP="000666C3">
      <w:pPr>
        <w:keepNext/>
        <w:spacing w:after="0" w:line="240" w:lineRule="auto"/>
        <w:ind w:left="0" w:firstLine="0"/>
        <w:rPr>
          <w:color w:val="auto"/>
          <w:lang w:val="es-ES"/>
        </w:rPr>
      </w:pPr>
      <w:r w:rsidRPr="00443040">
        <w:rPr>
          <w:color w:val="auto"/>
          <w:lang w:val="es-ES"/>
        </w:rPr>
        <w:t xml:space="preserve">Los efectos adversos </w:t>
      </w:r>
      <w:r w:rsidRPr="00D1096C">
        <w:rPr>
          <w:b/>
          <w:color w:val="auto"/>
          <w:lang w:val="es-ES"/>
        </w:rPr>
        <w:t>muy frecuentes</w:t>
      </w:r>
      <w:r w:rsidRPr="000666C3">
        <w:rPr>
          <w:color w:val="auto"/>
          <w:lang w:val="es-ES"/>
        </w:rPr>
        <w:t xml:space="preserve"> </w:t>
      </w:r>
      <w:r w:rsidRPr="00C12F43">
        <w:rPr>
          <w:color w:val="auto"/>
          <w:lang w:val="es-ES"/>
        </w:rPr>
        <w:t>(</w:t>
      </w:r>
      <w:r w:rsidR="007144F3" w:rsidRPr="0030178C">
        <w:rPr>
          <w:color w:val="auto"/>
          <w:lang w:val="es-ES"/>
        </w:rPr>
        <w:t xml:space="preserve">pueden </w:t>
      </w:r>
      <w:r w:rsidR="0000125B" w:rsidRPr="00C12F43">
        <w:rPr>
          <w:color w:val="auto"/>
          <w:lang w:val="es-ES"/>
        </w:rPr>
        <w:t>afecta</w:t>
      </w:r>
      <w:r w:rsidR="007144F3" w:rsidRPr="0030178C">
        <w:rPr>
          <w:color w:val="auto"/>
          <w:lang w:val="es-ES"/>
        </w:rPr>
        <w:t>r</w:t>
      </w:r>
      <w:r w:rsidR="0000125B" w:rsidRPr="00C12F43">
        <w:rPr>
          <w:color w:val="auto"/>
          <w:lang w:val="es-ES"/>
        </w:rPr>
        <w:t xml:space="preserve"> a más </w:t>
      </w:r>
      <w:r w:rsidRPr="00C12F43">
        <w:rPr>
          <w:color w:val="auto"/>
          <w:lang w:val="es-ES"/>
        </w:rPr>
        <w:t xml:space="preserve">de 1 de cada 10 </w:t>
      </w:r>
      <w:r w:rsidR="00565A22" w:rsidRPr="00EB64BB">
        <w:rPr>
          <w:color w:val="auto"/>
          <w:lang w:val="es-ES"/>
        </w:rPr>
        <w:t>p</w:t>
      </w:r>
      <w:r w:rsidR="00565A22">
        <w:rPr>
          <w:color w:val="auto"/>
          <w:lang w:val="es-ES"/>
        </w:rPr>
        <w:t>ersonas</w:t>
      </w:r>
      <w:r w:rsidRPr="00C12F43">
        <w:rPr>
          <w:color w:val="auto"/>
          <w:lang w:val="es-ES"/>
        </w:rPr>
        <w:t>)</w:t>
      </w:r>
      <w:r w:rsidRPr="000666C3">
        <w:rPr>
          <w:color w:val="auto"/>
          <w:lang w:val="es-ES"/>
        </w:rPr>
        <w:t xml:space="preserve"> </w:t>
      </w:r>
      <w:r w:rsidRPr="00443040">
        <w:rPr>
          <w:color w:val="auto"/>
          <w:lang w:val="es-ES"/>
        </w:rPr>
        <w:t>que no fueron graves son:</w:t>
      </w:r>
    </w:p>
    <w:p w14:paraId="4ADF7A5D"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estreñimiento,</w:t>
      </w:r>
    </w:p>
    <w:p w14:paraId="7A661447"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pérdida del apetito,</w:t>
      </w:r>
    </w:p>
    <w:p w14:paraId="3924E779"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fiebre,</w:t>
      </w:r>
    </w:p>
    <w:p w14:paraId="57D0D436"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problemas oculares (incluido aumento en la producción de lágrimas),</w:t>
      </w:r>
    </w:p>
    <w:p w14:paraId="016A11DC"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alteraciones del habla,</w:t>
      </w:r>
    </w:p>
    <w:p w14:paraId="5D3BCA29"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alteraciones del gusto,</w:t>
      </w:r>
    </w:p>
    <w:p w14:paraId="59C76B4C"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secreción nasal,</w:t>
      </w:r>
    </w:p>
    <w:p w14:paraId="526C3732"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piel seca, descamación e inflamación de la piel, cambios en el color de la piel,</w:t>
      </w:r>
    </w:p>
    <w:p w14:paraId="1C8E6B48"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pérdida de peso,</w:t>
      </w:r>
    </w:p>
    <w:p w14:paraId="1EB67523"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sangrado de nariz.</w:t>
      </w:r>
    </w:p>
    <w:p w14:paraId="58B87A3C" w14:textId="77777777" w:rsidR="00FB24C0" w:rsidRPr="00443040" w:rsidRDefault="00FB24C0" w:rsidP="00FB24C0">
      <w:pPr>
        <w:spacing w:after="0" w:line="240" w:lineRule="auto"/>
        <w:ind w:left="0" w:firstLine="0"/>
        <w:rPr>
          <w:color w:val="auto"/>
          <w:lang w:val="es-ES"/>
        </w:rPr>
      </w:pPr>
    </w:p>
    <w:p w14:paraId="38362451" w14:textId="26424929" w:rsidR="00FB24C0" w:rsidRPr="00443040" w:rsidRDefault="00FB24C0" w:rsidP="000666C3">
      <w:pPr>
        <w:keepNext/>
        <w:spacing w:after="0" w:line="240" w:lineRule="auto"/>
        <w:ind w:left="0" w:firstLine="0"/>
        <w:rPr>
          <w:color w:val="auto"/>
          <w:lang w:val="es-ES"/>
        </w:rPr>
      </w:pPr>
      <w:r w:rsidRPr="00443040">
        <w:rPr>
          <w:color w:val="auto"/>
          <w:lang w:val="es-ES"/>
        </w:rPr>
        <w:lastRenderedPageBreak/>
        <w:t xml:space="preserve">Los efectos adversos </w:t>
      </w:r>
      <w:r w:rsidRPr="00443040">
        <w:rPr>
          <w:b/>
          <w:color w:val="auto"/>
          <w:lang w:val="es-ES"/>
        </w:rPr>
        <w:t xml:space="preserve">frecuentes </w:t>
      </w:r>
      <w:r w:rsidRPr="00C12F43">
        <w:rPr>
          <w:color w:val="auto"/>
          <w:lang w:val="es-ES"/>
        </w:rPr>
        <w:t>(</w:t>
      </w:r>
      <w:r w:rsidR="00FD74C3" w:rsidRPr="0030178C">
        <w:rPr>
          <w:color w:val="auto"/>
          <w:lang w:val="es-ES"/>
        </w:rPr>
        <w:t xml:space="preserve">pueden </w:t>
      </w:r>
      <w:r w:rsidR="00EA2EEA" w:rsidRPr="00C12F43">
        <w:rPr>
          <w:color w:val="auto"/>
          <w:lang w:val="es-ES"/>
        </w:rPr>
        <w:t>afecta</w:t>
      </w:r>
      <w:r w:rsidR="00FD74C3" w:rsidRPr="0030178C">
        <w:rPr>
          <w:color w:val="auto"/>
          <w:lang w:val="es-ES"/>
        </w:rPr>
        <w:t>r</w:t>
      </w:r>
      <w:r w:rsidR="0000125B" w:rsidRPr="00C12F43">
        <w:rPr>
          <w:color w:val="auto"/>
          <w:lang w:val="es-ES"/>
        </w:rPr>
        <w:t xml:space="preserve"> </w:t>
      </w:r>
      <w:r w:rsidR="00FD74C3" w:rsidRPr="0030178C">
        <w:rPr>
          <w:color w:val="auto"/>
          <w:lang w:val="es-ES"/>
        </w:rPr>
        <w:t>hasta</w:t>
      </w:r>
      <w:r w:rsidRPr="00C12F43">
        <w:rPr>
          <w:color w:val="auto"/>
          <w:lang w:val="es-ES"/>
        </w:rPr>
        <w:t xml:space="preserve"> </w:t>
      </w:r>
      <w:r w:rsidR="00241E7E" w:rsidRPr="00C12F43">
        <w:rPr>
          <w:color w:val="auto"/>
          <w:lang w:val="es-ES"/>
        </w:rPr>
        <w:t>1</w:t>
      </w:r>
      <w:r w:rsidR="0000125B" w:rsidRPr="00C12F43">
        <w:rPr>
          <w:color w:val="auto"/>
          <w:lang w:val="es-ES"/>
        </w:rPr>
        <w:t xml:space="preserve"> </w:t>
      </w:r>
      <w:r w:rsidR="00FD74C3" w:rsidRPr="0030178C">
        <w:rPr>
          <w:color w:val="auto"/>
          <w:lang w:val="es-ES"/>
        </w:rPr>
        <w:t>de</w:t>
      </w:r>
      <w:r w:rsidR="0000125B" w:rsidRPr="00C12F43">
        <w:rPr>
          <w:color w:val="auto"/>
          <w:lang w:val="es-ES"/>
        </w:rPr>
        <w:t xml:space="preserve"> </w:t>
      </w:r>
      <w:r w:rsidR="00241E7E" w:rsidRPr="00C12F43">
        <w:rPr>
          <w:color w:val="auto"/>
          <w:lang w:val="es-ES"/>
        </w:rPr>
        <w:t>cada</w:t>
      </w:r>
      <w:r w:rsidRPr="00C12F43">
        <w:rPr>
          <w:color w:val="auto"/>
          <w:lang w:val="es-ES"/>
        </w:rPr>
        <w:t xml:space="preserve"> 10 </w:t>
      </w:r>
      <w:r w:rsidR="00A40F78" w:rsidRPr="00C12F43">
        <w:rPr>
          <w:color w:val="auto"/>
          <w:lang w:val="es-ES"/>
        </w:rPr>
        <w:t>p</w:t>
      </w:r>
      <w:r w:rsidR="00A40F78">
        <w:rPr>
          <w:color w:val="auto"/>
          <w:lang w:val="es-ES"/>
        </w:rPr>
        <w:t>ersonas</w:t>
      </w:r>
      <w:r w:rsidRPr="00C12F43">
        <w:rPr>
          <w:color w:val="auto"/>
          <w:lang w:val="es-ES"/>
        </w:rPr>
        <w:t>)</w:t>
      </w:r>
      <w:r w:rsidRPr="00443040">
        <w:rPr>
          <w:b/>
          <w:color w:val="auto"/>
          <w:lang w:val="es-ES"/>
        </w:rPr>
        <w:t xml:space="preserve"> </w:t>
      </w:r>
      <w:r w:rsidRPr="00443040">
        <w:rPr>
          <w:color w:val="auto"/>
          <w:lang w:val="es-ES"/>
        </w:rPr>
        <w:t>que no fueron graves son:</w:t>
      </w:r>
    </w:p>
    <w:p w14:paraId="101C0D12"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cambios en la voz y ronquera.</w:t>
      </w:r>
    </w:p>
    <w:p w14:paraId="1F2E369F" w14:textId="77777777" w:rsidR="00FB24C0" w:rsidRPr="00443040" w:rsidRDefault="00FB24C0" w:rsidP="00FB24C0">
      <w:pPr>
        <w:spacing w:after="0" w:line="240" w:lineRule="auto"/>
        <w:ind w:left="0" w:firstLine="0"/>
        <w:rPr>
          <w:color w:val="auto"/>
          <w:lang w:val="es-ES"/>
        </w:rPr>
      </w:pPr>
    </w:p>
    <w:p w14:paraId="4AF22563" w14:textId="77777777" w:rsidR="00FB24C0" w:rsidRPr="00443040" w:rsidRDefault="00FB24C0" w:rsidP="000666C3">
      <w:pPr>
        <w:keepNext/>
        <w:spacing w:after="0" w:line="240" w:lineRule="auto"/>
        <w:ind w:left="0" w:firstLine="0"/>
        <w:rPr>
          <w:color w:val="auto"/>
          <w:lang w:val="es-ES"/>
        </w:rPr>
      </w:pPr>
      <w:r w:rsidRPr="00443040">
        <w:rPr>
          <w:color w:val="auto"/>
          <w:lang w:val="es-ES"/>
        </w:rPr>
        <w:t>Los pacientes mayores de 65 años tienen un mayor riesgo de experimentar lo siguiente:</w:t>
      </w:r>
    </w:p>
    <w:p w14:paraId="46912693"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embolia en las arterias que puede provocar apoplejía o un ataque cardíaco,</w:t>
      </w:r>
    </w:p>
    <w:p w14:paraId="4981A68D"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reducción del número de glóbulos blancos y plaquetas (que ayudan a la coagulación) en sangre,</w:t>
      </w:r>
    </w:p>
    <w:p w14:paraId="0DDF3E33"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diarrea,</w:t>
      </w:r>
    </w:p>
    <w:p w14:paraId="4861EF3D"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malestar,</w:t>
      </w:r>
    </w:p>
    <w:p w14:paraId="7023C04A"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dolor de cabeza,</w:t>
      </w:r>
    </w:p>
    <w:p w14:paraId="2694BB83"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fatiga,</w:t>
      </w:r>
    </w:p>
    <w:p w14:paraId="32EA6855" w14:textId="77777777" w:rsidR="00FB24C0" w:rsidRPr="00443040" w:rsidRDefault="00FB24C0" w:rsidP="00B515AD">
      <w:pPr>
        <w:numPr>
          <w:ilvl w:val="0"/>
          <w:numId w:val="13"/>
        </w:numPr>
        <w:spacing w:after="0" w:line="240" w:lineRule="auto"/>
        <w:ind w:left="567" w:hanging="567"/>
        <w:rPr>
          <w:color w:val="auto"/>
          <w:lang w:val="es-ES"/>
        </w:rPr>
      </w:pPr>
      <w:r w:rsidRPr="00443040">
        <w:rPr>
          <w:color w:val="auto"/>
          <w:lang w:val="es-ES"/>
        </w:rPr>
        <w:t>presión arterial alta.</w:t>
      </w:r>
    </w:p>
    <w:p w14:paraId="65B15340" w14:textId="77777777" w:rsidR="00FB24C0" w:rsidRPr="005C382F" w:rsidRDefault="00FB24C0" w:rsidP="00FB24C0">
      <w:pPr>
        <w:spacing w:after="0" w:line="240" w:lineRule="auto"/>
        <w:ind w:left="0" w:firstLine="0"/>
        <w:rPr>
          <w:color w:val="auto"/>
          <w:lang w:val="es-ES"/>
        </w:rPr>
      </w:pPr>
    </w:p>
    <w:p w14:paraId="5ED3BE4D" w14:textId="77777777" w:rsidR="00FB24C0" w:rsidRPr="005C382F" w:rsidRDefault="00AA71D6" w:rsidP="00FB24C0">
      <w:pPr>
        <w:spacing w:after="0" w:line="240" w:lineRule="auto"/>
        <w:ind w:left="0" w:firstLine="0"/>
        <w:rPr>
          <w:color w:val="auto"/>
          <w:lang w:val="es-ES"/>
        </w:rPr>
      </w:pPr>
      <w:r>
        <w:rPr>
          <w:color w:val="auto"/>
          <w:lang w:val="es-ES"/>
        </w:rPr>
        <w:t>MVASI</w:t>
      </w:r>
      <w:r w:rsidR="00FB24C0" w:rsidRPr="005C382F">
        <w:rPr>
          <w:color w:val="auto"/>
          <w:lang w:val="es-ES"/>
        </w:rPr>
        <w:t xml:space="preserve"> también puede causar cambios en las pruebas de laboratorio que le haga su médico. Estos cambios pueden incluir una reducción del número de glóbulos blancos sanguíneos, en particular neutrófilos (un tipo de células blancas que facilitan la protección frente a infecciones), presencia de proteínas en la orina, disminución del potasio, sodio o fósforo en sangre, aumento del azúcar en sangre, aumento de la fosfatasa alcalina (una enzima) en sangre, disminución de la hemoglobina (que se encuentra en los glóbulos rojos y transporta oxígeno), que puede ser grave.</w:t>
      </w:r>
    </w:p>
    <w:p w14:paraId="7C387A11" w14:textId="77777777" w:rsidR="00FB24C0" w:rsidRPr="005C382F" w:rsidRDefault="00FB24C0" w:rsidP="00FB24C0">
      <w:pPr>
        <w:spacing w:after="0" w:line="240" w:lineRule="auto"/>
        <w:ind w:left="0" w:firstLine="0"/>
        <w:rPr>
          <w:color w:val="auto"/>
          <w:lang w:val="es-ES"/>
        </w:rPr>
      </w:pPr>
    </w:p>
    <w:p w14:paraId="1DAFE62C" w14:textId="77777777" w:rsidR="00FB24C0" w:rsidRPr="005C382F" w:rsidRDefault="00FB24C0" w:rsidP="00FB24C0">
      <w:pPr>
        <w:spacing w:after="0" w:line="240" w:lineRule="auto"/>
        <w:ind w:left="0" w:firstLine="0"/>
        <w:rPr>
          <w:color w:val="auto"/>
          <w:lang w:val="es-ES"/>
        </w:rPr>
      </w:pPr>
      <w:r w:rsidRPr="005C382F">
        <w:rPr>
          <w:color w:val="auto"/>
          <w:lang w:val="es-ES"/>
        </w:rPr>
        <w:t>Dolor en la boca, los dientes y/o la mandíbula, hinchazón o llagas en la boca, adormecimiento o sensación de pesadez de la mandíbula, o pérdida de un diente. Estos pueden ser signos y síntomas de daño óseo en la mandíbula (osteonecrosis). Informe inmediatamente a su médico y a su dentista si sufre cualquiera de ellos.</w:t>
      </w:r>
    </w:p>
    <w:p w14:paraId="001DF38A" w14:textId="77777777" w:rsidR="00FB24C0" w:rsidRPr="005C382F" w:rsidRDefault="00FB24C0" w:rsidP="00FB24C0">
      <w:pPr>
        <w:spacing w:after="0" w:line="240" w:lineRule="auto"/>
        <w:ind w:left="0" w:firstLine="0"/>
        <w:rPr>
          <w:color w:val="auto"/>
          <w:lang w:val="es-ES"/>
        </w:rPr>
      </w:pPr>
    </w:p>
    <w:p w14:paraId="1814A889" w14:textId="77777777" w:rsidR="00FB24C0" w:rsidRPr="005C382F" w:rsidRDefault="00FB24C0" w:rsidP="00FB24C0">
      <w:pPr>
        <w:spacing w:after="0" w:line="240" w:lineRule="auto"/>
        <w:ind w:left="0" w:firstLine="0"/>
        <w:rPr>
          <w:color w:val="auto"/>
          <w:lang w:val="es-ES"/>
        </w:rPr>
      </w:pPr>
      <w:r w:rsidRPr="005C382F">
        <w:rPr>
          <w:color w:val="auto"/>
          <w:lang w:val="es-ES"/>
        </w:rPr>
        <w:t xml:space="preserve">Las mujeres </w:t>
      </w:r>
      <w:proofErr w:type="spellStart"/>
      <w:r w:rsidRPr="005C382F">
        <w:rPr>
          <w:color w:val="auto"/>
          <w:lang w:val="es-ES"/>
        </w:rPr>
        <w:t>pre-menopáusicas</w:t>
      </w:r>
      <w:proofErr w:type="spellEnd"/>
      <w:r w:rsidRPr="005C382F">
        <w:rPr>
          <w:color w:val="auto"/>
          <w:lang w:val="es-ES"/>
        </w:rPr>
        <w:t xml:space="preserve"> (mujeres que tienen ciclo menstrual) pueden notar que sus periodos se vuelven irregulares o desaparecen y pueden experimentar problemas de fertilidad. Si está pensando en tener hijos debe consultarlo con su médico antes de comenzar su tratamiento.</w:t>
      </w:r>
    </w:p>
    <w:p w14:paraId="6B925A79" w14:textId="77777777" w:rsidR="00FB24C0" w:rsidRPr="005C382F" w:rsidRDefault="00FB24C0" w:rsidP="00FB24C0">
      <w:pPr>
        <w:spacing w:after="0" w:line="240" w:lineRule="auto"/>
        <w:ind w:left="0" w:firstLine="0"/>
        <w:rPr>
          <w:color w:val="auto"/>
          <w:lang w:val="es-ES"/>
        </w:rPr>
      </w:pPr>
    </w:p>
    <w:p w14:paraId="68A5BFD5" w14:textId="77777777" w:rsidR="00FB24C0" w:rsidRPr="005C382F" w:rsidRDefault="00AA71D6" w:rsidP="000666C3">
      <w:pPr>
        <w:keepNext/>
        <w:spacing w:after="0" w:line="240" w:lineRule="auto"/>
        <w:ind w:left="0" w:firstLine="0"/>
        <w:rPr>
          <w:color w:val="auto"/>
          <w:lang w:val="es-ES"/>
        </w:rPr>
      </w:pPr>
      <w:r>
        <w:rPr>
          <w:color w:val="auto"/>
          <w:lang w:val="es-ES"/>
        </w:rPr>
        <w:t>MVASI</w:t>
      </w:r>
      <w:r w:rsidR="00FB24C0" w:rsidRPr="005C382F">
        <w:rPr>
          <w:color w:val="auto"/>
          <w:lang w:val="es-ES"/>
        </w:rPr>
        <w:t xml:space="preserve"> ha sido desarrollado y fabricado para tratar el cáncer mediante inyección en el torrente sanguíneo. No se ha desarrollado o fabricado para su inyección en el ojo. Por lo tanto, no está autorizado para ser usado de esta manera. Cuando </w:t>
      </w:r>
      <w:r w:rsidR="00EA2EEA">
        <w:rPr>
          <w:color w:val="auto"/>
          <w:lang w:val="es-ES"/>
        </w:rPr>
        <w:t>b</w:t>
      </w:r>
      <w:r w:rsidR="00863B46">
        <w:rPr>
          <w:color w:val="auto"/>
          <w:lang w:val="es-ES"/>
        </w:rPr>
        <w:t>evacizumab</w:t>
      </w:r>
      <w:r w:rsidR="00FB24C0" w:rsidRPr="005C382F">
        <w:rPr>
          <w:color w:val="auto"/>
          <w:lang w:val="es-ES"/>
        </w:rPr>
        <w:t xml:space="preserve"> se inyecta directamente en el ojo (uso no aprobado), los siguientes efectos secundarios pueden ocurrir:</w:t>
      </w:r>
    </w:p>
    <w:p w14:paraId="39BD45BE" w14:textId="77777777" w:rsidR="00FB24C0" w:rsidRPr="005C382F" w:rsidRDefault="00FB24C0" w:rsidP="000666C3">
      <w:pPr>
        <w:keepNext/>
        <w:spacing w:after="0" w:line="240" w:lineRule="auto"/>
        <w:ind w:left="0" w:firstLine="0"/>
        <w:rPr>
          <w:color w:val="auto"/>
          <w:lang w:val="es-ES"/>
        </w:rPr>
      </w:pPr>
    </w:p>
    <w:p w14:paraId="2D294B10" w14:textId="57FD7C8A" w:rsidR="00FB24C0" w:rsidRPr="00443040" w:rsidRDefault="00382D82" w:rsidP="00B515AD">
      <w:pPr>
        <w:numPr>
          <w:ilvl w:val="0"/>
          <w:numId w:val="13"/>
        </w:numPr>
        <w:spacing w:after="0" w:line="240" w:lineRule="auto"/>
        <w:ind w:left="567" w:hanging="567"/>
        <w:rPr>
          <w:color w:val="auto"/>
          <w:lang w:val="es-ES"/>
        </w:rPr>
      </w:pPr>
      <w:r>
        <w:rPr>
          <w:color w:val="auto"/>
          <w:lang w:val="es-ES"/>
        </w:rPr>
        <w:t>i</w:t>
      </w:r>
      <w:r w:rsidR="00FB24C0" w:rsidRPr="00443040">
        <w:rPr>
          <w:color w:val="auto"/>
          <w:lang w:val="es-ES"/>
        </w:rPr>
        <w:t>nfección o inflamación del globo ocular,</w:t>
      </w:r>
    </w:p>
    <w:p w14:paraId="243171C4" w14:textId="329FA163" w:rsidR="00FB24C0" w:rsidRPr="00443040" w:rsidRDefault="00382D82" w:rsidP="00B515AD">
      <w:pPr>
        <w:numPr>
          <w:ilvl w:val="0"/>
          <w:numId w:val="13"/>
        </w:numPr>
        <w:spacing w:after="0" w:line="240" w:lineRule="auto"/>
        <w:ind w:left="567" w:hanging="567"/>
        <w:rPr>
          <w:color w:val="auto"/>
          <w:lang w:val="es-ES"/>
        </w:rPr>
      </w:pPr>
      <w:r>
        <w:rPr>
          <w:color w:val="auto"/>
          <w:lang w:val="es-ES"/>
        </w:rPr>
        <w:t>e</w:t>
      </w:r>
      <w:r w:rsidR="00FB24C0" w:rsidRPr="00443040">
        <w:rPr>
          <w:color w:val="auto"/>
          <w:lang w:val="es-ES"/>
        </w:rPr>
        <w:t>nrojecimiento del ojo, pequeñas partículas o manchas en la visión (puntos flotantes), dolor ocular,</w:t>
      </w:r>
    </w:p>
    <w:p w14:paraId="17E63496" w14:textId="30FF11FB" w:rsidR="00FB24C0" w:rsidRPr="00443040" w:rsidRDefault="00382D82" w:rsidP="00B515AD">
      <w:pPr>
        <w:numPr>
          <w:ilvl w:val="0"/>
          <w:numId w:val="13"/>
        </w:numPr>
        <w:spacing w:after="0" w:line="240" w:lineRule="auto"/>
        <w:ind w:left="567" w:hanging="567"/>
        <w:rPr>
          <w:color w:val="auto"/>
          <w:lang w:val="es-ES"/>
        </w:rPr>
      </w:pPr>
      <w:r>
        <w:rPr>
          <w:color w:val="auto"/>
          <w:lang w:val="es-ES"/>
        </w:rPr>
        <w:t>v</w:t>
      </w:r>
      <w:r w:rsidR="00FB24C0" w:rsidRPr="00443040">
        <w:rPr>
          <w:color w:val="auto"/>
          <w:lang w:val="es-ES"/>
        </w:rPr>
        <w:t>isión de destellos de luz con puntos flotantes, con progresión a una pérdida de parte de la visión,</w:t>
      </w:r>
    </w:p>
    <w:p w14:paraId="757C23CC" w14:textId="44619ACE" w:rsidR="00FB24C0" w:rsidRPr="00443040" w:rsidRDefault="00382D82" w:rsidP="00B515AD">
      <w:pPr>
        <w:numPr>
          <w:ilvl w:val="0"/>
          <w:numId w:val="13"/>
        </w:numPr>
        <w:spacing w:after="0" w:line="240" w:lineRule="auto"/>
        <w:ind w:left="567" w:hanging="567"/>
        <w:rPr>
          <w:color w:val="auto"/>
          <w:lang w:val="es-ES"/>
        </w:rPr>
      </w:pPr>
      <w:r>
        <w:rPr>
          <w:color w:val="auto"/>
          <w:lang w:val="es-ES"/>
        </w:rPr>
        <w:t>a</w:t>
      </w:r>
      <w:r w:rsidR="00FB24C0" w:rsidRPr="00443040">
        <w:rPr>
          <w:color w:val="auto"/>
          <w:lang w:val="es-ES"/>
        </w:rPr>
        <w:t>umento de la presión ocular,</w:t>
      </w:r>
    </w:p>
    <w:p w14:paraId="367649FD" w14:textId="6F7CBBC2" w:rsidR="00FB24C0" w:rsidRPr="00443040" w:rsidRDefault="00382D82" w:rsidP="00B515AD">
      <w:pPr>
        <w:numPr>
          <w:ilvl w:val="0"/>
          <w:numId w:val="13"/>
        </w:numPr>
        <w:spacing w:after="0" w:line="240" w:lineRule="auto"/>
        <w:ind w:left="567" w:hanging="567"/>
        <w:rPr>
          <w:color w:val="auto"/>
          <w:lang w:val="es-ES"/>
        </w:rPr>
      </w:pPr>
      <w:r>
        <w:rPr>
          <w:color w:val="auto"/>
          <w:lang w:val="es-ES"/>
        </w:rPr>
        <w:t>s</w:t>
      </w:r>
      <w:r w:rsidR="00FB24C0" w:rsidRPr="00443040">
        <w:rPr>
          <w:color w:val="auto"/>
          <w:lang w:val="es-ES"/>
        </w:rPr>
        <w:t>angrado en el ojo.</w:t>
      </w:r>
    </w:p>
    <w:p w14:paraId="73013291" w14:textId="77777777" w:rsidR="00FB24C0" w:rsidRPr="00443040" w:rsidRDefault="00FB24C0" w:rsidP="00FB24C0">
      <w:pPr>
        <w:spacing w:after="0" w:line="240" w:lineRule="auto"/>
        <w:ind w:left="0" w:firstLine="0"/>
        <w:rPr>
          <w:color w:val="auto"/>
          <w:lang w:val="es-ES"/>
        </w:rPr>
      </w:pPr>
    </w:p>
    <w:p w14:paraId="0FFDE5B5" w14:textId="77777777" w:rsidR="00FB24C0" w:rsidRPr="000666C3" w:rsidRDefault="00FB24C0" w:rsidP="000666C3">
      <w:pPr>
        <w:keepNext/>
        <w:spacing w:after="0" w:line="240" w:lineRule="auto"/>
        <w:ind w:left="0" w:firstLine="0"/>
        <w:rPr>
          <w:b/>
          <w:color w:val="auto"/>
          <w:lang w:val="es-ES"/>
        </w:rPr>
      </w:pPr>
      <w:r w:rsidRPr="000666C3">
        <w:rPr>
          <w:b/>
          <w:color w:val="auto"/>
          <w:lang w:val="es-ES"/>
        </w:rPr>
        <w:t>Comunicación de efectos adversos</w:t>
      </w:r>
    </w:p>
    <w:p w14:paraId="1A61FC24" w14:textId="77777777" w:rsidR="000666C3" w:rsidRPr="00443040" w:rsidRDefault="000666C3" w:rsidP="000666C3">
      <w:pPr>
        <w:keepNext/>
        <w:spacing w:after="0" w:line="240" w:lineRule="auto"/>
        <w:ind w:left="0" w:firstLine="0"/>
        <w:rPr>
          <w:color w:val="auto"/>
          <w:lang w:val="es-ES"/>
        </w:rPr>
      </w:pPr>
    </w:p>
    <w:p w14:paraId="3C12AB13" w14:textId="676B00C1" w:rsidR="00FB24C0" w:rsidRPr="00443040" w:rsidRDefault="00FB24C0" w:rsidP="00FB24C0">
      <w:pPr>
        <w:spacing w:after="0" w:line="240" w:lineRule="auto"/>
        <w:ind w:left="0" w:firstLine="0"/>
        <w:rPr>
          <w:color w:val="auto"/>
          <w:lang w:val="es-ES"/>
        </w:rPr>
      </w:pPr>
      <w:r w:rsidRPr="00443040">
        <w:rPr>
          <w:color w:val="auto"/>
          <w:lang w:val="es-ES"/>
        </w:rPr>
        <w:t xml:space="preserve">Si experimenta cualquier tipo de efecto adverso, consulte a su médico, farmacéutico o enfermero, incluso si se trata de posibles efectos adversos que no aparecen en este prospecto. También puede comunicarlos directamente a través del </w:t>
      </w:r>
      <w:r w:rsidR="000E46AC">
        <w:rPr>
          <w:color w:val="auto"/>
          <w:szCs w:val="20"/>
          <w:highlight w:val="lightGray"/>
          <w:lang w:val="es-ES" w:eastAsia="es-ES" w:bidi="es-ES"/>
        </w:rPr>
        <w:t xml:space="preserve">sistema nacional de notificación incluido en el </w:t>
      </w:r>
      <w:r w:rsidR="000E46AC">
        <w:fldChar w:fldCharType="begin"/>
      </w:r>
      <w:r w:rsidR="000E46AC" w:rsidRPr="00CC02A8">
        <w:rPr>
          <w:lang w:val="it-IT"/>
          <w:rPrChange w:id="22" w:author="Author">
            <w:rPr/>
          </w:rPrChange>
        </w:rPr>
        <w:instrText>HYPERLINK "http://www.ema.europa.eu/docs/en_GB/document_library/Template_or_form/2013/03/WC500139752.doc" \h</w:instrText>
      </w:r>
      <w:r w:rsidR="000E46AC">
        <w:fldChar w:fldCharType="separate"/>
      </w:r>
      <w:r w:rsidR="000E46AC">
        <w:rPr>
          <w:color w:val="0000FF"/>
          <w:highlight w:val="lightGray"/>
          <w:u w:val="single"/>
          <w:lang w:val="es-ES" w:eastAsia="es-ES" w:bidi="es-ES"/>
        </w:rPr>
        <w:t>Apéndice V</w:t>
      </w:r>
      <w:r w:rsidR="000E46AC">
        <w:fldChar w:fldCharType="end"/>
      </w:r>
      <w:r>
        <w:fldChar w:fldCharType="begin"/>
      </w:r>
      <w:r w:rsidRPr="00CC02A8">
        <w:rPr>
          <w:lang w:val="it-IT"/>
          <w:rPrChange w:id="23" w:author="Author">
            <w:rPr/>
          </w:rPrChange>
        </w:rPr>
        <w:instrText>HYPERLINK "http://www.ema.europa.eu/docs/en_GB/document_library/Template_or_form/2013/03/WC500139752.doc" \h</w:instrText>
      </w:r>
      <w:r>
        <w:fldChar w:fldCharType="separate"/>
      </w:r>
      <w:r w:rsidRPr="00443040">
        <w:rPr>
          <w:color w:val="auto"/>
          <w:lang w:val="es-ES"/>
        </w:rPr>
        <w:t>.</w:t>
      </w:r>
      <w:r>
        <w:fldChar w:fldCharType="end"/>
      </w:r>
      <w:r w:rsidRPr="00443040">
        <w:rPr>
          <w:color w:val="auto"/>
          <w:lang w:val="es-ES"/>
        </w:rPr>
        <w:t xml:space="preserve"> Mediante la comunicación de efectos adversos usted puede contribuir a proporcionar más información sobre la seguridad de este medicamento.</w:t>
      </w:r>
    </w:p>
    <w:p w14:paraId="3339C202" w14:textId="77777777" w:rsidR="00FB24C0" w:rsidRPr="00443040" w:rsidRDefault="00FB24C0" w:rsidP="00FB24C0">
      <w:pPr>
        <w:spacing w:after="0" w:line="240" w:lineRule="auto"/>
        <w:ind w:left="0" w:firstLine="0"/>
        <w:rPr>
          <w:color w:val="auto"/>
          <w:lang w:val="es-ES"/>
        </w:rPr>
      </w:pPr>
    </w:p>
    <w:p w14:paraId="49D492DA" w14:textId="77777777" w:rsidR="00FB24C0" w:rsidRPr="00443040" w:rsidRDefault="00FB24C0" w:rsidP="00FB24C0">
      <w:pPr>
        <w:spacing w:after="0" w:line="240" w:lineRule="auto"/>
        <w:ind w:left="0" w:firstLine="0"/>
        <w:rPr>
          <w:color w:val="auto"/>
          <w:lang w:val="es-ES"/>
        </w:rPr>
      </w:pPr>
    </w:p>
    <w:p w14:paraId="7B12A403" w14:textId="77777777" w:rsidR="00FB24C0" w:rsidRPr="000666C3" w:rsidRDefault="00FB24C0" w:rsidP="000666C3">
      <w:pPr>
        <w:keepNext/>
        <w:spacing w:after="0" w:line="240" w:lineRule="auto"/>
        <w:ind w:left="567" w:hanging="567"/>
        <w:rPr>
          <w:b/>
          <w:color w:val="auto"/>
          <w:lang w:val="es-ES"/>
        </w:rPr>
      </w:pPr>
      <w:r w:rsidRPr="00443040">
        <w:rPr>
          <w:b/>
          <w:color w:val="auto"/>
          <w:lang w:val="es-ES"/>
        </w:rPr>
        <w:t>5.</w:t>
      </w:r>
      <w:r w:rsidRPr="00443040">
        <w:rPr>
          <w:b/>
          <w:color w:val="auto"/>
          <w:lang w:val="es-ES"/>
        </w:rPr>
        <w:tab/>
      </w:r>
      <w:r w:rsidRPr="000666C3">
        <w:rPr>
          <w:b/>
          <w:color w:val="auto"/>
          <w:lang w:val="es-ES"/>
        </w:rPr>
        <w:t xml:space="preserve">Conservación de </w:t>
      </w:r>
      <w:r w:rsidR="00AA71D6">
        <w:rPr>
          <w:b/>
          <w:color w:val="auto"/>
          <w:lang w:val="es-ES"/>
        </w:rPr>
        <w:t>MVASI</w:t>
      </w:r>
    </w:p>
    <w:p w14:paraId="152AF9BC" w14:textId="77777777" w:rsidR="00FB24C0" w:rsidRPr="00443040" w:rsidRDefault="00FB24C0" w:rsidP="000666C3">
      <w:pPr>
        <w:keepNext/>
        <w:spacing w:after="0" w:line="240" w:lineRule="auto"/>
        <w:ind w:left="0" w:firstLine="0"/>
        <w:rPr>
          <w:color w:val="auto"/>
          <w:lang w:val="es-ES"/>
        </w:rPr>
      </w:pPr>
    </w:p>
    <w:p w14:paraId="2CBB517A" w14:textId="77777777" w:rsidR="00FB24C0" w:rsidRPr="00443040" w:rsidRDefault="00FB24C0" w:rsidP="00FB24C0">
      <w:pPr>
        <w:spacing w:after="0" w:line="240" w:lineRule="auto"/>
        <w:ind w:left="0" w:firstLine="0"/>
        <w:rPr>
          <w:color w:val="auto"/>
          <w:lang w:val="es-ES"/>
        </w:rPr>
      </w:pPr>
      <w:r w:rsidRPr="00443040">
        <w:rPr>
          <w:color w:val="auto"/>
          <w:lang w:val="es-ES"/>
        </w:rPr>
        <w:t>Mantener este medicamento fuera de la vista y del alcance de los niños.</w:t>
      </w:r>
    </w:p>
    <w:p w14:paraId="2931874B" w14:textId="77777777" w:rsidR="00FB24C0" w:rsidRPr="00443040" w:rsidRDefault="00FB24C0" w:rsidP="00FB24C0">
      <w:pPr>
        <w:spacing w:after="0" w:line="240" w:lineRule="auto"/>
        <w:ind w:left="0" w:firstLine="0"/>
        <w:rPr>
          <w:color w:val="auto"/>
          <w:lang w:val="es-ES"/>
        </w:rPr>
      </w:pPr>
    </w:p>
    <w:p w14:paraId="6C201725" w14:textId="77777777" w:rsidR="00FB24C0" w:rsidRPr="00443040" w:rsidRDefault="00FB24C0" w:rsidP="00FB24C0">
      <w:pPr>
        <w:spacing w:after="0" w:line="240" w:lineRule="auto"/>
        <w:ind w:left="0" w:firstLine="0"/>
        <w:rPr>
          <w:color w:val="auto"/>
          <w:lang w:val="es-ES"/>
        </w:rPr>
      </w:pPr>
      <w:r w:rsidRPr="00443040">
        <w:rPr>
          <w:color w:val="auto"/>
          <w:lang w:val="es-ES"/>
        </w:rPr>
        <w:t>No utilice este medicamento después de la fecha de caducidad que aparece en el envase y en la etiqueta del vial después de CAD. La fecha de caducidad es el último día del mes que se indica.</w:t>
      </w:r>
    </w:p>
    <w:p w14:paraId="2624CA8C" w14:textId="77777777" w:rsidR="00FB24C0" w:rsidRPr="00443040" w:rsidRDefault="00FB24C0" w:rsidP="00FB24C0">
      <w:pPr>
        <w:spacing w:after="0" w:line="240" w:lineRule="auto"/>
        <w:ind w:left="0" w:firstLine="0"/>
        <w:rPr>
          <w:color w:val="auto"/>
          <w:lang w:val="es-ES"/>
        </w:rPr>
      </w:pPr>
    </w:p>
    <w:p w14:paraId="6C7B2A1C" w14:textId="77777777" w:rsidR="00FB24C0" w:rsidRPr="00443040" w:rsidRDefault="00FB24C0" w:rsidP="00FB24C0">
      <w:pPr>
        <w:spacing w:after="0" w:line="240" w:lineRule="auto"/>
        <w:ind w:left="0" w:firstLine="0"/>
        <w:rPr>
          <w:color w:val="auto"/>
          <w:lang w:val="es-ES"/>
        </w:rPr>
      </w:pPr>
      <w:r w:rsidRPr="00443040">
        <w:rPr>
          <w:color w:val="auto"/>
          <w:lang w:val="es-ES"/>
        </w:rPr>
        <w:t>Conservar en nevera (entre 2</w:t>
      </w:r>
      <w:r w:rsidRPr="00443040">
        <w:rPr>
          <w:rFonts w:eastAsia="Segoe UI Symbol"/>
          <w:color w:val="auto"/>
          <w:lang w:val="es-ES"/>
        </w:rPr>
        <w:t>°</w:t>
      </w:r>
      <w:r w:rsidRPr="00443040">
        <w:rPr>
          <w:color w:val="auto"/>
          <w:lang w:val="es-ES"/>
        </w:rPr>
        <w:t>C y 8</w:t>
      </w:r>
      <w:r w:rsidRPr="00443040">
        <w:rPr>
          <w:rFonts w:eastAsia="Segoe UI Symbol"/>
          <w:color w:val="auto"/>
          <w:lang w:val="es-ES"/>
        </w:rPr>
        <w:t>°</w:t>
      </w:r>
      <w:r w:rsidRPr="00443040">
        <w:rPr>
          <w:color w:val="auto"/>
          <w:lang w:val="es-ES"/>
        </w:rPr>
        <w:t>C).</w:t>
      </w:r>
    </w:p>
    <w:p w14:paraId="4C0B586D" w14:textId="77777777" w:rsidR="00FB24C0" w:rsidRPr="00443040" w:rsidRDefault="00FB24C0" w:rsidP="00FB24C0">
      <w:pPr>
        <w:spacing w:after="0" w:line="240" w:lineRule="auto"/>
        <w:ind w:left="0" w:firstLine="0"/>
        <w:rPr>
          <w:color w:val="auto"/>
          <w:lang w:val="es-ES"/>
        </w:rPr>
      </w:pPr>
      <w:r w:rsidRPr="00443040">
        <w:rPr>
          <w:color w:val="auto"/>
          <w:lang w:val="es-ES"/>
        </w:rPr>
        <w:t>No congelar.</w:t>
      </w:r>
    </w:p>
    <w:p w14:paraId="6A4C28EF" w14:textId="77777777" w:rsidR="00FB24C0" w:rsidRPr="00443040" w:rsidRDefault="00FB24C0" w:rsidP="00FB24C0">
      <w:pPr>
        <w:spacing w:after="0" w:line="240" w:lineRule="auto"/>
        <w:ind w:left="0" w:firstLine="0"/>
        <w:rPr>
          <w:color w:val="auto"/>
          <w:lang w:val="es-ES"/>
        </w:rPr>
      </w:pPr>
      <w:r w:rsidRPr="00443040">
        <w:rPr>
          <w:color w:val="auto"/>
          <w:lang w:val="es-ES"/>
        </w:rPr>
        <w:t>Conservar el vial en el embalaje exterior para protegerlo de la luz.</w:t>
      </w:r>
    </w:p>
    <w:p w14:paraId="06CB42C7" w14:textId="77777777" w:rsidR="00FB24C0" w:rsidRPr="00443040" w:rsidRDefault="00FB24C0" w:rsidP="00FB24C0">
      <w:pPr>
        <w:spacing w:after="0" w:line="240" w:lineRule="auto"/>
        <w:ind w:left="0" w:firstLine="0"/>
        <w:rPr>
          <w:color w:val="auto"/>
          <w:lang w:val="es-ES"/>
        </w:rPr>
      </w:pPr>
    </w:p>
    <w:p w14:paraId="2C76AB7A" w14:textId="77777777" w:rsidR="004915A6" w:rsidRDefault="00FB24C0" w:rsidP="004915A6">
      <w:pPr>
        <w:spacing w:after="0" w:line="240" w:lineRule="auto"/>
        <w:ind w:left="0" w:firstLine="0"/>
        <w:rPr>
          <w:lang w:val="es-ES"/>
        </w:rPr>
      </w:pPr>
      <w:r w:rsidRPr="00443040">
        <w:rPr>
          <w:color w:val="auto"/>
          <w:lang w:val="es-ES"/>
        </w:rPr>
        <w:t xml:space="preserve">La solución para perfusión debe administrarse inmediatamente tras su dilución. </w:t>
      </w:r>
      <w:r w:rsidR="004915A6">
        <w:rPr>
          <w:lang w:val="es-ES"/>
        </w:rPr>
        <w:t>Si no se administra inmediatamente, los tiempos y condiciones de almacenamiento en uso son responsabilidad del usuario y normalmente no serían más de 24 horas a entre 2°C y 8°C, a menos que las soluciones de perfusión se hayan preparado en un entorno estéril. Cuando la dilución se ha preparado en un entorno estéril, MVASI se mantiene estable durante 35 días a entre 2°C y 8°C más 48 horas adicionales a temperaturas que no superen los 30°C.</w:t>
      </w:r>
    </w:p>
    <w:p w14:paraId="5F9D3FA9" w14:textId="77777777" w:rsidR="004915A6" w:rsidRDefault="004915A6" w:rsidP="004915A6">
      <w:pPr>
        <w:spacing w:after="0" w:line="240" w:lineRule="auto"/>
        <w:ind w:left="0" w:firstLine="0"/>
        <w:rPr>
          <w:color w:val="auto"/>
          <w:lang w:val="es-ES"/>
        </w:rPr>
      </w:pPr>
    </w:p>
    <w:p w14:paraId="3ECD79A0" w14:textId="2EA01627" w:rsidR="00FB24C0" w:rsidRPr="00443040" w:rsidRDefault="00FB24C0" w:rsidP="00FB24C0">
      <w:pPr>
        <w:spacing w:after="0" w:line="240" w:lineRule="auto"/>
        <w:ind w:left="0" w:firstLine="0"/>
        <w:rPr>
          <w:color w:val="auto"/>
          <w:lang w:val="es-ES"/>
        </w:rPr>
      </w:pPr>
      <w:r w:rsidRPr="00443040">
        <w:rPr>
          <w:color w:val="auto"/>
          <w:lang w:val="es-ES"/>
        </w:rPr>
        <w:t xml:space="preserve">No utilice </w:t>
      </w:r>
      <w:r w:rsidR="00AA71D6">
        <w:rPr>
          <w:color w:val="auto"/>
          <w:lang w:val="es-ES"/>
        </w:rPr>
        <w:t>MVASI</w:t>
      </w:r>
      <w:r w:rsidRPr="00443040">
        <w:rPr>
          <w:color w:val="auto"/>
          <w:lang w:val="es-ES"/>
        </w:rPr>
        <w:t xml:space="preserve"> si observa partículas extrañas o una decoloración antes de la administración.</w:t>
      </w:r>
    </w:p>
    <w:p w14:paraId="6BBFC4D7" w14:textId="77777777" w:rsidR="00FB24C0" w:rsidRPr="00443040" w:rsidRDefault="00FB24C0" w:rsidP="00FB24C0">
      <w:pPr>
        <w:spacing w:after="0" w:line="240" w:lineRule="auto"/>
        <w:ind w:left="0" w:firstLine="0"/>
        <w:rPr>
          <w:color w:val="auto"/>
          <w:lang w:val="es-ES"/>
        </w:rPr>
      </w:pPr>
    </w:p>
    <w:p w14:paraId="36EF6484" w14:textId="77777777" w:rsidR="00FB24C0" w:rsidRPr="00443040" w:rsidRDefault="00FB24C0" w:rsidP="00FB24C0">
      <w:pPr>
        <w:spacing w:after="0" w:line="240" w:lineRule="auto"/>
        <w:ind w:left="0" w:firstLine="0"/>
        <w:rPr>
          <w:color w:val="auto"/>
          <w:lang w:val="es-ES"/>
        </w:rPr>
      </w:pPr>
      <w:r w:rsidRPr="00443040">
        <w:rPr>
          <w:color w:val="auto"/>
          <w:lang w:val="es-ES"/>
        </w:rPr>
        <w:t>Los medicamentos no se deben tirar por los desagües ni a la basura. Pregunte a su farmacéutico cómo deshacerse de los envases y de los medicamentos que no necesita. De esta forma, ayudará a proteger el medio ambiente.</w:t>
      </w:r>
    </w:p>
    <w:p w14:paraId="18EFF1E6" w14:textId="77777777" w:rsidR="00FB24C0" w:rsidRPr="00443040" w:rsidRDefault="00FB24C0" w:rsidP="00FB24C0">
      <w:pPr>
        <w:spacing w:after="0" w:line="240" w:lineRule="auto"/>
        <w:ind w:left="0" w:firstLine="0"/>
        <w:rPr>
          <w:color w:val="auto"/>
          <w:lang w:val="es-ES"/>
        </w:rPr>
      </w:pPr>
    </w:p>
    <w:p w14:paraId="481FC525" w14:textId="77777777" w:rsidR="00FB24C0" w:rsidRPr="00443040" w:rsidRDefault="00FB24C0" w:rsidP="00FB24C0">
      <w:pPr>
        <w:spacing w:after="0" w:line="240" w:lineRule="auto"/>
        <w:ind w:left="0" w:firstLine="0"/>
        <w:rPr>
          <w:color w:val="auto"/>
          <w:lang w:val="es-ES"/>
        </w:rPr>
      </w:pPr>
    </w:p>
    <w:p w14:paraId="05DAE5F3" w14:textId="77777777" w:rsidR="00FB24C0" w:rsidRPr="000666C3" w:rsidRDefault="00FB24C0" w:rsidP="000666C3">
      <w:pPr>
        <w:keepNext/>
        <w:spacing w:after="0" w:line="240" w:lineRule="auto"/>
        <w:ind w:left="567" w:hanging="567"/>
        <w:rPr>
          <w:b/>
          <w:color w:val="auto"/>
          <w:lang w:val="es-ES"/>
        </w:rPr>
      </w:pPr>
      <w:r w:rsidRPr="00443040">
        <w:rPr>
          <w:b/>
          <w:color w:val="auto"/>
          <w:lang w:val="es-ES"/>
        </w:rPr>
        <w:t>6.</w:t>
      </w:r>
      <w:r w:rsidRPr="00443040">
        <w:rPr>
          <w:b/>
          <w:color w:val="auto"/>
          <w:lang w:val="es-ES"/>
        </w:rPr>
        <w:tab/>
        <w:t>Contenido del envase e información adicional</w:t>
      </w:r>
    </w:p>
    <w:p w14:paraId="39B45606" w14:textId="77777777" w:rsidR="00FB24C0" w:rsidRPr="00443040" w:rsidRDefault="00FB24C0" w:rsidP="000666C3">
      <w:pPr>
        <w:keepNext/>
        <w:spacing w:after="0" w:line="240" w:lineRule="auto"/>
        <w:ind w:left="0" w:firstLine="0"/>
        <w:rPr>
          <w:color w:val="auto"/>
          <w:lang w:val="es-ES"/>
        </w:rPr>
      </w:pPr>
    </w:p>
    <w:p w14:paraId="5654E73D" w14:textId="77777777" w:rsidR="00FB24C0" w:rsidRPr="001979F9" w:rsidRDefault="00FB24C0" w:rsidP="00D1096C">
      <w:pPr>
        <w:keepNext/>
        <w:spacing w:after="0" w:line="240" w:lineRule="auto"/>
        <w:ind w:left="0" w:firstLine="0"/>
        <w:rPr>
          <w:color w:val="auto"/>
          <w:lang w:val="es-ES"/>
        </w:rPr>
      </w:pPr>
      <w:r w:rsidRPr="001979F9">
        <w:rPr>
          <w:b/>
          <w:color w:val="auto"/>
          <w:lang w:val="es-ES"/>
        </w:rPr>
        <w:t xml:space="preserve">Composición de </w:t>
      </w:r>
      <w:r w:rsidR="00AA71D6" w:rsidRPr="001979F9">
        <w:rPr>
          <w:b/>
          <w:color w:val="auto"/>
          <w:lang w:val="es-ES"/>
        </w:rPr>
        <w:t>MVASI</w:t>
      </w:r>
    </w:p>
    <w:p w14:paraId="1237FECE" w14:textId="1D164044" w:rsidR="00FB24C0" w:rsidRPr="001979F9" w:rsidRDefault="00833B17" w:rsidP="00C64E96">
      <w:pPr>
        <w:numPr>
          <w:ilvl w:val="0"/>
          <w:numId w:val="13"/>
        </w:numPr>
        <w:spacing w:after="0" w:line="240" w:lineRule="auto"/>
        <w:ind w:left="567" w:hanging="567"/>
        <w:rPr>
          <w:color w:val="auto"/>
          <w:lang w:val="es-ES"/>
        </w:rPr>
      </w:pPr>
      <w:r w:rsidRPr="001979F9">
        <w:rPr>
          <w:color w:val="auto"/>
          <w:lang w:val="es-ES"/>
        </w:rPr>
        <w:t xml:space="preserve">El principio activo es bevacizumab. </w:t>
      </w:r>
      <w:r w:rsidR="00FB24C0" w:rsidRPr="001979F9">
        <w:rPr>
          <w:color w:val="auto"/>
          <w:lang w:val="es-ES"/>
        </w:rPr>
        <w:t>Cada ml de concentrado contiene 25 mg de bevacizumab.</w:t>
      </w:r>
    </w:p>
    <w:p w14:paraId="0936F10B" w14:textId="31E3759B" w:rsidR="00FB24C0" w:rsidRPr="00DD428F" w:rsidRDefault="00FB24C0" w:rsidP="00DD428F">
      <w:pPr>
        <w:spacing w:after="0" w:line="240" w:lineRule="auto"/>
        <w:ind w:left="574"/>
        <w:rPr>
          <w:noProof/>
          <w:color w:val="auto"/>
          <w:szCs w:val="20"/>
          <w:lang w:val="es-ES" w:eastAsia="en-US"/>
        </w:rPr>
      </w:pPr>
      <w:r w:rsidRPr="00DD428F">
        <w:rPr>
          <w:noProof/>
          <w:color w:val="auto"/>
          <w:szCs w:val="20"/>
          <w:lang w:val="es-ES" w:eastAsia="en-US"/>
        </w:rPr>
        <w:t xml:space="preserve">Cada vial de 4 ml </w:t>
      </w:r>
      <w:r w:rsidR="00C64E96">
        <w:rPr>
          <w:noProof/>
          <w:color w:val="auto"/>
          <w:szCs w:val="20"/>
          <w:lang w:val="es-ES" w:eastAsia="en-US"/>
        </w:rPr>
        <w:t xml:space="preserve">de concentrado </w:t>
      </w:r>
      <w:r w:rsidRPr="00DD428F">
        <w:rPr>
          <w:noProof/>
          <w:color w:val="auto"/>
          <w:szCs w:val="20"/>
          <w:lang w:val="es-ES" w:eastAsia="en-US"/>
        </w:rPr>
        <w:t>contiene 100 mg de bevacizumab, correspondiente a 1,4 mg/ml cuando se diluye según se recomienda.</w:t>
      </w:r>
    </w:p>
    <w:p w14:paraId="2959365F" w14:textId="4BDCE1A5" w:rsidR="001408E2" w:rsidRPr="00DD428F" w:rsidRDefault="00FB24C0" w:rsidP="00DD428F">
      <w:pPr>
        <w:spacing w:after="0" w:line="240" w:lineRule="auto"/>
        <w:ind w:left="574"/>
        <w:rPr>
          <w:noProof/>
          <w:color w:val="auto"/>
          <w:szCs w:val="20"/>
          <w:lang w:val="es-ES" w:eastAsia="en-US"/>
        </w:rPr>
      </w:pPr>
      <w:r w:rsidRPr="00DD428F">
        <w:rPr>
          <w:noProof/>
          <w:color w:val="auto"/>
          <w:szCs w:val="20"/>
          <w:lang w:val="es-ES" w:eastAsia="en-US"/>
        </w:rPr>
        <w:t xml:space="preserve">Cada vial de 16 ml </w:t>
      </w:r>
      <w:r w:rsidR="00C64E96">
        <w:rPr>
          <w:noProof/>
          <w:color w:val="auto"/>
          <w:szCs w:val="20"/>
          <w:lang w:val="es-ES" w:eastAsia="en-US"/>
        </w:rPr>
        <w:t xml:space="preserve">de concentrado </w:t>
      </w:r>
      <w:r w:rsidRPr="00DD428F">
        <w:rPr>
          <w:noProof/>
          <w:color w:val="auto"/>
          <w:szCs w:val="20"/>
          <w:lang w:val="es-ES" w:eastAsia="en-US"/>
        </w:rPr>
        <w:t>contiene 400 mg de bevacizumab, correspondiente a 16,5 mg/ml cuando se diluye según se recomienda.</w:t>
      </w:r>
    </w:p>
    <w:p w14:paraId="2A0BF39B" w14:textId="092FD446" w:rsidR="00FB24C0" w:rsidRPr="001979F9" w:rsidRDefault="00FB24C0" w:rsidP="00C64E96">
      <w:pPr>
        <w:numPr>
          <w:ilvl w:val="0"/>
          <w:numId w:val="13"/>
        </w:numPr>
        <w:spacing w:after="0" w:line="240" w:lineRule="auto"/>
        <w:ind w:left="567" w:hanging="567"/>
        <w:rPr>
          <w:color w:val="auto"/>
          <w:lang w:val="es-ES"/>
        </w:rPr>
      </w:pPr>
      <w:r w:rsidRPr="001979F9">
        <w:rPr>
          <w:color w:val="auto"/>
          <w:lang w:val="es-ES"/>
        </w:rPr>
        <w:t xml:space="preserve">Los demás componentes son </w:t>
      </w:r>
      <w:proofErr w:type="spellStart"/>
      <w:r w:rsidRPr="001979F9">
        <w:rPr>
          <w:color w:val="auto"/>
          <w:lang w:val="es-ES"/>
        </w:rPr>
        <w:t>trehalosa</w:t>
      </w:r>
      <w:proofErr w:type="spellEnd"/>
      <w:r w:rsidRPr="001979F9">
        <w:rPr>
          <w:color w:val="auto"/>
          <w:lang w:val="es-ES"/>
        </w:rPr>
        <w:t xml:space="preserve"> </w:t>
      </w:r>
      <w:proofErr w:type="spellStart"/>
      <w:r w:rsidRPr="001979F9">
        <w:rPr>
          <w:color w:val="auto"/>
          <w:lang w:val="es-ES"/>
        </w:rPr>
        <w:t>dihidrato</w:t>
      </w:r>
      <w:proofErr w:type="spellEnd"/>
      <w:r w:rsidRPr="001979F9">
        <w:rPr>
          <w:color w:val="auto"/>
          <w:lang w:val="es-ES"/>
        </w:rPr>
        <w:t>, fosfato sódico, polisorbato 20 y agua para preparaciones inyectables</w:t>
      </w:r>
      <w:r w:rsidR="00C64E96">
        <w:rPr>
          <w:color w:val="auto"/>
          <w:lang w:val="es-ES"/>
        </w:rPr>
        <w:t xml:space="preserve"> (ver </w:t>
      </w:r>
      <w:r w:rsidR="00C64E96" w:rsidRPr="00535C81">
        <w:rPr>
          <w:i/>
          <w:iCs/>
          <w:color w:val="auto"/>
          <w:lang w:val="es-ES"/>
        </w:rPr>
        <w:t>MVASI contiene sodio</w:t>
      </w:r>
      <w:r w:rsidR="00C64E96">
        <w:rPr>
          <w:color w:val="auto"/>
          <w:lang w:val="es-ES"/>
        </w:rPr>
        <w:t xml:space="preserve"> en la sección 2)</w:t>
      </w:r>
      <w:r w:rsidRPr="001979F9">
        <w:rPr>
          <w:color w:val="auto"/>
          <w:lang w:val="es-ES"/>
        </w:rPr>
        <w:t>.</w:t>
      </w:r>
    </w:p>
    <w:p w14:paraId="278D5814" w14:textId="77777777" w:rsidR="00FB24C0" w:rsidRPr="00443040" w:rsidRDefault="00FB24C0" w:rsidP="00F63841">
      <w:pPr>
        <w:spacing w:after="0" w:line="240" w:lineRule="auto"/>
        <w:ind w:left="0" w:firstLine="0"/>
        <w:rPr>
          <w:color w:val="auto"/>
          <w:lang w:val="es-ES"/>
        </w:rPr>
      </w:pPr>
    </w:p>
    <w:p w14:paraId="7478B7C7" w14:textId="77777777" w:rsidR="00FB24C0" w:rsidRDefault="00FB24C0" w:rsidP="00F63841">
      <w:pPr>
        <w:keepNext/>
        <w:spacing w:after="0" w:line="240" w:lineRule="auto"/>
        <w:ind w:left="0" w:firstLine="0"/>
        <w:rPr>
          <w:b/>
          <w:color w:val="auto"/>
          <w:lang w:val="es-ES"/>
        </w:rPr>
      </w:pPr>
      <w:r w:rsidRPr="000666C3">
        <w:rPr>
          <w:b/>
          <w:color w:val="auto"/>
          <w:lang w:val="es-ES"/>
        </w:rPr>
        <w:t>Aspecto del producto y contenido del envase</w:t>
      </w:r>
    </w:p>
    <w:p w14:paraId="562F3631" w14:textId="77777777" w:rsidR="00DB5D52" w:rsidRPr="000666C3" w:rsidRDefault="00DB5D52" w:rsidP="00F63841">
      <w:pPr>
        <w:keepNext/>
        <w:spacing w:after="0" w:line="240" w:lineRule="auto"/>
        <w:ind w:left="0" w:firstLine="0"/>
        <w:rPr>
          <w:b/>
          <w:color w:val="auto"/>
          <w:lang w:val="es-ES"/>
        </w:rPr>
      </w:pPr>
    </w:p>
    <w:p w14:paraId="6C3EDB07" w14:textId="0196128B" w:rsidR="00FB24C0" w:rsidRPr="00443040" w:rsidRDefault="00AA71D6" w:rsidP="00F63841">
      <w:pPr>
        <w:spacing w:after="0" w:line="240" w:lineRule="auto"/>
        <w:ind w:left="0" w:firstLine="0"/>
        <w:rPr>
          <w:color w:val="auto"/>
          <w:lang w:val="es-ES"/>
        </w:rPr>
      </w:pPr>
      <w:r>
        <w:rPr>
          <w:color w:val="auto"/>
          <w:lang w:val="es-ES"/>
        </w:rPr>
        <w:t>MVASI</w:t>
      </w:r>
      <w:r w:rsidR="00FB24C0" w:rsidRPr="00443040">
        <w:rPr>
          <w:color w:val="auto"/>
          <w:lang w:val="es-ES"/>
        </w:rPr>
        <w:t xml:space="preserve"> es un concentrado para solución para perfusión. El concentrado es un líquido transparente a </w:t>
      </w:r>
      <w:r w:rsidR="00A045DF">
        <w:rPr>
          <w:color w:val="auto"/>
          <w:lang w:val="es-ES"/>
        </w:rPr>
        <w:t xml:space="preserve">ligeramente </w:t>
      </w:r>
      <w:r w:rsidR="007F3DA8">
        <w:rPr>
          <w:color w:val="auto"/>
          <w:lang w:val="es-ES"/>
        </w:rPr>
        <w:t xml:space="preserve">opalescente, incoloro a ligeramente amarillo </w:t>
      </w:r>
      <w:r w:rsidR="00FB24C0" w:rsidRPr="00443040">
        <w:rPr>
          <w:color w:val="auto"/>
          <w:lang w:val="es-ES"/>
        </w:rPr>
        <w:t xml:space="preserve">contenido en un vial de cristal con un tapón de goma. Cada vial contiene bien 100 mg de bevacizumab en 4 ml de solución o bien 400 mg de bevacizumab en 16 ml de solución. Cada envase de </w:t>
      </w:r>
      <w:r>
        <w:rPr>
          <w:color w:val="auto"/>
          <w:lang w:val="es-ES"/>
        </w:rPr>
        <w:t>MVASI</w:t>
      </w:r>
      <w:r w:rsidR="00FB24C0" w:rsidRPr="00443040">
        <w:rPr>
          <w:color w:val="auto"/>
          <w:lang w:val="es-ES"/>
        </w:rPr>
        <w:t xml:space="preserve"> contiene un vial.</w:t>
      </w:r>
    </w:p>
    <w:p w14:paraId="42658498" w14:textId="77777777" w:rsidR="00FB24C0" w:rsidRPr="00443040" w:rsidRDefault="00FB24C0" w:rsidP="00F63841">
      <w:pPr>
        <w:spacing w:after="0" w:line="240" w:lineRule="auto"/>
        <w:ind w:left="0" w:firstLine="0"/>
        <w:rPr>
          <w:color w:val="auto"/>
          <w:lang w:val="es-ES"/>
        </w:rPr>
      </w:pPr>
    </w:p>
    <w:p w14:paraId="4B9C882B" w14:textId="67573A6E" w:rsidR="00FB24C0" w:rsidRDefault="00FB24C0" w:rsidP="006F68F9">
      <w:pPr>
        <w:keepNext/>
        <w:spacing w:after="0" w:line="240" w:lineRule="auto"/>
        <w:ind w:left="0" w:firstLine="0"/>
        <w:rPr>
          <w:b/>
          <w:color w:val="auto"/>
          <w:highlight w:val="lightGray"/>
          <w:lang w:val="es-ES"/>
          <w:rPrChange w:id="24" w:author="Author">
            <w:rPr>
              <w:b/>
              <w:color w:val="auto"/>
              <w:lang w:val="es-ES"/>
            </w:rPr>
          </w:rPrChange>
        </w:rPr>
      </w:pPr>
      <w:r>
        <w:rPr>
          <w:b/>
          <w:color w:val="auto"/>
          <w:highlight w:val="lightGray"/>
          <w:lang w:val="es-ES"/>
          <w:rPrChange w:id="25" w:author="Author">
            <w:rPr>
              <w:b/>
              <w:color w:val="auto"/>
              <w:lang w:val="es-ES"/>
            </w:rPr>
          </w:rPrChange>
        </w:rPr>
        <w:t>Titular de la autorización de comercialización</w:t>
      </w:r>
      <w:r w:rsidR="00B22636">
        <w:rPr>
          <w:b/>
          <w:color w:val="auto"/>
          <w:highlight w:val="lightGray"/>
          <w:lang w:val="es-ES"/>
          <w:rPrChange w:id="26" w:author="Author">
            <w:rPr>
              <w:b/>
              <w:color w:val="auto"/>
              <w:lang w:val="es-ES"/>
            </w:rPr>
          </w:rPrChange>
        </w:rPr>
        <w:t xml:space="preserve"> y responsable de la fabricación</w:t>
      </w:r>
    </w:p>
    <w:p w14:paraId="2A0D8312" w14:textId="77777777" w:rsidR="00316CF0" w:rsidRDefault="00316CF0" w:rsidP="006F68F9">
      <w:pPr>
        <w:keepNext/>
        <w:spacing w:after="0" w:line="240" w:lineRule="auto"/>
        <w:ind w:left="0" w:firstLine="0"/>
        <w:rPr>
          <w:highlight w:val="lightGray"/>
          <w:lang w:val="es-ES"/>
          <w:rPrChange w:id="27" w:author="Author">
            <w:rPr/>
          </w:rPrChange>
        </w:rPr>
      </w:pPr>
      <w:r>
        <w:rPr>
          <w:highlight w:val="lightGray"/>
          <w:lang w:val="es-ES"/>
          <w:rPrChange w:id="28" w:author="Author">
            <w:rPr/>
          </w:rPrChange>
        </w:rPr>
        <w:t xml:space="preserve">Amgen </w:t>
      </w:r>
      <w:proofErr w:type="spellStart"/>
      <w:r>
        <w:rPr>
          <w:highlight w:val="lightGray"/>
          <w:lang w:val="es-ES"/>
          <w:rPrChange w:id="29" w:author="Author">
            <w:rPr/>
          </w:rPrChange>
        </w:rPr>
        <w:t>Technology</w:t>
      </w:r>
      <w:proofErr w:type="spellEnd"/>
      <w:r>
        <w:rPr>
          <w:highlight w:val="lightGray"/>
          <w:lang w:val="es-ES"/>
          <w:rPrChange w:id="30" w:author="Author">
            <w:rPr/>
          </w:rPrChange>
        </w:rPr>
        <w:t xml:space="preserve"> (</w:t>
      </w:r>
      <w:proofErr w:type="spellStart"/>
      <w:r>
        <w:rPr>
          <w:highlight w:val="lightGray"/>
          <w:lang w:val="es-ES"/>
          <w:rPrChange w:id="31" w:author="Author">
            <w:rPr/>
          </w:rPrChange>
        </w:rPr>
        <w:t>Ireland</w:t>
      </w:r>
      <w:proofErr w:type="spellEnd"/>
      <w:r>
        <w:rPr>
          <w:highlight w:val="lightGray"/>
          <w:lang w:val="es-ES"/>
          <w:rPrChange w:id="32" w:author="Author">
            <w:rPr/>
          </w:rPrChange>
        </w:rPr>
        <w:t>) UC,</w:t>
      </w:r>
    </w:p>
    <w:p w14:paraId="636A0794" w14:textId="77777777" w:rsidR="00316CF0" w:rsidRDefault="00316CF0" w:rsidP="006F68F9">
      <w:pPr>
        <w:keepNext/>
        <w:spacing w:after="0" w:line="240" w:lineRule="auto"/>
        <w:ind w:left="0" w:firstLine="0"/>
        <w:rPr>
          <w:highlight w:val="lightGray"/>
          <w:rPrChange w:id="33" w:author="Author">
            <w:rPr/>
          </w:rPrChange>
        </w:rPr>
      </w:pPr>
      <w:r>
        <w:rPr>
          <w:highlight w:val="lightGray"/>
          <w:rPrChange w:id="34" w:author="Author">
            <w:rPr/>
          </w:rPrChange>
        </w:rPr>
        <w:t>Pottery Road,</w:t>
      </w:r>
    </w:p>
    <w:p w14:paraId="75B1A1E3" w14:textId="77777777" w:rsidR="00316CF0" w:rsidRDefault="00316CF0" w:rsidP="006F68F9">
      <w:pPr>
        <w:keepNext/>
        <w:spacing w:after="0" w:line="240" w:lineRule="auto"/>
        <w:ind w:left="0" w:firstLine="0"/>
        <w:rPr>
          <w:highlight w:val="lightGray"/>
          <w:lang w:val="es-ES"/>
          <w:rPrChange w:id="35" w:author="Author">
            <w:rPr>
              <w:lang w:val="es-ES"/>
            </w:rPr>
          </w:rPrChange>
        </w:rPr>
      </w:pPr>
      <w:proofErr w:type="spellStart"/>
      <w:r>
        <w:rPr>
          <w:highlight w:val="lightGray"/>
          <w:lang w:val="es-ES"/>
          <w:rPrChange w:id="36" w:author="Author">
            <w:rPr>
              <w:lang w:val="es-ES"/>
            </w:rPr>
          </w:rPrChange>
        </w:rPr>
        <w:t>Dun</w:t>
      </w:r>
      <w:proofErr w:type="spellEnd"/>
      <w:r>
        <w:rPr>
          <w:highlight w:val="lightGray"/>
          <w:lang w:val="es-ES"/>
          <w:rPrChange w:id="37" w:author="Author">
            <w:rPr>
              <w:lang w:val="es-ES"/>
            </w:rPr>
          </w:rPrChange>
        </w:rPr>
        <w:t xml:space="preserve"> </w:t>
      </w:r>
      <w:proofErr w:type="spellStart"/>
      <w:r>
        <w:rPr>
          <w:highlight w:val="lightGray"/>
          <w:lang w:val="es-ES"/>
          <w:rPrChange w:id="38" w:author="Author">
            <w:rPr>
              <w:lang w:val="es-ES"/>
            </w:rPr>
          </w:rPrChange>
        </w:rPr>
        <w:t>Laoghaire</w:t>
      </w:r>
      <w:proofErr w:type="spellEnd"/>
      <w:r>
        <w:rPr>
          <w:highlight w:val="lightGray"/>
          <w:lang w:val="es-ES"/>
          <w:rPrChange w:id="39" w:author="Author">
            <w:rPr>
              <w:lang w:val="es-ES"/>
            </w:rPr>
          </w:rPrChange>
        </w:rPr>
        <w:t>,</w:t>
      </w:r>
    </w:p>
    <w:p w14:paraId="3A9C7B99" w14:textId="77777777" w:rsidR="00316CF0" w:rsidRDefault="00316CF0" w:rsidP="006F68F9">
      <w:pPr>
        <w:autoSpaceDE w:val="0"/>
        <w:autoSpaceDN w:val="0"/>
        <w:adjustRightInd w:val="0"/>
        <w:spacing w:after="0" w:line="240" w:lineRule="auto"/>
        <w:ind w:left="0" w:firstLine="0"/>
        <w:rPr>
          <w:rFonts w:eastAsia="Calibri"/>
          <w:highlight w:val="lightGray"/>
          <w:lang w:val="es-ES" w:eastAsia="en-US"/>
          <w:rPrChange w:id="40" w:author="Author">
            <w:rPr>
              <w:rFonts w:eastAsia="Calibri"/>
              <w:lang w:val="es-ES" w:eastAsia="en-US"/>
            </w:rPr>
          </w:rPrChange>
        </w:rPr>
      </w:pPr>
      <w:r>
        <w:rPr>
          <w:highlight w:val="lightGray"/>
          <w:lang w:val="es-ES"/>
          <w:rPrChange w:id="41" w:author="Author">
            <w:rPr>
              <w:lang w:val="es-ES"/>
            </w:rPr>
          </w:rPrChange>
        </w:rPr>
        <w:t xml:space="preserve">Co. </w:t>
      </w:r>
      <w:proofErr w:type="spellStart"/>
      <w:r>
        <w:rPr>
          <w:highlight w:val="lightGray"/>
          <w:lang w:val="es-ES"/>
          <w:rPrChange w:id="42" w:author="Author">
            <w:rPr>
              <w:lang w:val="es-ES"/>
            </w:rPr>
          </w:rPrChange>
        </w:rPr>
        <w:t>Dublin</w:t>
      </w:r>
      <w:proofErr w:type="spellEnd"/>
      <w:r>
        <w:rPr>
          <w:highlight w:val="lightGray"/>
          <w:lang w:val="es-ES"/>
          <w:rPrChange w:id="43" w:author="Author">
            <w:rPr>
              <w:lang w:val="es-ES"/>
            </w:rPr>
          </w:rPrChange>
        </w:rPr>
        <w:t>,</w:t>
      </w:r>
    </w:p>
    <w:p w14:paraId="203E796C" w14:textId="77777777" w:rsidR="00316CF0" w:rsidRPr="006D35C1" w:rsidRDefault="00316CF0" w:rsidP="006F68F9">
      <w:pPr>
        <w:spacing w:after="0" w:line="240" w:lineRule="auto"/>
        <w:ind w:left="0" w:firstLine="0"/>
        <w:rPr>
          <w:color w:val="auto"/>
          <w:lang w:val="es-ES"/>
        </w:rPr>
      </w:pPr>
      <w:r>
        <w:rPr>
          <w:highlight w:val="lightGray"/>
          <w:lang w:val="es-ES"/>
          <w:rPrChange w:id="44" w:author="Author">
            <w:rPr>
              <w:lang w:val="es-ES"/>
            </w:rPr>
          </w:rPrChange>
        </w:rPr>
        <w:t>Irlanda</w:t>
      </w:r>
      <w:r w:rsidRPr="00C33F4C" w:rsidDel="00F83BD0">
        <w:rPr>
          <w:rFonts w:eastAsia="Calibri"/>
          <w:lang w:val="es-ES" w:eastAsia="en-US"/>
        </w:rPr>
        <w:t xml:space="preserve"> </w:t>
      </w:r>
    </w:p>
    <w:p w14:paraId="5546040F" w14:textId="77777777" w:rsidR="00A045DF" w:rsidRPr="00D1096C" w:rsidRDefault="00A045DF" w:rsidP="006F68F9">
      <w:pPr>
        <w:spacing w:after="0" w:line="240" w:lineRule="auto"/>
        <w:ind w:left="0" w:firstLine="0"/>
        <w:rPr>
          <w:lang w:val="es-ES"/>
        </w:rPr>
      </w:pPr>
    </w:p>
    <w:p w14:paraId="7A168C16" w14:textId="0ECDE823" w:rsidR="00A045DF" w:rsidRPr="00DE64A5" w:rsidRDefault="00A045DF" w:rsidP="006F68F9">
      <w:pPr>
        <w:keepNext/>
        <w:spacing w:after="0" w:line="240" w:lineRule="auto"/>
        <w:ind w:left="0" w:firstLine="0"/>
        <w:rPr>
          <w:b/>
          <w:lang w:val="es-ES"/>
        </w:rPr>
      </w:pPr>
      <w:r>
        <w:rPr>
          <w:b/>
          <w:lang w:val="es-ES"/>
          <w:rPrChange w:id="45" w:author="Author">
            <w:rPr>
              <w:b/>
              <w:highlight w:val="lightGray"/>
              <w:lang w:val="es-ES"/>
            </w:rPr>
          </w:rPrChange>
        </w:rPr>
        <w:t>Titular de la autorización de comercialización</w:t>
      </w:r>
    </w:p>
    <w:p w14:paraId="221E4B98" w14:textId="77777777" w:rsidR="00220A19" w:rsidRPr="00DE64A5" w:rsidRDefault="00220A19" w:rsidP="006F68F9">
      <w:pPr>
        <w:keepNext/>
        <w:spacing w:after="0" w:line="240" w:lineRule="auto"/>
        <w:ind w:left="0" w:firstLine="0"/>
      </w:pPr>
      <w:r w:rsidRPr="00DE64A5">
        <w:t>Amgen Technology (Ireland) UC,</w:t>
      </w:r>
    </w:p>
    <w:p w14:paraId="7F46C0E2" w14:textId="77777777" w:rsidR="00220A19" w:rsidRPr="00DE64A5" w:rsidRDefault="00220A19" w:rsidP="006F68F9">
      <w:pPr>
        <w:keepNext/>
        <w:spacing w:after="0" w:line="240" w:lineRule="auto"/>
        <w:ind w:left="0" w:firstLine="0"/>
      </w:pPr>
      <w:r w:rsidRPr="00DE64A5">
        <w:t>Pottery Road,</w:t>
      </w:r>
    </w:p>
    <w:p w14:paraId="5862A6EB" w14:textId="77777777" w:rsidR="00220A19" w:rsidRPr="00DE64A5" w:rsidRDefault="00220A19" w:rsidP="006F68F9">
      <w:pPr>
        <w:keepNext/>
        <w:spacing w:after="0" w:line="240" w:lineRule="auto"/>
        <w:ind w:left="0" w:firstLine="0"/>
        <w:rPr>
          <w:lang w:val="it-IT"/>
        </w:rPr>
      </w:pPr>
      <w:r w:rsidRPr="00DE64A5">
        <w:rPr>
          <w:lang w:val="it-IT"/>
        </w:rPr>
        <w:t>Dun Laoghaire,</w:t>
      </w:r>
    </w:p>
    <w:p w14:paraId="5BAA7949" w14:textId="77777777" w:rsidR="00220A19" w:rsidRPr="00DE64A5" w:rsidRDefault="00220A19" w:rsidP="006F68F9">
      <w:pPr>
        <w:autoSpaceDE w:val="0"/>
        <w:autoSpaceDN w:val="0"/>
        <w:adjustRightInd w:val="0"/>
        <w:spacing w:after="0" w:line="240" w:lineRule="auto"/>
        <w:ind w:left="0" w:firstLine="0"/>
        <w:rPr>
          <w:rFonts w:eastAsia="Calibri"/>
          <w:lang w:val="it-IT" w:eastAsia="en-US"/>
        </w:rPr>
      </w:pPr>
      <w:r w:rsidRPr="00DE64A5">
        <w:rPr>
          <w:lang w:val="it-IT"/>
        </w:rPr>
        <w:t>Co. Dublin,</w:t>
      </w:r>
    </w:p>
    <w:p w14:paraId="35FBBF49" w14:textId="77777777" w:rsidR="00220A19" w:rsidRPr="00EE0FE2" w:rsidRDefault="00220A19" w:rsidP="006F68F9">
      <w:pPr>
        <w:spacing w:after="0" w:line="240" w:lineRule="auto"/>
        <w:ind w:left="0" w:firstLine="0"/>
        <w:rPr>
          <w:color w:val="auto"/>
          <w:lang w:val="it-IT"/>
        </w:rPr>
      </w:pPr>
      <w:r w:rsidRPr="00DE64A5">
        <w:rPr>
          <w:lang w:val="it-IT"/>
        </w:rPr>
        <w:t>Irlanda</w:t>
      </w:r>
      <w:r w:rsidRPr="00EE0FE2" w:rsidDel="00F83BD0">
        <w:rPr>
          <w:rFonts w:eastAsia="Calibri"/>
          <w:lang w:val="it-IT" w:eastAsia="en-US"/>
        </w:rPr>
        <w:t xml:space="preserve"> </w:t>
      </w:r>
    </w:p>
    <w:p w14:paraId="38224E38" w14:textId="77777777" w:rsidR="00220A19" w:rsidRDefault="00220A19" w:rsidP="00D4631C">
      <w:pPr>
        <w:spacing w:after="0" w:line="240" w:lineRule="auto"/>
        <w:ind w:left="0" w:firstLine="0"/>
        <w:rPr>
          <w:ins w:id="46" w:author="Author"/>
          <w:highlight w:val="lightGray"/>
          <w:lang w:val="it-IT"/>
        </w:rPr>
        <w:pPrChange w:id="47" w:author="Author">
          <w:pPr>
            <w:keepNext/>
            <w:spacing w:after="0" w:line="240" w:lineRule="auto"/>
            <w:ind w:left="0" w:firstLine="0"/>
          </w:pPr>
        </w:pPrChange>
      </w:pPr>
    </w:p>
    <w:p w14:paraId="2100AC9A" w14:textId="76497E93" w:rsidR="00DE64A5" w:rsidRPr="00CC02A8" w:rsidRDefault="00DE64A5" w:rsidP="00D4631C">
      <w:pPr>
        <w:spacing w:after="0" w:line="240" w:lineRule="auto"/>
        <w:ind w:left="0" w:firstLine="0"/>
        <w:rPr>
          <w:ins w:id="48" w:author="Author"/>
          <w:lang w:val="it-IT"/>
        </w:rPr>
        <w:pPrChange w:id="49" w:author="Author">
          <w:pPr>
            <w:keepNext/>
            <w:spacing w:after="0" w:line="240" w:lineRule="auto"/>
            <w:ind w:left="0" w:firstLine="0"/>
          </w:pPr>
        </w:pPrChange>
      </w:pPr>
      <w:ins w:id="50" w:author="Author">
        <w:r w:rsidRPr="00CC02A8">
          <w:rPr>
            <w:b/>
            <w:lang w:val="it-IT"/>
          </w:rPr>
          <w:t>Fabricante</w:t>
        </w:r>
      </w:ins>
    </w:p>
    <w:p w14:paraId="6656897C" w14:textId="77777777" w:rsidR="00DE64A5" w:rsidRPr="004E41E3" w:rsidRDefault="00DE64A5" w:rsidP="00D4631C">
      <w:pPr>
        <w:spacing w:after="0" w:line="240" w:lineRule="auto"/>
        <w:ind w:left="0" w:firstLine="0"/>
        <w:rPr>
          <w:ins w:id="51" w:author="Author"/>
          <w:lang w:val="es-ES"/>
          <w:rPrChange w:id="52" w:author="Author">
            <w:rPr>
              <w:ins w:id="53" w:author="Author"/>
              <w:lang w:val="en-GB"/>
            </w:rPr>
          </w:rPrChange>
        </w:rPr>
        <w:pPrChange w:id="54" w:author="Author">
          <w:pPr>
            <w:keepNext/>
            <w:spacing w:after="0" w:line="240" w:lineRule="auto"/>
            <w:ind w:left="0" w:firstLine="0"/>
          </w:pPr>
        </w:pPrChange>
      </w:pPr>
      <w:ins w:id="55" w:author="Author">
        <w:r w:rsidRPr="004E41E3">
          <w:rPr>
            <w:lang w:val="es-ES"/>
            <w:rPrChange w:id="56" w:author="Author">
              <w:rPr>
                <w:lang w:val="en-GB"/>
              </w:rPr>
            </w:rPrChange>
          </w:rPr>
          <w:t xml:space="preserve">Amgen </w:t>
        </w:r>
        <w:proofErr w:type="spellStart"/>
        <w:r w:rsidRPr="004E41E3">
          <w:rPr>
            <w:lang w:val="es-ES"/>
            <w:rPrChange w:id="57" w:author="Author">
              <w:rPr>
                <w:lang w:val="en-GB"/>
              </w:rPr>
            </w:rPrChange>
          </w:rPr>
          <w:t>Europe</w:t>
        </w:r>
        <w:proofErr w:type="spellEnd"/>
        <w:r w:rsidRPr="004E41E3">
          <w:rPr>
            <w:lang w:val="es-ES"/>
            <w:rPrChange w:id="58" w:author="Author">
              <w:rPr>
                <w:lang w:val="en-GB"/>
              </w:rPr>
            </w:rPrChange>
          </w:rPr>
          <w:t xml:space="preserve"> B.V. </w:t>
        </w:r>
      </w:ins>
    </w:p>
    <w:p w14:paraId="20E55A7A" w14:textId="77777777" w:rsidR="00DE64A5" w:rsidRPr="004E41E3" w:rsidRDefault="00DE64A5" w:rsidP="00D4631C">
      <w:pPr>
        <w:spacing w:after="0" w:line="240" w:lineRule="auto"/>
        <w:ind w:left="0" w:firstLine="0"/>
        <w:rPr>
          <w:ins w:id="59" w:author="Author"/>
          <w:lang w:val="es-ES"/>
          <w:rPrChange w:id="60" w:author="Author">
            <w:rPr>
              <w:ins w:id="61" w:author="Author"/>
              <w:lang w:val="en-GB"/>
            </w:rPr>
          </w:rPrChange>
        </w:rPr>
        <w:pPrChange w:id="62" w:author="Author">
          <w:pPr>
            <w:keepNext/>
            <w:spacing w:after="0" w:line="240" w:lineRule="auto"/>
            <w:ind w:left="0" w:firstLine="0"/>
          </w:pPr>
        </w:pPrChange>
      </w:pPr>
      <w:proofErr w:type="spellStart"/>
      <w:ins w:id="63" w:author="Author">
        <w:r w:rsidRPr="004E41E3">
          <w:rPr>
            <w:lang w:val="es-ES"/>
            <w:rPrChange w:id="64" w:author="Author">
              <w:rPr>
                <w:lang w:val="en-GB"/>
              </w:rPr>
            </w:rPrChange>
          </w:rPr>
          <w:t>Minervum</w:t>
        </w:r>
        <w:proofErr w:type="spellEnd"/>
        <w:r w:rsidRPr="004E41E3">
          <w:rPr>
            <w:lang w:val="es-ES"/>
            <w:rPrChange w:id="65" w:author="Author">
              <w:rPr>
                <w:lang w:val="en-GB"/>
              </w:rPr>
            </w:rPrChange>
          </w:rPr>
          <w:t xml:space="preserve"> 7061 </w:t>
        </w:r>
      </w:ins>
    </w:p>
    <w:p w14:paraId="19CCBA89" w14:textId="77777777" w:rsidR="00DE64A5" w:rsidRPr="004E41E3" w:rsidRDefault="00DE64A5" w:rsidP="00D4631C">
      <w:pPr>
        <w:spacing w:after="0" w:line="240" w:lineRule="auto"/>
        <w:ind w:left="0" w:firstLine="0"/>
        <w:rPr>
          <w:ins w:id="66" w:author="Author"/>
          <w:lang w:val="es-ES"/>
          <w:rPrChange w:id="67" w:author="Author">
            <w:rPr>
              <w:ins w:id="68" w:author="Author"/>
              <w:lang w:val="en-GB"/>
            </w:rPr>
          </w:rPrChange>
        </w:rPr>
        <w:pPrChange w:id="69" w:author="Author">
          <w:pPr>
            <w:keepNext/>
            <w:spacing w:after="0" w:line="240" w:lineRule="auto"/>
            <w:ind w:left="0" w:firstLine="0"/>
          </w:pPr>
        </w:pPrChange>
      </w:pPr>
      <w:ins w:id="70" w:author="Author">
        <w:r w:rsidRPr="004E41E3">
          <w:rPr>
            <w:lang w:val="es-ES"/>
            <w:rPrChange w:id="71" w:author="Author">
              <w:rPr>
                <w:lang w:val="en-GB"/>
              </w:rPr>
            </w:rPrChange>
          </w:rPr>
          <w:t xml:space="preserve">4817 ZK Breda </w:t>
        </w:r>
      </w:ins>
    </w:p>
    <w:p w14:paraId="0FC14D20" w14:textId="01762575" w:rsidR="00DE64A5" w:rsidRPr="004E41E3" w:rsidRDefault="00DE64A5" w:rsidP="00D4631C">
      <w:pPr>
        <w:spacing w:after="0" w:line="240" w:lineRule="auto"/>
        <w:ind w:left="0" w:firstLine="0"/>
        <w:rPr>
          <w:ins w:id="72" w:author="Author"/>
          <w:lang w:val="es-ES"/>
          <w:rPrChange w:id="73" w:author="Author">
            <w:rPr>
              <w:ins w:id="74" w:author="Author"/>
              <w:lang w:val="en-GB"/>
            </w:rPr>
          </w:rPrChange>
        </w:rPr>
        <w:pPrChange w:id="75" w:author="Author">
          <w:pPr>
            <w:keepNext/>
            <w:spacing w:after="0" w:line="240" w:lineRule="auto"/>
            <w:ind w:left="0" w:firstLine="0"/>
          </w:pPr>
        </w:pPrChange>
      </w:pPr>
      <w:ins w:id="76" w:author="Author">
        <w:r w:rsidRPr="004E41E3">
          <w:rPr>
            <w:lang w:val="es-ES"/>
            <w:rPrChange w:id="77" w:author="Author">
              <w:rPr>
                <w:lang w:val="en-GB"/>
              </w:rPr>
            </w:rPrChange>
          </w:rPr>
          <w:t>Países Bajos</w:t>
        </w:r>
      </w:ins>
    </w:p>
    <w:p w14:paraId="38B7A1AF" w14:textId="77777777" w:rsidR="00DE64A5" w:rsidRDefault="00DE64A5" w:rsidP="00DE64A5">
      <w:pPr>
        <w:keepNext/>
        <w:spacing w:after="0" w:line="240" w:lineRule="auto"/>
        <w:ind w:left="0" w:firstLine="0"/>
        <w:rPr>
          <w:highlight w:val="lightGray"/>
          <w:lang w:val="es-ES"/>
          <w:rPrChange w:id="78" w:author="Author">
            <w:rPr>
              <w:highlight w:val="lightGray"/>
              <w:lang w:val="en-GB"/>
            </w:rPr>
          </w:rPrChange>
        </w:rPr>
      </w:pPr>
    </w:p>
    <w:p w14:paraId="0CD4AE64" w14:textId="1CD1E5C5" w:rsidR="00933900" w:rsidRDefault="00933900" w:rsidP="00624B43">
      <w:pPr>
        <w:spacing w:after="0" w:line="240" w:lineRule="auto"/>
        <w:ind w:left="0" w:firstLine="0"/>
        <w:rPr>
          <w:b/>
          <w:highlight w:val="lightGray"/>
          <w:lang w:val="it-IT"/>
        </w:rPr>
      </w:pPr>
      <w:r>
        <w:rPr>
          <w:b/>
          <w:highlight w:val="lightGray"/>
          <w:lang w:val="it-IT"/>
        </w:rPr>
        <w:t>Fabricante</w:t>
      </w:r>
    </w:p>
    <w:p w14:paraId="5632EA39" w14:textId="77777777" w:rsidR="00933900" w:rsidRDefault="00933900" w:rsidP="00624B43">
      <w:pPr>
        <w:spacing w:after="0" w:line="240" w:lineRule="auto"/>
        <w:ind w:left="0" w:firstLine="0"/>
        <w:rPr>
          <w:highlight w:val="lightGray"/>
          <w:lang w:val="es-ES"/>
        </w:rPr>
      </w:pPr>
      <w:r>
        <w:rPr>
          <w:highlight w:val="lightGray"/>
          <w:lang w:val="es-ES"/>
        </w:rPr>
        <w:t>Amgen NV</w:t>
      </w:r>
    </w:p>
    <w:p w14:paraId="69F40F07" w14:textId="77777777" w:rsidR="00E308B0" w:rsidRDefault="00E308B0" w:rsidP="00624B43">
      <w:pPr>
        <w:spacing w:after="0" w:line="240" w:lineRule="auto"/>
        <w:ind w:left="0" w:firstLine="0"/>
        <w:rPr>
          <w:highlight w:val="lightGray"/>
          <w:lang w:val="es-ES"/>
        </w:rPr>
      </w:pPr>
      <w:proofErr w:type="spellStart"/>
      <w:r>
        <w:rPr>
          <w:highlight w:val="lightGray"/>
          <w:lang w:val="es-ES"/>
        </w:rPr>
        <w:t>Telecomlaan</w:t>
      </w:r>
      <w:proofErr w:type="spellEnd"/>
      <w:r>
        <w:rPr>
          <w:highlight w:val="lightGray"/>
          <w:lang w:val="es-ES"/>
        </w:rPr>
        <w:t xml:space="preserve"> 5-7</w:t>
      </w:r>
    </w:p>
    <w:p w14:paraId="52F1752E" w14:textId="77777777" w:rsidR="00E308B0" w:rsidRDefault="00E308B0" w:rsidP="00624B43">
      <w:pPr>
        <w:spacing w:after="0" w:line="240" w:lineRule="auto"/>
        <w:ind w:left="0" w:firstLine="0"/>
        <w:rPr>
          <w:highlight w:val="lightGray"/>
          <w:lang w:val="nl-NL"/>
        </w:rPr>
      </w:pPr>
      <w:r>
        <w:rPr>
          <w:highlight w:val="lightGray"/>
          <w:lang w:val="es-ES"/>
        </w:rPr>
        <w:t xml:space="preserve">1831 </w:t>
      </w:r>
      <w:proofErr w:type="spellStart"/>
      <w:r>
        <w:rPr>
          <w:highlight w:val="lightGray"/>
          <w:lang w:val="es-ES"/>
        </w:rPr>
        <w:t>Diegem</w:t>
      </w:r>
      <w:proofErr w:type="spellEnd"/>
    </w:p>
    <w:p w14:paraId="1C152497" w14:textId="77777777" w:rsidR="00933900" w:rsidRDefault="00933900" w:rsidP="00624B43">
      <w:pPr>
        <w:spacing w:after="0" w:line="240" w:lineRule="auto"/>
        <w:ind w:left="0" w:firstLine="0"/>
        <w:rPr>
          <w:spacing w:val="-1"/>
          <w:lang w:val="es-ES"/>
        </w:rPr>
      </w:pPr>
      <w:r>
        <w:rPr>
          <w:highlight w:val="lightGray"/>
          <w:lang w:val="es-ES"/>
        </w:rPr>
        <w:t>Bélgica</w:t>
      </w:r>
      <w:r w:rsidRPr="002859F3">
        <w:rPr>
          <w:spacing w:val="-1"/>
          <w:lang w:val="es-ES"/>
        </w:rPr>
        <w:t xml:space="preserve"> </w:t>
      </w:r>
    </w:p>
    <w:p w14:paraId="6EA54A3C" w14:textId="77777777" w:rsidR="00FB24C0" w:rsidRPr="004D2345" w:rsidRDefault="00FB24C0" w:rsidP="006F68F9">
      <w:pPr>
        <w:spacing w:after="0" w:line="240" w:lineRule="auto"/>
        <w:ind w:left="0" w:firstLine="0"/>
        <w:rPr>
          <w:b/>
          <w:color w:val="auto"/>
          <w:lang w:val="es-ES"/>
        </w:rPr>
      </w:pPr>
    </w:p>
    <w:p w14:paraId="561DCB18" w14:textId="77777777" w:rsidR="00FB24C0" w:rsidRPr="00443040" w:rsidRDefault="00FB24C0" w:rsidP="00A70D6C">
      <w:pPr>
        <w:keepNext/>
        <w:spacing w:after="0" w:line="240" w:lineRule="auto"/>
        <w:ind w:left="0" w:firstLine="0"/>
        <w:rPr>
          <w:color w:val="auto"/>
          <w:lang w:val="es-ES"/>
        </w:rPr>
      </w:pPr>
      <w:r w:rsidRPr="00443040">
        <w:rPr>
          <w:color w:val="auto"/>
          <w:lang w:val="es-ES"/>
        </w:rPr>
        <w:t>Pueden solicitar más información respecto a este medicamento dirigiéndose al representante local del titular de la autorización de comercialización:</w:t>
      </w:r>
    </w:p>
    <w:p w14:paraId="500535C1" w14:textId="77777777" w:rsidR="00FB24C0" w:rsidRDefault="00FB24C0" w:rsidP="00A70D6C">
      <w:pPr>
        <w:keepNext/>
        <w:spacing w:after="0" w:line="240" w:lineRule="auto"/>
        <w:ind w:left="0" w:firstLine="0"/>
        <w:rPr>
          <w:color w:val="auto"/>
          <w:lang w:val="es-ES"/>
        </w:rPr>
      </w:pPr>
    </w:p>
    <w:tbl>
      <w:tblPr>
        <w:tblW w:w="0" w:type="auto"/>
        <w:tblInd w:w="-34" w:type="dxa"/>
        <w:tblLook w:val="04A0" w:firstRow="1" w:lastRow="0" w:firstColumn="1" w:lastColumn="0" w:noHBand="0" w:noVBand="1"/>
      </w:tblPr>
      <w:tblGrid>
        <w:gridCol w:w="3803"/>
        <w:gridCol w:w="5378"/>
      </w:tblGrid>
      <w:tr w:rsidR="00A70D6C" w:rsidRPr="007C38C3" w14:paraId="25370A33" w14:textId="77777777" w:rsidTr="00A70D6C">
        <w:trPr>
          <w:cantSplit/>
        </w:trPr>
        <w:tc>
          <w:tcPr>
            <w:tcW w:w="0" w:type="auto"/>
          </w:tcPr>
          <w:p w14:paraId="72EC0560" w14:textId="77777777" w:rsidR="00A70D6C" w:rsidRPr="00A70D6C" w:rsidRDefault="00A70D6C" w:rsidP="00A70D6C">
            <w:pPr>
              <w:suppressAutoHyphens/>
              <w:autoSpaceDE w:val="0"/>
              <w:autoSpaceDN w:val="0"/>
              <w:adjustRightInd w:val="0"/>
              <w:spacing w:after="0" w:line="240" w:lineRule="auto"/>
              <w:ind w:left="13"/>
              <w:rPr>
                <w:b/>
                <w:color w:val="auto"/>
                <w:lang w:val="mt-MT" w:eastAsia="en-US"/>
              </w:rPr>
            </w:pPr>
            <w:r w:rsidRPr="00A70D6C">
              <w:rPr>
                <w:b/>
                <w:color w:val="auto"/>
                <w:lang w:val="mt-MT" w:eastAsia="en-US"/>
              </w:rPr>
              <w:t>België/Belgique/Belgien</w:t>
            </w:r>
          </w:p>
          <w:p w14:paraId="63973307" w14:textId="77777777" w:rsidR="006922B2" w:rsidRPr="006922B2" w:rsidRDefault="006922B2" w:rsidP="006922B2">
            <w:pPr>
              <w:suppressAutoHyphens/>
              <w:autoSpaceDE w:val="0"/>
              <w:autoSpaceDN w:val="0"/>
              <w:adjustRightInd w:val="0"/>
              <w:spacing w:after="0" w:line="240" w:lineRule="auto"/>
              <w:ind w:left="13"/>
              <w:rPr>
                <w:color w:val="auto"/>
                <w:lang w:val="mt-MT" w:eastAsia="en-US"/>
              </w:rPr>
            </w:pPr>
            <w:r w:rsidRPr="006922B2">
              <w:rPr>
                <w:color w:val="auto"/>
                <w:lang w:val="mt-MT" w:eastAsia="en-US"/>
              </w:rPr>
              <w:t>s.a. Amgen n.v.</w:t>
            </w:r>
          </w:p>
          <w:p w14:paraId="3A8D76D3" w14:textId="605E778E" w:rsidR="00A70D6C" w:rsidRPr="00A70D6C" w:rsidRDefault="006922B2" w:rsidP="00C64E96">
            <w:pPr>
              <w:suppressAutoHyphens/>
              <w:autoSpaceDE w:val="0"/>
              <w:autoSpaceDN w:val="0"/>
              <w:adjustRightInd w:val="0"/>
              <w:spacing w:after="0" w:line="240" w:lineRule="auto"/>
              <w:ind w:left="13" w:right="-563"/>
              <w:rPr>
                <w:color w:val="auto"/>
                <w:lang w:val="mt-MT" w:eastAsia="en-US"/>
              </w:rPr>
            </w:pPr>
            <w:r w:rsidRPr="006922B2">
              <w:rPr>
                <w:color w:val="auto"/>
                <w:lang w:val="mt-MT" w:eastAsia="en-US"/>
              </w:rPr>
              <w:t>T</w:t>
            </w:r>
            <w:r w:rsidR="00C64E96">
              <w:rPr>
                <w:color w:val="auto"/>
                <w:lang w:val="mt-MT" w:eastAsia="en-US"/>
              </w:rPr>
              <w:t>é</w:t>
            </w:r>
            <w:r w:rsidRPr="006922B2">
              <w:rPr>
                <w:color w:val="auto"/>
                <w:lang w:val="mt-MT" w:eastAsia="en-US"/>
              </w:rPr>
              <w:t>l/T</w:t>
            </w:r>
            <w:r w:rsidR="00C64E96">
              <w:rPr>
                <w:color w:val="auto"/>
                <w:lang w:val="mt-MT" w:eastAsia="en-US"/>
              </w:rPr>
              <w:t>e</w:t>
            </w:r>
            <w:r w:rsidRPr="006922B2">
              <w:rPr>
                <w:color w:val="auto"/>
                <w:lang w:val="mt-MT" w:eastAsia="en-US"/>
              </w:rPr>
              <w:t>l: +32 (0)2 7752711</w:t>
            </w:r>
          </w:p>
        </w:tc>
        <w:tc>
          <w:tcPr>
            <w:tcW w:w="5378" w:type="dxa"/>
          </w:tcPr>
          <w:p w14:paraId="601449FA" w14:textId="77777777" w:rsidR="00A70D6C" w:rsidRPr="00A70D6C" w:rsidRDefault="00A70D6C" w:rsidP="00A70D6C">
            <w:pPr>
              <w:suppressAutoHyphens/>
              <w:autoSpaceDE w:val="0"/>
              <w:autoSpaceDN w:val="0"/>
              <w:adjustRightInd w:val="0"/>
              <w:spacing w:after="0" w:line="240" w:lineRule="auto"/>
              <w:ind w:left="2152"/>
              <w:rPr>
                <w:b/>
                <w:color w:val="auto"/>
                <w:lang w:val="mt-MT" w:eastAsia="en-US"/>
              </w:rPr>
            </w:pPr>
            <w:r w:rsidRPr="00A70D6C">
              <w:rPr>
                <w:b/>
                <w:color w:val="auto"/>
                <w:lang w:val="mt-MT" w:eastAsia="en-US"/>
              </w:rPr>
              <w:t>Lietuva</w:t>
            </w:r>
          </w:p>
          <w:p w14:paraId="0566E70C" w14:textId="77777777" w:rsidR="006922B2" w:rsidRPr="006922B2" w:rsidRDefault="006922B2" w:rsidP="006922B2">
            <w:pPr>
              <w:suppressAutoHyphens/>
              <w:autoSpaceDE w:val="0"/>
              <w:autoSpaceDN w:val="0"/>
              <w:adjustRightInd w:val="0"/>
              <w:spacing w:after="0" w:line="240" w:lineRule="auto"/>
              <w:ind w:left="2152"/>
              <w:rPr>
                <w:color w:val="auto"/>
                <w:lang w:val="mt-MT" w:eastAsia="en-US"/>
              </w:rPr>
            </w:pPr>
            <w:r w:rsidRPr="006922B2">
              <w:rPr>
                <w:color w:val="auto"/>
                <w:lang w:val="mt-MT" w:eastAsia="en-US"/>
              </w:rPr>
              <w:t>Amgen Switzerland AG Vilniaus filialas</w:t>
            </w:r>
          </w:p>
          <w:p w14:paraId="57BA6810" w14:textId="77777777" w:rsidR="00A70D6C" w:rsidRPr="00A70D6C" w:rsidRDefault="006922B2" w:rsidP="00A70D6C">
            <w:pPr>
              <w:suppressAutoHyphens/>
              <w:autoSpaceDE w:val="0"/>
              <w:autoSpaceDN w:val="0"/>
              <w:adjustRightInd w:val="0"/>
              <w:spacing w:after="0" w:line="240" w:lineRule="auto"/>
              <w:ind w:left="2152"/>
              <w:rPr>
                <w:color w:val="auto"/>
                <w:lang w:val="mt-MT" w:eastAsia="en-US"/>
              </w:rPr>
            </w:pPr>
            <w:r w:rsidRPr="006922B2">
              <w:rPr>
                <w:color w:val="auto"/>
                <w:lang w:val="mt-MT" w:eastAsia="en-US"/>
              </w:rPr>
              <w:t>Tel: +370 5 219 7474</w:t>
            </w:r>
          </w:p>
        </w:tc>
      </w:tr>
      <w:tr w:rsidR="00A70D6C" w:rsidRPr="007C38C3" w14:paraId="210280C2" w14:textId="77777777" w:rsidTr="00A70D6C">
        <w:trPr>
          <w:cantSplit/>
        </w:trPr>
        <w:tc>
          <w:tcPr>
            <w:tcW w:w="0" w:type="auto"/>
          </w:tcPr>
          <w:p w14:paraId="4B8F1EF1" w14:textId="77777777" w:rsidR="00A70D6C" w:rsidRPr="00A70D6C" w:rsidRDefault="00A70D6C" w:rsidP="00A70D6C">
            <w:pPr>
              <w:suppressAutoHyphens/>
              <w:autoSpaceDE w:val="0"/>
              <w:autoSpaceDN w:val="0"/>
              <w:adjustRightInd w:val="0"/>
              <w:spacing w:after="0" w:line="240" w:lineRule="auto"/>
              <w:ind w:left="13"/>
              <w:rPr>
                <w:bCs/>
                <w:color w:val="auto"/>
                <w:lang w:val="mt-MT" w:eastAsia="en-US"/>
              </w:rPr>
            </w:pPr>
          </w:p>
        </w:tc>
        <w:tc>
          <w:tcPr>
            <w:tcW w:w="5378" w:type="dxa"/>
          </w:tcPr>
          <w:p w14:paraId="4CA2EA47" w14:textId="77777777" w:rsidR="00A70D6C" w:rsidRPr="00A70D6C" w:rsidRDefault="00A70D6C" w:rsidP="00A70D6C">
            <w:pPr>
              <w:suppressAutoHyphens/>
              <w:autoSpaceDE w:val="0"/>
              <w:autoSpaceDN w:val="0"/>
              <w:adjustRightInd w:val="0"/>
              <w:spacing w:after="0" w:line="240" w:lineRule="auto"/>
              <w:ind w:left="2152"/>
              <w:rPr>
                <w:bCs/>
                <w:color w:val="auto"/>
                <w:lang w:val="mt-MT" w:eastAsia="en-US"/>
              </w:rPr>
            </w:pPr>
          </w:p>
        </w:tc>
      </w:tr>
      <w:tr w:rsidR="00A70D6C" w:rsidRPr="007C38C3" w14:paraId="7BCEFC33" w14:textId="77777777" w:rsidTr="00A70D6C">
        <w:trPr>
          <w:cantSplit/>
          <w:trHeight w:val="969"/>
        </w:trPr>
        <w:tc>
          <w:tcPr>
            <w:tcW w:w="0" w:type="auto"/>
          </w:tcPr>
          <w:p w14:paraId="78125995" w14:textId="77777777" w:rsidR="00A70D6C" w:rsidRPr="00A70D6C" w:rsidRDefault="00A70D6C" w:rsidP="00A70D6C">
            <w:pPr>
              <w:suppressAutoHyphens/>
              <w:autoSpaceDE w:val="0"/>
              <w:autoSpaceDN w:val="0"/>
              <w:adjustRightInd w:val="0"/>
              <w:spacing w:after="0" w:line="240" w:lineRule="auto"/>
              <w:ind w:left="13"/>
              <w:rPr>
                <w:b/>
                <w:bCs/>
                <w:color w:val="auto"/>
                <w:lang w:val="mt-MT" w:eastAsia="en-US"/>
              </w:rPr>
            </w:pPr>
            <w:r w:rsidRPr="00A70D6C">
              <w:rPr>
                <w:b/>
                <w:bCs/>
                <w:color w:val="auto"/>
                <w:lang w:val="mt-MT" w:eastAsia="en-US"/>
              </w:rPr>
              <w:t>България</w:t>
            </w:r>
          </w:p>
          <w:p w14:paraId="7303916D" w14:textId="77777777" w:rsidR="006922B2" w:rsidRPr="006922B2" w:rsidRDefault="006922B2" w:rsidP="006922B2">
            <w:pPr>
              <w:suppressAutoHyphens/>
              <w:autoSpaceDE w:val="0"/>
              <w:autoSpaceDN w:val="0"/>
              <w:adjustRightInd w:val="0"/>
              <w:spacing w:after="0" w:line="240" w:lineRule="auto"/>
              <w:ind w:left="13"/>
              <w:rPr>
                <w:bCs/>
                <w:color w:val="auto"/>
                <w:lang w:val="mt-MT" w:eastAsia="en-US"/>
              </w:rPr>
            </w:pPr>
            <w:r w:rsidRPr="006922B2">
              <w:rPr>
                <w:bCs/>
                <w:color w:val="auto"/>
                <w:lang w:val="mt-MT" w:eastAsia="en-US"/>
              </w:rPr>
              <w:t>Амджен България ЕООД</w:t>
            </w:r>
          </w:p>
          <w:p w14:paraId="6AEEFCCE" w14:textId="77777777" w:rsidR="00A70D6C" w:rsidRPr="00A70D6C" w:rsidRDefault="006922B2" w:rsidP="00A70D6C">
            <w:pPr>
              <w:suppressAutoHyphens/>
              <w:autoSpaceDE w:val="0"/>
              <w:autoSpaceDN w:val="0"/>
              <w:adjustRightInd w:val="0"/>
              <w:spacing w:after="0" w:line="240" w:lineRule="auto"/>
              <w:ind w:left="13"/>
              <w:rPr>
                <w:bCs/>
                <w:color w:val="auto"/>
                <w:lang w:val="mt-MT" w:eastAsia="en-US"/>
              </w:rPr>
            </w:pPr>
            <w:r w:rsidRPr="006922B2">
              <w:rPr>
                <w:bCs/>
                <w:color w:val="auto"/>
                <w:lang w:val="mt-MT" w:eastAsia="en-US"/>
              </w:rPr>
              <w:t>Тел.: +359 (0)2 424 7440</w:t>
            </w:r>
          </w:p>
        </w:tc>
        <w:tc>
          <w:tcPr>
            <w:tcW w:w="5378" w:type="dxa"/>
          </w:tcPr>
          <w:p w14:paraId="6D654E90" w14:textId="77777777" w:rsidR="00A70D6C" w:rsidRPr="00A70D6C" w:rsidRDefault="00A70D6C" w:rsidP="00A70D6C">
            <w:pPr>
              <w:suppressAutoHyphens/>
              <w:autoSpaceDE w:val="0"/>
              <w:autoSpaceDN w:val="0"/>
              <w:adjustRightInd w:val="0"/>
              <w:spacing w:after="0" w:line="240" w:lineRule="auto"/>
              <w:ind w:left="2152"/>
              <w:rPr>
                <w:b/>
                <w:color w:val="auto"/>
                <w:lang w:val="mt-MT" w:eastAsia="en-US"/>
              </w:rPr>
            </w:pPr>
            <w:r w:rsidRPr="00A70D6C">
              <w:rPr>
                <w:b/>
                <w:color w:val="auto"/>
                <w:lang w:val="mt-MT" w:eastAsia="en-US"/>
              </w:rPr>
              <w:t>Luxembourg/Luxemburg</w:t>
            </w:r>
          </w:p>
          <w:p w14:paraId="6283E186" w14:textId="77777777" w:rsidR="006922B2" w:rsidRPr="006922B2" w:rsidRDefault="006922B2" w:rsidP="006922B2">
            <w:pPr>
              <w:suppressAutoHyphens/>
              <w:autoSpaceDE w:val="0"/>
              <w:autoSpaceDN w:val="0"/>
              <w:adjustRightInd w:val="0"/>
              <w:spacing w:after="0" w:line="240" w:lineRule="auto"/>
              <w:ind w:left="2152"/>
              <w:rPr>
                <w:color w:val="auto"/>
                <w:lang w:val="mt-MT" w:eastAsia="en-US"/>
              </w:rPr>
            </w:pPr>
            <w:r w:rsidRPr="006922B2">
              <w:rPr>
                <w:color w:val="auto"/>
                <w:lang w:val="mt-MT" w:eastAsia="en-US"/>
              </w:rPr>
              <w:t>s.a. Amgen</w:t>
            </w:r>
          </w:p>
          <w:p w14:paraId="786FAB37" w14:textId="77777777" w:rsidR="006922B2" w:rsidRPr="006922B2" w:rsidRDefault="006922B2" w:rsidP="006922B2">
            <w:pPr>
              <w:suppressAutoHyphens/>
              <w:autoSpaceDE w:val="0"/>
              <w:autoSpaceDN w:val="0"/>
              <w:adjustRightInd w:val="0"/>
              <w:spacing w:after="0" w:line="240" w:lineRule="auto"/>
              <w:ind w:left="2152"/>
              <w:rPr>
                <w:color w:val="auto"/>
                <w:lang w:val="mt-MT" w:eastAsia="en-US"/>
              </w:rPr>
            </w:pPr>
            <w:r w:rsidRPr="006922B2">
              <w:rPr>
                <w:color w:val="auto"/>
                <w:lang w:val="mt-MT" w:eastAsia="en-US"/>
              </w:rPr>
              <w:t>Belgique/Belgien</w:t>
            </w:r>
          </w:p>
          <w:p w14:paraId="6F085F81" w14:textId="3CE1E00F" w:rsidR="00A70D6C" w:rsidRDefault="006922B2" w:rsidP="00C64E96">
            <w:pPr>
              <w:suppressAutoHyphens/>
              <w:autoSpaceDE w:val="0"/>
              <w:autoSpaceDN w:val="0"/>
              <w:adjustRightInd w:val="0"/>
              <w:spacing w:after="0" w:line="240" w:lineRule="auto"/>
              <w:ind w:left="2152"/>
              <w:rPr>
                <w:color w:val="auto"/>
                <w:lang w:val="mt-MT" w:eastAsia="en-US"/>
              </w:rPr>
            </w:pPr>
            <w:r w:rsidRPr="006922B2">
              <w:rPr>
                <w:color w:val="auto"/>
                <w:lang w:val="mt-MT" w:eastAsia="en-US"/>
              </w:rPr>
              <w:t>T</w:t>
            </w:r>
            <w:r w:rsidR="00C64E96">
              <w:rPr>
                <w:color w:val="auto"/>
                <w:lang w:val="mt-MT" w:eastAsia="en-US"/>
              </w:rPr>
              <w:t>é</w:t>
            </w:r>
            <w:r w:rsidRPr="006922B2">
              <w:rPr>
                <w:color w:val="auto"/>
                <w:lang w:val="mt-MT" w:eastAsia="en-US"/>
              </w:rPr>
              <w:t>l/T</w:t>
            </w:r>
            <w:r w:rsidR="00C64E96">
              <w:rPr>
                <w:color w:val="auto"/>
                <w:lang w:val="mt-MT" w:eastAsia="en-US"/>
              </w:rPr>
              <w:t>e</w:t>
            </w:r>
            <w:r w:rsidRPr="006922B2">
              <w:rPr>
                <w:color w:val="auto"/>
                <w:lang w:val="mt-MT" w:eastAsia="en-US"/>
              </w:rPr>
              <w:t>l: +32 (0)2 7752711</w:t>
            </w:r>
          </w:p>
          <w:p w14:paraId="2F44C1E3" w14:textId="77777777" w:rsidR="006922B2" w:rsidRPr="00A70D6C" w:rsidRDefault="006922B2" w:rsidP="006922B2">
            <w:pPr>
              <w:suppressAutoHyphens/>
              <w:autoSpaceDE w:val="0"/>
              <w:autoSpaceDN w:val="0"/>
              <w:adjustRightInd w:val="0"/>
              <w:spacing w:after="0" w:line="240" w:lineRule="auto"/>
              <w:ind w:left="2152"/>
              <w:rPr>
                <w:color w:val="auto"/>
                <w:lang w:val="mt-MT" w:eastAsia="en-US"/>
              </w:rPr>
            </w:pPr>
          </w:p>
        </w:tc>
      </w:tr>
      <w:tr w:rsidR="00A70D6C" w:rsidRPr="00A70D6C" w14:paraId="1C007DB2" w14:textId="77777777" w:rsidTr="00A70D6C">
        <w:trPr>
          <w:cantSplit/>
        </w:trPr>
        <w:tc>
          <w:tcPr>
            <w:tcW w:w="0" w:type="auto"/>
          </w:tcPr>
          <w:p w14:paraId="4EAE2F75" w14:textId="77777777" w:rsidR="00A70D6C" w:rsidRPr="00A70D6C" w:rsidRDefault="00A70D6C" w:rsidP="00A70D6C">
            <w:pPr>
              <w:suppressAutoHyphens/>
              <w:autoSpaceDE w:val="0"/>
              <w:autoSpaceDN w:val="0"/>
              <w:adjustRightInd w:val="0"/>
              <w:spacing w:after="0" w:line="240" w:lineRule="auto"/>
              <w:ind w:left="13"/>
              <w:rPr>
                <w:b/>
                <w:color w:val="auto"/>
                <w:lang w:val="mt-MT" w:eastAsia="en-US"/>
              </w:rPr>
            </w:pPr>
            <w:r w:rsidRPr="00A70D6C">
              <w:rPr>
                <w:b/>
                <w:color w:val="auto"/>
                <w:lang w:val="mt-MT" w:eastAsia="en-US"/>
              </w:rPr>
              <w:t>Česká republika</w:t>
            </w:r>
          </w:p>
          <w:p w14:paraId="0B5F69F5" w14:textId="77777777" w:rsidR="006922B2" w:rsidRPr="006922B2" w:rsidRDefault="006922B2" w:rsidP="006922B2">
            <w:pPr>
              <w:suppressAutoHyphens/>
              <w:autoSpaceDE w:val="0"/>
              <w:autoSpaceDN w:val="0"/>
              <w:adjustRightInd w:val="0"/>
              <w:spacing w:after="0" w:line="240" w:lineRule="auto"/>
              <w:ind w:left="13"/>
              <w:rPr>
                <w:color w:val="auto"/>
                <w:lang w:val="mt-MT" w:eastAsia="en-US"/>
              </w:rPr>
            </w:pPr>
            <w:r w:rsidRPr="006922B2">
              <w:rPr>
                <w:color w:val="auto"/>
                <w:lang w:val="mt-MT" w:eastAsia="en-US"/>
              </w:rPr>
              <w:t>Amgen s.r.o.</w:t>
            </w:r>
          </w:p>
          <w:p w14:paraId="6670964C" w14:textId="77777777" w:rsidR="00A70D6C" w:rsidRPr="00A70D6C" w:rsidRDefault="006922B2" w:rsidP="00A70D6C">
            <w:pPr>
              <w:suppressAutoHyphens/>
              <w:autoSpaceDE w:val="0"/>
              <w:autoSpaceDN w:val="0"/>
              <w:adjustRightInd w:val="0"/>
              <w:spacing w:after="0" w:line="240" w:lineRule="auto"/>
              <w:ind w:left="13"/>
              <w:rPr>
                <w:color w:val="auto"/>
                <w:lang w:val="mt-MT" w:eastAsia="en-US"/>
              </w:rPr>
            </w:pPr>
            <w:r w:rsidRPr="006922B2">
              <w:rPr>
                <w:color w:val="auto"/>
                <w:lang w:val="mt-MT" w:eastAsia="en-US"/>
              </w:rPr>
              <w:t>Tel: +420 221 773 500</w:t>
            </w:r>
          </w:p>
        </w:tc>
        <w:tc>
          <w:tcPr>
            <w:tcW w:w="5378" w:type="dxa"/>
          </w:tcPr>
          <w:p w14:paraId="0842C797" w14:textId="77777777" w:rsidR="00A70D6C" w:rsidRPr="00A70D6C" w:rsidRDefault="00A70D6C" w:rsidP="00A70D6C">
            <w:pPr>
              <w:suppressAutoHyphens/>
              <w:autoSpaceDE w:val="0"/>
              <w:autoSpaceDN w:val="0"/>
              <w:adjustRightInd w:val="0"/>
              <w:spacing w:after="0" w:line="240" w:lineRule="auto"/>
              <w:ind w:left="2152"/>
              <w:rPr>
                <w:b/>
                <w:color w:val="auto"/>
                <w:lang w:val="mt-MT" w:eastAsia="en-US"/>
              </w:rPr>
            </w:pPr>
            <w:r w:rsidRPr="00A70D6C">
              <w:rPr>
                <w:b/>
                <w:color w:val="auto"/>
                <w:lang w:val="mt-MT" w:eastAsia="en-US"/>
              </w:rPr>
              <w:t>Magyarország</w:t>
            </w:r>
          </w:p>
          <w:p w14:paraId="04EFA781" w14:textId="77777777" w:rsidR="006922B2" w:rsidRPr="006922B2" w:rsidRDefault="006922B2" w:rsidP="006922B2">
            <w:pPr>
              <w:suppressAutoHyphens/>
              <w:autoSpaceDE w:val="0"/>
              <w:autoSpaceDN w:val="0"/>
              <w:adjustRightInd w:val="0"/>
              <w:spacing w:after="0" w:line="240" w:lineRule="auto"/>
              <w:ind w:left="2152"/>
              <w:rPr>
                <w:color w:val="auto"/>
                <w:lang w:val="mt-MT" w:eastAsia="en-US"/>
              </w:rPr>
            </w:pPr>
            <w:r w:rsidRPr="006922B2">
              <w:rPr>
                <w:color w:val="auto"/>
                <w:lang w:val="mt-MT" w:eastAsia="en-US"/>
              </w:rPr>
              <w:t>Amgen Kft.</w:t>
            </w:r>
          </w:p>
          <w:p w14:paraId="78F9A373" w14:textId="77777777" w:rsidR="00A70D6C" w:rsidRPr="00A70D6C" w:rsidRDefault="006922B2" w:rsidP="00A70D6C">
            <w:pPr>
              <w:suppressAutoHyphens/>
              <w:autoSpaceDE w:val="0"/>
              <w:autoSpaceDN w:val="0"/>
              <w:adjustRightInd w:val="0"/>
              <w:spacing w:after="0" w:line="240" w:lineRule="auto"/>
              <w:ind w:left="2152"/>
              <w:rPr>
                <w:color w:val="auto"/>
                <w:lang w:val="mt-MT" w:eastAsia="en-US"/>
              </w:rPr>
            </w:pPr>
            <w:r w:rsidRPr="006922B2">
              <w:rPr>
                <w:color w:val="auto"/>
                <w:lang w:val="mt-MT" w:eastAsia="en-US"/>
              </w:rPr>
              <w:t>Tel.: +36 1 35 44 700</w:t>
            </w:r>
          </w:p>
        </w:tc>
      </w:tr>
      <w:tr w:rsidR="00A70D6C" w:rsidRPr="00A70D6C" w14:paraId="79123347" w14:textId="77777777" w:rsidTr="00A70D6C">
        <w:trPr>
          <w:cantSplit/>
        </w:trPr>
        <w:tc>
          <w:tcPr>
            <w:tcW w:w="0" w:type="auto"/>
          </w:tcPr>
          <w:p w14:paraId="59E2E683" w14:textId="77777777" w:rsidR="00A70D6C" w:rsidRPr="00A70D6C" w:rsidRDefault="00A70D6C" w:rsidP="00A70D6C">
            <w:pPr>
              <w:suppressAutoHyphens/>
              <w:autoSpaceDE w:val="0"/>
              <w:autoSpaceDN w:val="0"/>
              <w:adjustRightInd w:val="0"/>
              <w:spacing w:after="0" w:line="240" w:lineRule="auto"/>
              <w:ind w:left="13"/>
              <w:rPr>
                <w:b/>
                <w:color w:val="auto"/>
                <w:lang w:val="mt-MT" w:eastAsia="en-US"/>
              </w:rPr>
            </w:pPr>
          </w:p>
        </w:tc>
        <w:tc>
          <w:tcPr>
            <w:tcW w:w="5378" w:type="dxa"/>
          </w:tcPr>
          <w:p w14:paraId="70B2090D" w14:textId="77777777" w:rsidR="00A70D6C" w:rsidRPr="00A70D6C" w:rsidRDefault="00A70D6C" w:rsidP="00A70D6C">
            <w:pPr>
              <w:suppressAutoHyphens/>
              <w:autoSpaceDE w:val="0"/>
              <w:autoSpaceDN w:val="0"/>
              <w:adjustRightInd w:val="0"/>
              <w:spacing w:after="0" w:line="240" w:lineRule="auto"/>
              <w:ind w:left="2152"/>
              <w:rPr>
                <w:color w:val="auto"/>
                <w:lang w:val="mt-MT" w:eastAsia="en-US"/>
              </w:rPr>
            </w:pPr>
          </w:p>
        </w:tc>
      </w:tr>
      <w:tr w:rsidR="00A70D6C" w:rsidRPr="00A70D6C" w14:paraId="75B9AE16" w14:textId="77777777" w:rsidTr="00A70D6C">
        <w:trPr>
          <w:cantSplit/>
        </w:trPr>
        <w:tc>
          <w:tcPr>
            <w:tcW w:w="0" w:type="auto"/>
          </w:tcPr>
          <w:p w14:paraId="4A4618DD" w14:textId="77777777" w:rsidR="00A70D6C" w:rsidRPr="00A70D6C" w:rsidRDefault="00A70D6C" w:rsidP="00A70D6C">
            <w:pPr>
              <w:suppressAutoHyphens/>
              <w:autoSpaceDE w:val="0"/>
              <w:autoSpaceDN w:val="0"/>
              <w:adjustRightInd w:val="0"/>
              <w:spacing w:after="0" w:line="240" w:lineRule="auto"/>
              <w:ind w:left="13"/>
              <w:rPr>
                <w:b/>
                <w:color w:val="auto"/>
                <w:lang w:val="mt-MT" w:eastAsia="en-US"/>
              </w:rPr>
            </w:pPr>
            <w:r w:rsidRPr="00A70D6C">
              <w:rPr>
                <w:b/>
                <w:color w:val="auto"/>
                <w:lang w:val="mt-MT" w:eastAsia="en-US"/>
              </w:rPr>
              <w:t>Danmark</w:t>
            </w:r>
          </w:p>
          <w:p w14:paraId="7E34A9AD" w14:textId="77777777" w:rsidR="00E63FB1" w:rsidRPr="00E63FB1" w:rsidRDefault="00E63FB1" w:rsidP="00E63FB1">
            <w:pPr>
              <w:suppressAutoHyphens/>
              <w:autoSpaceDE w:val="0"/>
              <w:autoSpaceDN w:val="0"/>
              <w:adjustRightInd w:val="0"/>
              <w:spacing w:after="0" w:line="240" w:lineRule="auto"/>
              <w:ind w:left="13"/>
              <w:rPr>
                <w:color w:val="auto"/>
                <w:lang w:val="mt-MT" w:eastAsia="en-US"/>
              </w:rPr>
            </w:pPr>
            <w:r w:rsidRPr="00E63FB1">
              <w:rPr>
                <w:color w:val="auto"/>
                <w:lang w:val="mt-MT" w:eastAsia="en-US"/>
              </w:rPr>
              <w:t>Amgen, filial af Amgen AB, Sverige</w:t>
            </w:r>
          </w:p>
          <w:p w14:paraId="455E586B" w14:textId="77777777" w:rsidR="00A70D6C" w:rsidRPr="00A70D6C" w:rsidRDefault="00E63FB1" w:rsidP="00A70D6C">
            <w:pPr>
              <w:suppressAutoHyphens/>
              <w:autoSpaceDE w:val="0"/>
              <w:autoSpaceDN w:val="0"/>
              <w:adjustRightInd w:val="0"/>
              <w:spacing w:after="0" w:line="240" w:lineRule="auto"/>
              <w:ind w:left="13"/>
              <w:rPr>
                <w:b/>
                <w:color w:val="auto"/>
                <w:lang w:val="mt-MT" w:eastAsia="en-US"/>
              </w:rPr>
            </w:pPr>
            <w:r w:rsidRPr="00E63FB1">
              <w:rPr>
                <w:color w:val="auto"/>
                <w:lang w:val="mt-MT" w:eastAsia="en-US"/>
              </w:rPr>
              <w:t>Tlf: +45 39617500</w:t>
            </w:r>
          </w:p>
        </w:tc>
        <w:tc>
          <w:tcPr>
            <w:tcW w:w="5378" w:type="dxa"/>
          </w:tcPr>
          <w:p w14:paraId="4F72E367" w14:textId="77777777" w:rsidR="00A70D6C" w:rsidRPr="00A70D6C" w:rsidRDefault="00A70D6C" w:rsidP="00A70D6C">
            <w:pPr>
              <w:suppressAutoHyphens/>
              <w:autoSpaceDE w:val="0"/>
              <w:autoSpaceDN w:val="0"/>
              <w:adjustRightInd w:val="0"/>
              <w:spacing w:after="0" w:line="240" w:lineRule="auto"/>
              <w:ind w:left="2152"/>
              <w:rPr>
                <w:b/>
                <w:color w:val="auto"/>
                <w:lang w:val="mt-MT" w:eastAsia="en-US"/>
              </w:rPr>
            </w:pPr>
            <w:r w:rsidRPr="00A70D6C">
              <w:rPr>
                <w:b/>
                <w:color w:val="auto"/>
                <w:lang w:val="mt-MT" w:eastAsia="en-US"/>
              </w:rPr>
              <w:t>Malta</w:t>
            </w:r>
          </w:p>
          <w:p w14:paraId="058ABACB" w14:textId="263528B8" w:rsidR="00E63FB1" w:rsidRPr="00E63FB1" w:rsidRDefault="00E63FB1" w:rsidP="00E63FB1">
            <w:pPr>
              <w:suppressAutoHyphens/>
              <w:autoSpaceDE w:val="0"/>
              <w:autoSpaceDN w:val="0"/>
              <w:adjustRightInd w:val="0"/>
              <w:spacing w:after="0" w:line="240" w:lineRule="auto"/>
              <w:ind w:left="2152"/>
              <w:rPr>
                <w:color w:val="auto"/>
                <w:lang w:val="mt-MT" w:eastAsia="en-US"/>
              </w:rPr>
            </w:pPr>
            <w:r w:rsidRPr="00E63FB1">
              <w:rPr>
                <w:color w:val="auto"/>
                <w:lang w:val="mt-MT" w:eastAsia="en-US"/>
              </w:rPr>
              <w:t xml:space="preserve">Amgen </w:t>
            </w:r>
            <w:r w:rsidR="004915A6">
              <w:rPr>
                <w:color w:val="auto"/>
                <w:lang w:val="mt-MT" w:eastAsia="en-US"/>
              </w:rPr>
              <w:t>S.r.l.</w:t>
            </w:r>
          </w:p>
          <w:p w14:paraId="362C9F17" w14:textId="6067E971" w:rsidR="00E63FB1" w:rsidRPr="00E63FB1" w:rsidRDefault="004915A6" w:rsidP="00E63FB1">
            <w:pPr>
              <w:suppressAutoHyphens/>
              <w:autoSpaceDE w:val="0"/>
              <w:autoSpaceDN w:val="0"/>
              <w:adjustRightInd w:val="0"/>
              <w:spacing w:after="0" w:line="240" w:lineRule="auto"/>
              <w:ind w:left="2152"/>
              <w:rPr>
                <w:color w:val="auto"/>
                <w:lang w:val="mt-MT" w:eastAsia="en-US"/>
              </w:rPr>
            </w:pPr>
            <w:r>
              <w:rPr>
                <w:color w:val="auto"/>
                <w:lang w:val="mt-MT" w:eastAsia="en-US"/>
              </w:rPr>
              <w:t>Italy</w:t>
            </w:r>
          </w:p>
          <w:p w14:paraId="68E008AC" w14:textId="0D7382A6" w:rsidR="00A70D6C" w:rsidRPr="00A70D6C" w:rsidRDefault="004915A6" w:rsidP="00E63FB1">
            <w:pPr>
              <w:suppressAutoHyphens/>
              <w:autoSpaceDE w:val="0"/>
              <w:autoSpaceDN w:val="0"/>
              <w:adjustRightInd w:val="0"/>
              <w:spacing w:after="0" w:line="240" w:lineRule="auto"/>
              <w:ind w:left="2152"/>
              <w:rPr>
                <w:color w:val="auto"/>
                <w:lang w:val="mt-MT" w:eastAsia="en-US"/>
              </w:rPr>
            </w:pPr>
            <w:r>
              <w:rPr>
                <w:color w:val="auto"/>
                <w:lang w:val="mt-MT" w:eastAsia="en-US"/>
              </w:rPr>
              <w:t>Tel: +39 02 6241121</w:t>
            </w:r>
          </w:p>
        </w:tc>
      </w:tr>
      <w:tr w:rsidR="00A70D6C" w:rsidRPr="00A70D6C" w14:paraId="53FA633B" w14:textId="77777777" w:rsidTr="00A70D6C">
        <w:trPr>
          <w:cantSplit/>
        </w:trPr>
        <w:tc>
          <w:tcPr>
            <w:tcW w:w="0" w:type="auto"/>
          </w:tcPr>
          <w:p w14:paraId="6F5868A4" w14:textId="77777777" w:rsidR="00A70D6C" w:rsidRPr="00A70D6C" w:rsidRDefault="00A70D6C" w:rsidP="00A70D6C">
            <w:pPr>
              <w:suppressAutoHyphens/>
              <w:autoSpaceDE w:val="0"/>
              <w:autoSpaceDN w:val="0"/>
              <w:adjustRightInd w:val="0"/>
              <w:spacing w:after="0" w:line="240" w:lineRule="auto"/>
              <w:ind w:left="13"/>
              <w:rPr>
                <w:color w:val="auto"/>
                <w:lang w:val="mt-MT" w:eastAsia="en-US"/>
              </w:rPr>
            </w:pPr>
          </w:p>
        </w:tc>
        <w:tc>
          <w:tcPr>
            <w:tcW w:w="5378" w:type="dxa"/>
          </w:tcPr>
          <w:p w14:paraId="2DB35616" w14:textId="77777777" w:rsidR="00A70D6C" w:rsidRPr="00A70D6C" w:rsidRDefault="00A70D6C" w:rsidP="00A70D6C">
            <w:pPr>
              <w:suppressAutoHyphens/>
              <w:autoSpaceDE w:val="0"/>
              <w:autoSpaceDN w:val="0"/>
              <w:adjustRightInd w:val="0"/>
              <w:spacing w:after="0" w:line="240" w:lineRule="auto"/>
              <w:ind w:left="2152"/>
              <w:rPr>
                <w:b/>
                <w:color w:val="auto"/>
                <w:lang w:val="mt-MT" w:eastAsia="en-US"/>
              </w:rPr>
            </w:pPr>
          </w:p>
        </w:tc>
      </w:tr>
      <w:tr w:rsidR="00A70D6C" w:rsidRPr="002C10E1" w14:paraId="314BB17F" w14:textId="77777777" w:rsidTr="00A70D6C">
        <w:trPr>
          <w:cantSplit/>
        </w:trPr>
        <w:tc>
          <w:tcPr>
            <w:tcW w:w="0" w:type="auto"/>
          </w:tcPr>
          <w:p w14:paraId="47BDB516" w14:textId="77777777" w:rsidR="00A70D6C" w:rsidRPr="00A70D6C" w:rsidRDefault="00A70D6C" w:rsidP="00A70D6C">
            <w:pPr>
              <w:suppressAutoHyphens/>
              <w:autoSpaceDE w:val="0"/>
              <w:autoSpaceDN w:val="0"/>
              <w:adjustRightInd w:val="0"/>
              <w:spacing w:after="0" w:line="240" w:lineRule="auto"/>
              <w:ind w:left="13"/>
              <w:rPr>
                <w:bCs/>
                <w:color w:val="auto"/>
                <w:lang w:val="mt-MT" w:eastAsia="en-US"/>
              </w:rPr>
            </w:pPr>
            <w:r w:rsidRPr="00A70D6C">
              <w:rPr>
                <w:b/>
                <w:bCs/>
                <w:color w:val="auto"/>
                <w:lang w:val="mt-MT" w:eastAsia="en-US"/>
              </w:rPr>
              <w:t>Deutschland</w:t>
            </w:r>
          </w:p>
          <w:p w14:paraId="53D8E0FC" w14:textId="130FCC9B" w:rsidR="00C329AA" w:rsidRPr="00C329AA" w:rsidRDefault="00C329AA" w:rsidP="00C329AA">
            <w:pPr>
              <w:suppressAutoHyphens/>
              <w:autoSpaceDE w:val="0"/>
              <w:autoSpaceDN w:val="0"/>
              <w:adjustRightInd w:val="0"/>
              <w:spacing w:after="0" w:line="240" w:lineRule="auto"/>
              <w:ind w:left="13"/>
              <w:rPr>
                <w:bCs/>
                <w:color w:val="auto"/>
                <w:lang w:val="mt-MT" w:eastAsia="en-US"/>
              </w:rPr>
            </w:pPr>
            <w:r w:rsidRPr="00C329AA">
              <w:rPr>
                <w:bCs/>
                <w:color w:val="auto"/>
                <w:lang w:val="mt-MT" w:eastAsia="en-US"/>
              </w:rPr>
              <w:t>A</w:t>
            </w:r>
            <w:r w:rsidR="00EE0FE2">
              <w:rPr>
                <w:bCs/>
                <w:color w:val="auto"/>
                <w:lang w:val="mt-MT" w:eastAsia="en-US"/>
              </w:rPr>
              <w:t>mgen</w:t>
            </w:r>
            <w:r w:rsidRPr="00C329AA">
              <w:rPr>
                <w:bCs/>
                <w:color w:val="auto"/>
                <w:lang w:val="mt-MT" w:eastAsia="en-US"/>
              </w:rPr>
              <w:t xml:space="preserve"> GmbH</w:t>
            </w:r>
          </w:p>
          <w:p w14:paraId="423C1523" w14:textId="405D6429" w:rsidR="00A70D6C" w:rsidRPr="00A70D6C" w:rsidRDefault="00C329AA" w:rsidP="00C64E96">
            <w:pPr>
              <w:suppressAutoHyphens/>
              <w:autoSpaceDE w:val="0"/>
              <w:autoSpaceDN w:val="0"/>
              <w:adjustRightInd w:val="0"/>
              <w:spacing w:after="0" w:line="240" w:lineRule="auto"/>
              <w:ind w:left="13"/>
              <w:rPr>
                <w:bCs/>
                <w:color w:val="auto"/>
                <w:lang w:val="mt-MT" w:eastAsia="en-US"/>
              </w:rPr>
            </w:pPr>
            <w:r w:rsidRPr="00C329AA">
              <w:rPr>
                <w:bCs/>
                <w:color w:val="auto"/>
                <w:lang w:val="mt-MT" w:eastAsia="en-US"/>
              </w:rPr>
              <w:t>Tel: +49 89 1490960</w:t>
            </w:r>
          </w:p>
        </w:tc>
        <w:tc>
          <w:tcPr>
            <w:tcW w:w="5378" w:type="dxa"/>
          </w:tcPr>
          <w:p w14:paraId="1603C7A5" w14:textId="77777777" w:rsidR="00A70D6C" w:rsidRPr="00A70D6C" w:rsidRDefault="00A70D6C" w:rsidP="00A70D6C">
            <w:pPr>
              <w:suppressAutoHyphens/>
              <w:autoSpaceDE w:val="0"/>
              <w:autoSpaceDN w:val="0"/>
              <w:adjustRightInd w:val="0"/>
              <w:spacing w:after="0" w:line="240" w:lineRule="auto"/>
              <w:ind w:left="2152"/>
              <w:rPr>
                <w:b/>
                <w:color w:val="auto"/>
                <w:lang w:val="mt-MT" w:eastAsia="en-US"/>
              </w:rPr>
            </w:pPr>
            <w:r w:rsidRPr="00A70D6C">
              <w:rPr>
                <w:b/>
                <w:color w:val="auto"/>
                <w:lang w:val="mt-MT" w:eastAsia="en-US"/>
              </w:rPr>
              <w:t>Nederland</w:t>
            </w:r>
          </w:p>
          <w:p w14:paraId="2A0EB5F2" w14:textId="77777777" w:rsidR="00C329AA" w:rsidRPr="00C329AA" w:rsidRDefault="00C329AA" w:rsidP="00C329AA">
            <w:pPr>
              <w:suppressAutoHyphens/>
              <w:autoSpaceDE w:val="0"/>
              <w:autoSpaceDN w:val="0"/>
              <w:adjustRightInd w:val="0"/>
              <w:spacing w:after="0" w:line="240" w:lineRule="auto"/>
              <w:ind w:left="2152"/>
              <w:rPr>
                <w:color w:val="auto"/>
                <w:lang w:val="mt-MT" w:eastAsia="en-US"/>
              </w:rPr>
            </w:pPr>
            <w:r w:rsidRPr="00C329AA">
              <w:rPr>
                <w:color w:val="auto"/>
                <w:lang w:val="mt-MT" w:eastAsia="en-US"/>
              </w:rPr>
              <w:t>Amgen B.V.</w:t>
            </w:r>
          </w:p>
          <w:p w14:paraId="1166D6D0" w14:textId="77777777" w:rsidR="00A70D6C" w:rsidRPr="00A70D6C" w:rsidRDefault="00C329AA" w:rsidP="00A70D6C">
            <w:pPr>
              <w:suppressAutoHyphens/>
              <w:autoSpaceDE w:val="0"/>
              <w:autoSpaceDN w:val="0"/>
              <w:adjustRightInd w:val="0"/>
              <w:spacing w:after="0" w:line="240" w:lineRule="auto"/>
              <w:ind w:left="2152"/>
              <w:rPr>
                <w:color w:val="auto"/>
                <w:lang w:val="mt-MT" w:eastAsia="en-US"/>
              </w:rPr>
            </w:pPr>
            <w:r w:rsidRPr="00C329AA">
              <w:rPr>
                <w:color w:val="auto"/>
                <w:lang w:val="mt-MT" w:eastAsia="en-US"/>
              </w:rPr>
              <w:t>Tel: +31 (0)76 5732500</w:t>
            </w:r>
          </w:p>
        </w:tc>
      </w:tr>
      <w:tr w:rsidR="00A70D6C" w:rsidRPr="002C10E1" w14:paraId="4AF6A426" w14:textId="77777777" w:rsidTr="00A70D6C">
        <w:trPr>
          <w:cantSplit/>
        </w:trPr>
        <w:tc>
          <w:tcPr>
            <w:tcW w:w="0" w:type="auto"/>
          </w:tcPr>
          <w:p w14:paraId="3FE51700" w14:textId="77777777" w:rsidR="00A70D6C" w:rsidRPr="00A70D6C" w:rsidRDefault="00A70D6C" w:rsidP="00A70D6C">
            <w:pPr>
              <w:suppressAutoHyphens/>
              <w:autoSpaceDE w:val="0"/>
              <w:autoSpaceDN w:val="0"/>
              <w:adjustRightInd w:val="0"/>
              <w:spacing w:after="0" w:line="240" w:lineRule="auto"/>
              <w:ind w:left="13"/>
              <w:rPr>
                <w:b/>
                <w:color w:val="auto"/>
                <w:lang w:val="mt-MT" w:eastAsia="en-US"/>
              </w:rPr>
            </w:pPr>
          </w:p>
        </w:tc>
        <w:tc>
          <w:tcPr>
            <w:tcW w:w="5378" w:type="dxa"/>
          </w:tcPr>
          <w:p w14:paraId="52B027E0" w14:textId="77777777" w:rsidR="00A70D6C" w:rsidRPr="00A70D6C" w:rsidRDefault="00A70D6C" w:rsidP="00A70D6C">
            <w:pPr>
              <w:suppressAutoHyphens/>
              <w:autoSpaceDE w:val="0"/>
              <w:autoSpaceDN w:val="0"/>
              <w:adjustRightInd w:val="0"/>
              <w:spacing w:after="0" w:line="240" w:lineRule="auto"/>
              <w:ind w:left="2152"/>
              <w:rPr>
                <w:color w:val="auto"/>
                <w:lang w:val="mt-MT" w:eastAsia="en-US"/>
              </w:rPr>
            </w:pPr>
          </w:p>
        </w:tc>
      </w:tr>
      <w:tr w:rsidR="00A70D6C" w:rsidRPr="00A70D6C" w14:paraId="1309F3FD" w14:textId="77777777" w:rsidTr="00A70D6C">
        <w:trPr>
          <w:cantSplit/>
        </w:trPr>
        <w:tc>
          <w:tcPr>
            <w:tcW w:w="0" w:type="auto"/>
          </w:tcPr>
          <w:p w14:paraId="73043598" w14:textId="77777777" w:rsidR="00A70D6C" w:rsidRPr="00A70D6C" w:rsidRDefault="00A70D6C" w:rsidP="00A70D6C">
            <w:pPr>
              <w:suppressAutoHyphens/>
              <w:autoSpaceDE w:val="0"/>
              <w:autoSpaceDN w:val="0"/>
              <w:adjustRightInd w:val="0"/>
              <w:spacing w:after="0" w:line="240" w:lineRule="auto"/>
              <w:ind w:left="13"/>
              <w:rPr>
                <w:color w:val="auto"/>
                <w:lang w:val="mt-MT" w:eastAsia="en-US"/>
              </w:rPr>
            </w:pPr>
            <w:r w:rsidRPr="00A70D6C">
              <w:rPr>
                <w:b/>
                <w:color w:val="auto"/>
                <w:lang w:val="mt-MT" w:eastAsia="en-US"/>
              </w:rPr>
              <w:t>Eesti</w:t>
            </w:r>
          </w:p>
          <w:p w14:paraId="038908BA" w14:textId="77777777" w:rsidR="00C329AA" w:rsidRPr="00C329AA" w:rsidRDefault="00C329AA" w:rsidP="00C329AA">
            <w:pPr>
              <w:suppressAutoHyphens/>
              <w:autoSpaceDE w:val="0"/>
              <w:autoSpaceDN w:val="0"/>
              <w:adjustRightInd w:val="0"/>
              <w:spacing w:after="0" w:line="240" w:lineRule="auto"/>
              <w:ind w:left="13"/>
              <w:rPr>
                <w:color w:val="auto"/>
                <w:lang w:val="mt-MT" w:eastAsia="en-US"/>
              </w:rPr>
            </w:pPr>
            <w:r>
              <w:rPr>
                <w:color w:val="auto"/>
                <w:lang w:val="mt-MT" w:eastAsia="en-US"/>
              </w:rPr>
              <w:t xml:space="preserve">Amgen Switzerland AG Vilniaus </w:t>
            </w:r>
            <w:r w:rsidR="003D6202">
              <w:rPr>
                <w:color w:val="auto"/>
                <w:lang w:val="mt-MT" w:eastAsia="en-US"/>
              </w:rPr>
              <w:t>f</w:t>
            </w:r>
            <w:r w:rsidRPr="00C329AA">
              <w:rPr>
                <w:color w:val="auto"/>
                <w:lang w:val="mt-MT" w:eastAsia="en-US"/>
              </w:rPr>
              <w:t>ilialas</w:t>
            </w:r>
          </w:p>
          <w:p w14:paraId="3B206877" w14:textId="77777777" w:rsidR="00A70D6C" w:rsidRPr="00A70D6C" w:rsidRDefault="00C329AA" w:rsidP="00A70D6C">
            <w:pPr>
              <w:suppressAutoHyphens/>
              <w:autoSpaceDE w:val="0"/>
              <w:autoSpaceDN w:val="0"/>
              <w:adjustRightInd w:val="0"/>
              <w:spacing w:after="0" w:line="240" w:lineRule="auto"/>
              <w:ind w:left="13"/>
              <w:rPr>
                <w:color w:val="auto"/>
                <w:lang w:val="mt-MT" w:eastAsia="en-US"/>
              </w:rPr>
            </w:pPr>
            <w:r w:rsidRPr="00C329AA">
              <w:rPr>
                <w:color w:val="auto"/>
                <w:lang w:val="mt-MT" w:eastAsia="en-US"/>
              </w:rPr>
              <w:t>Tel: +372 586 09553</w:t>
            </w:r>
          </w:p>
        </w:tc>
        <w:tc>
          <w:tcPr>
            <w:tcW w:w="5378" w:type="dxa"/>
          </w:tcPr>
          <w:p w14:paraId="65546D1A" w14:textId="77777777" w:rsidR="00A70D6C" w:rsidRPr="00A70D6C" w:rsidRDefault="00A70D6C" w:rsidP="00A70D6C">
            <w:pPr>
              <w:suppressAutoHyphens/>
              <w:autoSpaceDE w:val="0"/>
              <w:autoSpaceDN w:val="0"/>
              <w:adjustRightInd w:val="0"/>
              <w:spacing w:after="0" w:line="240" w:lineRule="auto"/>
              <w:ind w:left="2152"/>
              <w:rPr>
                <w:color w:val="auto"/>
                <w:lang w:val="mt-MT" w:eastAsia="en-US"/>
              </w:rPr>
            </w:pPr>
            <w:r w:rsidRPr="00A70D6C">
              <w:rPr>
                <w:b/>
                <w:color w:val="auto"/>
                <w:lang w:val="mt-MT" w:eastAsia="en-US"/>
              </w:rPr>
              <w:t>Norge</w:t>
            </w:r>
          </w:p>
          <w:p w14:paraId="72EA7069" w14:textId="77777777" w:rsidR="00C329AA" w:rsidRPr="00C329AA" w:rsidRDefault="00C329AA" w:rsidP="00C329AA">
            <w:pPr>
              <w:suppressAutoHyphens/>
              <w:autoSpaceDE w:val="0"/>
              <w:autoSpaceDN w:val="0"/>
              <w:adjustRightInd w:val="0"/>
              <w:spacing w:after="0" w:line="240" w:lineRule="auto"/>
              <w:ind w:left="2152"/>
              <w:rPr>
                <w:color w:val="auto"/>
                <w:lang w:val="mt-MT" w:eastAsia="en-US"/>
              </w:rPr>
            </w:pPr>
            <w:r w:rsidRPr="00C329AA">
              <w:rPr>
                <w:color w:val="auto"/>
                <w:lang w:val="mt-MT" w:eastAsia="en-US"/>
              </w:rPr>
              <w:t>Amgen AB</w:t>
            </w:r>
          </w:p>
          <w:p w14:paraId="26E7508D" w14:textId="59D84206" w:rsidR="00A70D6C" w:rsidRPr="00A70D6C" w:rsidRDefault="00C329AA" w:rsidP="00C64E96">
            <w:pPr>
              <w:suppressAutoHyphens/>
              <w:autoSpaceDE w:val="0"/>
              <w:autoSpaceDN w:val="0"/>
              <w:adjustRightInd w:val="0"/>
              <w:spacing w:after="0" w:line="240" w:lineRule="auto"/>
              <w:ind w:left="2152"/>
              <w:rPr>
                <w:color w:val="auto"/>
                <w:lang w:val="mt-MT" w:eastAsia="en-US"/>
              </w:rPr>
            </w:pPr>
            <w:r w:rsidRPr="00C329AA">
              <w:rPr>
                <w:color w:val="auto"/>
                <w:lang w:val="mt-MT" w:eastAsia="en-US"/>
              </w:rPr>
              <w:t>T</w:t>
            </w:r>
            <w:r w:rsidR="00C64E96">
              <w:rPr>
                <w:color w:val="auto"/>
                <w:lang w:val="mt-MT" w:eastAsia="en-US"/>
              </w:rPr>
              <w:t>lf</w:t>
            </w:r>
            <w:r w:rsidRPr="00C329AA">
              <w:rPr>
                <w:color w:val="auto"/>
                <w:lang w:val="mt-MT" w:eastAsia="en-US"/>
              </w:rPr>
              <w:t>: +47 23308000</w:t>
            </w:r>
          </w:p>
        </w:tc>
      </w:tr>
      <w:tr w:rsidR="00A70D6C" w:rsidRPr="00A70D6C" w14:paraId="1CE9F938" w14:textId="77777777" w:rsidTr="00A70D6C">
        <w:trPr>
          <w:cantSplit/>
        </w:trPr>
        <w:tc>
          <w:tcPr>
            <w:tcW w:w="0" w:type="auto"/>
          </w:tcPr>
          <w:p w14:paraId="7FE1DE50" w14:textId="77777777" w:rsidR="00A70D6C" w:rsidRPr="00A70D6C" w:rsidRDefault="00A70D6C" w:rsidP="00A70D6C">
            <w:pPr>
              <w:suppressAutoHyphens/>
              <w:autoSpaceDE w:val="0"/>
              <w:autoSpaceDN w:val="0"/>
              <w:adjustRightInd w:val="0"/>
              <w:spacing w:after="0" w:line="240" w:lineRule="auto"/>
              <w:ind w:left="0" w:firstLine="0"/>
              <w:rPr>
                <w:b/>
                <w:bCs/>
                <w:color w:val="auto"/>
                <w:lang w:val="mt-MT" w:eastAsia="en-GB"/>
              </w:rPr>
            </w:pPr>
          </w:p>
          <w:p w14:paraId="171AA61D" w14:textId="77777777" w:rsidR="00A70D6C" w:rsidRPr="00A70D6C" w:rsidRDefault="00A70D6C" w:rsidP="00A70D6C">
            <w:pPr>
              <w:suppressAutoHyphens/>
              <w:autoSpaceDE w:val="0"/>
              <w:autoSpaceDN w:val="0"/>
              <w:adjustRightInd w:val="0"/>
              <w:spacing w:after="0" w:line="240" w:lineRule="auto"/>
              <w:ind w:left="0" w:firstLine="0"/>
              <w:rPr>
                <w:b/>
                <w:bCs/>
                <w:color w:val="auto"/>
                <w:lang w:val="mt-MT" w:eastAsia="en-GB"/>
              </w:rPr>
            </w:pPr>
            <w:r w:rsidRPr="00A70D6C">
              <w:rPr>
                <w:b/>
                <w:bCs/>
                <w:color w:val="auto"/>
                <w:lang w:val="mt-MT" w:eastAsia="en-GB"/>
              </w:rPr>
              <w:t>Ελλάδα</w:t>
            </w:r>
          </w:p>
          <w:p w14:paraId="74637488" w14:textId="77777777" w:rsidR="00C329AA" w:rsidRPr="00C329AA" w:rsidRDefault="00C329AA" w:rsidP="00C329AA">
            <w:pPr>
              <w:suppressAutoHyphens/>
              <w:autoSpaceDE w:val="0"/>
              <w:autoSpaceDN w:val="0"/>
              <w:adjustRightInd w:val="0"/>
              <w:spacing w:after="0" w:line="240" w:lineRule="auto"/>
              <w:ind w:left="0" w:firstLine="0"/>
              <w:rPr>
                <w:color w:val="auto"/>
                <w:lang w:val="mt-MT" w:eastAsia="en-GB"/>
              </w:rPr>
            </w:pPr>
            <w:r w:rsidRPr="00C329AA">
              <w:rPr>
                <w:color w:val="auto"/>
                <w:lang w:val="mt-MT" w:eastAsia="en-GB"/>
              </w:rPr>
              <w:t>Amgen Ελλάς Φαρμακευτικά Ε.Π.Ε.</w:t>
            </w:r>
          </w:p>
          <w:p w14:paraId="267A88FB" w14:textId="5869C4CF" w:rsidR="00A70D6C" w:rsidRPr="00A70D6C" w:rsidRDefault="00C329AA" w:rsidP="00C64E96">
            <w:pPr>
              <w:suppressAutoHyphens/>
              <w:autoSpaceDE w:val="0"/>
              <w:autoSpaceDN w:val="0"/>
              <w:adjustRightInd w:val="0"/>
              <w:spacing w:after="0" w:line="240" w:lineRule="auto"/>
              <w:ind w:left="13"/>
              <w:rPr>
                <w:color w:val="auto"/>
                <w:lang w:val="mt-MT" w:eastAsia="en-US"/>
              </w:rPr>
            </w:pPr>
            <w:r w:rsidRPr="00C329AA">
              <w:rPr>
                <w:color w:val="auto"/>
                <w:lang w:val="mt-MT" w:eastAsia="en-GB"/>
              </w:rPr>
              <w:t>Τηλ: +30 210 3447000</w:t>
            </w:r>
          </w:p>
        </w:tc>
        <w:tc>
          <w:tcPr>
            <w:tcW w:w="5378" w:type="dxa"/>
          </w:tcPr>
          <w:p w14:paraId="45E5DD86" w14:textId="77777777" w:rsidR="00A70D6C" w:rsidRPr="00A70D6C" w:rsidRDefault="00A70D6C" w:rsidP="00A70D6C">
            <w:pPr>
              <w:suppressAutoHyphens/>
              <w:autoSpaceDE w:val="0"/>
              <w:autoSpaceDN w:val="0"/>
              <w:adjustRightInd w:val="0"/>
              <w:spacing w:after="0" w:line="240" w:lineRule="auto"/>
              <w:ind w:left="2152"/>
              <w:rPr>
                <w:color w:val="auto"/>
                <w:lang w:val="mt-MT" w:eastAsia="en-US"/>
              </w:rPr>
            </w:pPr>
          </w:p>
          <w:p w14:paraId="1E703D71" w14:textId="77777777" w:rsidR="00A70D6C" w:rsidRPr="00A70D6C" w:rsidRDefault="00A70D6C" w:rsidP="00A70D6C">
            <w:pPr>
              <w:suppressAutoHyphens/>
              <w:autoSpaceDE w:val="0"/>
              <w:autoSpaceDN w:val="0"/>
              <w:adjustRightInd w:val="0"/>
              <w:spacing w:after="0" w:line="240" w:lineRule="auto"/>
              <w:ind w:left="2152"/>
              <w:rPr>
                <w:b/>
                <w:color w:val="auto"/>
                <w:lang w:val="mt-MT" w:eastAsia="en-US"/>
              </w:rPr>
            </w:pPr>
            <w:r w:rsidRPr="00A70D6C">
              <w:rPr>
                <w:b/>
                <w:color w:val="auto"/>
                <w:lang w:val="mt-MT" w:eastAsia="en-US"/>
              </w:rPr>
              <w:t>Österreich</w:t>
            </w:r>
          </w:p>
          <w:p w14:paraId="52F1D0C5" w14:textId="77777777" w:rsidR="00C329AA" w:rsidRPr="00C329AA" w:rsidRDefault="00C329AA" w:rsidP="00C329AA">
            <w:pPr>
              <w:suppressAutoHyphens/>
              <w:autoSpaceDE w:val="0"/>
              <w:autoSpaceDN w:val="0"/>
              <w:adjustRightInd w:val="0"/>
              <w:spacing w:after="0" w:line="240" w:lineRule="auto"/>
              <w:ind w:left="2152"/>
              <w:rPr>
                <w:color w:val="auto"/>
                <w:lang w:val="mt-MT" w:eastAsia="en-US"/>
              </w:rPr>
            </w:pPr>
            <w:r w:rsidRPr="00C329AA">
              <w:rPr>
                <w:color w:val="auto"/>
                <w:lang w:val="mt-MT" w:eastAsia="en-US"/>
              </w:rPr>
              <w:t>Amgen GmbH</w:t>
            </w:r>
          </w:p>
          <w:p w14:paraId="21E302AA" w14:textId="77777777" w:rsidR="00A70D6C" w:rsidRPr="00A70D6C" w:rsidRDefault="00C329AA" w:rsidP="00A70D6C">
            <w:pPr>
              <w:suppressAutoHyphens/>
              <w:autoSpaceDE w:val="0"/>
              <w:autoSpaceDN w:val="0"/>
              <w:adjustRightInd w:val="0"/>
              <w:spacing w:after="0" w:line="240" w:lineRule="auto"/>
              <w:ind w:left="2152"/>
              <w:rPr>
                <w:color w:val="auto"/>
                <w:lang w:val="mt-MT" w:eastAsia="en-US"/>
              </w:rPr>
            </w:pPr>
            <w:r w:rsidRPr="00C329AA">
              <w:rPr>
                <w:color w:val="auto"/>
                <w:lang w:val="mt-MT" w:eastAsia="en-US"/>
              </w:rPr>
              <w:t>Tel: +43 (0)1 50 217</w:t>
            </w:r>
          </w:p>
        </w:tc>
      </w:tr>
      <w:tr w:rsidR="00A70D6C" w:rsidRPr="00A70D6C" w14:paraId="04438F14" w14:textId="77777777" w:rsidTr="00A70D6C">
        <w:trPr>
          <w:cantSplit/>
        </w:trPr>
        <w:tc>
          <w:tcPr>
            <w:tcW w:w="0" w:type="auto"/>
          </w:tcPr>
          <w:p w14:paraId="570A9B6E" w14:textId="77777777" w:rsidR="00A70D6C" w:rsidRPr="00A70D6C" w:rsidRDefault="00A70D6C" w:rsidP="00A70D6C">
            <w:pPr>
              <w:suppressAutoHyphens/>
              <w:autoSpaceDE w:val="0"/>
              <w:autoSpaceDN w:val="0"/>
              <w:adjustRightInd w:val="0"/>
              <w:spacing w:after="0" w:line="240" w:lineRule="auto"/>
              <w:ind w:left="0" w:firstLine="0"/>
              <w:rPr>
                <w:b/>
                <w:bCs/>
                <w:color w:val="auto"/>
                <w:lang w:val="mt-MT" w:eastAsia="en-GB"/>
              </w:rPr>
            </w:pPr>
          </w:p>
          <w:p w14:paraId="4CF9ACBE" w14:textId="77777777" w:rsidR="00A70D6C" w:rsidRPr="00A70D6C" w:rsidRDefault="00A70D6C" w:rsidP="00A70D6C">
            <w:pPr>
              <w:suppressAutoHyphens/>
              <w:autoSpaceDE w:val="0"/>
              <w:autoSpaceDN w:val="0"/>
              <w:adjustRightInd w:val="0"/>
              <w:spacing w:after="0" w:line="240" w:lineRule="auto"/>
              <w:ind w:left="0" w:firstLine="0"/>
              <w:rPr>
                <w:b/>
                <w:bCs/>
                <w:color w:val="auto"/>
                <w:lang w:val="mt-MT" w:eastAsia="en-GB"/>
              </w:rPr>
            </w:pPr>
            <w:r w:rsidRPr="00A70D6C">
              <w:rPr>
                <w:b/>
                <w:bCs/>
                <w:color w:val="auto"/>
                <w:lang w:val="mt-MT" w:eastAsia="en-GB"/>
              </w:rPr>
              <w:t>España</w:t>
            </w:r>
          </w:p>
          <w:p w14:paraId="2164D070" w14:textId="77777777" w:rsidR="00C329AA" w:rsidRPr="00C329AA" w:rsidRDefault="00C329AA" w:rsidP="00C329AA">
            <w:pPr>
              <w:suppressAutoHyphens/>
              <w:autoSpaceDE w:val="0"/>
              <w:autoSpaceDN w:val="0"/>
              <w:adjustRightInd w:val="0"/>
              <w:spacing w:after="0" w:line="240" w:lineRule="auto"/>
              <w:ind w:left="0" w:firstLine="0"/>
              <w:rPr>
                <w:color w:val="auto"/>
                <w:lang w:val="mt-MT" w:eastAsia="en-GB"/>
              </w:rPr>
            </w:pPr>
            <w:r w:rsidRPr="00C329AA">
              <w:rPr>
                <w:color w:val="auto"/>
                <w:lang w:val="mt-MT" w:eastAsia="en-GB"/>
              </w:rPr>
              <w:t>Amgen S.A.</w:t>
            </w:r>
          </w:p>
          <w:p w14:paraId="339D233E" w14:textId="77777777" w:rsidR="00A70D6C" w:rsidRPr="00A70D6C" w:rsidRDefault="00C329AA" w:rsidP="00A70D6C">
            <w:pPr>
              <w:suppressAutoHyphens/>
              <w:autoSpaceDE w:val="0"/>
              <w:autoSpaceDN w:val="0"/>
              <w:adjustRightInd w:val="0"/>
              <w:spacing w:after="0" w:line="240" w:lineRule="auto"/>
              <w:ind w:left="13"/>
              <w:rPr>
                <w:b/>
                <w:bCs/>
                <w:color w:val="auto"/>
                <w:lang w:val="mt-MT" w:eastAsia="en-US"/>
              </w:rPr>
            </w:pPr>
            <w:r w:rsidRPr="00C329AA">
              <w:rPr>
                <w:color w:val="auto"/>
                <w:lang w:val="mt-MT" w:eastAsia="en-GB"/>
              </w:rPr>
              <w:t>Tel: +34 93 600 18 60</w:t>
            </w:r>
          </w:p>
        </w:tc>
        <w:tc>
          <w:tcPr>
            <w:tcW w:w="5378" w:type="dxa"/>
          </w:tcPr>
          <w:p w14:paraId="2E5DD119" w14:textId="77777777" w:rsidR="00A70D6C" w:rsidRPr="00A70D6C" w:rsidRDefault="00A70D6C" w:rsidP="00A70D6C">
            <w:pPr>
              <w:suppressAutoHyphens/>
              <w:autoSpaceDE w:val="0"/>
              <w:autoSpaceDN w:val="0"/>
              <w:adjustRightInd w:val="0"/>
              <w:spacing w:after="0" w:line="240" w:lineRule="auto"/>
              <w:ind w:left="2152" w:firstLine="0"/>
              <w:rPr>
                <w:b/>
                <w:bCs/>
                <w:color w:val="auto"/>
                <w:lang w:val="mt-MT" w:eastAsia="en-GB"/>
              </w:rPr>
            </w:pPr>
          </w:p>
          <w:p w14:paraId="602B822C" w14:textId="77777777" w:rsidR="00A70D6C" w:rsidRPr="00A70D6C" w:rsidRDefault="00A70D6C" w:rsidP="00A70D6C">
            <w:pPr>
              <w:suppressAutoHyphens/>
              <w:autoSpaceDE w:val="0"/>
              <w:autoSpaceDN w:val="0"/>
              <w:adjustRightInd w:val="0"/>
              <w:spacing w:after="0" w:line="240" w:lineRule="auto"/>
              <w:ind w:left="2152" w:firstLine="0"/>
              <w:rPr>
                <w:b/>
                <w:bCs/>
                <w:color w:val="auto"/>
                <w:lang w:val="mt-MT" w:eastAsia="en-GB"/>
              </w:rPr>
            </w:pPr>
            <w:r w:rsidRPr="00A70D6C">
              <w:rPr>
                <w:b/>
                <w:bCs/>
                <w:color w:val="auto"/>
                <w:lang w:val="mt-MT" w:eastAsia="en-GB"/>
              </w:rPr>
              <w:t>Polska</w:t>
            </w:r>
          </w:p>
          <w:p w14:paraId="002DC6E0" w14:textId="77777777" w:rsidR="00C329AA" w:rsidRPr="00C329AA" w:rsidRDefault="00C329AA" w:rsidP="00C329AA">
            <w:pPr>
              <w:suppressAutoHyphens/>
              <w:autoSpaceDE w:val="0"/>
              <w:autoSpaceDN w:val="0"/>
              <w:adjustRightInd w:val="0"/>
              <w:spacing w:after="0" w:line="240" w:lineRule="auto"/>
              <w:ind w:left="2152" w:firstLine="0"/>
              <w:rPr>
                <w:color w:val="auto"/>
                <w:lang w:val="mt-MT" w:eastAsia="en-GB"/>
              </w:rPr>
            </w:pPr>
            <w:r w:rsidRPr="00C329AA">
              <w:rPr>
                <w:color w:val="auto"/>
                <w:lang w:val="mt-MT" w:eastAsia="en-GB"/>
              </w:rPr>
              <w:t>Amgen Biotechnologia Sp. z o.o.</w:t>
            </w:r>
          </w:p>
          <w:p w14:paraId="773340A2" w14:textId="77777777" w:rsidR="00A70D6C" w:rsidRPr="00A70D6C" w:rsidRDefault="00C329AA" w:rsidP="00A70D6C">
            <w:pPr>
              <w:suppressAutoHyphens/>
              <w:autoSpaceDE w:val="0"/>
              <w:autoSpaceDN w:val="0"/>
              <w:adjustRightInd w:val="0"/>
              <w:spacing w:after="0" w:line="240" w:lineRule="auto"/>
              <w:ind w:left="2152"/>
              <w:rPr>
                <w:color w:val="auto"/>
                <w:lang w:val="mt-MT" w:eastAsia="en-US"/>
              </w:rPr>
            </w:pPr>
            <w:r w:rsidRPr="00C329AA">
              <w:rPr>
                <w:color w:val="auto"/>
                <w:lang w:val="mt-MT" w:eastAsia="en-GB"/>
              </w:rPr>
              <w:t>Tel.: +48 22 581 3000</w:t>
            </w:r>
          </w:p>
        </w:tc>
      </w:tr>
      <w:tr w:rsidR="00A70D6C" w:rsidRPr="00714463" w14:paraId="53EC66B6" w14:textId="77777777" w:rsidTr="00A70D6C">
        <w:trPr>
          <w:cantSplit/>
        </w:trPr>
        <w:tc>
          <w:tcPr>
            <w:tcW w:w="0" w:type="auto"/>
          </w:tcPr>
          <w:p w14:paraId="2ED4964F" w14:textId="77777777" w:rsidR="00A70D6C" w:rsidRPr="00A70D6C" w:rsidRDefault="00A70D6C" w:rsidP="00A70D6C">
            <w:pPr>
              <w:suppressAutoHyphens/>
              <w:autoSpaceDE w:val="0"/>
              <w:autoSpaceDN w:val="0"/>
              <w:adjustRightInd w:val="0"/>
              <w:spacing w:after="0" w:line="240" w:lineRule="auto"/>
              <w:ind w:left="0" w:firstLine="0"/>
              <w:rPr>
                <w:b/>
                <w:bCs/>
                <w:color w:val="auto"/>
                <w:lang w:val="mt-MT" w:eastAsia="en-GB"/>
              </w:rPr>
            </w:pPr>
          </w:p>
          <w:p w14:paraId="2C971657" w14:textId="77777777" w:rsidR="00A70D6C" w:rsidRPr="00A70D6C" w:rsidRDefault="00362D58" w:rsidP="00A70D6C">
            <w:pPr>
              <w:suppressAutoHyphens/>
              <w:autoSpaceDE w:val="0"/>
              <w:autoSpaceDN w:val="0"/>
              <w:adjustRightInd w:val="0"/>
              <w:spacing w:after="0" w:line="240" w:lineRule="auto"/>
              <w:ind w:left="0" w:firstLine="0"/>
              <w:rPr>
                <w:b/>
                <w:bCs/>
                <w:color w:val="auto"/>
                <w:lang w:val="mt-MT" w:eastAsia="en-GB"/>
              </w:rPr>
            </w:pPr>
            <w:r>
              <w:rPr>
                <w:b/>
                <w:bCs/>
                <w:color w:val="auto"/>
                <w:lang w:val="mt-MT" w:eastAsia="en-GB"/>
              </w:rPr>
              <w:t>Francia</w:t>
            </w:r>
          </w:p>
          <w:p w14:paraId="3B40BF94" w14:textId="77777777" w:rsidR="00C329AA" w:rsidRPr="00C329AA" w:rsidRDefault="00C329AA" w:rsidP="00C329AA">
            <w:pPr>
              <w:suppressAutoHyphens/>
              <w:autoSpaceDE w:val="0"/>
              <w:autoSpaceDN w:val="0"/>
              <w:adjustRightInd w:val="0"/>
              <w:spacing w:after="0" w:line="240" w:lineRule="auto"/>
              <w:ind w:left="0" w:firstLine="0"/>
              <w:rPr>
                <w:color w:val="auto"/>
                <w:lang w:val="mt-MT" w:eastAsia="en-GB"/>
              </w:rPr>
            </w:pPr>
            <w:r w:rsidRPr="00C329AA">
              <w:rPr>
                <w:color w:val="auto"/>
                <w:lang w:val="mt-MT" w:eastAsia="en-GB"/>
              </w:rPr>
              <w:t>Amgen S.A.S.</w:t>
            </w:r>
          </w:p>
          <w:p w14:paraId="3E025E8B" w14:textId="77777777" w:rsidR="00A70D6C" w:rsidRPr="00A70D6C" w:rsidRDefault="00C329AA" w:rsidP="00A70D6C">
            <w:pPr>
              <w:suppressAutoHyphens/>
              <w:autoSpaceDE w:val="0"/>
              <w:autoSpaceDN w:val="0"/>
              <w:adjustRightInd w:val="0"/>
              <w:spacing w:after="0" w:line="240" w:lineRule="auto"/>
              <w:ind w:left="13"/>
              <w:rPr>
                <w:color w:val="auto"/>
                <w:lang w:val="mt-MT" w:eastAsia="en-US"/>
              </w:rPr>
            </w:pPr>
            <w:r w:rsidRPr="00C329AA">
              <w:rPr>
                <w:color w:val="auto"/>
                <w:lang w:val="mt-MT" w:eastAsia="en-GB"/>
              </w:rPr>
              <w:t>Tél: +33 (0)9 69 363 363</w:t>
            </w:r>
          </w:p>
        </w:tc>
        <w:tc>
          <w:tcPr>
            <w:tcW w:w="5378" w:type="dxa"/>
          </w:tcPr>
          <w:p w14:paraId="7BF1C2CC" w14:textId="77777777" w:rsidR="00A70D6C" w:rsidRPr="00A70D6C" w:rsidRDefault="00A70D6C" w:rsidP="00A70D6C">
            <w:pPr>
              <w:suppressAutoHyphens/>
              <w:autoSpaceDE w:val="0"/>
              <w:autoSpaceDN w:val="0"/>
              <w:adjustRightInd w:val="0"/>
              <w:spacing w:after="0" w:line="240" w:lineRule="auto"/>
              <w:ind w:left="2152" w:firstLine="0"/>
              <w:rPr>
                <w:b/>
                <w:bCs/>
                <w:color w:val="auto"/>
                <w:lang w:val="mt-MT" w:eastAsia="en-GB"/>
              </w:rPr>
            </w:pPr>
          </w:p>
          <w:p w14:paraId="04CB172E" w14:textId="77777777" w:rsidR="00A70D6C" w:rsidRPr="00A70D6C" w:rsidRDefault="00A70D6C" w:rsidP="00A70D6C">
            <w:pPr>
              <w:suppressAutoHyphens/>
              <w:autoSpaceDE w:val="0"/>
              <w:autoSpaceDN w:val="0"/>
              <w:adjustRightInd w:val="0"/>
              <w:spacing w:after="0" w:line="240" w:lineRule="auto"/>
              <w:ind w:left="2152" w:firstLine="0"/>
              <w:rPr>
                <w:b/>
                <w:bCs/>
                <w:color w:val="auto"/>
                <w:lang w:val="mt-MT" w:eastAsia="en-GB"/>
              </w:rPr>
            </w:pPr>
            <w:r w:rsidRPr="00A70D6C">
              <w:rPr>
                <w:b/>
                <w:bCs/>
                <w:color w:val="auto"/>
                <w:lang w:val="mt-MT" w:eastAsia="en-GB"/>
              </w:rPr>
              <w:t>Portugal</w:t>
            </w:r>
          </w:p>
          <w:p w14:paraId="7E44F7FB" w14:textId="77777777" w:rsidR="00C329AA" w:rsidRPr="00C329AA" w:rsidRDefault="00C329AA" w:rsidP="00C329AA">
            <w:pPr>
              <w:suppressAutoHyphens/>
              <w:autoSpaceDE w:val="0"/>
              <w:autoSpaceDN w:val="0"/>
              <w:adjustRightInd w:val="0"/>
              <w:spacing w:after="0" w:line="240" w:lineRule="auto"/>
              <w:ind w:left="2152" w:firstLine="0"/>
              <w:rPr>
                <w:color w:val="auto"/>
                <w:lang w:val="mt-MT" w:eastAsia="en-GB"/>
              </w:rPr>
            </w:pPr>
            <w:r w:rsidRPr="00C329AA">
              <w:rPr>
                <w:color w:val="auto"/>
                <w:lang w:val="mt-MT" w:eastAsia="en-GB"/>
              </w:rPr>
              <w:t>Amgen Biofarmacêutica, Lda.</w:t>
            </w:r>
          </w:p>
          <w:p w14:paraId="36EA41D5" w14:textId="5B37F144" w:rsidR="00A70D6C" w:rsidRPr="00A70D6C" w:rsidRDefault="00C329AA" w:rsidP="00A70D6C">
            <w:pPr>
              <w:suppressAutoHyphens/>
              <w:autoSpaceDE w:val="0"/>
              <w:autoSpaceDN w:val="0"/>
              <w:adjustRightInd w:val="0"/>
              <w:spacing w:after="0" w:line="240" w:lineRule="auto"/>
              <w:ind w:left="2152"/>
              <w:rPr>
                <w:b/>
                <w:color w:val="auto"/>
                <w:lang w:val="mt-MT" w:eastAsia="en-US"/>
              </w:rPr>
            </w:pPr>
            <w:r w:rsidRPr="00C329AA">
              <w:rPr>
                <w:color w:val="auto"/>
                <w:lang w:val="mt-MT" w:eastAsia="en-GB"/>
              </w:rPr>
              <w:t>Tel: +351 21 422</w:t>
            </w:r>
            <w:r w:rsidR="0087753B">
              <w:rPr>
                <w:color w:val="auto"/>
                <w:lang w:val="mt-MT" w:eastAsia="en-GB"/>
              </w:rPr>
              <w:t>0606</w:t>
            </w:r>
          </w:p>
        </w:tc>
      </w:tr>
      <w:tr w:rsidR="00A70D6C" w:rsidRPr="002C10E1" w14:paraId="40B57583" w14:textId="77777777" w:rsidTr="00A70D6C">
        <w:trPr>
          <w:cantSplit/>
        </w:trPr>
        <w:tc>
          <w:tcPr>
            <w:tcW w:w="0" w:type="auto"/>
          </w:tcPr>
          <w:p w14:paraId="2F2D4842" w14:textId="77777777" w:rsidR="00A70D6C" w:rsidRPr="00A70D6C" w:rsidRDefault="00A70D6C" w:rsidP="00A70D6C">
            <w:pPr>
              <w:suppressAutoHyphens/>
              <w:autoSpaceDE w:val="0"/>
              <w:autoSpaceDN w:val="0"/>
              <w:adjustRightInd w:val="0"/>
              <w:spacing w:after="0" w:line="240" w:lineRule="auto"/>
              <w:ind w:left="0" w:firstLine="0"/>
              <w:rPr>
                <w:b/>
                <w:bCs/>
                <w:color w:val="auto"/>
                <w:lang w:val="mt-MT" w:eastAsia="en-GB"/>
              </w:rPr>
            </w:pPr>
          </w:p>
          <w:p w14:paraId="7739D448" w14:textId="77777777" w:rsidR="00A70D6C" w:rsidRPr="00A70D6C" w:rsidRDefault="00A70D6C" w:rsidP="00A70D6C">
            <w:pPr>
              <w:suppressAutoHyphens/>
              <w:autoSpaceDE w:val="0"/>
              <w:autoSpaceDN w:val="0"/>
              <w:adjustRightInd w:val="0"/>
              <w:spacing w:after="0" w:line="240" w:lineRule="auto"/>
              <w:ind w:left="0" w:firstLine="0"/>
              <w:rPr>
                <w:b/>
                <w:bCs/>
                <w:color w:val="auto"/>
                <w:lang w:val="mt-MT" w:eastAsia="en-GB"/>
              </w:rPr>
            </w:pPr>
            <w:r w:rsidRPr="00A70D6C">
              <w:rPr>
                <w:b/>
                <w:bCs/>
                <w:color w:val="auto"/>
                <w:lang w:val="mt-MT" w:eastAsia="en-GB"/>
              </w:rPr>
              <w:t>Hrvatska</w:t>
            </w:r>
          </w:p>
          <w:p w14:paraId="0091B2DD" w14:textId="77777777" w:rsidR="00A70D6C" w:rsidRPr="00A70D6C" w:rsidRDefault="00C329AA" w:rsidP="00A70D6C">
            <w:pPr>
              <w:suppressAutoHyphens/>
              <w:autoSpaceDE w:val="0"/>
              <w:autoSpaceDN w:val="0"/>
              <w:adjustRightInd w:val="0"/>
              <w:spacing w:after="0" w:line="240" w:lineRule="auto"/>
              <w:ind w:left="0" w:firstLine="0"/>
              <w:rPr>
                <w:color w:val="auto"/>
                <w:lang w:val="mt-MT" w:eastAsia="en-GB"/>
              </w:rPr>
            </w:pPr>
            <w:r>
              <w:rPr>
                <w:color w:val="auto"/>
                <w:lang w:val="mt-MT" w:eastAsia="en-GB"/>
              </w:rPr>
              <w:t>Amgen</w:t>
            </w:r>
            <w:r w:rsidRPr="00A70D6C">
              <w:rPr>
                <w:color w:val="auto"/>
                <w:lang w:val="mt-MT" w:eastAsia="en-GB"/>
              </w:rPr>
              <w:t xml:space="preserve"> </w:t>
            </w:r>
            <w:r w:rsidR="00A70D6C" w:rsidRPr="00A70D6C">
              <w:rPr>
                <w:color w:val="auto"/>
                <w:lang w:val="mt-MT" w:eastAsia="en-GB"/>
              </w:rPr>
              <w:t>d.o.o.</w:t>
            </w:r>
          </w:p>
          <w:p w14:paraId="7087808E" w14:textId="77777777" w:rsidR="00A70D6C" w:rsidRPr="00A70D6C" w:rsidRDefault="00A70D6C" w:rsidP="00A70D6C">
            <w:pPr>
              <w:suppressAutoHyphens/>
              <w:autoSpaceDE w:val="0"/>
              <w:autoSpaceDN w:val="0"/>
              <w:adjustRightInd w:val="0"/>
              <w:spacing w:after="0" w:line="240" w:lineRule="auto"/>
              <w:ind w:left="13"/>
              <w:rPr>
                <w:color w:val="auto"/>
                <w:lang w:val="mt-MT" w:eastAsia="en-US"/>
              </w:rPr>
            </w:pPr>
            <w:r w:rsidRPr="00A70D6C">
              <w:rPr>
                <w:color w:val="auto"/>
                <w:lang w:val="mt-MT" w:eastAsia="en-US"/>
              </w:rPr>
              <w:t xml:space="preserve">Tel: + 385 </w:t>
            </w:r>
            <w:r w:rsidR="00C329AA">
              <w:rPr>
                <w:color w:val="auto"/>
                <w:lang w:val="mt-MT" w:eastAsia="en-US"/>
              </w:rPr>
              <w:t>(0)</w:t>
            </w:r>
            <w:r w:rsidRPr="00A70D6C">
              <w:rPr>
                <w:color w:val="auto"/>
                <w:lang w:val="mt-MT" w:eastAsia="en-US"/>
              </w:rPr>
              <w:t>1</w:t>
            </w:r>
            <w:r w:rsidR="00C329AA">
              <w:rPr>
                <w:color w:val="auto"/>
                <w:lang w:val="mt-MT" w:eastAsia="en-US"/>
              </w:rPr>
              <w:t xml:space="preserve"> 562 57 20</w:t>
            </w:r>
            <w:r w:rsidRPr="00A70D6C">
              <w:rPr>
                <w:color w:val="auto"/>
                <w:lang w:val="mt-MT" w:eastAsia="en-US"/>
              </w:rPr>
              <w:t xml:space="preserve"> </w:t>
            </w:r>
          </w:p>
        </w:tc>
        <w:tc>
          <w:tcPr>
            <w:tcW w:w="5378" w:type="dxa"/>
          </w:tcPr>
          <w:p w14:paraId="195BB13D" w14:textId="77777777" w:rsidR="00A70D6C" w:rsidRPr="00A70D6C" w:rsidRDefault="00A70D6C" w:rsidP="00A70D6C">
            <w:pPr>
              <w:suppressAutoHyphens/>
              <w:autoSpaceDE w:val="0"/>
              <w:autoSpaceDN w:val="0"/>
              <w:adjustRightInd w:val="0"/>
              <w:spacing w:after="0" w:line="240" w:lineRule="auto"/>
              <w:ind w:left="2152" w:firstLine="0"/>
              <w:rPr>
                <w:b/>
                <w:bCs/>
                <w:color w:val="auto"/>
                <w:lang w:val="mt-MT" w:eastAsia="en-GB"/>
              </w:rPr>
            </w:pPr>
          </w:p>
          <w:p w14:paraId="6DAB3485" w14:textId="77777777" w:rsidR="00A70D6C" w:rsidRPr="00A70D6C" w:rsidRDefault="00A70D6C" w:rsidP="00A70D6C">
            <w:pPr>
              <w:suppressAutoHyphens/>
              <w:autoSpaceDE w:val="0"/>
              <w:autoSpaceDN w:val="0"/>
              <w:adjustRightInd w:val="0"/>
              <w:spacing w:after="0" w:line="240" w:lineRule="auto"/>
              <w:ind w:left="2152" w:firstLine="0"/>
              <w:rPr>
                <w:b/>
                <w:bCs/>
                <w:color w:val="auto"/>
                <w:lang w:val="mt-MT" w:eastAsia="en-GB"/>
              </w:rPr>
            </w:pPr>
            <w:r w:rsidRPr="00A70D6C">
              <w:rPr>
                <w:b/>
                <w:bCs/>
                <w:color w:val="auto"/>
                <w:lang w:val="mt-MT" w:eastAsia="en-GB"/>
              </w:rPr>
              <w:t>România</w:t>
            </w:r>
          </w:p>
          <w:p w14:paraId="5C0AB778" w14:textId="77777777" w:rsidR="00C329AA" w:rsidRPr="00C329AA" w:rsidRDefault="00C329AA" w:rsidP="00C329AA">
            <w:pPr>
              <w:suppressAutoHyphens/>
              <w:autoSpaceDE w:val="0"/>
              <w:autoSpaceDN w:val="0"/>
              <w:adjustRightInd w:val="0"/>
              <w:spacing w:after="0" w:line="240" w:lineRule="auto"/>
              <w:ind w:left="2152" w:firstLine="0"/>
              <w:rPr>
                <w:color w:val="auto"/>
                <w:lang w:val="mt-MT" w:eastAsia="en-GB"/>
              </w:rPr>
            </w:pPr>
            <w:r w:rsidRPr="00C329AA">
              <w:rPr>
                <w:color w:val="auto"/>
                <w:lang w:val="mt-MT" w:eastAsia="en-GB"/>
              </w:rPr>
              <w:t>Amgen România SRL</w:t>
            </w:r>
          </w:p>
          <w:p w14:paraId="222D58D4" w14:textId="77777777" w:rsidR="00A70D6C" w:rsidRPr="00A70D6C" w:rsidRDefault="00C329AA" w:rsidP="00A70D6C">
            <w:pPr>
              <w:suppressAutoHyphens/>
              <w:autoSpaceDE w:val="0"/>
              <w:autoSpaceDN w:val="0"/>
              <w:adjustRightInd w:val="0"/>
              <w:spacing w:after="0" w:line="240" w:lineRule="auto"/>
              <w:ind w:left="2152"/>
              <w:rPr>
                <w:bCs/>
                <w:color w:val="auto"/>
                <w:lang w:val="mt-MT" w:eastAsia="en-US"/>
              </w:rPr>
            </w:pPr>
            <w:r w:rsidRPr="00C329AA">
              <w:rPr>
                <w:color w:val="auto"/>
                <w:lang w:val="mt-MT" w:eastAsia="en-GB"/>
              </w:rPr>
              <w:t>Tel: +4021 527 3000</w:t>
            </w:r>
          </w:p>
        </w:tc>
      </w:tr>
      <w:tr w:rsidR="00A70D6C" w:rsidRPr="00A70D6C" w14:paraId="2E5CBDF8" w14:textId="77777777" w:rsidTr="00A70D6C">
        <w:trPr>
          <w:cantSplit/>
        </w:trPr>
        <w:tc>
          <w:tcPr>
            <w:tcW w:w="0" w:type="auto"/>
          </w:tcPr>
          <w:p w14:paraId="0C69FAC9" w14:textId="77777777" w:rsidR="00A70D6C" w:rsidRPr="00A70D6C" w:rsidRDefault="00A70D6C" w:rsidP="00A70D6C">
            <w:pPr>
              <w:suppressAutoHyphens/>
              <w:autoSpaceDE w:val="0"/>
              <w:autoSpaceDN w:val="0"/>
              <w:adjustRightInd w:val="0"/>
              <w:spacing w:after="0" w:line="240" w:lineRule="auto"/>
              <w:ind w:left="0" w:firstLine="0"/>
              <w:rPr>
                <w:b/>
                <w:bCs/>
                <w:color w:val="auto"/>
                <w:lang w:val="mt-MT" w:eastAsia="en-GB"/>
              </w:rPr>
            </w:pPr>
          </w:p>
          <w:p w14:paraId="58C69C7A" w14:textId="77777777" w:rsidR="00A70D6C" w:rsidRPr="00A70D6C" w:rsidRDefault="00A70D6C" w:rsidP="00A70D6C">
            <w:pPr>
              <w:suppressAutoHyphens/>
              <w:autoSpaceDE w:val="0"/>
              <w:autoSpaceDN w:val="0"/>
              <w:adjustRightInd w:val="0"/>
              <w:spacing w:after="0" w:line="240" w:lineRule="auto"/>
              <w:ind w:left="0" w:firstLine="0"/>
              <w:rPr>
                <w:b/>
                <w:bCs/>
                <w:color w:val="auto"/>
                <w:lang w:val="mt-MT" w:eastAsia="en-GB"/>
              </w:rPr>
            </w:pPr>
            <w:r w:rsidRPr="00A70D6C">
              <w:rPr>
                <w:b/>
                <w:bCs/>
                <w:color w:val="auto"/>
                <w:lang w:val="mt-MT" w:eastAsia="en-GB"/>
              </w:rPr>
              <w:t>Ireland</w:t>
            </w:r>
          </w:p>
          <w:p w14:paraId="566DDBA5" w14:textId="3EBC853B" w:rsidR="00C329AA" w:rsidRPr="00C329AA" w:rsidRDefault="00C329AA" w:rsidP="00C329AA">
            <w:pPr>
              <w:suppressAutoHyphens/>
              <w:autoSpaceDE w:val="0"/>
              <w:autoSpaceDN w:val="0"/>
              <w:adjustRightInd w:val="0"/>
              <w:spacing w:after="0" w:line="240" w:lineRule="auto"/>
              <w:ind w:left="0" w:firstLine="0"/>
              <w:rPr>
                <w:color w:val="auto"/>
                <w:lang w:val="mt-MT" w:eastAsia="en-GB"/>
              </w:rPr>
            </w:pPr>
            <w:r w:rsidRPr="00C329AA">
              <w:rPr>
                <w:color w:val="auto"/>
                <w:lang w:val="mt-MT" w:eastAsia="en-GB"/>
              </w:rPr>
              <w:t xml:space="preserve">Amgen </w:t>
            </w:r>
            <w:r w:rsidR="0087753B">
              <w:rPr>
                <w:rFonts w:eastAsia="Arial Unicode MS"/>
                <w:bCs/>
                <w:lang w:val="hr-HR"/>
              </w:rPr>
              <w:t>Ireland</w:t>
            </w:r>
            <w:r w:rsidR="0087753B" w:rsidRPr="00950D83">
              <w:rPr>
                <w:rFonts w:eastAsia="Arial Unicode MS"/>
                <w:bCs/>
                <w:lang w:val="hr-HR"/>
              </w:rPr>
              <w:t xml:space="preserve"> </w:t>
            </w:r>
            <w:r w:rsidRPr="00C329AA">
              <w:rPr>
                <w:color w:val="auto"/>
                <w:lang w:val="mt-MT" w:eastAsia="en-GB"/>
              </w:rPr>
              <w:t>Limited</w:t>
            </w:r>
          </w:p>
          <w:p w14:paraId="6A592462" w14:textId="1C257B05" w:rsidR="00A70D6C" w:rsidRPr="00A70D6C" w:rsidRDefault="00C329AA" w:rsidP="00A70D6C">
            <w:pPr>
              <w:suppressAutoHyphens/>
              <w:autoSpaceDE w:val="0"/>
              <w:autoSpaceDN w:val="0"/>
              <w:adjustRightInd w:val="0"/>
              <w:spacing w:after="0" w:line="240" w:lineRule="auto"/>
              <w:ind w:left="13"/>
              <w:rPr>
                <w:b/>
                <w:color w:val="auto"/>
                <w:lang w:val="mt-MT" w:eastAsia="en-US"/>
              </w:rPr>
            </w:pPr>
            <w:r w:rsidRPr="00C329AA">
              <w:rPr>
                <w:color w:val="auto"/>
                <w:lang w:val="mt-MT" w:eastAsia="en-GB"/>
              </w:rPr>
              <w:t>Tel: +</w:t>
            </w:r>
            <w:r w:rsidR="0087753B" w:rsidRPr="00E61FEC">
              <w:rPr>
                <w:lang w:val="en-US"/>
              </w:rPr>
              <w:t>353 1 8527400</w:t>
            </w:r>
          </w:p>
        </w:tc>
        <w:tc>
          <w:tcPr>
            <w:tcW w:w="5378" w:type="dxa"/>
          </w:tcPr>
          <w:p w14:paraId="78D5AEE5" w14:textId="77777777" w:rsidR="00A70D6C" w:rsidRPr="00A70D6C" w:rsidRDefault="00A70D6C" w:rsidP="00A70D6C">
            <w:pPr>
              <w:suppressAutoHyphens/>
              <w:autoSpaceDE w:val="0"/>
              <w:autoSpaceDN w:val="0"/>
              <w:adjustRightInd w:val="0"/>
              <w:spacing w:after="0" w:line="240" w:lineRule="auto"/>
              <w:ind w:left="2152" w:firstLine="0"/>
              <w:rPr>
                <w:b/>
                <w:bCs/>
                <w:color w:val="auto"/>
                <w:lang w:val="mt-MT" w:eastAsia="en-GB"/>
              </w:rPr>
            </w:pPr>
          </w:p>
          <w:p w14:paraId="38A38B97" w14:textId="77777777" w:rsidR="00A70D6C" w:rsidRPr="00A70D6C" w:rsidRDefault="00A70D6C" w:rsidP="00A70D6C">
            <w:pPr>
              <w:suppressAutoHyphens/>
              <w:autoSpaceDE w:val="0"/>
              <w:autoSpaceDN w:val="0"/>
              <w:adjustRightInd w:val="0"/>
              <w:spacing w:after="0" w:line="240" w:lineRule="auto"/>
              <w:ind w:left="2152" w:firstLine="0"/>
              <w:rPr>
                <w:b/>
                <w:bCs/>
                <w:color w:val="auto"/>
                <w:lang w:val="mt-MT" w:eastAsia="en-GB"/>
              </w:rPr>
            </w:pPr>
            <w:r w:rsidRPr="00A70D6C">
              <w:rPr>
                <w:b/>
                <w:bCs/>
                <w:color w:val="auto"/>
                <w:lang w:val="mt-MT" w:eastAsia="en-GB"/>
              </w:rPr>
              <w:t>Slovenija</w:t>
            </w:r>
          </w:p>
          <w:p w14:paraId="752EF831" w14:textId="77777777" w:rsidR="00C329AA" w:rsidRPr="00C329AA" w:rsidRDefault="00C329AA" w:rsidP="00C329AA">
            <w:pPr>
              <w:suppressAutoHyphens/>
              <w:autoSpaceDE w:val="0"/>
              <w:autoSpaceDN w:val="0"/>
              <w:adjustRightInd w:val="0"/>
              <w:spacing w:after="0" w:line="240" w:lineRule="auto"/>
              <w:ind w:left="2152" w:firstLine="0"/>
              <w:rPr>
                <w:color w:val="auto"/>
                <w:lang w:val="mt-MT" w:eastAsia="en-GB"/>
              </w:rPr>
            </w:pPr>
            <w:r w:rsidRPr="00C329AA">
              <w:rPr>
                <w:color w:val="auto"/>
                <w:lang w:val="mt-MT" w:eastAsia="en-GB"/>
              </w:rPr>
              <w:t>AMGEN zdravila d.o.o.</w:t>
            </w:r>
          </w:p>
          <w:p w14:paraId="25F475ED" w14:textId="77777777" w:rsidR="00A70D6C" w:rsidRPr="00A70D6C" w:rsidRDefault="00C329AA" w:rsidP="00A70D6C">
            <w:pPr>
              <w:suppressAutoHyphens/>
              <w:autoSpaceDE w:val="0"/>
              <w:autoSpaceDN w:val="0"/>
              <w:adjustRightInd w:val="0"/>
              <w:spacing w:after="0" w:line="240" w:lineRule="auto"/>
              <w:ind w:left="2152"/>
              <w:rPr>
                <w:bCs/>
                <w:color w:val="auto"/>
                <w:lang w:val="mt-MT" w:eastAsia="en-US"/>
              </w:rPr>
            </w:pPr>
            <w:r w:rsidRPr="00C329AA">
              <w:rPr>
                <w:color w:val="auto"/>
                <w:lang w:val="mt-MT" w:eastAsia="en-GB"/>
              </w:rPr>
              <w:t>Tel: +386 (0)1 585 1767</w:t>
            </w:r>
          </w:p>
        </w:tc>
      </w:tr>
      <w:tr w:rsidR="00A70D6C" w:rsidRPr="00A70D6C" w14:paraId="0C5E3EB0" w14:textId="77777777" w:rsidTr="00A70D6C">
        <w:trPr>
          <w:cantSplit/>
        </w:trPr>
        <w:tc>
          <w:tcPr>
            <w:tcW w:w="0" w:type="auto"/>
          </w:tcPr>
          <w:p w14:paraId="36F0A7C3" w14:textId="77777777" w:rsidR="00A70D6C" w:rsidRPr="00A70D6C" w:rsidRDefault="00A70D6C" w:rsidP="00A70D6C">
            <w:pPr>
              <w:suppressAutoHyphens/>
              <w:autoSpaceDE w:val="0"/>
              <w:autoSpaceDN w:val="0"/>
              <w:adjustRightInd w:val="0"/>
              <w:spacing w:after="0" w:line="240" w:lineRule="auto"/>
              <w:ind w:left="0" w:firstLine="0"/>
              <w:rPr>
                <w:b/>
                <w:bCs/>
                <w:color w:val="auto"/>
                <w:lang w:val="mt-MT" w:eastAsia="en-GB"/>
              </w:rPr>
            </w:pPr>
          </w:p>
          <w:p w14:paraId="4960C76B" w14:textId="77777777" w:rsidR="00A70D6C" w:rsidRPr="00A70D6C" w:rsidRDefault="00A70D6C" w:rsidP="00A70D6C">
            <w:pPr>
              <w:suppressAutoHyphens/>
              <w:autoSpaceDE w:val="0"/>
              <w:autoSpaceDN w:val="0"/>
              <w:adjustRightInd w:val="0"/>
              <w:spacing w:after="0" w:line="240" w:lineRule="auto"/>
              <w:ind w:left="0" w:firstLine="0"/>
              <w:rPr>
                <w:b/>
                <w:bCs/>
                <w:color w:val="auto"/>
                <w:lang w:val="mt-MT" w:eastAsia="en-GB"/>
              </w:rPr>
            </w:pPr>
            <w:r w:rsidRPr="00A70D6C">
              <w:rPr>
                <w:b/>
                <w:bCs/>
                <w:color w:val="auto"/>
                <w:lang w:val="mt-MT" w:eastAsia="en-GB"/>
              </w:rPr>
              <w:t>Ísland</w:t>
            </w:r>
          </w:p>
          <w:p w14:paraId="20CF3D13" w14:textId="77777777" w:rsidR="00C329AA" w:rsidRPr="00C329AA" w:rsidRDefault="00C329AA" w:rsidP="00C329AA">
            <w:pPr>
              <w:suppressAutoHyphens/>
              <w:autoSpaceDE w:val="0"/>
              <w:autoSpaceDN w:val="0"/>
              <w:adjustRightInd w:val="0"/>
              <w:spacing w:after="0" w:line="240" w:lineRule="auto"/>
              <w:ind w:left="0" w:firstLine="0"/>
              <w:rPr>
                <w:color w:val="auto"/>
                <w:lang w:val="mt-MT" w:eastAsia="en-GB"/>
              </w:rPr>
            </w:pPr>
            <w:r w:rsidRPr="00C329AA">
              <w:rPr>
                <w:color w:val="auto"/>
                <w:lang w:val="mt-MT" w:eastAsia="en-GB"/>
              </w:rPr>
              <w:t>Vistor hf.</w:t>
            </w:r>
          </w:p>
          <w:p w14:paraId="4966B647" w14:textId="77777777" w:rsidR="00A70D6C" w:rsidRPr="00A70D6C" w:rsidRDefault="00C329AA" w:rsidP="00A70D6C">
            <w:pPr>
              <w:suppressAutoHyphens/>
              <w:autoSpaceDE w:val="0"/>
              <w:autoSpaceDN w:val="0"/>
              <w:adjustRightInd w:val="0"/>
              <w:spacing w:after="0" w:line="240" w:lineRule="auto"/>
              <w:ind w:left="0" w:firstLine="0"/>
              <w:rPr>
                <w:b/>
                <w:bCs/>
                <w:color w:val="auto"/>
                <w:lang w:val="mt-MT" w:eastAsia="en-GB"/>
              </w:rPr>
            </w:pPr>
            <w:r w:rsidRPr="00C329AA">
              <w:rPr>
                <w:color w:val="auto"/>
                <w:lang w:val="mt-MT" w:eastAsia="en-GB"/>
              </w:rPr>
              <w:t>Sími: +354 535 7000</w:t>
            </w:r>
          </w:p>
        </w:tc>
        <w:tc>
          <w:tcPr>
            <w:tcW w:w="5378" w:type="dxa"/>
          </w:tcPr>
          <w:p w14:paraId="046B9A5D" w14:textId="77777777" w:rsidR="00A70D6C" w:rsidRPr="00A70D6C" w:rsidRDefault="00A70D6C" w:rsidP="00A70D6C">
            <w:pPr>
              <w:suppressAutoHyphens/>
              <w:autoSpaceDE w:val="0"/>
              <w:autoSpaceDN w:val="0"/>
              <w:adjustRightInd w:val="0"/>
              <w:spacing w:after="0" w:line="240" w:lineRule="auto"/>
              <w:ind w:left="2152" w:firstLine="0"/>
              <w:rPr>
                <w:b/>
                <w:bCs/>
                <w:color w:val="auto"/>
                <w:lang w:val="mt-MT" w:eastAsia="en-GB"/>
              </w:rPr>
            </w:pPr>
          </w:p>
          <w:p w14:paraId="2F0D89B9" w14:textId="77777777" w:rsidR="00A70D6C" w:rsidRPr="00A70D6C" w:rsidRDefault="00A70D6C" w:rsidP="00A70D6C">
            <w:pPr>
              <w:suppressAutoHyphens/>
              <w:autoSpaceDE w:val="0"/>
              <w:autoSpaceDN w:val="0"/>
              <w:adjustRightInd w:val="0"/>
              <w:spacing w:after="0" w:line="240" w:lineRule="auto"/>
              <w:ind w:left="2152" w:firstLine="0"/>
              <w:rPr>
                <w:b/>
                <w:bCs/>
                <w:color w:val="auto"/>
                <w:lang w:val="mt-MT" w:eastAsia="en-GB"/>
              </w:rPr>
            </w:pPr>
            <w:r w:rsidRPr="00A70D6C">
              <w:rPr>
                <w:b/>
                <w:bCs/>
                <w:color w:val="auto"/>
                <w:lang w:val="mt-MT" w:eastAsia="en-GB"/>
              </w:rPr>
              <w:t>Slovenská republika</w:t>
            </w:r>
          </w:p>
          <w:p w14:paraId="356950EE" w14:textId="77777777" w:rsidR="00C329AA" w:rsidRPr="00C329AA" w:rsidRDefault="00C329AA" w:rsidP="00C329AA">
            <w:pPr>
              <w:suppressAutoHyphens/>
              <w:autoSpaceDE w:val="0"/>
              <w:autoSpaceDN w:val="0"/>
              <w:adjustRightInd w:val="0"/>
              <w:spacing w:after="0" w:line="240" w:lineRule="auto"/>
              <w:ind w:left="2152" w:firstLine="0"/>
              <w:rPr>
                <w:color w:val="auto"/>
                <w:lang w:val="mt-MT" w:eastAsia="en-GB"/>
              </w:rPr>
            </w:pPr>
            <w:r w:rsidRPr="00C329AA">
              <w:rPr>
                <w:color w:val="auto"/>
                <w:lang w:val="mt-MT" w:eastAsia="en-GB"/>
              </w:rPr>
              <w:t>Amgen Slovakia s.r.o.</w:t>
            </w:r>
          </w:p>
          <w:p w14:paraId="24528252" w14:textId="77777777" w:rsidR="00A70D6C" w:rsidRPr="00A70D6C" w:rsidRDefault="00C329AA" w:rsidP="00A70D6C">
            <w:pPr>
              <w:suppressAutoHyphens/>
              <w:autoSpaceDE w:val="0"/>
              <w:autoSpaceDN w:val="0"/>
              <w:adjustRightInd w:val="0"/>
              <w:spacing w:after="0" w:line="240" w:lineRule="auto"/>
              <w:ind w:left="2152" w:firstLine="0"/>
              <w:rPr>
                <w:b/>
                <w:bCs/>
                <w:color w:val="auto"/>
                <w:lang w:val="mt-MT" w:eastAsia="en-GB"/>
              </w:rPr>
            </w:pPr>
            <w:r w:rsidRPr="00C329AA">
              <w:rPr>
                <w:color w:val="auto"/>
                <w:lang w:val="mt-MT" w:eastAsia="en-GB"/>
              </w:rPr>
              <w:t>Tel: +421 2 321 114 49</w:t>
            </w:r>
          </w:p>
        </w:tc>
      </w:tr>
      <w:tr w:rsidR="00A70D6C" w:rsidRPr="002C10E1" w14:paraId="61423718" w14:textId="77777777" w:rsidTr="00A70D6C">
        <w:trPr>
          <w:cantSplit/>
        </w:trPr>
        <w:tc>
          <w:tcPr>
            <w:tcW w:w="0" w:type="auto"/>
          </w:tcPr>
          <w:p w14:paraId="16979093" w14:textId="77777777" w:rsidR="00A70D6C" w:rsidRPr="00A70D6C" w:rsidRDefault="00A70D6C" w:rsidP="00A70D6C">
            <w:pPr>
              <w:suppressAutoHyphens/>
              <w:autoSpaceDE w:val="0"/>
              <w:autoSpaceDN w:val="0"/>
              <w:adjustRightInd w:val="0"/>
              <w:spacing w:after="0" w:line="240" w:lineRule="auto"/>
              <w:ind w:left="0" w:firstLine="0"/>
              <w:rPr>
                <w:b/>
                <w:bCs/>
                <w:color w:val="auto"/>
                <w:lang w:val="mt-MT" w:eastAsia="en-GB"/>
              </w:rPr>
            </w:pPr>
          </w:p>
          <w:p w14:paraId="4F921871" w14:textId="77777777" w:rsidR="00A70D6C" w:rsidRPr="00A70D6C" w:rsidRDefault="00A70D6C" w:rsidP="00A70D6C">
            <w:pPr>
              <w:suppressAutoHyphens/>
              <w:autoSpaceDE w:val="0"/>
              <w:autoSpaceDN w:val="0"/>
              <w:adjustRightInd w:val="0"/>
              <w:spacing w:after="0" w:line="240" w:lineRule="auto"/>
              <w:ind w:left="0" w:firstLine="0"/>
              <w:rPr>
                <w:b/>
                <w:bCs/>
                <w:color w:val="auto"/>
                <w:lang w:val="mt-MT" w:eastAsia="en-GB"/>
              </w:rPr>
            </w:pPr>
            <w:r w:rsidRPr="00A70D6C">
              <w:rPr>
                <w:b/>
                <w:bCs/>
                <w:color w:val="auto"/>
                <w:lang w:val="mt-MT" w:eastAsia="en-GB"/>
              </w:rPr>
              <w:t>Italia</w:t>
            </w:r>
          </w:p>
          <w:p w14:paraId="32C07401" w14:textId="77777777" w:rsidR="00C329AA" w:rsidRPr="00C329AA" w:rsidRDefault="00C329AA" w:rsidP="00C329AA">
            <w:pPr>
              <w:suppressAutoHyphens/>
              <w:autoSpaceDE w:val="0"/>
              <w:autoSpaceDN w:val="0"/>
              <w:adjustRightInd w:val="0"/>
              <w:spacing w:after="0" w:line="240" w:lineRule="auto"/>
              <w:ind w:left="0" w:firstLine="0"/>
              <w:rPr>
                <w:color w:val="auto"/>
                <w:lang w:val="mt-MT" w:eastAsia="en-GB"/>
              </w:rPr>
            </w:pPr>
            <w:r w:rsidRPr="00C329AA">
              <w:rPr>
                <w:color w:val="auto"/>
                <w:lang w:val="mt-MT" w:eastAsia="en-GB"/>
              </w:rPr>
              <w:t>Amgen S.r.l.</w:t>
            </w:r>
          </w:p>
          <w:p w14:paraId="1C2F12BF" w14:textId="77777777" w:rsidR="00A70D6C" w:rsidRPr="00A70D6C" w:rsidRDefault="00C329AA" w:rsidP="00A70D6C">
            <w:pPr>
              <w:suppressAutoHyphens/>
              <w:autoSpaceDE w:val="0"/>
              <w:autoSpaceDN w:val="0"/>
              <w:adjustRightInd w:val="0"/>
              <w:spacing w:after="0" w:line="240" w:lineRule="auto"/>
              <w:ind w:left="0" w:firstLine="0"/>
              <w:rPr>
                <w:b/>
                <w:bCs/>
                <w:color w:val="auto"/>
                <w:lang w:val="mt-MT" w:eastAsia="en-GB"/>
              </w:rPr>
            </w:pPr>
            <w:r w:rsidRPr="00C329AA">
              <w:rPr>
                <w:color w:val="auto"/>
                <w:lang w:val="mt-MT" w:eastAsia="en-GB"/>
              </w:rPr>
              <w:t>Tel: +39 02 6241121</w:t>
            </w:r>
          </w:p>
        </w:tc>
        <w:tc>
          <w:tcPr>
            <w:tcW w:w="5378" w:type="dxa"/>
          </w:tcPr>
          <w:p w14:paraId="54EEEEB2" w14:textId="77777777" w:rsidR="00A70D6C" w:rsidRPr="00A70D6C" w:rsidRDefault="00A70D6C" w:rsidP="00A70D6C">
            <w:pPr>
              <w:suppressAutoHyphens/>
              <w:autoSpaceDE w:val="0"/>
              <w:autoSpaceDN w:val="0"/>
              <w:adjustRightInd w:val="0"/>
              <w:spacing w:after="0" w:line="240" w:lineRule="auto"/>
              <w:ind w:left="2152" w:firstLine="0"/>
              <w:rPr>
                <w:b/>
                <w:bCs/>
                <w:color w:val="auto"/>
                <w:lang w:val="mt-MT" w:eastAsia="en-GB"/>
              </w:rPr>
            </w:pPr>
          </w:p>
          <w:p w14:paraId="6D47FD2D" w14:textId="77777777" w:rsidR="00A70D6C" w:rsidRPr="00A70D6C" w:rsidRDefault="00A70D6C" w:rsidP="00A70D6C">
            <w:pPr>
              <w:suppressAutoHyphens/>
              <w:autoSpaceDE w:val="0"/>
              <w:autoSpaceDN w:val="0"/>
              <w:adjustRightInd w:val="0"/>
              <w:spacing w:after="0" w:line="240" w:lineRule="auto"/>
              <w:ind w:left="2152" w:firstLine="0"/>
              <w:rPr>
                <w:b/>
                <w:bCs/>
                <w:color w:val="auto"/>
                <w:lang w:val="mt-MT" w:eastAsia="en-GB"/>
              </w:rPr>
            </w:pPr>
            <w:r w:rsidRPr="00A70D6C">
              <w:rPr>
                <w:b/>
                <w:bCs/>
                <w:color w:val="auto"/>
                <w:lang w:val="mt-MT" w:eastAsia="en-GB"/>
              </w:rPr>
              <w:t>Suomi/Finland</w:t>
            </w:r>
          </w:p>
          <w:p w14:paraId="127DC441" w14:textId="0BCE8238" w:rsidR="00C329AA" w:rsidRPr="00C329AA" w:rsidRDefault="00C329AA" w:rsidP="00C329AA">
            <w:pPr>
              <w:suppressAutoHyphens/>
              <w:autoSpaceDE w:val="0"/>
              <w:autoSpaceDN w:val="0"/>
              <w:adjustRightInd w:val="0"/>
              <w:spacing w:after="0" w:line="240" w:lineRule="auto"/>
              <w:ind w:left="2152" w:firstLine="0"/>
              <w:rPr>
                <w:color w:val="auto"/>
                <w:lang w:val="mt-MT" w:eastAsia="en-GB"/>
              </w:rPr>
            </w:pPr>
            <w:r w:rsidRPr="00C329AA">
              <w:rPr>
                <w:color w:val="auto"/>
                <w:lang w:val="mt-MT" w:eastAsia="en-GB"/>
              </w:rPr>
              <w:t>Amgen AB, sivuliike Suomessa/Amgen AB, filial</w:t>
            </w:r>
            <w:r w:rsidR="00C97C5E" w:rsidRPr="00EE0FE2">
              <w:rPr>
                <w:color w:val="auto"/>
                <w:lang w:val="it-IT" w:eastAsia="en-GB"/>
              </w:rPr>
              <w:t xml:space="preserve"> </w:t>
            </w:r>
            <w:r w:rsidRPr="00C329AA">
              <w:rPr>
                <w:color w:val="auto"/>
                <w:lang w:val="mt-MT" w:eastAsia="en-GB"/>
              </w:rPr>
              <w:t>i Finland</w:t>
            </w:r>
          </w:p>
          <w:p w14:paraId="7DDEA3E3" w14:textId="77777777" w:rsidR="00A70D6C" w:rsidRPr="00A70D6C" w:rsidRDefault="00C329AA" w:rsidP="00A70D6C">
            <w:pPr>
              <w:suppressAutoHyphens/>
              <w:autoSpaceDE w:val="0"/>
              <w:autoSpaceDN w:val="0"/>
              <w:adjustRightInd w:val="0"/>
              <w:spacing w:after="0" w:line="240" w:lineRule="auto"/>
              <w:ind w:left="2152" w:firstLine="0"/>
              <w:rPr>
                <w:b/>
                <w:bCs/>
                <w:color w:val="auto"/>
                <w:lang w:val="mt-MT" w:eastAsia="en-GB"/>
              </w:rPr>
            </w:pPr>
            <w:r w:rsidRPr="00C329AA">
              <w:rPr>
                <w:color w:val="auto"/>
                <w:lang w:val="mt-MT" w:eastAsia="en-GB"/>
              </w:rPr>
              <w:t>Puh/Tel: +358 (0)9 54900500</w:t>
            </w:r>
          </w:p>
        </w:tc>
      </w:tr>
      <w:tr w:rsidR="00A70D6C" w:rsidRPr="00A70D6C" w14:paraId="0B2821B7" w14:textId="77777777" w:rsidTr="00A70D6C">
        <w:trPr>
          <w:cantSplit/>
        </w:trPr>
        <w:tc>
          <w:tcPr>
            <w:tcW w:w="0" w:type="auto"/>
          </w:tcPr>
          <w:p w14:paraId="444888D5" w14:textId="77777777" w:rsidR="00A70D6C" w:rsidRPr="00A70D6C" w:rsidRDefault="00A70D6C" w:rsidP="00A70D6C">
            <w:pPr>
              <w:suppressAutoHyphens/>
              <w:autoSpaceDE w:val="0"/>
              <w:autoSpaceDN w:val="0"/>
              <w:adjustRightInd w:val="0"/>
              <w:spacing w:after="0" w:line="240" w:lineRule="auto"/>
              <w:ind w:left="0" w:firstLine="0"/>
              <w:rPr>
                <w:b/>
                <w:bCs/>
                <w:color w:val="auto"/>
                <w:lang w:val="mt-MT" w:eastAsia="en-GB"/>
              </w:rPr>
            </w:pPr>
          </w:p>
          <w:p w14:paraId="2DB6298C" w14:textId="77777777" w:rsidR="00A70D6C" w:rsidRPr="00A70D6C" w:rsidRDefault="00A70D6C" w:rsidP="00A70D6C">
            <w:pPr>
              <w:suppressAutoHyphens/>
              <w:autoSpaceDE w:val="0"/>
              <w:autoSpaceDN w:val="0"/>
              <w:adjustRightInd w:val="0"/>
              <w:spacing w:after="0" w:line="240" w:lineRule="auto"/>
              <w:ind w:left="0" w:firstLine="0"/>
              <w:rPr>
                <w:b/>
                <w:bCs/>
                <w:color w:val="auto"/>
                <w:lang w:val="mt-MT" w:eastAsia="en-GB"/>
              </w:rPr>
            </w:pPr>
            <w:r w:rsidRPr="00A70D6C">
              <w:rPr>
                <w:b/>
                <w:bCs/>
                <w:color w:val="auto"/>
                <w:lang w:val="mt-MT" w:eastAsia="en-GB"/>
              </w:rPr>
              <w:t>Kύπρος</w:t>
            </w:r>
          </w:p>
          <w:p w14:paraId="4064B55A" w14:textId="77777777" w:rsidR="00C329AA" w:rsidRPr="00C329AA" w:rsidRDefault="00C329AA" w:rsidP="00C329AA">
            <w:pPr>
              <w:suppressAutoHyphens/>
              <w:autoSpaceDE w:val="0"/>
              <w:autoSpaceDN w:val="0"/>
              <w:adjustRightInd w:val="0"/>
              <w:spacing w:after="0" w:line="240" w:lineRule="auto"/>
              <w:ind w:left="0" w:firstLine="0"/>
              <w:rPr>
                <w:color w:val="auto"/>
                <w:lang w:val="mt-MT" w:eastAsia="en-GB"/>
              </w:rPr>
            </w:pPr>
            <w:r w:rsidRPr="00C329AA">
              <w:rPr>
                <w:color w:val="auto"/>
                <w:lang w:val="mt-MT" w:eastAsia="en-GB"/>
              </w:rPr>
              <w:t>C.A. Papaellinas Ltd</w:t>
            </w:r>
          </w:p>
          <w:p w14:paraId="728E2133" w14:textId="6CB010DD" w:rsidR="00A70D6C" w:rsidRPr="00A70D6C" w:rsidRDefault="00C329AA" w:rsidP="00C64E96">
            <w:pPr>
              <w:suppressAutoHyphens/>
              <w:autoSpaceDE w:val="0"/>
              <w:autoSpaceDN w:val="0"/>
              <w:adjustRightInd w:val="0"/>
              <w:spacing w:after="0" w:line="240" w:lineRule="auto"/>
              <w:ind w:left="0" w:firstLine="0"/>
              <w:rPr>
                <w:b/>
                <w:bCs/>
                <w:color w:val="auto"/>
                <w:lang w:val="mt-MT" w:eastAsia="en-GB"/>
              </w:rPr>
            </w:pPr>
            <w:r w:rsidRPr="00C329AA">
              <w:rPr>
                <w:color w:val="auto"/>
                <w:lang w:val="mt-MT" w:eastAsia="en-GB"/>
              </w:rPr>
              <w:t>Τηλ: +357 22741 741</w:t>
            </w:r>
          </w:p>
        </w:tc>
        <w:tc>
          <w:tcPr>
            <w:tcW w:w="5378" w:type="dxa"/>
          </w:tcPr>
          <w:p w14:paraId="519C83C2" w14:textId="77777777" w:rsidR="00A70D6C" w:rsidRPr="00A70D6C" w:rsidRDefault="00A70D6C" w:rsidP="00A70D6C">
            <w:pPr>
              <w:suppressAutoHyphens/>
              <w:autoSpaceDE w:val="0"/>
              <w:autoSpaceDN w:val="0"/>
              <w:adjustRightInd w:val="0"/>
              <w:spacing w:after="0" w:line="240" w:lineRule="auto"/>
              <w:ind w:left="2152" w:firstLine="0"/>
              <w:rPr>
                <w:b/>
                <w:bCs/>
                <w:color w:val="auto"/>
                <w:lang w:val="mt-MT" w:eastAsia="en-GB"/>
              </w:rPr>
            </w:pPr>
          </w:p>
          <w:p w14:paraId="7C778868" w14:textId="77777777" w:rsidR="00A70D6C" w:rsidRPr="00A70D6C" w:rsidRDefault="00A70D6C" w:rsidP="00A70D6C">
            <w:pPr>
              <w:suppressAutoHyphens/>
              <w:autoSpaceDE w:val="0"/>
              <w:autoSpaceDN w:val="0"/>
              <w:adjustRightInd w:val="0"/>
              <w:spacing w:after="0" w:line="240" w:lineRule="auto"/>
              <w:ind w:left="2152" w:firstLine="0"/>
              <w:rPr>
                <w:b/>
                <w:bCs/>
                <w:color w:val="auto"/>
                <w:lang w:val="mt-MT" w:eastAsia="en-GB"/>
              </w:rPr>
            </w:pPr>
            <w:r w:rsidRPr="00A70D6C">
              <w:rPr>
                <w:b/>
                <w:bCs/>
                <w:color w:val="auto"/>
                <w:lang w:val="mt-MT" w:eastAsia="en-GB"/>
              </w:rPr>
              <w:t>Sverige</w:t>
            </w:r>
          </w:p>
          <w:p w14:paraId="10B9034F" w14:textId="77777777" w:rsidR="00C329AA" w:rsidRPr="00C329AA" w:rsidRDefault="00C329AA" w:rsidP="00C329AA">
            <w:pPr>
              <w:suppressAutoHyphens/>
              <w:autoSpaceDE w:val="0"/>
              <w:autoSpaceDN w:val="0"/>
              <w:adjustRightInd w:val="0"/>
              <w:spacing w:after="0" w:line="240" w:lineRule="auto"/>
              <w:ind w:left="2152" w:firstLine="0"/>
              <w:rPr>
                <w:color w:val="auto"/>
                <w:lang w:val="mt-MT" w:eastAsia="en-GB"/>
              </w:rPr>
            </w:pPr>
            <w:r w:rsidRPr="00C329AA">
              <w:rPr>
                <w:color w:val="auto"/>
                <w:lang w:val="mt-MT" w:eastAsia="en-GB"/>
              </w:rPr>
              <w:t>Amgen AB</w:t>
            </w:r>
          </w:p>
          <w:p w14:paraId="24C09530" w14:textId="77777777" w:rsidR="00A70D6C" w:rsidRPr="00A70D6C" w:rsidRDefault="00C329AA" w:rsidP="00A70D6C">
            <w:pPr>
              <w:suppressAutoHyphens/>
              <w:autoSpaceDE w:val="0"/>
              <w:autoSpaceDN w:val="0"/>
              <w:adjustRightInd w:val="0"/>
              <w:spacing w:after="0" w:line="240" w:lineRule="auto"/>
              <w:ind w:left="2152" w:firstLine="0"/>
              <w:rPr>
                <w:b/>
                <w:bCs/>
                <w:color w:val="auto"/>
                <w:lang w:val="mt-MT" w:eastAsia="en-GB"/>
              </w:rPr>
            </w:pPr>
            <w:r w:rsidRPr="00C329AA">
              <w:rPr>
                <w:color w:val="auto"/>
                <w:lang w:val="mt-MT" w:eastAsia="en-GB"/>
              </w:rPr>
              <w:t>Tel: +46 (0)8 6951100</w:t>
            </w:r>
          </w:p>
        </w:tc>
      </w:tr>
      <w:tr w:rsidR="00A70D6C" w:rsidRPr="00A70D6C" w14:paraId="51D76A5E" w14:textId="77777777" w:rsidTr="00A70D6C">
        <w:trPr>
          <w:cantSplit/>
        </w:trPr>
        <w:tc>
          <w:tcPr>
            <w:tcW w:w="0" w:type="auto"/>
          </w:tcPr>
          <w:p w14:paraId="1DA223B4" w14:textId="77777777" w:rsidR="00C329AA" w:rsidRDefault="00C329AA" w:rsidP="00A70D6C">
            <w:pPr>
              <w:suppressAutoHyphens/>
              <w:autoSpaceDE w:val="0"/>
              <w:autoSpaceDN w:val="0"/>
              <w:adjustRightInd w:val="0"/>
              <w:spacing w:after="0" w:line="240" w:lineRule="auto"/>
              <w:ind w:left="0" w:firstLine="0"/>
              <w:rPr>
                <w:b/>
                <w:bCs/>
                <w:color w:val="auto"/>
                <w:lang w:val="mt-MT" w:eastAsia="en-GB"/>
              </w:rPr>
            </w:pPr>
          </w:p>
          <w:p w14:paraId="70406909" w14:textId="77777777" w:rsidR="00A70D6C" w:rsidRPr="00A70D6C" w:rsidRDefault="00A70D6C" w:rsidP="00A70D6C">
            <w:pPr>
              <w:suppressAutoHyphens/>
              <w:autoSpaceDE w:val="0"/>
              <w:autoSpaceDN w:val="0"/>
              <w:adjustRightInd w:val="0"/>
              <w:spacing w:after="0" w:line="240" w:lineRule="auto"/>
              <w:ind w:left="0" w:firstLine="0"/>
              <w:rPr>
                <w:b/>
                <w:bCs/>
                <w:color w:val="auto"/>
                <w:lang w:val="mt-MT" w:eastAsia="en-GB"/>
              </w:rPr>
            </w:pPr>
            <w:r w:rsidRPr="00A70D6C">
              <w:rPr>
                <w:b/>
                <w:bCs/>
                <w:color w:val="auto"/>
                <w:lang w:val="mt-MT" w:eastAsia="en-GB"/>
              </w:rPr>
              <w:t>Latvija</w:t>
            </w:r>
          </w:p>
          <w:p w14:paraId="720A6465" w14:textId="77777777" w:rsidR="00FD6BC2" w:rsidRPr="00FD6BC2" w:rsidRDefault="00FD6BC2" w:rsidP="00FD6BC2">
            <w:pPr>
              <w:suppressAutoHyphens/>
              <w:autoSpaceDE w:val="0"/>
              <w:autoSpaceDN w:val="0"/>
              <w:adjustRightInd w:val="0"/>
              <w:spacing w:after="0" w:line="240" w:lineRule="auto"/>
              <w:ind w:left="0" w:firstLine="0"/>
              <w:rPr>
                <w:color w:val="auto"/>
                <w:lang w:val="mt-MT" w:eastAsia="en-GB"/>
              </w:rPr>
            </w:pPr>
            <w:r w:rsidRPr="00FD6BC2">
              <w:rPr>
                <w:color w:val="auto"/>
                <w:lang w:val="mt-MT" w:eastAsia="en-GB"/>
              </w:rPr>
              <w:t>Amgen Switzerland AG Rīgas filiāle</w:t>
            </w:r>
          </w:p>
          <w:p w14:paraId="13BA66B6" w14:textId="77777777" w:rsidR="00A70D6C" w:rsidRPr="00A70D6C" w:rsidRDefault="00FD6BC2" w:rsidP="00A70D6C">
            <w:pPr>
              <w:suppressAutoHyphens/>
              <w:autoSpaceDE w:val="0"/>
              <w:autoSpaceDN w:val="0"/>
              <w:adjustRightInd w:val="0"/>
              <w:spacing w:after="0" w:line="240" w:lineRule="auto"/>
              <w:ind w:left="0" w:firstLine="0"/>
              <w:rPr>
                <w:b/>
                <w:bCs/>
                <w:color w:val="auto"/>
                <w:lang w:val="mt-MT" w:eastAsia="en-GB"/>
              </w:rPr>
            </w:pPr>
            <w:r w:rsidRPr="00FD6BC2">
              <w:rPr>
                <w:color w:val="auto"/>
                <w:lang w:val="mt-MT" w:eastAsia="en-GB"/>
              </w:rPr>
              <w:t>Tel: +371 257 25888</w:t>
            </w:r>
          </w:p>
        </w:tc>
        <w:tc>
          <w:tcPr>
            <w:tcW w:w="5378" w:type="dxa"/>
          </w:tcPr>
          <w:p w14:paraId="71031CDF" w14:textId="77777777" w:rsidR="00C329AA" w:rsidRDefault="00C329AA" w:rsidP="00A70D6C">
            <w:pPr>
              <w:suppressAutoHyphens/>
              <w:autoSpaceDE w:val="0"/>
              <w:autoSpaceDN w:val="0"/>
              <w:adjustRightInd w:val="0"/>
              <w:spacing w:after="0" w:line="240" w:lineRule="auto"/>
              <w:ind w:left="2152" w:firstLine="0"/>
              <w:rPr>
                <w:b/>
                <w:color w:val="auto"/>
                <w:sz w:val="24"/>
                <w:szCs w:val="24"/>
                <w:lang w:val="mt-MT" w:eastAsia="en-GB"/>
              </w:rPr>
            </w:pPr>
          </w:p>
          <w:p w14:paraId="1F777F2A" w14:textId="75223411" w:rsidR="00A70D6C" w:rsidRPr="001A0E11" w:rsidRDefault="00A70D6C" w:rsidP="00A70D6C">
            <w:pPr>
              <w:suppressAutoHyphens/>
              <w:autoSpaceDE w:val="0"/>
              <w:autoSpaceDN w:val="0"/>
              <w:adjustRightInd w:val="0"/>
              <w:spacing w:after="0" w:line="240" w:lineRule="auto"/>
              <w:ind w:left="2152" w:firstLine="0"/>
              <w:rPr>
                <w:b/>
                <w:bCs/>
                <w:color w:val="auto"/>
                <w:lang w:val="mt-MT" w:eastAsia="en-GB"/>
              </w:rPr>
            </w:pPr>
            <w:r w:rsidRPr="001979F9">
              <w:rPr>
                <w:b/>
                <w:bCs/>
                <w:color w:val="auto"/>
                <w:lang w:val="mt-MT" w:eastAsia="en-GB"/>
              </w:rPr>
              <w:t>United Kingdom</w:t>
            </w:r>
            <w:r w:rsidR="00D03D1C" w:rsidRPr="001979F9">
              <w:rPr>
                <w:b/>
                <w:bCs/>
                <w:color w:val="auto"/>
                <w:lang w:val="mt-MT" w:eastAsia="en-GB"/>
              </w:rPr>
              <w:t xml:space="preserve"> (No</w:t>
            </w:r>
            <w:r w:rsidR="001408E2" w:rsidRPr="001979F9">
              <w:rPr>
                <w:b/>
                <w:bCs/>
                <w:color w:val="auto"/>
                <w:lang w:val="mt-MT" w:eastAsia="en-GB"/>
              </w:rPr>
              <w:t>r</w:t>
            </w:r>
            <w:r w:rsidR="00D03D1C" w:rsidRPr="001979F9">
              <w:rPr>
                <w:b/>
                <w:bCs/>
                <w:color w:val="auto"/>
                <w:lang w:val="mt-MT" w:eastAsia="en-GB"/>
              </w:rPr>
              <w:t>thern Ireland)</w:t>
            </w:r>
          </w:p>
          <w:p w14:paraId="46563451" w14:textId="77777777" w:rsidR="00FD6BC2" w:rsidRPr="00DD428F" w:rsidRDefault="00FD6BC2" w:rsidP="00FD6BC2">
            <w:pPr>
              <w:suppressAutoHyphens/>
              <w:autoSpaceDE w:val="0"/>
              <w:autoSpaceDN w:val="0"/>
              <w:adjustRightInd w:val="0"/>
              <w:spacing w:after="0" w:line="240" w:lineRule="auto"/>
              <w:ind w:left="2152" w:firstLine="0"/>
              <w:rPr>
                <w:color w:val="auto"/>
                <w:lang w:val="mt-MT" w:eastAsia="en-GB"/>
              </w:rPr>
            </w:pPr>
            <w:r w:rsidRPr="00DD428F">
              <w:rPr>
                <w:color w:val="auto"/>
                <w:lang w:val="mt-MT" w:eastAsia="en-GB"/>
              </w:rPr>
              <w:t>Amgen Limited</w:t>
            </w:r>
          </w:p>
          <w:p w14:paraId="7421DAE5" w14:textId="77777777" w:rsidR="00A70D6C" w:rsidRPr="00A70D6C" w:rsidRDefault="00FD6BC2" w:rsidP="00A70D6C">
            <w:pPr>
              <w:suppressAutoHyphens/>
              <w:autoSpaceDE w:val="0"/>
              <w:autoSpaceDN w:val="0"/>
              <w:adjustRightInd w:val="0"/>
              <w:spacing w:after="0" w:line="240" w:lineRule="auto"/>
              <w:ind w:left="2152" w:firstLine="0"/>
              <w:rPr>
                <w:b/>
                <w:bCs/>
                <w:color w:val="auto"/>
                <w:lang w:val="mt-MT" w:eastAsia="en-GB"/>
              </w:rPr>
            </w:pPr>
            <w:r w:rsidRPr="00DD428F">
              <w:rPr>
                <w:color w:val="auto"/>
                <w:lang w:val="mt-MT" w:eastAsia="en-GB"/>
              </w:rPr>
              <w:t>Tel: +44 (0)1223 420305</w:t>
            </w:r>
          </w:p>
        </w:tc>
      </w:tr>
    </w:tbl>
    <w:p w14:paraId="501876A2" w14:textId="77777777" w:rsidR="00A70D6C" w:rsidRPr="00D1096C" w:rsidRDefault="00A70D6C" w:rsidP="00F63841">
      <w:pPr>
        <w:spacing w:after="0" w:line="240" w:lineRule="auto"/>
        <w:ind w:left="0" w:firstLine="0"/>
        <w:rPr>
          <w:color w:val="auto"/>
          <w:lang w:val="en-US"/>
        </w:rPr>
      </w:pPr>
    </w:p>
    <w:p w14:paraId="558C0090" w14:textId="795DA00A" w:rsidR="00FB24C0" w:rsidRPr="00443040" w:rsidRDefault="00FB24C0" w:rsidP="00EF0812">
      <w:pPr>
        <w:keepNext/>
        <w:keepLines/>
        <w:spacing w:after="0" w:line="240" w:lineRule="auto"/>
        <w:ind w:left="0" w:firstLine="0"/>
        <w:rPr>
          <w:b/>
          <w:color w:val="auto"/>
          <w:lang w:val="es-ES"/>
        </w:rPr>
      </w:pPr>
      <w:r w:rsidRPr="00443040">
        <w:rPr>
          <w:b/>
          <w:color w:val="auto"/>
          <w:lang w:val="es-ES"/>
        </w:rPr>
        <w:t>Fecha de la última revisión de este prospecto</w:t>
      </w:r>
      <w:r w:rsidR="00A914FC">
        <w:rPr>
          <w:b/>
          <w:color w:val="auto"/>
          <w:lang w:val="es-ES"/>
        </w:rPr>
        <w:t>:</w:t>
      </w:r>
    </w:p>
    <w:p w14:paraId="76FE7ABD" w14:textId="77777777" w:rsidR="00FB24C0" w:rsidRPr="00443040" w:rsidRDefault="00FB24C0" w:rsidP="00EF0812">
      <w:pPr>
        <w:keepNext/>
        <w:keepLines/>
        <w:spacing w:after="0" w:line="240" w:lineRule="auto"/>
        <w:ind w:left="0" w:firstLine="0"/>
        <w:rPr>
          <w:b/>
          <w:color w:val="auto"/>
          <w:lang w:val="es-ES"/>
        </w:rPr>
      </w:pPr>
    </w:p>
    <w:p w14:paraId="1BB78A1E" w14:textId="77777777" w:rsidR="00FB24C0" w:rsidRPr="000666C3" w:rsidRDefault="00FB24C0" w:rsidP="00EF0812">
      <w:pPr>
        <w:keepNext/>
        <w:keepLines/>
        <w:spacing w:after="0" w:line="240" w:lineRule="auto"/>
        <w:ind w:left="0" w:firstLine="0"/>
        <w:rPr>
          <w:b/>
          <w:color w:val="auto"/>
          <w:lang w:val="es-ES"/>
        </w:rPr>
      </w:pPr>
      <w:r w:rsidRPr="000666C3">
        <w:rPr>
          <w:b/>
          <w:color w:val="auto"/>
          <w:lang w:val="es-ES"/>
        </w:rPr>
        <w:t>Otras fuentes de información</w:t>
      </w:r>
    </w:p>
    <w:p w14:paraId="6B3A5246" w14:textId="77777777" w:rsidR="00FB24C0" w:rsidRPr="00443040" w:rsidRDefault="00FB24C0" w:rsidP="00EF0812">
      <w:pPr>
        <w:keepNext/>
        <w:keepLines/>
        <w:spacing w:after="0" w:line="240" w:lineRule="auto"/>
        <w:ind w:left="0" w:firstLine="0"/>
        <w:rPr>
          <w:b/>
          <w:color w:val="auto"/>
          <w:lang w:val="es-ES"/>
        </w:rPr>
      </w:pPr>
    </w:p>
    <w:p w14:paraId="37733C2B" w14:textId="1B81123F" w:rsidR="00935274" w:rsidRDefault="00FB24C0" w:rsidP="00440B7C">
      <w:pPr>
        <w:spacing w:after="0" w:line="240" w:lineRule="auto"/>
        <w:ind w:left="0" w:firstLine="0"/>
        <w:rPr>
          <w:color w:val="auto"/>
          <w:lang w:val="es-ES"/>
        </w:rPr>
      </w:pPr>
      <w:r w:rsidRPr="00443040">
        <w:rPr>
          <w:color w:val="auto"/>
          <w:lang w:val="es-ES"/>
        </w:rPr>
        <w:t>La información detallada de este medicamento está disponible en la página web de la Agencia Europea de Medicamentos (EMA)</w:t>
      </w:r>
      <w:r w:rsidR="00EC3671">
        <w:rPr>
          <w:color w:val="auto"/>
          <w:lang w:val="es-ES"/>
        </w:rPr>
        <w:t xml:space="preserve"> </w:t>
      </w:r>
      <w:r w:rsidR="00EC3671">
        <w:fldChar w:fldCharType="begin"/>
      </w:r>
      <w:r w:rsidR="00EC3671" w:rsidRPr="00CC02A8">
        <w:rPr>
          <w:lang w:val="it-IT"/>
          <w:rPrChange w:id="79" w:author="Author">
            <w:rPr/>
          </w:rPrChange>
        </w:rPr>
        <w:instrText>HYPERLINK "http://www.ema.europa.eu/"</w:instrText>
      </w:r>
      <w:r w:rsidR="00EC3671">
        <w:fldChar w:fldCharType="separate"/>
      </w:r>
      <w:r w:rsidR="00EC3671">
        <w:rPr>
          <w:rStyle w:val="Hyperlink"/>
          <w:noProof/>
          <w:szCs w:val="20"/>
          <w:lang w:val="es-ES" w:eastAsia="es-ES" w:bidi="es-ES"/>
        </w:rPr>
        <w:t>http://www.ema.europa.eu</w:t>
      </w:r>
      <w:r w:rsidR="00EC3671">
        <w:fldChar w:fldCharType="end"/>
      </w:r>
      <w:r w:rsidR="00FC2393">
        <w:rPr>
          <w:color w:val="auto"/>
          <w:lang w:val="es-ES"/>
        </w:rPr>
        <w:t>.</w:t>
      </w:r>
    </w:p>
    <w:p w14:paraId="41A5C956" w14:textId="1029C8E7" w:rsidR="00FC0E82" w:rsidRDefault="00FC0E82" w:rsidP="00440B7C">
      <w:pPr>
        <w:spacing w:after="0" w:line="240" w:lineRule="auto"/>
        <w:ind w:left="0" w:firstLine="0"/>
        <w:rPr>
          <w:color w:val="auto"/>
          <w:lang w:val="es-ES"/>
        </w:rPr>
      </w:pPr>
    </w:p>
    <w:p w14:paraId="2E0D0589" w14:textId="449A146A" w:rsidR="00FC0E82" w:rsidRDefault="00FC0E82" w:rsidP="00440B7C">
      <w:pPr>
        <w:spacing w:after="0" w:line="240" w:lineRule="auto"/>
        <w:ind w:left="0" w:firstLine="0"/>
        <w:rPr>
          <w:color w:val="auto"/>
          <w:lang w:val="es-ES"/>
        </w:rPr>
      </w:pPr>
    </w:p>
    <w:p w14:paraId="660DF076" w14:textId="3FCEC36C" w:rsidR="00FC0E82" w:rsidRDefault="00FC0E82" w:rsidP="00440B7C">
      <w:pPr>
        <w:spacing w:after="0" w:line="240" w:lineRule="auto"/>
        <w:ind w:left="0" w:firstLine="0"/>
        <w:rPr>
          <w:color w:val="auto"/>
          <w:lang w:val="es-ES"/>
        </w:rPr>
      </w:pPr>
    </w:p>
    <w:p w14:paraId="7A2BD6EE" w14:textId="7EE15A59" w:rsidR="00FC0E82" w:rsidRDefault="00FC0E82" w:rsidP="00440B7C">
      <w:pPr>
        <w:spacing w:after="0" w:line="240" w:lineRule="auto"/>
        <w:ind w:left="0" w:firstLine="0"/>
        <w:rPr>
          <w:color w:val="auto"/>
          <w:lang w:val="es-ES"/>
        </w:rPr>
      </w:pPr>
    </w:p>
    <w:p w14:paraId="26540C22" w14:textId="01623B50" w:rsidR="00FC0E82" w:rsidRDefault="00FC0E82" w:rsidP="00440B7C">
      <w:pPr>
        <w:spacing w:after="0" w:line="240" w:lineRule="auto"/>
        <w:ind w:left="0" w:firstLine="0"/>
        <w:rPr>
          <w:color w:val="auto"/>
          <w:lang w:val="es-ES"/>
        </w:rPr>
      </w:pPr>
    </w:p>
    <w:p w14:paraId="308A2010" w14:textId="3DFCE1E7" w:rsidR="00FC0E82" w:rsidRDefault="00FC0E82" w:rsidP="00440B7C">
      <w:pPr>
        <w:spacing w:after="0" w:line="240" w:lineRule="auto"/>
        <w:ind w:left="0" w:firstLine="0"/>
        <w:rPr>
          <w:color w:val="auto"/>
          <w:lang w:val="es-ES"/>
        </w:rPr>
      </w:pPr>
    </w:p>
    <w:p w14:paraId="297322F7" w14:textId="411116D3" w:rsidR="00FC0E82" w:rsidRDefault="00FC0E82" w:rsidP="00440B7C">
      <w:pPr>
        <w:spacing w:after="0" w:line="240" w:lineRule="auto"/>
        <w:ind w:left="0" w:firstLine="0"/>
        <w:rPr>
          <w:color w:val="auto"/>
          <w:lang w:val="es-ES"/>
        </w:rPr>
      </w:pPr>
    </w:p>
    <w:p w14:paraId="47A5863A" w14:textId="341B364A" w:rsidR="00FC0E82" w:rsidRDefault="00FC0E82" w:rsidP="00440B7C">
      <w:pPr>
        <w:spacing w:after="0" w:line="240" w:lineRule="auto"/>
        <w:ind w:left="0" w:firstLine="0"/>
        <w:rPr>
          <w:color w:val="auto"/>
          <w:lang w:val="es-ES"/>
        </w:rPr>
      </w:pPr>
    </w:p>
    <w:p w14:paraId="12FE78D9" w14:textId="476EC6A4" w:rsidR="00FC0E82" w:rsidRDefault="00FC0E82" w:rsidP="00440B7C">
      <w:pPr>
        <w:spacing w:after="0" w:line="240" w:lineRule="auto"/>
        <w:ind w:left="0" w:firstLine="0"/>
        <w:rPr>
          <w:color w:val="auto"/>
          <w:lang w:val="es-ES"/>
        </w:rPr>
      </w:pPr>
    </w:p>
    <w:p w14:paraId="7FC7690D" w14:textId="20161202" w:rsidR="00FC0E82" w:rsidRDefault="00FC0E82" w:rsidP="00440B7C">
      <w:pPr>
        <w:spacing w:after="0" w:line="240" w:lineRule="auto"/>
        <w:ind w:left="0" w:firstLine="0"/>
        <w:rPr>
          <w:color w:val="auto"/>
          <w:lang w:val="es-ES"/>
        </w:rPr>
      </w:pPr>
    </w:p>
    <w:p w14:paraId="09BD9AFD" w14:textId="49EFA198" w:rsidR="00FC0E82" w:rsidRDefault="00FC0E82" w:rsidP="00440B7C">
      <w:pPr>
        <w:spacing w:after="0" w:line="240" w:lineRule="auto"/>
        <w:ind w:left="0" w:firstLine="0"/>
        <w:rPr>
          <w:color w:val="auto"/>
          <w:lang w:val="es-ES"/>
        </w:rPr>
      </w:pPr>
    </w:p>
    <w:p w14:paraId="09171B37" w14:textId="567BBC09" w:rsidR="00FC0E82" w:rsidRDefault="00FC0E82" w:rsidP="00440B7C">
      <w:pPr>
        <w:spacing w:after="0" w:line="240" w:lineRule="auto"/>
        <w:ind w:left="0" w:firstLine="0"/>
        <w:rPr>
          <w:color w:val="auto"/>
          <w:lang w:val="es-ES"/>
        </w:rPr>
      </w:pPr>
    </w:p>
    <w:p w14:paraId="63E981CE" w14:textId="1025A231" w:rsidR="00FC0E82" w:rsidRDefault="00FC0E82" w:rsidP="00440B7C">
      <w:pPr>
        <w:spacing w:after="0" w:line="240" w:lineRule="auto"/>
        <w:ind w:left="0" w:firstLine="0"/>
        <w:rPr>
          <w:color w:val="auto"/>
          <w:lang w:val="es-ES"/>
        </w:rPr>
      </w:pPr>
    </w:p>
    <w:p w14:paraId="0ECBE9ED" w14:textId="3FD9DE72" w:rsidR="00FC0E82" w:rsidRDefault="00FC0E82" w:rsidP="00440B7C">
      <w:pPr>
        <w:spacing w:after="0" w:line="240" w:lineRule="auto"/>
        <w:ind w:left="0" w:firstLine="0"/>
        <w:rPr>
          <w:color w:val="auto"/>
          <w:lang w:val="es-ES"/>
        </w:rPr>
      </w:pPr>
    </w:p>
    <w:p w14:paraId="2437A1D8" w14:textId="05489A90" w:rsidR="00FC0E82" w:rsidRDefault="00FC0E82" w:rsidP="00440B7C">
      <w:pPr>
        <w:spacing w:after="0" w:line="240" w:lineRule="auto"/>
        <w:ind w:left="0" w:firstLine="0"/>
        <w:rPr>
          <w:color w:val="auto"/>
          <w:lang w:val="es-ES"/>
        </w:rPr>
      </w:pPr>
    </w:p>
    <w:p w14:paraId="4D5E378A" w14:textId="32858FF0" w:rsidR="00FC0E82" w:rsidRDefault="00FC0E82" w:rsidP="00440B7C">
      <w:pPr>
        <w:spacing w:after="0" w:line="240" w:lineRule="auto"/>
        <w:ind w:left="0" w:firstLine="0"/>
        <w:rPr>
          <w:color w:val="auto"/>
          <w:lang w:val="es-ES"/>
        </w:rPr>
      </w:pPr>
    </w:p>
    <w:p w14:paraId="48EFA5C1" w14:textId="2CB6C677" w:rsidR="00FC0E82" w:rsidRDefault="00FC0E82" w:rsidP="00440B7C">
      <w:pPr>
        <w:spacing w:after="0" w:line="240" w:lineRule="auto"/>
        <w:ind w:left="0" w:firstLine="0"/>
        <w:rPr>
          <w:color w:val="auto"/>
          <w:lang w:val="es-ES"/>
        </w:rPr>
      </w:pPr>
    </w:p>
    <w:p w14:paraId="7AE8858A" w14:textId="4557F5D2" w:rsidR="00FC0E82" w:rsidRDefault="00FC0E82" w:rsidP="00440B7C">
      <w:pPr>
        <w:spacing w:after="0" w:line="240" w:lineRule="auto"/>
        <w:ind w:left="0" w:firstLine="0"/>
        <w:rPr>
          <w:color w:val="auto"/>
          <w:lang w:val="es-ES"/>
        </w:rPr>
      </w:pPr>
    </w:p>
    <w:p w14:paraId="5A7E4856" w14:textId="39A9FD49" w:rsidR="00FC0E82" w:rsidRDefault="00FC0E82" w:rsidP="00440B7C">
      <w:pPr>
        <w:spacing w:after="0" w:line="240" w:lineRule="auto"/>
        <w:ind w:left="0" w:firstLine="0"/>
        <w:rPr>
          <w:color w:val="auto"/>
          <w:lang w:val="es-ES"/>
        </w:rPr>
      </w:pPr>
    </w:p>
    <w:p w14:paraId="49669E87" w14:textId="00DC860D" w:rsidR="00FC0E82" w:rsidRDefault="00FC0E82" w:rsidP="00440B7C">
      <w:pPr>
        <w:spacing w:after="0" w:line="240" w:lineRule="auto"/>
        <w:ind w:left="0" w:firstLine="0"/>
        <w:rPr>
          <w:color w:val="auto"/>
          <w:lang w:val="es-ES"/>
        </w:rPr>
      </w:pPr>
    </w:p>
    <w:p w14:paraId="270F4E81" w14:textId="11438408" w:rsidR="00FC0E82" w:rsidRDefault="00FC0E82" w:rsidP="00440B7C">
      <w:pPr>
        <w:spacing w:after="0" w:line="240" w:lineRule="auto"/>
        <w:ind w:left="0" w:firstLine="0"/>
        <w:rPr>
          <w:color w:val="auto"/>
          <w:lang w:val="es-ES"/>
        </w:rPr>
      </w:pPr>
    </w:p>
    <w:p w14:paraId="662CEBBA" w14:textId="645C2555" w:rsidR="00FC0E82" w:rsidRDefault="00FC0E82" w:rsidP="00440B7C">
      <w:pPr>
        <w:spacing w:after="0" w:line="240" w:lineRule="auto"/>
        <w:ind w:left="0" w:firstLine="0"/>
        <w:rPr>
          <w:color w:val="auto"/>
          <w:lang w:val="es-ES"/>
        </w:rPr>
      </w:pPr>
    </w:p>
    <w:p w14:paraId="3E111F78" w14:textId="31F12685" w:rsidR="00FC0E82" w:rsidRDefault="00FC0E82" w:rsidP="00440B7C">
      <w:pPr>
        <w:spacing w:after="0" w:line="240" w:lineRule="auto"/>
        <w:ind w:left="0" w:firstLine="0"/>
        <w:rPr>
          <w:color w:val="auto"/>
          <w:lang w:val="es-ES"/>
        </w:rPr>
      </w:pPr>
    </w:p>
    <w:sectPr w:rsidR="00FC0E82" w:rsidSect="00051676">
      <w:footerReference w:type="even" r:id="rId9"/>
      <w:footerReference w:type="default" r:id="rId10"/>
      <w:footerReference w:type="first" r:id="rId11"/>
      <w:pgSz w:w="11908"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C6481" w14:textId="77777777" w:rsidR="00613CAC" w:rsidRDefault="00613CAC">
      <w:pPr>
        <w:spacing w:after="0" w:line="240" w:lineRule="auto"/>
      </w:pPr>
      <w:r>
        <w:separator/>
      </w:r>
    </w:p>
  </w:endnote>
  <w:endnote w:type="continuationSeparator" w:id="0">
    <w:p w14:paraId="24158BCA" w14:textId="77777777" w:rsidR="00613CAC" w:rsidRDefault="00613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83A0" w14:textId="77777777" w:rsidR="00CA437C" w:rsidRDefault="00CA437C">
    <w:pPr>
      <w:spacing w:after="0" w:line="259" w:lineRule="auto"/>
      <w:ind w:left="2" w:firstLine="0"/>
      <w:jc w:val="center"/>
      <w:rPr>
        <w:rFonts w:ascii="Arial" w:eastAsia="Arial" w:hAnsi="Arial" w:cs="Arial"/>
        <w:sz w:val="16"/>
      </w:rP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p w14:paraId="654D66D8" w14:textId="77777777" w:rsidR="00CA437C" w:rsidRDefault="00CA437C">
    <w:pPr>
      <w:spacing w:after="0" w:line="259" w:lineRule="auto"/>
      <w:ind w:left="2"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4C48" w14:textId="671D914C" w:rsidR="00CA437C" w:rsidRPr="00A54475" w:rsidRDefault="00CA437C">
    <w:pPr>
      <w:spacing w:after="0" w:line="259" w:lineRule="auto"/>
      <w:ind w:left="2" w:firstLine="0"/>
      <w:jc w:val="center"/>
      <w:rPr>
        <w:rFonts w:ascii="Arial" w:hAnsi="Arial" w:cs="Arial"/>
        <w:sz w:val="16"/>
        <w:szCs w:val="16"/>
      </w:rPr>
    </w:pPr>
    <w:r w:rsidRPr="00A54475">
      <w:rPr>
        <w:rFonts w:ascii="Arial" w:hAnsi="Arial" w:cs="Arial"/>
        <w:sz w:val="16"/>
        <w:szCs w:val="16"/>
      </w:rPr>
      <w:fldChar w:fldCharType="begin"/>
    </w:r>
    <w:r w:rsidRPr="00A54475">
      <w:rPr>
        <w:rFonts w:ascii="Arial" w:hAnsi="Arial" w:cs="Arial"/>
        <w:sz w:val="16"/>
        <w:szCs w:val="16"/>
      </w:rPr>
      <w:instrText xml:space="preserve"> PAGE   \* MERGEFORMAT </w:instrText>
    </w:r>
    <w:r w:rsidRPr="00A54475">
      <w:rPr>
        <w:rFonts w:ascii="Arial" w:hAnsi="Arial" w:cs="Arial"/>
        <w:sz w:val="16"/>
        <w:szCs w:val="16"/>
      </w:rPr>
      <w:fldChar w:fldCharType="separate"/>
    </w:r>
    <w:r w:rsidR="00767C67" w:rsidRPr="00767C67">
      <w:rPr>
        <w:rFonts w:ascii="Arial" w:eastAsia="Arial" w:hAnsi="Arial" w:cs="Arial"/>
        <w:noProof/>
        <w:sz w:val="16"/>
        <w:szCs w:val="16"/>
      </w:rPr>
      <w:t>78</w:t>
    </w:r>
    <w:r w:rsidRPr="00A54475">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DCBC" w14:textId="77777777" w:rsidR="00CA437C" w:rsidRDefault="00CA437C">
    <w:pPr>
      <w:spacing w:after="0" w:line="259" w:lineRule="auto"/>
      <w:ind w:left="2" w:firstLine="0"/>
      <w:jc w:val="center"/>
      <w:rPr>
        <w:rFonts w:ascii="Arial" w:eastAsia="Arial" w:hAnsi="Arial" w:cs="Arial"/>
        <w:sz w:val="16"/>
      </w:rP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p w14:paraId="7B7AF235" w14:textId="77777777" w:rsidR="00CA437C" w:rsidRDefault="00CA437C">
    <w:pPr>
      <w:spacing w:after="0" w:line="259" w:lineRule="auto"/>
      <w:ind w:left="2"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F355C" w14:textId="77777777" w:rsidR="00613CAC" w:rsidRDefault="00613CAC">
      <w:pPr>
        <w:spacing w:after="0" w:line="240" w:lineRule="auto"/>
      </w:pPr>
      <w:r>
        <w:separator/>
      </w:r>
    </w:p>
  </w:footnote>
  <w:footnote w:type="continuationSeparator" w:id="0">
    <w:p w14:paraId="15A1B436" w14:textId="77777777" w:rsidR="00613CAC" w:rsidRDefault="00613C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DCFD6C"/>
    <w:multiLevelType w:val="hybridMultilevel"/>
    <w:tmpl w:val="EF74C1EE"/>
    <w:lvl w:ilvl="0" w:tplc="FFFFFFFF">
      <w:start w:val="1"/>
      <w:numFmt w:val="bullet"/>
      <w:lvlText w:val="•"/>
      <w:lvlJc w:val="left"/>
    </w:lvl>
    <w:lvl w:ilvl="1" w:tplc="FFFFFFFF">
      <w:numFmt w:val="decimal"/>
      <w:lvlText w:val=""/>
      <w:lvlJc w:val="left"/>
    </w:lvl>
    <w:lvl w:ilvl="2" w:tplc="08505AFA">
      <w:start w:val="1"/>
      <w:numFmt w:val="bullet"/>
      <w:lvlText w:val="•"/>
      <w:lvlJc w:val="left"/>
      <w:rPr>
        <w:rFonts w:hint="default"/>
      </w:rPr>
    </w:lvl>
    <w:lvl w:ilvl="3" w:tplc="2AB6DB42">
      <w:numFmt w:val="decimal"/>
      <w:lvlText w:val="%4"/>
      <w:lvlJc w:val="left"/>
      <w:pPr>
        <w:ind w:left="1594" w:hanging="567"/>
      </w:pPr>
      <w:rPr>
        <w:rFonts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D7EDC"/>
    <w:multiLevelType w:val="hybridMultilevel"/>
    <w:tmpl w:val="1CBCD48E"/>
    <w:lvl w:ilvl="0" w:tplc="0C0A0001">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C64CEF8">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B2C126">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BABAE2">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BE2C06">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76E93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BC1E5C">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1CBA4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A4EE5A">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8F471A"/>
    <w:multiLevelType w:val="hybridMultilevel"/>
    <w:tmpl w:val="3A7E7A58"/>
    <w:lvl w:ilvl="0" w:tplc="9FBEB974">
      <w:start w:val="2"/>
      <w:numFmt w:val="bullet"/>
      <w:lvlText w:val="-"/>
      <w:lvlJc w:val="left"/>
      <w:pPr>
        <w:ind w:left="562"/>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53CD43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7EF4D8">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F6154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4A55E4">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B4B82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3C7368">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E4FDBA">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B0584E">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962E40"/>
    <w:multiLevelType w:val="hybridMultilevel"/>
    <w:tmpl w:val="0464C804"/>
    <w:lvl w:ilvl="0" w:tplc="CCA6B094">
      <w:start w:val="1"/>
      <w:numFmt w:val="bullet"/>
      <w:lvlText w:val="•"/>
      <w:lvlJc w:val="left"/>
      <w:pPr>
        <w:ind w:left="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9E04A2">
      <w:start w:val="1"/>
      <w:numFmt w:val="bullet"/>
      <w:lvlText w:val="o"/>
      <w:lvlJc w:val="left"/>
      <w:pPr>
        <w:ind w:left="1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641080">
      <w:start w:val="1"/>
      <w:numFmt w:val="bullet"/>
      <w:lvlText w:val="▪"/>
      <w:lvlJc w:val="left"/>
      <w:pPr>
        <w:ind w:left="21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341690">
      <w:start w:val="1"/>
      <w:numFmt w:val="bullet"/>
      <w:lvlText w:val="•"/>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7E97CC">
      <w:start w:val="1"/>
      <w:numFmt w:val="bullet"/>
      <w:lvlText w:val="o"/>
      <w:lvlJc w:val="left"/>
      <w:pPr>
        <w:ind w:left="3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244618">
      <w:start w:val="1"/>
      <w:numFmt w:val="bullet"/>
      <w:lvlText w:val="▪"/>
      <w:lvlJc w:val="left"/>
      <w:pPr>
        <w:ind w:left="43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B46B86">
      <w:start w:val="1"/>
      <w:numFmt w:val="bullet"/>
      <w:lvlText w:val="•"/>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D28674">
      <w:start w:val="1"/>
      <w:numFmt w:val="bullet"/>
      <w:lvlText w:val="o"/>
      <w:lvlJc w:val="left"/>
      <w:pPr>
        <w:ind w:left="57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1E6D60">
      <w:start w:val="1"/>
      <w:numFmt w:val="bullet"/>
      <w:lvlText w:val="▪"/>
      <w:lvlJc w:val="left"/>
      <w:pPr>
        <w:ind w:left="6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7951D0"/>
    <w:multiLevelType w:val="hybridMultilevel"/>
    <w:tmpl w:val="9EFA4B58"/>
    <w:lvl w:ilvl="0" w:tplc="C310CD0C">
      <w:start w:val="1"/>
      <w:numFmt w:val="lowerLetter"/>
      <w:lvlText w:val="%1"/>
      <w:lvlJc w:val="left"/>
      <w:pPr>
        <w:ind w:left="105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C7580EE2">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367A3FB6">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74B85AE6">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A88EBA9A">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5B681116">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D2FA7B42">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207C9C02">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6E5A03A2">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5" w15:restartNumberingAfterBreak="0">
    <w:nsid w:val="0841597B"/>
    <w:multiLevelType w:val="hybridMultilevel"/>
    <w:tmpl w:val="185C0004"/>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454CFD"/>
    <w:multiLevelType w:val="hybridMultilevel"/>
    <w:tmpl w:val="96442416"/>
    <w:lvl w:ilvl="0" w:tplc="D8049978">
      <w:start w:val="4"/>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0F52FFD0">
      <w:start w:val="1"/>
      <w:numFmt w:val="bullet"/>
      <w:lvlText w:val="•"/>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3AD48A">
      <w:start w:val="1"/>
      <w:numFmt w:val="bullet"/>
      <w:lvlText w:val="▪"/>
      <w:lvlJc w:val="left"/>
      <w:pPr>
        <w:ind w:left="1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0435EC">
      <w:start w:val="1"/>
      <w:numFmt w:val="bullet"/>
      <w:lvlText w:val="•"/>
      <w:lvlJc w:val="left"/>
      <w:pPr>
        <w:ind w:left="2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929886">
      <w:start w:val="1"/>
      <w:numFmt w:val="bullet"/>
      <w:lvlText w:val="o"/>
      <w:lvlJc w:val="left"/>
      <w:pPr>
        <w:ind w:left="2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683D92">
      <w:start w:val="1"/>
      <w:numFmt w:val="bullet"/>
      <w:lvlText w:val="▪"/>
      <w:lvlJc w:val="left"/>
      <w:pPr>
        <w:ind w:left="3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2E76C4">
      <w:start w:val="1"/>
      <w:numFmt w:val="bullet"/>
      <w:lvlText w:val="•"/>
      <w:lvlJc w:val="left"/>
      <w:pPr>
        <w:ind w:left="4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D45888">
      <w:start w:val="1"/>
      <w:numFmt w:val="bullet"/>
      <w:lvlText w:val="o"/>
      <w:lvlJc w:val="left"/>
      <w:pPr>
        <w:ind w:left="5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E812BC">
      <w:start w:val="1"/>
      <w:numFmt w:val="bullet"/>
      <w:lvlText w:val="▪"/>
      <w:lvlJc w:val="left"/>
      <w:pPr>
        <w:ind w:left="5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474AA0"/>
    <w:multiLevelType w:val="hybridMultilevel"/>
    <w:tmpl w:val="3A82E002"/>
    <w:lvl w:ilvl="0" w:tplc="9FBEB974">
      <w:start w:val="2"/>
      <w:numFmt w:val="bullet"/>
      <w:lvlText w:val="-"/>
      <w:lvlJc w:val="left"/>
      <w:pPr>
        <w:ind w:left="568"/>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0F6A15A">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F26176">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C25688">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AE65C8">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765682">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62C0D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38AD5E">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921718">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09140D8"/>
    <w:multiLevelType w:val="hybridMultilevel"/>
    <w:tmpl w:val="A498E8A8"/>
    <w:lvl w:ilvl="0" w:tplc="0C0A0001">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0F6A15A">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F26176">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C25688">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AE65C8">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765682">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62C0D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38AD5E">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921718">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5FB030F"/>
    <w:multiLevelType w:val="hybridMultilevel"/>
    <w:tmpl w:val="0EAA0388"/>
    <w:lvl w:ilvl="0" w:tplc="9FBEB974">
      <w:start w:val="2"/>
      <w:numFmt w:val="bullet"/>
      <w:lvlText w:val="-"/>
      <w:lvlJc w:val="left"/>
      <w:pPr>
        <w:ind w:left="927" w:hanging="360"/>
      </w:pPr>
      <w:rPr>
        <w:rFonts w:ascii="Times New Roman" w:eastAsia="Times New Roman" w:hAnsi="Times New Roman" w:cs="Times New Roman"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11" w15:restartNumberingAfterBreak="0">
    <w:nsid w:val="16305C36"/>
    <w:multiLevelType w:val="hybridMultilevel"/>
    <w:tmpl w:val="795A01B4"/>
    <w:lvl w:ilvl="0" w:tplc="0C0A0001">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0F6A15A">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F26176">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C25688">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AE65C8">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765682">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62C0D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38AD5E">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921718">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4875CA"/>
    <w:multiLevelType w:val="hybridMultilevel"/>
    <w:tmpl w:val="36C6BE68"/>
    <w:lvl w:ilvl="0" w:tplc="0C0A0001">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464CE6A">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5CA90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64DE60">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26AF06">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DEC78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CCFE8C">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9AA1B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84EF2C">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CAA60E3"/>
    <w:multiLevelType w:val="hybridMultilevel"/>
    <w:tmpl w:val="4EF6BB42"/>
    <w:lvl w:ilvl="0" w:tplc="0C0A0001">
      <w:start w:val="1"/>
      <w:numFmt w:val="bullet"/>
      <w:lvlText w:val=""/>
      <w:lvlJc w:val="left"/>
      <w:pPr>
        <w:ind w:left="60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0CCF0F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5CA61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7CFD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6A1F2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DEEF2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56D6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C4EFB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86407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E350FBB"/>
    <w:multiLevelType w:val="hybridMultilevel"/>
    <w:tmpl w:val="7DBAE8FC"/>
    <w:lvl w:ilvl="0" w:tplc="C5A4DB1E">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98AD6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540BC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9CFF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CAB71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E03E3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569B8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CE82D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6C83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E66570D"/>
    <w:multiLevelType w:val="hybridMultilevel"/>
    <w:tmpl w:val="FBD4922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01C7752"/>
    <w:multiLevelType w:val="hybridMultilevel"/>
    <w:tmpl w:val="43F21176"/>
    <w:lvl w:ilvl="0" w:tplc="9FBEB974">
      <w:start w:val="2"/>
      <w:numFmt w:val="bullet"/>
      <w:lvlText w:val="-"/>
      <w:lvlJc w:val="left"/>
      <w:pPr>
        <w:ind w:left="568"/>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89E90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9414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42E6F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6CA37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06C7F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F2700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CE8E6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7C9DF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69E3DB3"/>
    <w:multiLevelType w:val="hybridMultilevel"/>
    <w:tmpl w:val="09B0FE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B3A17CE"/>
    <w:multiLevelType w:val="hybridMultilevel"/>
    <w:tmpl w:val="F66AE804"/>
    <w:lvl w:ilvl="0" w:tplc="5E56639E">
      <w:start w:val="1"/>
      <w:numFmt w:val="bullet"/>
      <w:lvlText w:val="•"/>
      <w:lvlJc w:val="left"/>
      <w:pPr>
        <w:ind w:left="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4E0896">
      <w:start w:val="1"/>
      <w:numFmt w:val="bullet"/>
      <w:lvlText w:val="o"/>
      <w:lvlJc w:val="left"/>
      <w:pPr>
        <w:ind w:left="1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F8DC28">
      <w:start w:val="1"/>
      <w:numFmt w:val="bullet"/>
      <w:lvlText w:val="▪"/>
      <w:lvlJc w:val="left"/>
      <w:pPr>
        <w:ind w:left="22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583960">
      <w:start w:val="1"/>
      <w:numFmt w:val="bullet"/>
      <w:lvlText w:val="•"/>
      <w:lvlJc w:val="left"/>
      <w:pPr>
        <w:ind w:left="2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CAAD5C">
      <w:start w:val="1"/>
      <w:numFmt w:val="bullet"/>
      <w:lvlText w:val="o"/>
      <w:lvlJc w:val="left"/>
      <w:pPr>
        <w:ind w:left="36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94D84E">
      <w:start w:val="1"/>
      <w:numFmt w:val="bullet"/>
      <w:lvlText w:val="▪"/>
      <w:lvlJc w:val="left"/>
      <w:pPr>
        <w:ind w:left="43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3C96E8">
      <w:start w:val="1"/>
      <w:numFmt w:val="bullet"/>
      <w:lvlText w:val="•"/>
      <w:lvlJc w:val="left"/>
      <w:pPr>
        <w:ind w:left="5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229BA2">
      <w:start w:val="1"/>
      <w:numFmt w:val="bullet"/>
      <w:lvlText w:val="o"/>
      <w:lvlJc w:val="left"/>
      <w:pPr>
        <w:ind w:left="58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0090CE">
      <w:start w:val="1"/>
      <w:numFmt w:val="bullet"/>
      <w:lvlText w:val="▪"/>
      <w:lvlJc w:val="left"/>
      <w:pPr>
        <w:ind w:left="65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D4D26AE"/>
    <w:multiLevelType w:val="hybridMultilevel"/>
    <w:tmpl w:val="A21205C4"/>
    <w:lvl w:ilvl="0" w:tplc="7FE87FF8">
      <w:start w:val="1"/>
      <w:numFmt w:val="bullet"/>
      <w:lvlText w:val="•"/>
      <w:lvlJc w:val="left"/>
      <w:pPr>
        <w:ind w:left="844"/>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D14E1AA">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DA0532">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36D43A">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721044">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B85D78">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20E018">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C45EF0">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52CC52">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01A1041"/>
    <w:multiLevelType w:val="hybridMultilevel"/>
    <w:tmpl w:val="94DE8B94"/>
    <w:lvl w:ilvl="0" w:tplc="0C0A0001">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464CE6A">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5CA90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64DE60">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26AF06">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DEC78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CCFE8C">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9AA1B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84EF2C">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0933FF1"/>
    <w:multiLevelType w:val="hybridMultilevel"/>
    <w:tmpl w:val="A698AC7C"/>
    <w:lvl w:ilvl="0" w:tplc="7BC25F30">
      <w:start w:val="1"/>
      <w:numFmt w:val="bullet"/>
      <w:lvlText w:val="•"/>
      <w:lvlJc w:val="left"/>
      <w:pPr>
        <w:ind w:left="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AE3BF8">
      <w:start w:val="1"/>
      <w:numFmt w:val="bullet"/>
      <w:lvlText w:val="o"/>
      <w:lvlJc w:val="left"/>
      <w:pPr>
        <w:ind w:left="1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A03034">
      <w:start w:val="1"/>
      <w:numFmt w:val="bullet"/>
      <w:lvlText w:val="▪"/>
      <w:lvlJc w:val="left"/>
      <w:pPr>
        <w:ind w:left="2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CC216A">
      <w:start w:val="1"/>
      <w:numFmt w:val="bullet"/>
      <w:lvlText w:val="•"/>
      <w:lvlJc w:val="left"/>
      <w:pPr>
        <w:ind w:left="2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447FDC">
      <w:start w:val="1"/>
      <w:numFmt w:val="bullet"/>
      <w:lvlText w:val="o"/>
      <w:lvlJc w:val="left"/>
      <w:pPr>
        <w:ind w:left="3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546A94">
      <w:start w:val="1"/>
      <w:numFmt w:val="bullet"/>
      <w:lvlText w:val="▪"/>
      <w:lvlJc w:val="left"/>
      <w:pPr>
        <w:ind w:left="4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C2E1FC">
      <w:start w:val="1"/>
      <w:numFmt w:val="bullet"/>
      <w:lvlText w:val="•"/>
      <w:lvlJc w:val="left"/>
      <w:pPr>
        <w:ind w:left="4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A211F2">
      <w:start w:val="1"/>
      <w:numFmt w:val="bullet"/>
      <w:lvlText w:val="o"/>
      <w:lvlJc w:val="left"/>
      <w:pPr>
        <w:ind w:left="5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5EEB98">
      <w:start w:val="1"/>
      <w:numFmt w:val="bullet"/>
      <w:lvlText w:val="▪"/>
      <w:lvlJc w:val="left"/>
      <w:pPr>
        <w:ind w:left="64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1013831"/>
    <w:multiLevelType w:val="hybridMultilevel"/>
    <w:tmpl w:val="FA80A5DE"/>
    <w:lvl w:ilvl="0" w:tplc="0C0A0001">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464CE6A">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5CA90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64DE60">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26AF06">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DEC78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CCFE8C">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9AA1B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84EF2C">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1BA65A4"/>
    <w:multiLevelType w:val="hybridMultilevel"/>
    <w:tmpl w:val="46884C24"/>
    <w:lvl w:ilvl="0" w:tplc="908CE124">
      <w:start w:val="1"/>
      <w:numFmt w:val="upperLetter"/>
      <w:lvlText w:val="%1."/>
      <w:lvlJc w:val="left"/>
      <w:pPr>
        <w:ind w:left="17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B0C2DB6">
      <w:start w:val="1"/>
      <w:numFmt w:val="lowerLetter"/>
      <w:lvlText w:val="%2"/>
      <w:lvlJc w:val="left"/>
      <w:pPr>
        <w:ind w:left="20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4C62B86">
      <w:start w:val="1"/>
      <w:numFmt w:val="lowerRoman"/>
      <w:lvlText w:val="%3"/>
      <w:lvlJc w:val="left"/>
      <w:pPr>
        <w:ind w:left="27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4840B9C">
      <w:start w:val="1"/>
      <w:numFmt w:val="decimal"/>
      <w:lvlText w:val="%4"/>
      <w:lvlJc w:val="left"/>
      <w:pPr>
        <w:ind w:left="35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D4097AC">
      <w:start w:val="1"/>
      <w:numFmt w:val="lowerLetter"/>
      <w:lvlText w:val="%5"/>
      <w:lvlJc w:val="left"/>
      <w:pPr>
        <w:ind w:left="42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6A221C6">
      <w:start w:val="1"/>
      <w:numFmt w:val="lowerRoman"/>
      <w:lvlText w:val="%6"/>
      <w:lvlJc w:val="left"/>
      <w:pPr>
        <w:ind w:left="49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BB2024A">
      <w:start w:val="1"/>
      <w:numFmt w:val="decimal"/>
      <w:lvlText w:val="%7"/>
      <w:lvlJc w:val="left"/>
      <w:pPr>
        <w:ind w:left="56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63C26C6">
      <w:start w:val="1"/>
      <w:numFmt w:val="lowerLetter"/>
      <w:lvlText w:val="%8"/>
      <w:lvlJc w:val="left"/>
      <w:pPr>
        <w:ind w:left="63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3D4B89A">
      <w:start w:val="1"/>
      <w:numFmt w:val="lowerRoman"/>
      <w:lvlText w:val="%9"/>
      <w:lvlJc w:val="left"/>
      <w:pPr>
        <w:ind w:left="71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1DB69A4"/>
    <w:multiLevelType w:val="hybridMultilevel"/>
    <w:tmpl w:val="16E23A72"/>
    <w:lvl w:ilvl="0" w:tplc="9FBEB974">
      <w:start w:val="2"/>
      <w:numFmt w:val="bullet"/>
      <w:lvlText w:val="-"/>
      <w:lvlJc w:val="left"/>
      <w:pPr>
        <w:ind w:left="568"/>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464CE6A">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5CA90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64DE60">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26AF06">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DEC78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CCFE8C">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9AA1B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84EF2C">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2AC3606"/>
    <w:multiLevelType w:val="hybridMultilevel"/>
    <w:tmpl w:val="860AAEA6"/>
    <w:lvl w:ilvl="0" w:tplc="0C0A0001">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464CE6A">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5CA90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64DE60">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26AF06">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DEC78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CCFE8C">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9AA1B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84EF2C">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2E120BA"/>
    <w:multiLevelType w:val="hybridMultilevel"/>
    <w:tmpl w:val="7AF45340"/>
    <w:lvl w:ilvl="0" w:tplc="53822E1E">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22219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D6895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8E3E4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B05D3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46A78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2EF64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2478B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66F0A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7380C97"/>
    <w:multiLevelType w:val="hybridMultilevel"/>
    <w:tmpl w:val="642202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8C77043"/>
    <w:multiLevelType w:val="hybridMultilevel"/>
    <w:tmpl w:val="FC421AA4"/>
    <w:lvl w:ilvl="0" w:tplc="0C0A0001">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0F6A15A">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F26176">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C25688">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AE65C8">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765682">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62C0D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38AD5E">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921718">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8D515B2"/>
    <w:multiLevelType w:val="hybridMultilevel"/>
    <w:tmpl w:val="055E486C"/>
    <w:lvl w:ilvl="0" w:tplc="C5A4DB1E">
      <w:start w:val="1"/>
      <w:numFmt w:val="bullet"/>
      <w:lvlText w:val="•"/>
      <w:lvlJc w:val="left"/>
      <w:pPr>
        <w:ind w:left="1233"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A0003" w:tentative="1">
      <w:start w:val="1"/>
      <w:numFmt w:val="bullet"/>
      <w:lvlText w:val="o"/>
      <w:lvlJc w:val="left"/>
      <w:pPr>
        <w:ind w:left="1953" w:hanging="360"/>
      </w:pPr>
      <w:rPr>
        <w:rFonts w:ascii="Courier New" w:hAnsi="Courier New" w:cs="Courier New" w:hint="default"/>
      </w:rPr>
    </w:lvl>
    <w:lvl w:ilvl="2" w:tplc="0C0A0005" w:tentative="1">
      <w:start w:val="1"/>
      <w:numFmt w:val="bullet"/>
      <w:lvlText w:val=""/>
      <w:lvlJc w:val="left"/>
      <w:pPr>
        <w:ind w:left="2673" w:hanging="360"/>
      </w:pPr>
      <w:rPr>
        <w:rFonts w:ascii="Wingdings" w:hAnsi="Wingdings" w:hint="default"/>
      </w:rPr>
    </w:lvl>
    <w:lvl w:ilvl="3" w:tplc="0C0A0001" w:tentative="1">
      <w:start w:val="1"/>
      <w:numFmt w:val="bullet"/>
      <w:lvlText w:val=""/>
      <w:lvlJc w:val="left"/>
      <w:pPr>
        <w:ind w:left="3393" w:hanging="360"/>
      </w:pPr>
      <w:rPr>
        <w:rFonts w:ascii="Symbol" w:hAnsi="Symbol" w:hint="default"/>
      </w:rPr>
    </w:lvl>
    <w:lvl w:ilvl="4" w:tplc="0C0A0003" w:tentative="1">
      <w:start w:val="1"/>
      <w:numFmt w:val="bullet"/>
      <w:lvlText w:val="o"/>
      <w:lvlJc w:val="left"/>
      <w:pPr>
        <w:ind w:left="4113" w:hanging="360"/>
      </w:pPr>
      <w:rPr>
        <w:rFonts w:ascii="Courier New" w:hAnsi="Courier New" w:cs="Courier New" w:hint="default"/>
      </w:rPr>
    </w:lvl>
    <w:lvl w:ilvl="5" w:tplc="0C0A0005" w:tentative="1">
      <w:start w:val="1"/>
      <w:numFmt w:val="bullet"/>
      <w:lvlText w:val=""/>
      <w:lvlJc w:val="left"/>
      <w:pPr>
        <w:ind w:left="4833" w:hanging="360"/>
      </w:pPr>
      <w:rPr>
        <w:rFonts w:ascii="Wingdings" w:hAnsi="Wingdings" w:hint="default"/>
      </w:rPr>
    </w:lvl>
    <w:lvl w:ilvl="6" w:tplc="0C0A0001" w:tentative="1">
      <w:start w:val="1"/>
      <w:numFmt w:val="bullet"/>
      <w:lvlText w:val=""/>
      <w:lvlJc w:val="left"/>
      <w:pPr>
        <w:ind w:left="5553" w:hanging="360"/>
      </w:pPr>
      <w:rPr>
        <w:rFonts w:ascii="Symbol" w:hAnsi="Symbol" w:hint="default"/>
      </w:rPr>
    </w:lvl>
    <w:lvl w:ilvl="7" w:tplc="0C0A0003" w:tentative="1">
      <w:start w:val="1"/>
      <w:numFmt w:val="bullet"/>
      <w:lvlText w:val="o"/>
      <w:lvlJc w:val="left"/>
      <w:pPr>
        <w:ind w:left="6273" w:hanging="360"/>
      </w:pPr>
      <w:rPr>
        <w:rFonts w:ascii="Courier New" w:hAnsi="Courier New" w:cs="Courier New" w:hint="default"/>
      </w:rPr>
    </w:lvl>
    <w:lvl w:ilvl="8" w:tplc="0C0A0005" w:tentative="1">
      <w:start w:val="1"/>
      <w:numFmt w:val="bullet"/>
      <w:lvlText w:val=""/>
      <w:lvlJc w:val="left"/>
      <w:pPr>
        <w:ind w:left="6993" w:hanging="360"/>
      </w:pPr>
      <w:rPr>
        <w:rFonts w:ascii="Wingdings" w:hAnsi="Wingdings" w:hint="default"/>
      </w:rPr>
    </w:lvl>
  </w:abstractNum>
  <w:abstractNum w:abstractNumId="30" w15:restartNumberingAfterBreak="0">
    <w:nsid w:val="3AB742FE"/>
    <w:multiLevelType w:val="hybridMultilevel"/>
    <w:tmpl w:val="B4387CEC"/>
    <w:lvl w:ilvl="0" w:tplc="0C0A0001">
      <w:start w:val="1"/>
      <w:numFmt w:val="bullet"/>
      <w:lvlText w:val=""/>
      <w:lvlJc w:val="left"/>
      <w:pPr>
        <w:ind w:left="60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0CCF0F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5CA61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7CFD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6A1F2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DEEF2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56D6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C4EFB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86407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B795F7E"/>
    <w:multiLevelType w:val="hybridMultilevel"/>
    <w:tmpl w:val="69EE63D2"/>
    <w:lvl w:ilvl="0" w:tplc="E2EC1E9E">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564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FA26E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8C46D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4CCE0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109DC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0A60D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BC89D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905CA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D150CF0"/>
    <w:multiLevelType w:val="hybridMultilevel"/>
    <w:tmpl w:val="D246436C"/>
    <w:lvl w:ilvl="0" w:tplc="12F81CD2">
      <w:start w:val="7"/>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95F45AB4">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0C9892A2">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E768238A">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EA461A9A">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04826AE8">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9E383AEE">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33E068C2">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76481DAE">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33" w15:restartNumberingAfterBreak="0">
    <w:nsid w:val="44217BA3"/>
    <w:multiLevelType w:val="hybridMultilevel"/>
    <w:tmpl w:val="BE4E6BFA"/>
    <w:lvl w:ilvl="0" w:tplc="C402282E">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B057A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2E350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327B2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76F3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C0B44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7CCC8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8A32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84F0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4ED7C88"/>
    <w:multiLevelType w:val="hybridMultilevel"/>
    <w:tmpl w:val="FBD4922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479B4C0D"/>
    <w:multiLevelType w:val="hybridMultilevel"/>
    <w:tmpl w:val="95BCEC34"/>
    <w:lvl w:ilvl="0" w:tplc="0C0A0001">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0F6A15A">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F26176">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C25688">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AE65C8">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765682">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62C0D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38AD5E">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921718">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8FF1003"/>
    <w:multiLevelType w:val="hybridMultilevel"/>
    <w:tmpl w:val="D5AA6584"/>
    <w:lvl w:ilvl="0" w:tplc="0B16A9EC">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926E06">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D63ADA">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FCB4B0">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58E1B0">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20E6DA">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4EA040">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5AF6FC">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743406">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9C300B8"/>
    <w:multiLevelType w:val="hybridMultilevel"/>
    <w:tmpl w:val="76ECB548"/>
    <w:lvl w:ilvl="0" w:tplc="0C0A0001">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464CE6A">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5CA90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64DE60">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26AF06">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DEC78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CCFE8C">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9AA1B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84EF2C">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AD80F7A"/>
    <w:multiLevelType w:val="hybridMultilevel"/>
    <w:tmpl w:val="D4C8A5B4"/>
    <w:lvl w:ilvl="0" w:tplc="7AB61C06">
      <w:start w:val="1"/>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7D7ECBEE">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161CA456">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00DEAEB2">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4EB87F50">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C0E008C0">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EA58F1F0">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3D6A99C6">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EBF83BDE">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39" w15:restartNumberingAfterBreak="0">
    <w:nsid w:val="4C29110D"/>
    <w:multiLevelType w:val="hybridMultilevel"/>
    <w:tmpl w:val="840C3068"/>
    <w:lvl w:ilvl="0" w:tplc="57A81D44">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EA4B42">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166A8A">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E08558">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6E3F8E">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64CEB8">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F0A576">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9CDD92">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768B7A">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3011E5E"/>
    <w:multiLevelType w:val="hybridMultilevel"/>
    <w:tmpl w:val="7AC2F676"/>
    <w:lvl w:ilvl="0" w:tplc="92F41474">
      <w:start w:val="1"/>
      <w:numFmt w:val="bullet"/>
      <w:lvlText w:val="•"/>
      <w:lvlJc w:val="left"/>
      <w:pPr>
        <w:ind w:left="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B210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ECD58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40FB1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0C759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5ED9C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A0021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2EB92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F4BC6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3040DFB"/>
    <w:multiLevelType w:val="hybridMultilevel"/>
    <w:tmpl w:val="26C22AEC"/>
    <w:lvl w:ilvl="0" w:tplc="F112FC86">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20AAE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88EAE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7C735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38BAE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0ED1D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786AB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0648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DA12A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3900611"/>
    <w:multiLevelType w:val="hybridMultilevel"/>
    <w:tmpl w:val="5C9C6540"/>
    <w:lvl w:ilvl="0" w:tplc="A2ECDD7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44" w15:restartNumberingAfterBreak="0">
    <w:nsid w:val="5D6539E9"/>
    <w:multiLevelType w:val="hybridMultilevel"/>
    <w:tmpl w:val="51EA13A4"/>
    <w:lvl w:ilvl="0" w:tplc="10CCD30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5E925BDF"/>
    <w:multiLevelType w:val="hybridMultilevel"/>
    <w:tmpl w:val="94B456A6"/>
    <w:lvl w:ilvl="0" w:tplc="0C0A0001">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89E90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9414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42E6F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6CA37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06C7F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F2700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CE8E6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7C9DF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0503819"/>
    <w:multiLevelType w:val="hybridMultilevel"/>
    <w:tmpl w:val="23002D60"/>
    <w:lvl w:ilvl="0" w:tplc="9FBEB974">
      <w:start w:val="2"/>
      <w:numFmt w:val="bullet"/>
      <w:lvlText w:val="-"/>
      <w:lvlJc w:val="left"/>
      <w:pPr>
        <w:ind w:left="602"/>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0CCF0F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5CA61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7CFD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6A1F2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DEEF2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56D6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C4EFB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86407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07C3C0E"/>
    <w:multiLevelType w:val="hybridMultilevel"/>
    <w:tmpl w:val="B4E07DA4"/>
    <w:lvl w:ilvl="0" w:tplc="64DA9772">
      <w:start w:val="1"/>
      <w:numFmt w:val="bullet"/>
      <w:lvlText w:val="•"/>
      <w:lvlJc w:val="left"/>
      <w:pPr>
        <w:ind w:left="567" w:hanging="567"/>
      </w:pPr>
      <w:rPr>
        <w:rFonts w:hint="default"/>
      </w:rPr>
    </w:lvl>
    <w:lvl w:ilvl="1" w:tplc="F86E49E0">
      <w:start w:val="1"/>
      <w:numFmt w:val="bullet"/>
      <w:lvlText w:val="•"/>
      <w:lvlJc w:val="left"/>
      <w:pPr>
        <w:ind w:left="1134" w:hanging="567"/>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3533F30"/>
    <w:multiLevelType w:val="hybridMultilevel"/>
    <w:tmpl w:val="9D7E57EC"/>
    <w:lvl w:ilvl="0" w:tplc="0C0A0001">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464CE6A">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5CA90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64DE60">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26AF06">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DEC78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CCFE8C">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9AA1B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84EF2C">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6B16A52"/>
    <w:multiLevelType w:val="hybridMultilevel"/>
    <w:tmpl w:val="55CE29BE"/>
    <w:lvl w:ilvl="0" w:tplc="E6FA94FC">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221E0C">
      <w:start w:val="1"/>
      <w:numFmt w:val="bullet"/>
      <w:lvlText w:val="o"/>
      <w:lvlJc w:val="left"/>
      <w:pPr>
        <w:ind w:left="1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BCFAC0">
      <w:start w:val="1"/>
      <w:numFmt w:val="bullet"/>
      <w:lvlText w:val="▪"/>
      <w:lvlJc w:val="left"/>
      <w:pPr>
        <w:ind w:left="2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889154">
      <w:start w:val="1"/>
      <w:numFmt w:val="bullet"/>
      <w:lvlText w:val="•"/>
      <w:lvlJc w:val="left"/>
      <w:pPr>
        <w:ind w:left="3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24975C">
      <w:start w:val="1"/>
      <w:numFmt w:val="bullet"/>
      <w:lvlText w:val="o"/>
      <w:lvlJc w:val="left"/>
      <w:pPr>
        <w:ind w:left="3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F0A056">
      <w:start w:val="1"/>
      <w:numFmt w:val="bullet"/>
      <w:lvlText w:val="▪"/>
      <w:lvlJc w:val="left"/>
      <w:pPr>
        <w:ind w:left="4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2CAAA4">
      <w:start w:val="1"/>
      <w:numFmt w:val="bullet"/>
      <w:lvlText w:val="•"/>
      <w:lvlJc w:val="left"/>
      <w:pPr>
        <w:ind w:left="5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C4C86A">
      <w:start w:val="1"/>
      <w:numFmt w:val="bullet"/>
      <w:lvlText w:val="o"/>
      <w:lvlJc w:val="left"/>
      <w:pPr>
        <w:ind w:left="5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D8DC56">
      <w:start w:val="1"/>
      <w:numFmt w:val="bullet"/>
      <w:lvlText w:val="▪"/>
      <w:lvlJc w:val="left"/>
      <w:pPr>
        <w:ind w:left="6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898595F"/>
    <w:multiLevelType w:val="hybridMultilevel"/>
    <w:tmpl w:val="9894EB8C"/>
    <w:lvl w:ilvl="0" w:tplc="FFFFFFFF">
      <w:start w:val="1"/>
      <w:numFmt w:val="bullet"/>
      <w:lvlText w:val="-"/>
      <w:lvlJc w:val="left"/>
      <w:pPr>
        <w:ind w:left="568"/>
      </w:pPr>
      <w:rPr>
        <w:b w:val="0"/>
        <w:i w:val="0"/>
        <w:strike w:val="0"/>
        <w:dstrike w:val="0"/>
        <w:color w:val="000000"/>
        <w:sz w:val="22"/>
        <w:szCs w:val="22"/>
        <w:u w:val="none" w:color="000000"/>
        <w:bdr w:val="none" w:sz="0" w:space="0" w:color="auto"/>
        <w:shd w:val="clear" w:color="auto" w:fill="auto"/>
        <w:vertAlign w:val="baseline"/>
      </w:rPr>
    </w:lvl>
    <w:lvl w:ilvl="1" w:tplc="BC64CEF8">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B2C126">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BABAE2">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BE2C06">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76E93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BC1E5C">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1CBA4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A4EE5A">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90D5E91"/>
    <w:multiLevelType w:val="hybridMultilevel"/>
    <w:tmpl w:val="7A9AC4A2"/>
    <w:lvl w:ilvl="0" w:tplc="0C0A0001">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464CE6A">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5CA90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64DE60">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26AF06">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DEC78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CCFE8C">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9AA1B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84EF2C">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A046D7A"/>
    <w:multiLevelType w:val="hybridMultilevel"/>
    <w:tmpl w:val="42EA945A"/>
    <w:lvl w:ilvl="0" w:tplc="529A42E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6BFC787F"/>
    <w:multiLevelType w:val="hybridMultilevel"/>
    <w:tmpl w:val="C5225EB4"/>
    <w:lvl w:ilvl="0" w:tplc="7B38832A">
      <w:start w:val="1"/>
      <w:numFmt w:val="bullet"/>
      <w:lvlText w:val="•"/>
      <w:lvlJc w:val="left"/>
      <w:pPr>
        <w:ind w:left="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5CD5AE">
      <w:start w:val="1"/>
      <w:numFmt w:val="bullet"/>
      <w:lvlText w:val="o"/>
      <w:lvlJc w:val="left"/>
      <w:pPr>
        <w:ind w:left="17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189E46">
      <w:start w:val="1"/>
      <w:numFmt w:val="bullet"/>
      <w:lvlText w:val="▪"/>
      <w:lvlJc w:val="left"/>
      <w:pPr>
        <w:ind w:left="2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96AEE2">
      <w:start w:val="1"/>
      <w:numFmt w:val="bullet"/>
      <w:lvlText w:val="•"/>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6895D8">
      <w:start w:val="1"/>
      <w:numFmt w:val="bullet"/>
      <w:lvlText w:val="o"/>
      <w:lvlJc w:val="left"/>
      <w:pPr>
        <w:ind w:left="3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864F14">
      <w:start w:val="1"/>
      <w:numFmt w:val="bullet"/>
      <w:lvlText w:val="▪"/>
      <w:lvlJc w:val="left"/>
      <w:pPr>
        <w:ind w:left="46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B20882">
      <w:start w:val="1"/>
      <w:numFmt w:val="bullet"/>
      <w:lvlText w:val="•"/>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84780C">
      <w:start w:val="1"/>
      <w:numFmt w:val="bullet"/>
      <w:lvlText w:val="o"/>
      <w:lvlJc w:val="left"/>
      <w:pPr>
        <w:ind w:left="6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B41EC0">
      <w:start w:val="1"/>
      <w:numFmt w:val="bullet"/>
      <w:lvlText w:val="▪"/>
      <w:lvlJc w:val="left"/>
      <w:pPr>
        <w:ind w:left="6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F4F0B8A"/>
    <w:multiLevelType w:val="hybridMultilevel"/>
    <w:tmpl w:val="A5809C10"/>
    <w:lvl w:ilvl="0" w:tplc="7B1C740C">
      <w:start w:val="2"/>
      <w:numFmt w:val="decimal"/>
      <w:lvlText w:val="%1"/>
      <w:lvlJc w:val="left"/>
      <w:pPr>
        <w:ind w:left="0"/>
      </w:pPr>
      <w:rPr>
        <w:rFonts w:ascii="Times New Roman" w:eastAsia="Times New Roman" w:hAnsi="Times New Roman" w:cs="Times New Roman"/>
        <w:b w:val="0"/>
        <w:i w:val="0"/>
        <w:strike w:val="0"/>
        <w:dstrike w:val="0"/>
        <w:color w:val="000000"/>
        <w:sz w:val="15"/>
        <w:szCs w:val="13"/>
        <w:u w:val="none" w:color="000000"/>
        <w:bdr w:val="none" w:sz="0" w:space="0" w:color="auto"/>
        <w:shd w:val="clear" w:color="auto" w:fill="auto"/>
        <w:vertAlign w:val="baseline"/>
      </w:rPr>
    </w:lvl>
    <w:lvl w:ilvl="1" w:tplc="A0F69DA0">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71D0C628">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702823B8">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B134AB64">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B9DCA55A">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DCAAFC62">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F1EEDB5A">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857A0378">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5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01B0BE0"/>
    <w:multiLevelType w:val="hybridMultilevel"/>
    <w:tmpl w:val="6BD66E64"/>
    <w:lvl w:ilvl="0" w:tplc="4D3ED918">
      <w:start w:val="1"/>
      <w:numFmt w:val="bullet"/>
      <w:lvlText w:val="•"/>
      <w:lvlJc w:val="left"/>
      <w:pPr>
        <w:ind w:left="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D8DB5C">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887162">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54CF6E">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E2E5E">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AE72CC">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F4506E">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8A4280">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8481EC">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0636871"/>
    <w:multiLevelType w:val="hybridMultilevel"/>
    <w:tmpl w:val="EC1C7B6C"/>
    <w:lvl w:ilvl="0" w:tplc="6810CD8E">
      <w:start w:val="1"/>
      <w:numFmt w:val="bullet"/>
      <w:lvlText w:val="•"/>
      <w:lvlJc w:val="left"/>
      <w:pPr>
        <w:ind w:left="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846F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20B9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7878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4A52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428C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6829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4025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F606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10648B6"/>
    <w:multiLevelType w:val="hybridMultilevel"/>
    <w:tmpl w:val="650883A4"/>
    <w:lvl w:ilvl="0" w:tplc="0C0A0001">
      <w:start w:val="1"/>
      <w:numFmt w:val="bullet"/>
      <w:lvlText w:val=""/>
      <w:lvlJc w:val="left"/>
      <w:pPr>
        <w:ind w:left="56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53CD43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7EF4D8">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F6154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4A55E4">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B4B82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3C7368">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E4FDBA">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B0584E">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85C3DF5"/>
    <w:multiLevelType w:val="hybridMultilevel"/>
    <w:tmpl w:val="1764CF08"/>
    <w:lvl w:ilvl="0" w:tplc="3A368152">
      <w:start w:val="1"/>
      <w:numFmt w:val="bullet"/>
      <w:lvlText w:val="•"/>
      <w:lvlJc w:val="left"/>
      <w:pPr>
        <w:ind w:left="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368152">
      <w:start w:val="1"/>
      <w:numFmt w:val="bullet"/>
      <w:lvlText w:val="•"/>
      <w:lvlJc w:val="left"/>
      <w:pPr>
        <w:ind w:left="108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890892D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32D4D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CE6FA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48C1E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8A633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F4B74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F2999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A100D28"/>
    <w:multiLevelType w:val="hybridMultilevel"/>
    <w:tmpl w:val="20301FA0"/>
    <w:lvl w:ilvl="0" w:tplc="9CA600BC">
      <w:start w:val="1"/>
      <w:numFmt w:val="upperLetter"/>
      <w:pStyle w:val="TitleB"/>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1" w15:restartNumberingAfterBreak="0">
    <w:nsid w:val="7D422B97"/>
    <w:multiLevelType w:val="hybridMultilevel"/>
    <w:tmpl w:val="DDB6245C"/>
    <w:lvl w:ilvl="0" w:tplc="4009000F">
      <w:start w:val="1"/>
      <w:numFmt w:val="decimal"/>
      <w:lvlText w:val="%1."/>
      <w:lvlJc w:val="left"/>
      <w:pPr>
        <w:ind w:left="723" w:hanging="360"/>
      </w:pPr>
    </w:lvl>
    <w:lvl w:ilvl="1" w:tplc="40090019" w:tentative="1">
      <w:start w:val="1"/>
      <w:numFmt w:val="lowerLetter"/>
      <w:lvlText w:val="%2."/>
      <w:lvlJc w:val="left"/>
      <w:pPr>
        <w:ind w:left="1443" w:hanging="360"/>
      </w:pPr>
    </w:lvl>
    <w:lvl w:ilvl="2" w:tplc="4009001B" w:tentative="1">
      <w:start w:val="1"/>
      <w:numFmt w:val="lowerRoman"/>
      <w:lvlText w:val="%3."/>
      <w:lvlJc w:val="right"/>
      <w:pPr>
        <w:ind w:left="2163" w:hanging="180"/>
      </w:pPr>
    </w:lvl>
    <w:lvl w:ilvl="3" w:tplc="4009000F" w:tentative="1">
      <w:start w:val="1"/>
      <w:numFmt w:val="decimal"/>
      <w:lvlText w:val="%4."/>
      <w:lvlJc w:val="left"/>
      <w:pPr>
        <w:ind w:left="2883" w:hanging="360"/>
      </w:pPr>
    </w:lvl>
    <w:lvl w:ilvl="4" w:tplc="40090019" w:tentative="1">
      <w:start w:val="1"/>
      <w:numFmt w:val="lowerLetter"/>
      <w:lvlText w:val="%5."/>
      <w:lvlJc w:val="left"/>
      <w:pPr>
        <w:ind w:left="3603" w:hanging="360"/>
      </w:pPr>
    </w:lvl>
    <w:lvl w:ilvl="5" w:tplc="4009001B" w:tentative="1">
      <w:start w:val="1"/>
      <w:numFmt w:val="lowerRoman"/>
      <w:lvlText w:val="%6."/>
      <w:lvlJc w:val="right"/>
      <w:pPr>
        <w:ind w:left="4323" w:hanging="180"/>
      </w:pPr>
    </w:lvl>
    <w:lvl w:ilvl="6" w:tplc="4009000F" w:tentative="1">
      <w:start w:val="1"/>
      <w:numFmt w:val="decimal"/>
      <w:lvlText w:val="%7."/>
      <w:lvlJc w:val="left"/>
      <w:pPr>
        <w:ind w:left="5043" w:hanging="360"/>
      </w:pPr>
    </w:lvl>
    <w:lvl w:ilvl="7" w:tplc="40090019" w:tentative="1">
      <w:start w:val="1"/>
      <w:numFmt w:val="lowerLetter"/>
      <w:lvlText w:val="%8."/>
      <w:lvlJc w:val="left"/>
      <w:pPr>
        <w:ind w:left="5763" w:hanging="360"/>
      </w:pPr>
    </w:lvl>
    <w:lvl w:ilvl="8" w:tplc="4009001B" w:tentative="1">
      <w:start w:val="1"/>
      <w:numFmt w:val="lowerRoman"/>
      <w:lvlText w:val="%9."/>
      <w:lvlJc w:val="right"/>
      <w:pPr>
        <w:ind w:left="6483" w:hanging="180"/>
      </w:pPr>
    </w:lvl>
  </w:abstractNum>
  <w:abstractNum w:abstractNumId="62" w15:restartNumberingAfterBreak="0">
    <w:nsid w:val="7DE7493C"/>
    <w:multiLevelType w:val="hybridMultilevel"/>
    <w:tmpl w:val="7AAEDDBE"/>
    <w:lvl w:ilvl="0" w:tplc="7642328E">
      <w:start w:val="1"/>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C2C82984">
      <w:start w:val="1"/>
      <w:numFmt w:val="lowerLetter"/>
      <w:lvlText w:val="%2"/>
      <w:lvlJc w:val="left"/>
      <w:pPr>
        <w:ind w:left="108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FD1A6FCC">
      <w:start w:val="1"/>
      <w:numFmt w:val="lowerRoman"/>
      <w:lvlText w:val="%3"/>
      <w:lvlJc w:val="left"/>
      <w:pPr>
        <w:ind w:left="180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5CF0DFEE">
      <w:start w:val="1"/>
      <w:numFmt w:val="decimal"/>
      <w:lvlText w:val="%4"/>
      <w:lvlJc w:val="left"/>
      <w:pPr>
        <w:ind w:left="252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2E5E43DE">
      <w:start w:val="1"/>
      <w:numFmt w:val="lowerLetter"/>
      <w:lvlText w:val="%5"/>
      <w:lvlJc w:val="left"/>
      <w:pPr>
        <w:ind w:left="324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30407EBC">
      <w:start w:val="1"/>
      <w:numFmt w:val="lowerRoman"/>
      <w:lvlText w:val="%6"/>
      <w:lvlJc w:val="left"/>
      <w:pPr>
        <w:ind w:left="396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7EE8EB7E">
      <w:start w:val="1"/>
      <w:numFmt w:val="decimal"/>
      <w:lvlText w:val="%7"/>
      <w:lvlJc w:val="left"/>
      <w:pPr>
        <w:ind w:left="468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C91A7E36">
      <w:start w:val="1"/>
      <w:numFmt w:val="lowerLetter"/>
      <w:lvlText w:val="%8"/>
      <w:lvlJc w:val="left"/>
      <w:pPr>
        <w:ind w:left="540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3C6EB6C4">
      <w:start w:val="1"/>
      <w:numFmt w:val="lowerRoman"/>
      <w:lvlText w:val="%9"/>
      <w:lvlJc w:val="left"/>
      <w:pPr>
        <w:ind w:left="612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63" w15:restartNumberingAfterBreak="0">
    <w:nsid w:val="7E683165"/>
    <w:multiLevelType w:val="hybridMultilevel"/>
    <w:tmpl w:val="4A4EF2DE"/>
    <w:lvl w:ilvl="0" w:tplc="ADEE29A6">
      <w:start w:val="1"/>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0A42DC98">
      <w:start w:val="1"/>
      <w:numFmt w:val="lowerLetter"/>
      <w:lvlText w:val="%2"/>
      <w:lvlJc w:val="left"/>
      <w:pPr>
        <w:ind w:left="108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53E6F140">
      <w:start w:val="1"/>
      <w:numFmt w:val="lowerRoman"/>
      <w:lvlText w:val="%3"/>
      <w:lvlJc w:val="left"/>
      <w:pPr>
        <w:ind w:left="180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BF56FE9E">
      <w:start w:val="1"/>
      <w:numFmt w:val="decimal"/>
      <w:lvlText w:val="%4"/>
      <w:lvlJc w:val="left"/>
      <w:pPr>
        <w:ind w:left="252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A3A8DEA2">
      <w:start w:val="1"/>
      <w:numFmt w:val="lowerLetter"/>
      <w:lvlText w:val="%5"/>
      <w:lvlJc w:val="left"/>
      <w:pPr>
        <w:ind w:left="324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72547402">
      <w:start w:val="1"/>
      <w:numFmt w:val="lowerRoman"/>
      <w:lvlText w:val="%6"/>
      <w:lvlJc w:val="left"/>
      <w:pPr>
        <w:ind w:left="396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065674D8">
      <w:start w:val="1"/>
      <w:numFmt w:val="decimal"/>
      <w:lvlText w:val="%7"/>
      <w:lvlJc w:val="left"/>
      <w:pPr>
        <w:ind w:left="468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FF4235FA">
      <w:start w:val="1"/>
      <w:numFmt w:val="lowerLetter"/>
      <w:lvlText w:val="%8"/>
      <w:lvlJc w:val="left"/>
      <w:pPr>
        <w:ind w:left="540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184C9F02">
      <w:start w:val="1"/>
      <w:numFmt w:val="lowerRoman"/>
      <w:lvlText w:val="%9"/>
      <w:lvlJc w:val="left"/>
      <w:pPr>
        <w:ind w:left="612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num w:numId="1" w16cid:durableId="941567937">
    <w:abstractNumId w:val="14"/>
  </w:num>
  <w:num w:numId="2" w16cid:durableId="127362750">
    <w:abstractNumId w:val="36"/>
  </w:num>
  <w:num w:numId="3" w16cid:durableId="826898158">
    <w:abstractNumId w:val="18"/>
  </w:num>
  <w:num w:numId="4" w16cid:durableId="1228303659">
    <w:abstractNumId w:val="40"/>
  </w:num>
  <w:num w:numId="5" w16cid:durableId="1521629900">
    <w:abstractNumId w:val="31"/>
  </w:num>
  <w:num w:numId="6" w16cid:durableId="557672912">
    <w:abstractNumId w:val="53"/>
  </w:num>
  <w:num w:numId="7" w16cid:durableId="2016760187">
    <w:abstractNumId w:val="4"/>
  </w:num>
  <w:num w:numId="8" w16cid:durableId="1739401506">
    <w:abstractNumId w:val="57"/>
  </w:num>
  <w:num w:numId="9" w16cid:durableId="1535463825">
    <w:abstractNumId w:val="7"/>
  </w:num>
  <w:num w:numId="10" w16cid:durableId="1183012048">
    <w:abstractNumId w:val="3"/>
  </w:num>
  <w:num w:numId="11" w16cid:durableId="2052683346">
    <w:abstractNumId w:val="38"/>
  </w:num>
  <w:num w:numId="12" w16cid:durableId="779688153">
    <w:abstractNumId w:val="62"/>
  </w:num>
  <w:num w:numId="13" w16cid:durableId="658116627">
    <w:abstractNumId w:val="59"/>
  </w:num>
  <w:num w:numId="14" w16cid:durableId="1012999804">
    <w:abstractNumId w:val="26"/>
  </w:num>
  <w:num w:numId="15" w16cid:durableId="810051207">
    <w:abstractNumId w:val="49"/>
  </w:num>
  <w:num w:numId="16" w16cid:durableId="968324096">
    <w:abstractNumId w:val="19"/>
  </w:num>
  <w:num w:numId="17" w16cid:durableId="371881131">
    <w:abstractNumId w:val="56"/>
  </w:num>
  <w:num w:numId="18" w16cid:durableId="1184057665">
    <w:abstractNumId w:val="54"/>
  </w:num>
  <w:num w:numId="19" w16cid:durableId="422920179">
    <w:abstractNumId w:val="32"/>
  </w:num>
  <w:num w:numId="20" w16cid:durableId="920211358">
    <w:abstractNumId w:val="63"/>
  </w:num>
  <w:num w:numId="21" w16cid:durableId="1431048793">
    <w:abstractNumId w:val="39"/>
  </w:num>
  <w:num w:numId="22" w16cid:durableId="63992129">
    <w:abstractNumId w:val="23"/>
  </w:num>
  <w:num w:numId="23" w16cid:durableId="1581021890">
    <w:abstractNumId w:val="21"/>
  </w:num>
  <w:num w:numId="24" w16cid:durableId="41710534">
    <w:abstractNumId w:val="50"/>
  </w:num>
  <w:num w:numId="25" w16cid:durableId="259603640">
    <w:abstractNumId w:val="33"/>
  </w:num>
  <w:num w:numId="26" w16cid:durableId="1476987920">
    <w:abstractNumId w:val="41"/>
  </w:num>
  <w:num w:numId="27" w16cid:durableId="2078741381">
    <w:abstractNumId w:val="46"/>
  </w:num>
  <w:num w:numId="28" w16cid:durableId="1693533774">
    <w:abstractNumId w:val="8"/>
  </w:num>
  <w:num w:numId="29" w16cid:durableId="1178696137">
    <w:abstractNumId w:val="24"/>
  </w:num>
  <w:num w:numId="30" w16cid:durableId="1490556340">
    <w:abstractNumId w:val="2"/>
  </w:num>
  <w:num w:numId="31" w16cid:durableId="364868819">
    <w:abstractNumId w:val="16"/>
  </w:num>
  <w:num w:numId="32" w16cid:durableId="1611358929">
    <w:abstractNumId w:val="34"/>
  </w:num>
  <w:num w:numId="33" w16cid:durableId="599021587">
    <w:abstractNumId w:val="17"/>
  </w:num>
  <w:num w:numId="34" w16cid:durableId="980043611">
    <w:abstractNumId w:val="42"/>
  </w:num>
  <w:num w:numId="35" w16cid:durableId="647784783">
    <w:abstractNumId w:val="44"/>
  </w:num>
  <w:num w:numId="36" w16cid:durableId="1715230571">
    <w:abstractNumId w:val="52"/>
  </w:num>
  <w:num w:numId="37" w16cid:durableId="1189564633">
    <w:abstractNumId w:val="10"/>
  </w:num>
  <w:num w:numId="38" w16cid:durableId="1181047726">
    <w:abstractNumId w:val="61"/>
  </w:num>
  <w:num w:numId="39" w16cid:durableId="1836190887">
    <w:abstractNumId w:val="5"/>
  </w:num>
  <w:num w:numId="40" w16cid:durableId="990518747">
    <w:abstractNumId w:val="20"/>
  </w:num>
  <w:num w:numId="41" w16cid:durableId="1612130489">
    <w:abstractNumId w:val="22"/>
  </w:num>
  <w:num w:numId="42" w16cid:durableId="753935775">
    <w:abstractNumId w:val="25"/>
  </w:num>
  <w:num w:numId="43" w16cid:durableId="1630936023">
    <w:abstractNumId w:val="12"/>
  </w:num>
  <w:num w:numId="44" w16cid:durableId="610631128">
    <w:abstractNumId w:val="51"/>
  </w:num>
  <w:num w:numId="45" w16cid:durableId="205140886">
    <w:abstractNumId w:val="48"/>
  </w:num>
  <w:num w:numId="46" w16cid:durableId="349259874">
    <w:abstractNumId w:val="37"/>
  </w:num>
  <w:num w:numId="47" w16cid:durableId="699208450">
    <w:abstractNumId w:val="45"/>
  </w:num>
  <w:num w:numId="48" w16cid:durableId="218440705">
    <w:abstractNumId w:val="1"/>
  </w:num>
  <w:num w:numId="49" w16cid:durableId="263541637">
    <w:abstractNumId w:val="27"/>
  </w:num>
  <w:num w:numId="50" w16cid:durableId="1065570554">
    <w:abstractNumId w:val="30"/>
  </w:num>
  <w:num w:numId="51" w16cid:durableId="1662389643">
    <w:abstractNumId w:val="13"/>
  </w:num>
  <w:num w:numId="52" w16cid:durableId="1430812275">
    <w:abstractNumId w:val="11"/>
  </w:num>
  <w:num w:numId="53" w16cid:durableId="2042513304">
    <w:abstractNumId w:val="35"/>
  </w:num>
  <w:num w:numId="54" w16cid:durableId="1631935400">
    <w:abstractNumId w:val="28"/>
  </w:num>
  <w:num w:numId="55" w16cid:durableId="1637174852">
    <w:abstractNumId w:val="9"/>
  </w:num>
  <w:num w:numId="56" w16cid:durableId="40401532">
    <w:abstractNumId w:val="58"/>
  </w:num>
  <w:num w:numId="57" w16cid:durableId="386416092">
    <w:abstractNumId w:val="0"/>
  </w:num>
  <w:num w:numId="58" w16cid:durableId="759446651">
    <w:abstractNumId w:val="47"/>
  </w:num>
  <w:num w:numId="59" w16cid:durableId="264308146">
    <w:abstractNumId w:val="6"/>
  </w:num>
  <w:num w:numId="60" w16cid:durableId="549926021">
    <w:abstractNumId w:val="55"/>
  </w:num>
  <w:num w:numId="61" w16cid:durableId="359745553">
    <w:abstractNumId w:val="43"/>
  </w:num>
  <w:num w:numId="62" w16cid:durableId="85925058">
    <w:abstractNumId w:val="60"/>
  </w:num>
  <w:num w:numId="63" w16cid:durableId="1229926393">
    <w:abstractNumId w:val="15"/>
  </w:num>
  <w:num w:numId="64" w16cid:durableId="610824400">
    <w:abstractNumId w:val="2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1D77"/>
    <w:rsid w:val="0000125B"/>
    <w:rsid w:val="000049D6"/>
    <w:rsid w:val="000055AE"/>
    <w:rsid w:val="0001212E"/>
    <w:rsid w:val="000166ED"/>
    <w:rsid w:val="00022B1F"/>
    <w:rsid w:val="00024718"/>
    <w:rsid w:val="00024F4B"/>
    <w:rsid w:val="000252D9"/>
    <w:rsid w:val="00025F14"/>
    <w:rsid w:val="00027916"/>
    <w:rsid w:val="00031A78"/>
    <w:rsid w:val="0003525A"/>
    <w:rsid w:val="0004035A"/>
    <w:rsid w:val="0004152C"/>
    <w:rsid w:val="00041788"/>
    <w:rsid w:val="000420A0"/>
    <w:rsid w:val="00043399"/>
    <w:rsid w:val="00043F7F"/>
    <w:rsid w:val="0004643F"/>
    <w:rsid w:val="00051676"/>
    <w:rsid w:val="00051B48"/>
    <w:rsid w:val="00052B94"/>
    <w:rsid w:val="00052E05"/>
    <w:rsid w:val="0005409C"/>
    <w:rsid w:val="000578B6"/>
    <w:rsid w:val="00057F06"/>
    <w:rsid w:val="00057FE3"/>
    <w:rsid w:val="00063944"/>
    <w:rsid w:val="0006668F"/>
    <w:rsid w:val="000666C3"/>
    <w:rsid w:val="000704F0"/>
    <w:rsid w:val="00071F07"/>
    <w:rsid w:val="0007490E"/>
    <w:rsid w:val="000758E6"/>
    <w:rsid w:val="00076582"/>
    <w:rsid w:val="00082414"/>
    <w:rsid w:val="00083E6C"/>
    <w:rsid w:val="00084633"/>
    <w:rsid w:val="000868D6"/>
    <w:rsid w:val="0009106D"/>
    <w:rsid w:val="00091251"/>
    <w:rsid w:val="00093D8A"/>
    <w:rsid w:val="00094BB6"/>
    <w:rsid w:val="000A21E4"/>
    <w:rsid w:val="000A4BC4"/>
    <w:rsid w:val="000B0DAA"/>
    <w:rsid w:val="000B1B48"/>
    <w:rsid w:val="000B406E"/>
    <w:rsid w:val="000B4BEF"/>
    <w:rsid w:val="000B7386"/>
    <w:rsid w:val="000C1091"/>
    <w:rsid w:val="000C14BE"/>
    <w:rsid w:val="000C440B"/>
    <w:rsid w:val="000C5D1D"/>
    <w:rsid w:val="000C673C"/>
    <w:rsid w:val="000C78FA"/>
    <w:rsid w:val="000D0EDE"/>
    <w:rsid w:val="000D1A07"/>
    <w:rsid w:val="000D2198"/>
    <w:rsid w:val="000D5A65"/>
    <w:rsid w:val="000E46AC"/>
    <w:rsid w:val="000E5D1F"/>
    <w:rsid w:val="000E7DBF"/>
    <w:rsid w:val="000F56CD"/>
    <w:rsid w:val="000F6823"/>
    <w:rsid w:val="000F7D8D"/>
    <w:rsid w:val="00101113"/>
    <w:rsid w:val="00103089"/>
    <w:rsid w:val="0010377D"/>
    <w:rsid w:val="00104B06"/>
    <w:rsid w:val="00105E39"/>
    <w:rsid w:val="00107099"/>
    <w:rsid w:val="001079E7"/>
    <w:rsid w:val="001103FD"/>
    <w:rsid w:val="001134EC"/>
    <w:rsid w:val="00115001"/>
    <w:rsid w:val="00115208"/>
    <w:rsid w:val="00115422"/>
    <w:rsid w:val="0012163A"/>
    <w:rsid w:val="0012190C"/>
    <w:rsid w:val="00121BC9"/>
    <w:rsid w:val="00131EA6"/>
    <w:rsid w:val="001335DC"/>
    <w:rsid w:val="00135998"/>
    <w:rsid w:val="00137386"/>
    <w:rsid w:val="001408E2"/>
    <w:rsid w:val="0014292E"/>
    <w:rsid w:val="00143596"/>
    <w:rsid w:val="001472E9"/>
    <w:rsid w:val="00150B83"/>
    <w:rsid w:val="00151B75"/>
    <w:rsid w:val="0015419F"/>
    <w:rsid w:val="00154B83"/>
    <w:rsid w:val="001629DA"/>
    <w:rsid w:val="00170A1F"/>
    <w:rsid w:val="00173D95"/>
    <w:rsid w:val="001745D1"/>
    <w:rsid w:val="00185112"/>
    <w:rsid w:val="00185D51"/>
    <w:rsid w:val="001909D5"/>
    <w:rsid w:val="001922DE"/>
    <w:rsid w:val="0019235F"/>
    <w:rsid w:val="00192387"/>
    <w:rsid w:val="00195BD6"/>
    <w:rsid w:val="001979F9"/>
    <w:rsid w:val="001A0E11"/>
    <w:rsid w:val="001A21E1"/>
    <w:rsid w:val="001A22BB"/>
    <w:rsid w:val="001A33ED"/>
    <w:rsid w:val="001A3EF5"/>
    <w:rsid w:val="001A456C"/>
    <w:rsid w:val="001A52EB"/>
    <w:rsid w:val="001A5772"/>
    <w:rsid w:val="001A65EE"/>
    <w:rsid w:val="001B3D0A"/>
    <w:rsid w:val="001B5882"/>
    <w:rsid w:val="001B6BD0"/>
    <w:rsid w:val="001B74AB"/>
    <w:rsid w:val="001C30B1"/>
    <w:rsid w:val="001C3AFB"/>
    <w:rsid w:val="001C4247"/>
    <w:rsid w:val="001C4760"/>
    <w:rsid w:val="001C4AF4"/>
    <w:rsid w:val="001C4DDA"/>
    <w:rsid w:val="001D2A67"/>
    <w:rsid w:val="001D4DF0"/>
    <w:rsid w:val="001E0100"/>
    <w:rsid w:val="001E16AF"/>
    <w:rsid w:val="001E64DF"/>
    <w:rsid w:val="001F0FE8"/>
    <w:rsid w:val="001F1295"/>
    <w:rsid w:val="001F2C51"/>
    <w:rsid w:val="001F63DB"/>
    <w:rsid w:val="00206982"/>
    <w:rsid w:val="00214E52"/>
    <w:rsid w:val="00220A19"/>
    <w:rsid w:val="0022123D"/>
    <w:rsid w:val="00230903"/>
    <w:rsid w:val="00230D00"/>
    <w:rsid w:val="002374EE"/>
    <w:rsid w:val="00237E07"/>
    <w:rsid w:val="00240444"/>
    <w:rsid w:val="002414C8"/>
    <w:rsid w:val="002414EF"/>
    <w:rsid w:val="00241E7E"/>
    <w:rsid w:val="00243559"/>
    <w:rsid w:val="00246678"/>
    <w:rsid w:val="00250557"/>
    <w:rsid w:val="00251942"/>
    <w:rsid w:val="00251B39"/>
    <w:rsid w:val="00251B88"/>
    <w:rsid w:val="00254CE1"/>
    <w:rsid w:val="00260E0F"/>
    <w:rsid w:val="00262475"/>
    <w:rsid w:val="00263290"/>
    <w:rsid w:val="0026415E"/>
    <w:rsid w:val="00264FEF"/>
    <w:rsid w:val="00265E7A"/>
    <w:rsid w:val="00267FC5"/>
    <w:rsid w:val="00273C0C"/>
    <w:rsid w:val="00274508"/>
    <w:rsid w:val="00275010"/>
    <w:rsid w:val="00275407"/>
    <w:rsid w:val="0028242F"/>
    <w:rsid w:val="00282F1C"/>
    <w:rsid w:val="00283693"/>
    <w:rsid w:val="00290987"/>
    <w:rsid w:val="0029200C"/>
    <w:rsid w:val="00292EC4"/>
    <w:rsid w:val="00297340"/>
    <w:rsid w:val="002A214C"/>
    <w:rsid w:val="002A28A4"/>
    <w:rsid w:val="002A7E06"/>
    <w:rsid w:val="002B00AF"/>
    <w:rsid w:val="002B0361"/>
    <w:rsid w:val="002B6EAC"/>
    <w:rsid w:val="002B76E5"/>
    <w:rsid w:val="002C0415"/>
    <w:rsid w:val="002C10E1"/>
    <w:rsid w:val="002C1D56"/>
    <w:rsid w:val="002C53D2"/>
    <w:rsid w:val="002C7985"/>
    <w:rsid w:val="002D1536"/>
    <w:rsid w:val="002D4D20"/>
    <w:rsid w:val="002D7966"/>
    <w:rsid w:val="002E6039"/>
    <w:rsid w:val="002E7013"/>
    <w:rsid w:val="002F6E22"/>
    <w:rsid w:val="002F7580"/>
    <w:rsid w:val="0030178C"/>
    <w:rsid w:val="0030194A"/>
    <w:rsid w:val="00301A5A"/>
    <w:rsid w:val="00302236"/>
    <w:rsid w:val="003032FF"/>
    <w:rsid w:val="00312DC1"/>
    <w:rsid w:val="00316CF0"/>
    <w:rsid w:val="0031717E"/>
    <w:rsid w:val="003202AB"/>
    <w:rsid w:val="00322361"/>
    <w:rsid w:val="00323486"/>
    <w:rsid w:val="00323741"/>
    <w:rsid w:val="0032415F"/>
    <w:rsid w:val="00326031"/>
    <w:rsid w:val="003272D4"/>
    <w:rsid w:val="00331053"/>
    <w:rsid w:val="0033180D"/>
    <w:rsid w:val="00332029"/>
    <w:rsid w:val="003325CD"/>
    <w:rsid w:val="0033293E"/>
    <w:rsid w:val="003355C1"/>
    <w:rsid w:val="00340C21"/>
    <w:rsid w:val="00343A77"/>
    <w:rsid w:val="003449D2"/>
    <w:rsid w:val="00346F75"/>
    <w:rsid w:val="00353634"/>
    <w:rsid w:val="00355622"/>
    <w:rsid w:val="0035787B"/>
    <w:rsid w:val="0035795F"/>
    <w:rsid w:val="00362D58"/>
    <w:rsid w:val="00367149"/>
    <w:rsid w:val="003702B6"/>
    <w:rsid w:val="0037135B"/>
    <w:rsid w:val="00371483"/>
    <w:rsid w:val="00372D5F"/>
    <w:rsid w:val="003748F3"/>
    <w:rsid w:val="00381FDB"/>
    <w:rsid w:val="00382D82"/>
    <w:rsid w:val="0038477B"/>
    <w:rsid w:val="00384DAA"/>
    <w:rsid w:val="00396329"/>
    <w:rsid w:val="00396C7C"/>
    <w:rsid w:val="003A099D"/>
    <w:rsid w:val="003A2847"/>
    <w:rsid w:val="003A3BC9"/>
    <w:rsid w:val="003A75C3"/>
    <w:rsid w:val="003B0D09"/>
    <w:rsid w:val="003B1244"/>
    <w:rsid w:val="003B358C"/>
    <w:rsid w:val="003B4222"/>
    <w:rsid w:val="003B4D4F"/>
    <w:rsid w:val="003C1533"/>
    <w:rsid w:val="003C5782"/>
    <w:rsid w:val="003C5C26"/>
    <w:rsid w:val="003D6202"/>
    <w:rsid w:val="003D638A"/>
    <w:rsid w:val="003E0716"/>
    <w:rsid w:val="003E6A41"/>
    <w:rsid w:val="00402545"/>
    <w:rsid w:val="00404196"/>
    <w:rsid w:val="00407763"/>
    <w:rsid w:val="004105E3"/>
    <w:rsid w:val="0041166C"/>
    <w:rsid w:val="004118A5"/>
    <w:rsid w:val="00413059"/>
    <w:rsid w:val="00416F70"/>
    <w:rsid w:val="00421419"/>
    <w:rsid w:val="00421BBC"/>
    <w:rsid w:val="00427F6A"/>
    <w:rsid w:val="004333BB"/>
    <w:rsid w:val="004408FB"/>
    <w:rsid w:val="00440B7C"/>
    <w:rsid w:val="00441302"/>
    <w:rsid w:val="00441700"/>
    <w:rsid w:val="004420B3"/>
    <w:rsid w:val="00442B42"/>
    <w:rsid w:val="004446DD"/>
    <w:rsid w:val="004458B4"/>
    <w:rsid w:val="00445D58"/>
    <w:rsid w:val="00445FFE"/>
    <w:rsid w:val="00446385"/>
    <w:rsid w:val="00450BE6"/>
    <w:rsid w:val="0045125C"/>
    <w:rsid w:val="004538FC"/>
    <w:rsid w:val="00454DAF"/>
    <w:rsid w:val="004556B9"/>
    <w:rsid w:val="00455C73"/>
    <w:rsid w:val="00455CD5"/>
    <w:rsid w:val="00457264"/>
    <w:rsid w:val="004578E1"/>
    <w:rsid w:val="0046460E"/>
    <w:rsid w:val="00466F1F"/>
    <w:rsid w:val="00467740"/>
    <w:rsid w:val="00471A37"/>
    <w:rsid w:val="00471B84"/>
    <w:rsid w:val="00473092"/>
    <w:rsid w:val="00473BCA"/>
    <w:rsid w:val="004750BA"/>
    <w:rsid w:val="0048506B"/>
    <w:rsid w:val="00485CF3"/>
    <w:rsid w:val="0048610C"/>
    <w:rsid w:val="00487019"/>
    <w:rsid w:val="004915A6"/>
    <w:rsid w:val="004924CA"/>
    <w:rsid w:val="004936D5"/>
    <w:rsid w:val="004943CA"/>
    <w:rsid w:val="00497E20"/>
    <w:rsid w:val="004A42D1"/>
    <w:rsid w:val="004A4A09"/>
    <w:rsid w:val="004A529D"/>
    <w:rsid w:val="004A5EE8"/>
    <w:rsid w:val="004B3416"/>
    <w:rsid w:val="004B454E"/>
    <w:rsid w:val="004B62C8"/>
    <w:rsid w:val="004B7C42"/>
    <w:rsid w:val="004C07AC"/>
    <w:rsid w:val="004C0A80"/>
    <w:rsid w:val="004C292F"/>
    <w:rsid w:val="004C3A37"/>
    <w:rsid w:val="004C3B53"/>
    <w:rsid w:val="004C45A3"/>
    <w:rsid w:val="004C79A1"/>
    <w:rsid w:val="004D0BDE"/>
    <w:rsid w:val="004D1706"/>
    <w:rsid w:val="004D2345"/>
    <w:rsid w:val="004D2FE1"/>
    <w:rsid w:val="004E0AAE"/>
    <w:rsid w:val="004E0BBA"/>
    <w:rsid w:val="004E3301"/>
    <w:rsid w:val="004E3836"/>
    <w:rsid w:val="004E41E3"/>
    <w:rsid w:val="004E52B9"/>
    <w:rsid w:val="004E53BA"/>
    <w:rsid w:val="004E6B9A"/>
    <w:rsid w:val="004F684D"/>
    <w:rsid w:val="00501FC9"/>
    <w:rsid w:val="00502B19"/>
    <w:rsid w:val="00505C83"/>
    <w:rsid w:val="005071D9"/>
    <w:rsid w:val="00510356"/>
    <w:rsid w:val="005161A1"/>
    <w:rsid w:val="00523B65"/>
    <w:rsid w:val="00526A01"/>
    <w:rsid w:val="00526CE1"/>
    <w:rsid w:val="0052730F"/>
    <w:rsid w:val="00530697"/>
    <w:rsid w:val="0053272F"/>
    <w:rsid w:val="00533916"/>
    <w:rsid w:val="00535C81"/>
    <w:rsid w:val="005412D8"/>
    <w:rsid w:val="00541DC1"/>
    <w:rsid w:val="00542361"/>
    <w:rsid w:val="0054584F"/>
    <w:rsid w:val="00545CE5"/>
    <w:rsid w:val="0054617D"/>
    <w:rsid w:val="00551EDA"/>
    <w:rsid w:val="00553F84"/>
    <w:rsid w:val="0055618D"/>
    <w:rsid w:val="0056028A"/>
    <w:rsid w:val="005637A6"/>
    <w:rsid w:val="00564820"/>
    <w:rsid w:val="005659AB"/>
    <w:rsid w:val="00565A22"/>
    <w:rsid w:val="00565EF3"/>
    <w:rsid w:val="00570AF8"/>
    <w:rsid w:val="005756DB"/>
    <w:rsid w:val="00582C99"/>
    <w:rsid w:val="0058596D"/>
    <w:rsid w:val="005864F3"/>
    <w:rsid w:val="00592CFA"/>
    <w:rsid w:val="00593970"/>
    <w:rsid w:val="00593EBF"/>
    <w:rsid w:val="00594287"/>
    <w:rsid w:val="005972F6"/>
    <w:rsid w:val="00597371"/>
    <w:rsid w:val="005978F2"/>
    <w:rsid w:val="005A16CA"/>
    <w:rsid w:val="005A28D1"/>
    <w:rsid w:val="005A67BA"/>
    <w:rsid w:val="005A6D8A"/>
    <w:rsid w:val="005B23EF"/>
    <w:rsid w:val="005B4002"/>
    <w:rsid w:val="005B4556"/>
    <w:rsid w:val="005C1104"/>
    <w:rsid w:val="005C382F"/>
    <w:rsid w:val="005C5627"/>
    <w:rsid w:val="005D0470"/>
    <w:rsid w:val="005D04B0"/>
    <w:rsid w:val="005D7BF1"/>
    <w:rsid w:val="005E0D28"/>
    <w:rsid w:val="005E2E95"/>
    <w:rsid w:val="005E3C25"/>
    <w:rsid w:val="005F0505"/>
    <w:rsid w:val="005F0B76"/>
    <w:rsid w:val="005F0F82"/>
    <w:rsid w:val="005F1DEE"/>
    <w:rsid w:val="005F3B14"/>
    <w:rsid w:val="005F40D2"/>
    <w:rsid w:val="00601F7E"/>
    <w:rsid w:val="00604559"/>
    <w:rsid w:val="006070A6"/>
    <w:rsid w:val="006125E6"/>
    <w:rsid w:val="006133D1"/>
    <w:rsid w:val="00613CAC"/>
    <w:rsid w:val="00616F4B"/>
    <w:rsid w:val="00617D86"/>
    <w:rsid w:val="00620000"/>
    <w:rsid w:val="00620EC6"/>
    <w:rsid w:val="00623CC3"/>
    <w:rsid w:val="00624B43"/>
    <w:rsid w:val="00627B80"/>
    <w:rsid w:val="00634D18"/>
    <w:rsid w:val="00635DED"/>
    <w:rsid w:val="00636929"/>
    <w:rsid w:val="006409A4"/>
    <w:rsid w:val="00646BAC"/>
    <w:rsid w:val="00647113"/>
    <w:rsid w:val="00650E33"/>
    <w:rsid w:val="00651AAE"/>
    <w:rsid w:val="00653E72"/>
    <w:rsid w:val="006563D1"/>
    <w:rsid w:val="006575D3"/>
    <w:rsid w:val="00662809"/>
    <w:rsid w:val="006655DB"/>
    <w:rsid w:val="0066619E"/>
    <w:rsid w:val="00671BB9"/>
    <w:rsid w:val="00673F4C"/>
    <w:rsid w:val="0068286E"/>
    <w:rsid w:val="00682A22"/>
    <w:rsid w:val="00682ECE"/>
    <w:rsid w:val="00684314"/>
    <w:rsid w:val="00684760"/>
    <w:rsid w:val="0068494D"/>
    <w:rsid w:val="006922B2"/>
    <w:rsid w:val="00692508"/>
    <w:rsid w:val="00692926"/>
    <w:rsid w:val="00693B8C"/>
    <w:rsid w:val="00693DC4"/>
    <w:rsid w:val="006972A1"/>
    <w:rsid w:val="00697A9B"/>
    <w:rsid w:val="006A0009"/>
    <w:rsid w:val="006A11D7"/>
    <w:rsid w:val="006A26FB"/>
    <w:rsid w:val="006A2AC5"/>
    <w:rsid w:val="006A38A1"/>
    <w:rsid w:val="006A441D"/>
    <w:rsid w:val="006A4AAB"/>
    <w:rsid w:val="006A4D3D"/>
    <w:rsid w:val="006A7F87"/>
    <w:rsid w:val="006B11EC"/>
    <w:rsid w:val="006B22D9"/>
    <w:rsid w:val="006B686D"/>
    <w:rsid w:val="006C05F3"/>
    <w:rsid w:val="006C0675"/>
    <w:rsid w:val="006C1400"/>
    <w:rsid w:val="006C1D74"/>
    <w:rsid w:val="006C2885"/>
    <w:rsid w:val="006C6674"/>
    <w:rsid w:val="006C737C"/>
    <w:rsid w:val="006D35C1"/>
    <w:rsid w:val="006D57F0"/>
    <w:rsid w:val="006D5E93"/>
    <w:rsid w:val="006E41C1"/>
    <w:rsid w:val="006E4FF7"/>
    <w:rsid w:val="006F68F9"/>
    <w:rsid w:val="006F70C1"/>
    <w:rsid w:val="00701066"/>
    <w:rsid w:val="007027AD"/>
    <w:rsid w:val="00705DC4"/>
    <w:rsid w:val="00706645"/>
    <w:rsid w:val="0071031C"/>
    <w:rsid w:val="00711132"/>
    <w:rsid w:val="00712003"/>
    <w:rsid w:val="007123F7"/>
    <w:rsid w:val="00714463"/>
    <w:rsid w:val="007144F3"/>
    <w:rsid w:val="00714F2D"/>
    <w:rsid w:val="00717251"/>
    <w:rsid w:val="00720E6F"/>
    <w:rsid w:val="007218F5"/>
    <w:rsid w:val="00730309"/>
    <w:rsid w:val="00732AD1"/>
    <w:rsid w:val="00733886"/>
    <w:rsid w:val="00733BA7"/>
    <w:rsid w:val="00736679"/>
    <w:rsid w:val="00737088"/>
    <w:rsid w:val="00740CBA"/>
    <w:rsid w:val="00741EC9"/>
    <w:rsid w:val="007446E9"/>
    <w:rsid w:val="007508E7"/>
    <w:rsid w:val="007519D0"/>
    <w:rsid w:val="00751EFA"/>
    <w:rsid w:val="007536A9"/>
    <w:rsid w:val="00754585"/>
    <w:rsid w:val="00755D06"/>
    <w:rsid w:val="0075613B"/>
    <w:rsid w:val="007566F3"/>
    <w:rsid w:val="00756D7E"/>
    <w:rsid w:val="00765898"/>
    <w:rsid w:val="00765E7F"/>
    <w:rsid w:val="00766EDB"/>
    <w:rsid w:val="00767C67"/>
    <w:rsid w:val="00771B26"/>
    <w:rsid w:val="00772C3C"/>
    <w:rsid w:val="00773536"/>
    <w:rsid w:val="0077380B"/>
    <w:rsid w:val="00775BD9"/>
    <w:rsid w:val="007773E8"/>
    <w:rsid w:val="0078275C"/>
    <w:rsid w:val="00784CC3"/>
    <w:rsid w:val="00790888"/>
    <w:rsid w:val="00791691"/>
    <w:rsid w:val="00791C53"/>
    <w:rsid w:val="007A2515"/>
    <w:rsid w:val="007A6676"/>
    <w:rsid w:val="007A6FF7"/>
    <w:rsid w:val="007B21B4"/>
    <w:rsid w:val="007B64A6"/>
    <w:rsid w:val="007B6F2F"/>
    <w:rsid w:val="007B7907"/>
    <w:rsid w:val="007C09D3"/>
    <w:rsid w:val="007C371C"/>
    <w:rsid w:val="007C3803"/>
    <w:rsid w:val="007C38C3"/>
    <w:rsid w:val="007C4EE6"/>
    <w:rsid w:val="007C6704"/>
    <w:rsid w:val="007C680D"/>
    <w:rsid w:val="007C7557"/>
    <w:rsid w:val="007D0721"/>
    <w:rsid w:val="007D2236"/>
    <w:rsid w:val="007D3B2A"/>
    <w:rsid w:val="007E0AEE"/>
    <w:rsid w:val="007E0D98"/>
    <w:rsid w:val="007E4B32"/>
    <w:rsid w:val="007E6A38"/>
    <w:rsid w:val="007F3538"/>
    <w:rsid w:val="007F3DA8"/>
    <w:rsid w:val="007F5132"/>
    <w:rsid w:val="007F603C"/>
    <w:rsid w:val="00801955"/>
    <w:rsid w:val="00802CD5"/>
    <w:rsid w:val="00803586"/>
    <w:rsid w:val="00810B44"/>
    <w:rsid w:val="0081169F"/>
    <w:rsid w:val="00814EA5"/>
    <w:rsid w:val="00815FCD"/>
    <w:rsid w:val="00827B36"/>
    <w:rsid w:val="00832F03"/>
    <w:rsid w:val="00833B17"/>
    <w:rsid w:val="00834DF2"/>
    <w:rsid w:val="00835223"/>
    <w:rsid w:val="0083653C"/>
    <w:rsid w:val="008367EA"/>
    <w:rsid w:val="008376F8"/>
    <w:rsid w:val="00837E65"/>
    <w:rsid w:val="0084016D"/>
    <w:rsid w:val="0084473D"/>
    <w:rsid w:val="00844E05"/>
    <w:rsid w:val="00846360"/>
    <w:rsid w:val="008470BC"/>
    <w:rsid w:val="008502D9"/>
    <w:rsid w:val="00854119"/>
    <w:rsid w:val="00855E2F"/>
    <w:rsid w:val="00857DB7"/>
    <w:rsid w:val="008611B6"/>
    <w:rsid w:val="00863B46"/>
    <w:rsid w:val="0086411A"/>
    <w:rsid w:val="008667A8"/>
    <w:rsid w:val="00870C6F"/>
    <w:rsid w:val="00872932"/>
    <w:rsid w:val="00874CEE"/>
    <w:rsid w:val="00874FC3"/>
    <w:rsid w:val="00875150"/>
    <w:rsid w:val="0087753B"/>
    <w:rsid w:val="008833FF"/>
    <w:rsid w:val="00886496"/>
    <w:rsid w:val="00890590"/>
    <w:rsid w:val="00892663"/>
    <w:rsid w:val="0089462A"/>
    <w:rsid w:val="00894BF1"/>
    <w:rsid w:val="0089541D"/>
    <w:rsid w:val="008955D8"/>
    <w:rsid w:val="008A1F33"/>
    <w:rsid w:val="008A31EF"/>
    <w:rsid w:val="008B05B4"/>
    <w:rsid w:val="008B0D2F"/>
    <w:rsid w:val="008B2281"/>
    <w:rsid w:val="008B3832"/>
    <w:rsid w:val="008B608A"/>
    <w:rsid w:val="008C0455"/>
    <w:rsid w:val="008C1851"/>
    <w:rsid w:val="008C428A"/>
    <w:rsid w:val="008C4FCC"/>
    <w:rsid w:val="008C54DA"/>
    <w:rsid w:val="008C76C8"/>
    <w:rsid w:val="008D724A"/>
    <w:rsid w:val="008E0A3C"/>
    <w:rsid w:val="008E5A5D"/>
    <w:rsid w:val="008E70CE"/>
    <w:rsid w:val="008F65EC"/>
    <w:rsid w:val="008F72BE"/>
    <w:rsid w:val="0090090A"/>
    <w:rsid w:val="00901678"/>
    <w:rsid w:val="00907CC8"/>
    <w:rsid w:val="00907E71"/>
    <w:rsid w:val="0091191D"/>
    <w:rsid w:val="00912524"/>
    <w:rsid w:val="00915EEE"/>
    <w:rsid w:val="00916577"/>
    <w:rsid w:val="00916E78"/>
    <w:rsid w:val="009203D4"/>
    <w:rsid w:val="00921C41"/>
    <w:rsid w:val="00922012"/>
    <w:rsid w:val="009237C8"/>
    <w:rsid w:val="009258DE"/>
    <w:rsid w:val="0093102C"/>
    <w:rsid w:val="009326DE"/>
    <w:rsid w:val="00933865"/>
    <w:rsid w:val="00933900"/>
    <w:rsid w:val="00935274"/>
    <w:rsid w:val="00935C0D"/>
    <w:rsid w:val="00935EE0"/>
    <w:rsid w:val="009363D4"/>
    <w:rsid w:val="009416C4"/>
    <w:rsid w:val="0094370F"/>
    <w:rsid w:val="00945D72"/>
    <w:rsid w:val="00950458"/>
    <w:rsid w:val="00955815"/>
    <w:rsid w:val="00956CB2"/>
    <w:rsid w:val="00961B95"/>
    <w:rsid w:val="00970D29"/>
    <w:rsid w:val="0097270C"/>
    <w:rsid w:val="009801D5"/>
    <w:rsid w:val="00980D6A"/>
    <w:rsid w:val="0098146E"/>
    <w:rsid w:val="00981CD8"/>
    <w:rsid w:val="00981DAB"/>
    <w:rsid w:val="00985DDB"/>
    <w:rsid w:val="009867B4"/>
    <w:rsid w:val="00987B7D"/>
    <w:rsid w:val="0099042A"/>
    <w:rsid w:val="009944FB"/>
    <w:rsid w:val="00994581"/>
    <w:rsid w:val="009959A2"/>
    <w:rsid w:val="0099610A"/>
    <w:rsid w:val="009973F0"/>
    <w:rsid w:val="009A266D"/>
    <w:rsid w:val="009A3F05"/>
    <w:rsid w:val="009A5818"/>
    <w:rsid w:val="009A6EAF"/>
    <w:rsid w:val="009B2A08"/>
    <w:rsid w:val="009B581C"/>
    <w:rsid w:val="009C0EDB"/>
    <w:rsid w:val="009C214E"/>
    <w:rsid w:val="009C2213"/>
    <w:rsid w:val="009C2918"/>
    <w:rsid w:val="009C54BC"/>
    <w:rsid w:val="009C5E43"/>
    <w:rsid w:val="009D124D"/>
    <w:rsid w:val="009D13B6"/>
    <w:rsid w:val="009D3135"/>
    <w:rsid w:val="009D4888"/>
    <w:rsid w:val="009D67E8"/>
    <w:rsid w:val="009D7696"/>
    <w:rsid w:val="009E0B5B"/>
    <w:rsid w:val="009E28C6"/>
    <w:rsid w:val="009E2C62"/>
    <w:rsid w:val="009E3477"/>
    <w:rsid w:val="009E3815"/>
    <w:rsid w:val="009E472C"/>
    <w:rsid w:val="009E5C5D"/>
    <w:rsid w:val="009E5F92"/>
    <w:rsid w:val="009E5FDA"/>
    <w:rsid w:val="009E7DAE"/>
    <w:rsid w:val="009E7F5B"/>
    <w:rsid w:val="009F084E"/>
    <w:rsid w:val="009F1042"/>
    <w:rsid w:val="009F1093"/>
    <w:rsid w:val="00A045DF"/>
    <w:rsid w:val="00A07C5B"/>
    <w:rsid w:val="00A10581"/>
    <w:rsid w:val="00A118BA"/>
    <w:rsid w:val="00A1792E"/>
    <w:rsid w:val="00A21956"/>
    <w:rsid w:val="00A25848"/>
    <w:rsid w:val="00A25947"/>
    <w:rsid w:val="00A30325"/>
    <w:rsid w:val="00A32C13"/>
    <w:rsid w:val="00A33535"/>
    <w:rsid w:val="00A35C48"/>
    <w:rsid w:val="00A36DBC"/>
    <w:rsid w:val="00A404FF"/>
    <w:rsid w:val="00A40F78"/>
    <w:rsid w:val="00A4245F"/>
    <w:rsid w:val="00A43239"/>
    <w:rsid w:val="00A46A8A"/>
    <w:rsid w:val="00A50F02"/>
    <w:rsid w:val="00A51019"/>
    <w:rsid w:val="00A5122F"/>
    <w:rsid w:val="00A550D9"/>
    <w:rsid w:val="00A55B04"/>
    <w:rsid w:val="00A55BF9"/>
    <w:rsid w:val="00A56081"/>
    <w:rsid w:val="00A62CAB"/>
    <w:rsid w:val="00A63266"/>
    <w:rsid w:val="00A6341E"/>
    <w:rsid w:val="00A6358E"/>
    <w:rsid w:val="00A65A8E"/>
    <w:rsid w:val="00A67A3D"/>
    <w:rsid w:val="00A704E8"/>
    <w:rsid w:val="00A7084C"/>
    <w:rsid w:val="00A70D6C"/>
    <w:rsid w:val="00A716E5"/>
    <w:rsid w:val="00A751BB"/>
    <w:rsid w:val="00A75D0C"/>
    <w:rsid w:val="00A76EFC"/>
    <w:rsid w:val="00A770D4"/>
    <w:rsid w:val="00A81D5D"/>
    <w:rsid w:val="00A83E7A"/>
    <w:rsid w:val="00A8451D"/>
    <w:rsid w:val="00A914FC"/>
    <w:rsid w:val="00AA00E4"/>
    <w:rsid w:val="00AA16B5"/>
    <w:rsid w:val="00AA213C"/>
    <w:rsid w:val="00AA30A0"/>
    <w:rsid w:val="00AA5E7B"/>
    <w:rsid w:val="00AA71D6"/>
    <w:rsid w:val="00AB079E"/>
    <w:rsid w:val="00AB40E2"/>
    <w:rsid w:val="00AC160C"/>
    <w:rsid w:val="00AC2D19"/>
    <w:rsid w:val="00AC7F6A"/>
    <w:rsid w:val="00AD6539"/>
    <w:rsid w:val="00AD7520"/>
    <w:rsid w:val="00AE2BCA"/>
    <w:rsid w:val="00AE2D67"/>
    <w:rsid w:val="00AE5F99"/>
    <w:rsid w:val="00AE6A24"/>
    <w:rsid w:val="00AF0F9D"/>
    <w:rsid w:val="00AF106E"/>
    <w:rsid w:val="00AF12D8"/>
    <w:rsid w:val="00AF6349"/>
    <w:rsid w:val="00AF66BA"/>
    <w:rsid w:val="00B04A14"/>
    <w:rsid w:val="00B0536F"/>
    <w:rsid w:val="00B0609E"/>
    <w:rsid w:val="00B0616C"/>
    <w:rsid w:val="00B12446"/>
    <w:rsid w:val="00B12677"/>
    <w:rsid w:val="00B12E27"/>
    <w:rsid w:val="00B1363F"/>
    <w:rsid w:val="00B13855"/>
    <w:rsid w:val="00B155FC"/>
    <w:rsid w:val="00B17319"/>
    <w:rsid w:val="00B17DA7"/>
    <w:rsid w:val="00B22636"/>
    <w:rsid w:val="00B312E0"/>
    <w:rsid w:val="00B32F58"/>
    <w:rsid w:val="00B361AE"/>
    <w:rsid w:val="00B3760A"/>
    <w:rsid w:val="00B42BC4"/>
    <w:rsid w:val="00B42FDA"/>
    <w:rsid w:val="00B43B7E"/>
    <w:rsid w:val="00B45138"/>
    <w:rsid w:val="00B45462"/>
    <w:rsid w:val="00B50435"/>
    <w:rsid w:val="00B515AD"/>
    <w:rsid w:val="00B531A7"/>
    <w:rsid w:val="00B53DBC"/>
    <w:rsid w:val="00B564B5"/>
    <w:rsid w:val="00B6070E"/>
    <w:rsid w:val="00B60B2E"/>
    <w:rsid w:val="00B621FA"/>
    <w:rsid w:val="00B64290"/>
    <w:rsid w:val="00B64E45"/>
    <w:rsid w:val="00B65A1C"/>
    <w:rsid w:val="00B664ED"/>
    <w:rsid w:val="00B675B7"/>
    <w:rsid w:val="00B704EA"/>
    <w:rsid w:val="00B727A2"/>
    <w:rsid w:val="00B7320D"/>
    <w:rsid w:val="00B74F9B"/>
    <w:rsid w:val="00B750EA"/>
    <w:rsid w:val="00B8118F"/>
    <w:rsid w:val="00B82742"/>
    <w:rsid w:val="00B83A7B"/>
    <w:rsid w:val="00B84326"/>
    <w:rsid w:val="00B84B8E"/>
    <w:rsid w:val="00B8571B"/>
    <w:rsid w:val="00B90F75"/>
    <w:rsid w:val="00B93CFB"/>
    <w:rsid w:val="00B93E4E"/>
    <w:rsid w:val="00B947E4"/>
    <w:rsid w:val="00B97371"/>
    <w:rsid w:val="00BA075B"/>
    <w:rsid w:val="00BA3106"/>
    <w:rsid w:val="00BA4822"/>
    <w:rsid w:val="00BB20B3"/>
    <w:rsid w:val="00BB5B91"/>
    <w:rsid w:val="00BC0A0D"/>
    <w:rsid w:val="00BC5139"/>
    <w:rsid w:val="00BC7B77"/>
    <w:rsid w:val="00BD1D87"/>
    <w:rsid w:val="00BD33A2"/>
    <w:rsid w:val="00BD3494"/>
    <w:rsid w:val="00BE0ACF"/>
    <w:rsid w:val="00BE505A"/>
    <w:rsid w:val="00BE505B"/>
    <w:rsid w:val="00BE5F9F"/>
    <w:rsid w:val="00BF58AD"/>
    <w:rsid w:val="00BF6514"/>
    <w:rsid w:val="00BF7EE4"/>
    <w:rsid w:val="00C00909"/>
    <w:rsid w:val="00C022F0"/>
    <w:rsid w:val="00C035F9"/>
    <w:rsid w:val="00C063CE"/>
    <w:rsid w:val="00C12F43"/>
    <w:rsid w:val="00C14064"/>
    <w:rsid w:val="00C1448A"/>
    <w:rsid w:val="00C14D15"/>
    <w:rsid w:val="00C175EC"/>
    <w:rsid w:val="00C21E7C"/>
    <w:rsid w:val="00C21F1E"/>
    <w:rsid w:val="00C22739"/>
    <w:rsid w:val="00C24E33"/>
    <w:rsid w:val="00C26FE1"/>
    <w:rsid w:val="00C27844"/>
    <w:rsid w:val="00C314E2"/>
    <w:rsid w:val="00C3190F"/>
    <w:rsid w:val="00C329AA"/>
    <w:rsid w:val="00C33566"/>
    <w:rsid w:val="00C33F4C"/>
    <w:rsid w:val="00C350A5"/>
    <w:rsid w:val="00C362F9"/>
    <w:rsid w:val="00C36DAD"/>
    <w:rsid w:val="00C41D05"/>
    <w:rsid w:val="00C42B5E"/>
    <w:rsid w:val="00C43838"/>
    <w:rsid w:val="00C45563"/>
    <w:rsid w:val="00C45CD5"/>
    <w:rsid w:val="00C50C17"/>
    <w:rsid w:val="00C52989"/>
    <w:rsid w:val="00C52FE0"/>
    <w:rsid w:val="00C53045"/>
    <w:rsid w:val="00C53703"/>
    <w:rsid w:val="00C537C8"/>
    <w:rsid w:val="00C53C2D"/>
    <w:rsid w:val="00C55962"/>
    <w:rsid w:val="00C571C8"/>
    <w:rsid w:val="00C576DC"/>
    <w:rsid w:val="00C601E8"/>
    <w:rsid w:val="00C61B8D"/>
    <w:rsid w:val="00C64096"/>
    <w:rsid w:val="00C647EA"/>
    <w:rsid w:val="00C64E96"/>
    <w:rsid w:val="00C65BE6"/>
    <w:rsid w:val="00C7151B"/>
    <w:rsid w:val="00C776B3"/>
    <w:rsid w:val="00C7784A"/>
    <w:rsid w:val="00C810BC"/>
    <w:rsid w:val="00C849BB"/>
    <w:rsid w:val="00C8734B"/>
    <w:rsid w:val="00C948F4"/>
    <w:rsid w:val="00C97C5E"/>
    <w:rsid w:val="00CA07F9"/>
    <w:rsid w:val="00CA3506"/>
    <w:rsid w:val="00CA437C"/>
    <w:rsid w:val="00CA54C2"/>
    <w:rsid w:val="00CB6AA3"/>
    <w:rsid w:val="00CC02A8"/>
    <w:rsid w:val="00CC2143"/>
    <w:rsid w:val="00CC2C18"/>
    <w:rsid w:val="00CC6C19"/>
    <w:rsid w:val="00CC703F"/>
    <w:rsid w:val="00CD2B67"/>
    <w:rsid w:val="00CD583F"/>
    <w:rsid w:val="00CD59C5"/>
    <w:rsid w:val="00CD6012"/>
    <w:rsid w:val="00CD6E43"/>
    <w:rsid w:val="00CD6FA4"/>
    <w:rsid w:val="00CE01FB"/>
    <w:rsid w:val="00CE2F2E"/>
    <w:rsid w:val="00CE4DA7"/>
    <w:rsid w:val="00CF0319"/>
    <w:rsid w:val="00CF1F9F"/>
    <w:rsid w:val="00CF4D27"/>
    <w:rsid w:val="00CF57DE"/>
    <w:rsid w:val="00CF751B"/>
    <w:rsid w:val="00CF7A0C"/>
    <w:rsid w:val="00D03D1C"/>
    <w:rsid w:val="00D06A2F"/>
    <w:rsid w:val="00D07FAF"/>
    <w:rsid w:val="00D10189"/>
    <w:rsid w:val="00D1096C"/>
    <w:rsid w:val="00D11DCA"/>
    <w:rsid w:val="00D11F7A"/>
    <w:rsid w:val="00D13A66"/>
    <w:rsid w:val="00D152E0"/>
    <w:rsid w:val="00D161AB"/>
    <w:rsid w:val="00D16829"/>
    <w:rsid w:val="00D17B5D"/>
    <w:rsid w:val="00D2158B"/>
    <w:rsid w:val="00D231C9"/>
    <w:rsid w:val="00D25A2A"/>
    <w:rsid w:val="00D2730E"/>
    <w:rsid w:val="00D27378"/>
    <w:rsid w:val="00D3558F"/>
    <w:rsid w:val="00D35FFF"/>
    <w:rsid w:val="00D406A6"/>
    <w:rsid w:val="00D41255"/>
    <w:rsid w:val="00D413A3"/>
    <w:rsid w:val="00D41727"/>
    <w:rsid w:val="00D4188A"/>
    <w:rsid w:val="00D424A6"/>
    <w:rsid w:val="00D439B6"/>
    <w:rsid w:val="00D43E33"/>
    <w:rsid w:val="00D445BE"/>
    <w:rsid w:val="00D452AA"/>
    <w:rsid w:val="00D455D8"/>
    <w:rsid w:val="00D4631C"/>
    <w:rsid w:val="00D511CB"/>
    <w:rsid w:val="00D54EAD"/>
    <w:rsid w:val="00D55590"/>
    <w:rsid w:val="00D6120D"/>
    <w:rsid w:val="00D616FB"/>
    <w:rsid w:val="00D65695"/>
    <w:rsid w:val="00D675FD"/>
    <w:rsid w:val="00D92C6A"/>
    <w:rsid w:val="00D92CD9"/>
    <w:rsid w:val="00D92ED6"/>
    <w:rsid w:val="00D9650D"/>
    <w:rsid w:val="00D9660C"/>
    <w:rsid w:val="00DA03D4"/>
    <w:rsid w:val="00DA0BBD"/>
    <w:rsid w:val="00DA0EA6"/>
    <w:rsid w:val="00DA38B9"/>
    <w:rsid w:val="00DA4DB6"/>
    <w:rsid w:val="00DA6D7D"/>
    <w:rsid w:val="00DA7800"/>
    <w:rsid w:val="00DB174C"/>
    <w:rsid w:val="00DB1AFB"/>
    <w:rsid w:val="00DB2BDA"/>
    <w:rsid w:val="00DB367A"/>
    <w:rsid w:val="00DB391D"/>
    <w:rsid w:val="00DB5701"/>
    <w:rsid w:val="00DB5D52"/>
    <w:rsid w:val="00DB5FA6"/>
    <w:rsid w:val="00DB6D52"/>
    <w:rsid w:val="00DC1661"/>
    <w:rsid w:val="00DC2297"/>
    <w:rsid w:val="00DC2303"/>
    <w:rsid w:val="00DC2C99"/>
    <w:rsid w:val="00DC7DFB"/>
    <w:rsid w:val="00DD0762"/>
    <w:rsid w:val="00DD14AD"/>
    <w:rsid w:val="00DD1599"/>
    <w:rsid w:val="00DD39E3"/>
    <w:rsid w:val="00DD428F"/>
    <w:rsid w:val="00DE1859"/>
    <w:rsid w:val="00DE2DBF"/>
    <w:rsid w:val="00DE52D3"/>
    <w:rsid w:val="00DE64A5"/>
    <w:rsid w:val="00DE7A15"/>
    <w:rsid w:val="00DF11AE"/>
    <w:rsid w:val="00DF30A2"/>
    <w:rsid w:val="00DF3681"/>
    <w:rsid w:val="00DF4C9E"/>
    <w:rsid w:val="00DF5E1B"/>
    <w:rsid w:val="00DF6046"/>
    <w:rsid w:val="00E01479"/>
    <w:rsid w:val="00E01895"/>
    <w:rsid w:val="00E0428C"/>
    <w:rsid w:val="00E0553B"/>
    <w:rsid w:val="00E05D2B"/>
    <w:rsid w:val="00E11EEF"/>
    <w:rsid w:val="00E13F6C"/>
    <w:rsid w:val="00E13FEC"/>
    <w:rsid w:val="00E14A6D"/>
    <w:rsid w:val="00E22342"/>
    <w:rsid w:val="00E22C47"/>
    <w:rsid w:val="00E24111"/>
    <w:rsid w:val="00E257B9"/>
    <w:rsid w:val="00E3033E"/>
    <w:rsid w:val="00E308B0"/>
    <w:rsid w:val="00E31B62"/>
    <w:rsid w:val="00E33100"/>
    <w:rsid w:val="00E343B3"/>
    <w:rsid w:val="00E41776"/>
    <w:rsid w:val="00E45A08"/>
    <w:rsid w:val="00E47182"/>
    <w:rsid w:val="00E47A0B"/>
    <w:rsid w:val="00E51D2F"/>
    <w:rsid w:val="00E54EE5"/>
    <w:rsid w:val="00E63FB1"/>
    <w:rsid w:val="00E662F8"/>
    <w:rsid w:val="00E71165"/>
    <w:rsid w:val="00E72F5D"/>
    <w:rsid w:val="00E73B39"/>
    <w:rsid w:val="00E760A4"/>
    <w:rsid w:val="00E761BB"/>
    <w:rsid w:val="00E774F9"/>
    <w:rsid w:val="00E77534"/>
    <w:rsid w:val="00E77802"/>
    <w:rsid w:val="00E80098"/>
    <w:rsid w:val="00E80CB1"/>
    <w:rsid w:val="00E815A1"/>
    <w:rsid w:val="00E817D7"/>
    <w:rsid w:val="00E9147E"/>
    <w:rsid w:val="00E915D8"/>
    <w:rsid w:val="00E921C1"/>
    <w:rsid w:val="00E929F4"/>
    <w:rsid w:val="00EA288B"/>
    <w:rsid w:val="00EA2DCD"/>
    <w:rsid w:val="00EA2EEA"/>
    <w:rsid w:val="00EA5F85"/>
    <w:rsid w:val="00EA6644"/>
    <w:rsid w:val="00EA7473"/>
    <w:rsid w:val="00EB0467"/>
    <w:rsid w:val="00EB41AA"/>
    <w:rsid w:val="00EB4BFF"/>
    <w:rsid w:val="00EB64BB"/>
    <w:rsid w:val="00EB7EA5"/>
    <w:rsid w:val="00EC3671"/>
    <w:rsid w:val="00EC6F9D"/>
    <w:rsid w:val="00ED2888"/>
    <w:rsid w:val="00ED3B4A"/>
    <w:rsid w:val="00ED44B4"/>
    <w:rsid w:val="00ED5343"/>
    <w:rsid w:val="00ED578B"/>
    <w:rsid w:val="00EE0FE2"/>
    <w:rsid w:val="00EE1235"/>
    <w:rsid w:val="00EE5415"/>
    <w:rsid w:val="00EE5480"/>
    <w:rsid w:val="00EE5708"/>
    <w:rsid w:val="00EF021E"/>
    <w:rsid w:val="00EF0812"/>
    <w:rsid w:val="00EF18E9"/>
    <w:rsid w:val="00EF3DAB"/>
    <w:rsid w:val="00EF41E3"/>
    <w:rsid w:val="00EF7179"/>
    <w:rsid w:val="00EF7B02"/>
    <w:rsid w:val="00F01B27"/>
    <w:rsid w:val="00F02F5E"/>
    <w:rsid w:val="00F038E0"/>
    <w:rsid w:val="00F10FCD"/>
    <w:rsid w:val="00F114DB"/>
    <w:rsid w:val="00F1234A"/>
    <w:rsid w:val="00F13385"/>
    <w:rsid w:val="00F13FD5"/>
    <w:rsid w:val="00F150D8"/>
    <w:rsid w:val="00F20753"/>
    <w:rsid w:val="00F23993"/>
    <w:rsid w:val="00F27706"/>
    <w:rsid w:val="00F30EE9"/>
    <w:rsid w:val="00F3183C"/>
    <w:rsid w:val="00F324AE"/>
    <w:rsid w:val="00F3330C"/>
    <w:rsid w:val="00F34619"/>
    <w:rsid w:val="00F357E6"/>
    <w:rsid w:val="00F35FD1"/>
    <w:rsid w:val="00F4054E"/>
    <w:rsid w:val="00F40EF0"/>
    <w:rsid w:val="00F4332A"/>
    <w:rsid w:val="00F43821"/>
    <w:rsid w:val="00F44F8E"/>
    <w:rsid w:val="00F45C07"/>
    <w:rsid w:val="00F460EF"/>
    <w:rsid w:val="00F50ABA"/>
    <w:rsid w:val="00F51729"/>
    <w:rsid w:val="00F57236"/>
    <w:rsid w:val="00F60E7F"/>
    <w:rsid w:val="00F6120A"/>
    <w:rsid w:val="00F614C9"/>
    <w:rsid w:val="00F62645"/>
    <w:rsid w:val="00F63165"/>
    <w:rsid w:val="00F63841"/>
    <w:rsid w:val="00F6464E"/>
    <w:rsid w:val="00F663FD"/>
    <w:rsid w:val="00F7181C"/>
    <w:rsid w:val="00F740EA"/>
    <w:rsid w:val="00F742F5"/>
    <w:rsid w:val="00F751E2"/>
    <w:rsid w:val="00F80478"/>
    <w:rsid w:val="00F809E1"/>
    <w:rsid w:val="00F817CA"/>
    <w:rsid w:val="00F82C84"/>
    <w:rsid w:val="00F83BD0"/>
    <w:rsid w:val="00F8403B"/>
    <w:rsid w:val="00F8581C"/>
    <w:rsid w:val="00F8740A"/>
    <w:rsid w:val="00F876D8"/>
    <w:rsid w:val="00F87E75"/>
    <w:rsid w:val="00F92731"/>
    <w:rsid w:val="00F94E4F"/>
    <w:rsid w:val="00F97611"/>
    <w:rsid w:val="00FA0BC8"/>
    <w:rsid w:val="00FA216F"/>
    <w:rsid w:val="00FA23D0"/>
    <w:rsid w:val="00FA2F0B"/>
    <w:rsid w:val="00FA3DF6"/>
    <w:rsid w:val="00FB14BB"/>
    <w:rsid w:val="00FB1D77"/>
    <w:rsid w:val="00FB24C0"/>
    <w:rsid w:val="00FB49FE"/>
    <w:rsid w:val="00FC0E82"/>
    <w:rsid w:val="00FC179C"/>
    <w:rsid w:val="00FC2393"/>
    <w:rsid w:val="00FC69B2"/>
    <w:rsid w:val="00FD281A"/>
    <w:rsid w:val="00FD5604"/>
    <w:rsid w:val="00FD5BBF"/>
    <w:rsid w:val="00FD6BC2"/>
    <w:rsid w:val="00FD6C2D"/>
    <w:rsid w:val="00FD7378"/>
    <w:rsid w:val="00FD74C3"/>
    <w:rsid w:val="00FD7D8A"/>
    <w:rsid w:val="00FE03E2"/>
    <w:rsid w:val="00FF0555"/>
    <w:rsid w:val="00FF1678"/>
    <w:rsid w:val="00FF31CC"/>
    <w:rsid w:val="00FF473C"/>
    <w:rsid w:val="00FF4D91"/>
    <w:rsid w:val="00FF4E99"/>
    <w:rsid w:val="00FF69FD"/>
    <w:rsid w:val="00FF711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75B53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ordia New"/>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4C0"/>
    <w:pPr>
      <w:spacing w:after="4" w:line="248" w:lineRule="auto"/>
      <w:ind w:left="10" w:hanging="7"/>
    </w:pPr>
    <w:rPr>
      <w:rFonts w:ascii="Times New Roman" w:eastAsia="Times New Roman" w:hAnsi="Times New Roman" w:cs="Times New Roman"/>
      <w:color w:val="000000"/>
      <w:sz w:val="22"/>
      <w:szCs w:val="22"/>
    </w:rPr>
  </w:style>
  <w:style w:type="paragraph" w:styleId="Heading1">
    <w:name w:val="heading 1"/>
    <w:next w:val="Normal"/>
    <w:link w:val="Heading1Char"/>
    <w:uiPriority w:val="9"/>
    <w:unhideWhenUsed/>
    <w:qFormat/>
    <w:rsid w:val="00FB24C0"/>
    <w:pPr>
      <w:keepNext/>
      <w:keepLines/>
      <w:spacing w:after="5" w:line="249" w:lineRule="auto"/>
      <w:ind w:left="12" w:hanging="10"/>
      <w:outlineLvl w:val="0"/>
    </w:pPr>
    <w:rPr>
      <w:rFonts w:ascii="Times New Roman" w:eastAsia="Times New Roman" w:hAnsi="Times New Roman" w:cs="Times New Roman"/>
      <w:b/>
      <w:color w:val="000000"/>
      <w:sz w:val="22"/>
      <w:szCs w:val="22"/>
    </w:rPr>
  </w:style>
  <w:style w:type="paragraph" w:styleId="Heading2">
    <w:name w:val="heading 2"/>
    <w:next w:val="Normal"/>
    <w:link w:val="Heading2Char"/>
    <w:uiPriority w:val="9"/>
    <w:unhideWhenUsed/>
    <w:qFormat/>
    <w:rsid w:val="00FB24C0"/>
    <w:pPr>
      <w:keepNext/>
      <w:keepLines/>
      <w:spacing w:line="259" w:lineRule="auto"/>
      <w:ind w:left="13" w:hanging="10"/>
      <w:outlineLvl w:val="1"/>
    </w:pPr>
    <w:rPr>
      <w:rFonts w:ascii="Times New Roman" w:eastAsia="Times New Roman" w:hAnsi="Times New Roman" w:cs="Times New Roman"/>
      <w:color w:val="000000"/>
      <w:sz w:val="22"/>
      <w:szCs w:val="22"/>
      <w:u w:val="single" w:color="000000"/>
    </w:rPr>
  </w:style>
  <w:style w:type="paragraph" w:styleId="Heading3">
    <w:name w:val="heading 3"/>
    <w:next w:val="Normal"/>
    <w:link w:val="Heading3Char"/>
    <w:uiPriority w:val="9"/>
    <w:unhideWhenUsed/>
    <w:qFormat/>
    <w:rsid w:val="00FB24C0"/>
    <w:pPr>
      <w:keepNext/>
      <w:keepLines/>
      <w:spacing w:after="5" w:line="249" w:lineRule="auto"/>
      <w:ind w:left="12" w:hanging="10"/>
      <w:outlineLvl w:val="2"/>
    </w:pPr>
    <w:rPr>
      <w:rFonts w:ascii="Times New Roman" w:eastAsia="Times New Roman" w:hAnsi="Times New Roman" w:cs="Times New Roman"/>
      <w:b/>
      <w:color w:val="00000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4C0"/>
    <w:rPr>
      <w:rFonts w:ascii="Times New Roman" w:eastAsia="Times New Roman" w:hAnsi="Times New Roman" w:cs="Times New Roman"/>
      <w:b/>
      <w:color w:val="000000"/>
      <w:lang w:val="en-IN" w:eastAsia="en-IN"/>
    </w:rPr>
  </w:style>
  <w:style w:type="character" w:customStyle="1" w:styleId="Heading2Char">
    <w:name w:val="Heading 2 Char"/>
    <w:link w:val="Heading2"/>
    <w:uiPriority w:val="9"/>
    <w:rsid w:val="00FB24C0"/>
    <w:rPr>
      <w:rFonts w:ascii="Times New Roman" w:eastAsia="Times New Roman" w:hAnsi="Times New Roman" w:cs="Times New Roman"/>
      <w:color w:val="000000"/>
      <w:u w:val="single" w:color="000000"/>
      <w:lang w:val="en-IN" w:eastAsia="en-IN"/>
    </w:rPr>
  </w:style>
  <w:style w:type="character" w:customStyle="1" w:styleId="Heading3Char">
    <w:name w:val="Heading 3 Char"/>
    <w:link w:val="Heading3"/>
    <w:uiPriority w:val="9"/>
    <w:rsid w:val="00FB24C0"/>
    <w:rPr>
      <w:rFonts w:ascii="Times New Roman" w:eastAsia="Times New Roman" w:hAnsi="Times New Roman" w:cs="Times New Roman"/>
      <w:b/>
      <w:color w:val="000000"/>
      <w:lang w:val="en-IN" w:eastAsia="en-IN"/>
    </w:rPr>
  </w:style>
  <w:style w:type="table" w:customStyle="1" w:styleId="TableGrid">
    <w:name w:val="TableGrid"/>
    <w:rsid w:val="00FB24C0"/>
    <w:rPr>
      <w:rFonts w:eastAsia="MS Mincho"/>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FB24C0"/>
    <w:pPr>
      <w:ind w:left="720"/>
      <w:contextualSpacing/>
    </w:pPr>
  </w:style>
  <w:style w:type="table" w:styleId="TableGrid0">
    <w:name w:val="Table Grid"/>
    <w:basedOn w:val="TableNormal"/>
    <w:uiPriority w:val="39"/>
    <w:rsid w:val="00FB24C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qFormat/>
    <w:rsid w:val="00FB24C0"/>
    <w:pPr>
      <w:spacing w:after="0" w:line="240" w:lineRule="auto"/>
      <w:ind w:left="0" w:firstLine="0"/>
      <w:jc w:val="center"/>
    </w:pPr>
    <w:rPr>
      <w:b/>
      <w:lang w:val="es-ES"/>
    </w:rPr>
  </w:style>
  <w:style w:type="paragraph" w:styleId="Header">
    <w:name w:val="header"/>
    <w:basedOn w:val="Normal"/>
    <w:link w:val="HeaderChar"/>
    <w:uiPriority w:val="99"/>
    <w:unhideWhenUsed/>
    <w:rsid w:val="00FB24C0"/>
    <w:pPr>
      <w:tabs>
        <w:tab w:val="center" w:pos="4680"/>
        <w:tab w:val="right" w:pos="9360"/>
      </w:tabs>
      <w:spacing w:after="0" w:line="240" w:lineRule="auto"/>
    </w:pPr>
  </w:style>
  <w:style w:type="character" w:customStyle="1" w:styleId="HeaderChar">
    <w:name w:val="Header Char"/>
    <w:link w:val="Header"/>
    <w:uiPriority w:val="99"/>
    <w:rsid w:val="00FB24C0"/>
    <w:rPr>
      <w:rFonts w:ascii="Times New Roman" w:eastAsia="Times New Roman" w:hAnsi="Times New Roman" w:cs="Times New Roman"/>
      <w:color w:val="000000"/>
      <w:lang w:val="en-IN" w:eastAsia="en-IN"/>
    </w:rPr>
  </w:style>
  <w:style w:type="paragraph" w:customStyle="1" w:styleId="Default">
    <w:name w:val="Default"/>
    <w:rsid w:val="00815FCD"/>
    <w:pPr>
      <w:widowControl w:val="0"/>
      <w:autoSpaceDE w:val="0"/>
      <w:autoSpaceDN w:val="0"/>
      <w:adjustRightInd w:val="0"/>
    </w:pPr>
    <w:rPr>
      <w:rFonts w:ascii="Times New Roman" w:eastAsia="Times New Roman" w:hAnsi="Times New Roman" w:cs="Times New Roman"/>
      <w:color w:val="000000"/>
      <w:sz w:val="24"/>
      <w:szCs w:val="24"/>
      <w:lang w:val="en-GB" w:eastAsia="en-GB"/>
    </w:rPr>
  </w:style>
  <w:style w:type="paragraph" w:styleId="BalloonText">
    <w:name w:val="Balloon Text"/>
    <w:basedOn w:val="Normal"/>
    <w:link w:val="BalloonTextChar"/>
    <w:uiPriority w:val="99"/>
    <w:semiHidden/>
    <w:unhideWhenUsed/>
    <w:rsid w:val="00F4054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4054E"/>
    <w:rPr>
      <w:rFonts w:ascii="Segoe UI" w:eastAsia="Times New Roman" w:hAnsi="Segoe UI" w:cs="Segoe UI"/>
      <w:color w:val="000000"/>
      <w:sz w:val="18"/>
      <w:szCs w:val="18"/>
      <w:lang w:val="en-IN" w:eastAsia="en-IN"/>
    </w:rPr>
  </w:style>
  <w:style w:type="paragraph" w:customStyle="1" w:styleId="CM50">
    <w:name w:val="CM50"/>
    <w:basedOn w:val="Default"/>
    <w:next w:val="Default"/>
    <w:uiPriority w:val="99"/>
    <w:rsid w:val="00192387"/>
    <w:rPr>
      <w:color w:val="auto"/>
    </w:rPr>
  </w:style>
  <w:style w:type="character" w:styleId="Hyperlink">
    <w:name w:val="Hyperlink"/>
    <w:uiPriority w:val="99"/>
    <w:unhideWhenUsed/>
    <w:rsid w:val="008A31EF"/>
    <w:rPr>
      <w:color w:val="0563C1"/>
      <w:u w:val="single"/>
    </w:rPr>
  </w:style>
  <w:style w:type="character" w:styleId="CommentReference">
    <w:name w:val="annotation reference"/>
    <w:uiPriority w:val="99"/>
    <w:semiHidden/>
    <w:unhideWhenUsed/>
    <w:rsid w:val="00E22C47"/>
    <w:rPr>
      <w:sz w:val="16"/>
      <w:szCs w:val="16"/>
    </w:rPr>
  </w:style>
  <w:style w:type="paragraph" w:styleId="CommentText">
    <w:name w:val="annotation text"/>
    <w:basedOn w:val="Normal"/>
    <w:link w:val="CommentTextChar"/>
    <w:uiPriority w:val="99"/>
    <w:semiHidden/>
    <w:unhideWhenUsed/>
    <w:rsid w:val="00E22C47"/>
    <w:pPr>
      <w:spacing w:line="240" w:lineRule="auto"/>
    </w:pPr>
    <w:rPr>
      <w:sz w:val="20"/>
      <w:szCs w:val="20"/>
    </w:rPr>
  </w:style>
  <w:style w:type="character" w:customStyle="1" w:styleId="CommentTextChar">
    <w:name w:val="Comment Text Char"/>
    <w:link w:val="CommentText"/>
    <w:uiPriority w:val="99"/>
    <w:semiHidden/>
    <w:rsid w:val="00E22C47"/>
    <w:rPr>
      <w:rFonts w:ascii="Times New Roman" w:eastAsia="Times New Roman" w:hAnsi="Times New Roman" w:cs="Times New Roman"/>
      <w:color w:val="000000"/>
      <w:sz w:val="20"/>
      <w:szCs w:val="20"/>
      <w:lang w:val="en-IN" w:eastAsia="en-IN"/>
    </w:rPr>
  </w:style>
  <w:style w:type="paragraph" w:styleId="CommentSubject">
    <w:name w:val="annotation subject"/>
    <w:basedOn w:val="CommentText"/>
    <w:next w:val="CommentText"/>
    <w:link w:val="CommentSubjectChar"/>
    <w:uiPriority w:val="99"/>
    <w:semiHidden/>
    <w:unhideWhenUsed/>
    <w:rsid w:val="00E22C47"/>
    <w:rPr>
      <w:b/>
      <w:bCs/>
    </w:rPr>
  </w:style>
  <w:style w:type="character" w:customStyle="1" w:styleId="CommentSubjectChar">
    <w:name w:val="Comment Subject Char"/>
    <w:link w:val="CommentSubject"/>
    <w:uiPriority w:val="99"/>
    <w:semiHidden/>
    <w:rsid w:val="00E22C47"/>
    <w:rPr>
      <w:rFonts w:ascii="Times New Roman" w:eastAsia="Times New Roman" w:hAnsi="Times New Roman" w:cs="Times New Roman"/>
      <w:b/>
      <w:bCs/>
      <w:color w:val="000000"/>
      <w:sz w:val="20"/>
      <w:szCs w:val="20"/>
      <w:lang w:val="en-IN" w:eastAsia="en-IN"/>
    </w:rPr>
  </w:style>
  <w:style w:type="paragraph" w:styleId="Revision">
    <w:name w:val="Revision"/>
    <w:hidden/>
    <w:uiPriority w:val="99"/>
    <w:semiHidden/>
    <w:rsid w:val="00E22C47"/>
    <w:rPr>
      <w:rFonts w:ascii="Times New Roman" w:eastAsia="Times New Roman" w:hAnsi="Times New Roman" w:cs="Times New Roman"/>
      <w:color w:val="000000"/>
      <w:sz w:val="22"/>
      <w:szCs w:val="22"/>
    </w:rPr>
  </w:style>
  <w:style w:type="character" w:customStyle="1" w:styleId="UnresolvedMention1">
    <w:name w:val="Unresolved Mention1"/>
    <w:uiPriority w:val="99"/>
    <w:semiHidden/>
    <w:unhideWhenUsed/>
    <w:rsid w:val="00FC2393"/>
    <w:rPr>
      <w:color w:val="808080"/>
      <w:shd w:val="clear" w:color="auto" w:fill="E6E6E6"/>
    </w:rPr>
  </w:style>
  <w:style w:type="paragraph" w:customStyle="1" w:styleId="BodytextAgency">
    <w:name w:val="Body text (Agency)"/>
    <w:basedOn w:val="Normal"/>
    <w:link w:val="BodytextAgencyChar"/>
    <w:qFormat/>
    <w:rsid w:val="00B93E4E"/>
    <w:pPr>
      <w:spacing w:after="140" w:line="280" w:lineRule="atLeast"/>
      <w:ind w:left="0" w:firstLine="0"/>
    </w:pPr>
    <w:rPr>
      <w:rFonts w:ascii="Verdana" w:eastAsia="Verdana" w:hAnsi="Verdana" w:cs="Verdana"/>
      <w:color w:val="auto"/>
      <w:sz w:val="18"/>
      <w:szCs w:val="18"/>
      <w:lang w:val="es-ES" w:eastAsia="es-ES" w:bidi="es-ES"/>
    </w:rPr>
  </w:style>
  <w:style w:type="character" w:customStyle="1" w:styleId="BodytextAgencyChar">
    <w:name w:val="Body text (Agency) Char"/>
    <w:link w:val="BodytextAgency"/>
    <w:rsid w:val="00B93E4E"/>
    <w:rPr>
      <w:rFonts w:ascii="Verdana" w:eastAsia="Verdana" w:hAnsi="Verdana" w:cs="Verdana"/>
      <w:sz w:val="18"/>
      <w:szCs w:val="18"/>
      <w:lang w:val="es-ES" w:eastAsia="es-ES" w:bidi="es-ES"/>
    </w:rPr>
  </w:style>
  <w:style w:type="paragraph" w:customStyle="1" w:styleId="NormalAgency">
    <w:name w:val="Normal (Agency)"/>
    <w:link w:val="NormalAgencyChar"/>
    <w:rsid w:val="00B93E4E"/>
    <w:rPr>
      <w:rFonts w:ascii="Verdana" w:eastAsia="Verdana" w:hAnsi="Verdana" w:cs="Verdana"/>
      <w:sz w:val="18"/>
      <w:szCs w:val="18"/>
      <w:lang w:val="es-ES" w:eastAsia="es-ES" w:bidi="es-ES"/>
    </w:rPr>
  </w:style>
  <w:style w:type="paragraph" w:customStyle="1" w:styleId="TabletextrowsAgency">
    <w:name w:val="Table text rows (Agency)"/>
    <w:basedOn w:val="Normal"/>
    <w:rsid w:val="00B93E4E"/>
    <w:pPr>
      <w:spacing w:after="0" w:line="280" w:lineRule="exact"/>
      <w:ind w:left="0" w:firstLine="0"/>
    </w:pPr>
    <w:rPr>
      <w:rFonts w:ascii="Verdana" w:hAnsi="Verdana" w:cs="Verdana"/>
      <w:color w:val="auto"/>
      <w:sz w:val="18"/>
      <w:szCs w:val="18"/>
      <w:lang w:val="es-ES" w:eastAsia="es-ES" w:bidi="es-ES"/>
    </w:rPr>
  </w:style>
  <w:style w:type="character" w:customStyle="1" w:styleId="NormalAgencyChar">
    <w:name w:val="Normal (Agency) Char"/>
    <w:link w:val="NormalAgency"/>
    <w:rsid w:val="00B93E4E"/>
    <w:rPr>
      <w:rFonts w:ascii="Verdana" w:eastAsia="Verdana" w:hAnsi="Verdana" w:cs="Verdana"/>
      <w:sz w:val="18"/>
      <w:szCs w:val="18"/>
      <w:lang w:val="es-ES" w:eastAsia="es-ES" w:bidi="es-ES"/>
    </w:rPr>
  </w:style>
  <w:style w:type="character" w:customStyle="1" w:styleId="DoNotTranslateExternal1">
    <w:name w:val="DoNotTranslateExternal1"/>
    <w:qFormat/>
    <w:rsid w:val="00B93E4E"/>
    <w:rPr>
      <w:b/>
      <w:noProof/>
      <w:szCs w:val="22"/>
    </w:rPr>
  </w:style>
  <w:style w:type="paragraph" w:customStyle="1" w:styleId="TitleB">
    <w:name w:val="Title B"/>
    <w:basedOn w:val="Normal"/>
    <w:qFormat/>
    <w:rsid w:val="00EF0812"/>
    <w:pPr>
      <w:keepNext/>
      <w:numPr>
        <w:numId w:val="62"/>
      </w:numPr>
      <w:tabs>
        <w:tab w:val="left" w:pos="567"/>
      </w:tabs>
      <w:spacing w:after="0" w:line="240" w:lineRule="auto"/>
      <w:ind w:left="567" w:hanging="567"/>
    </w:pPr>
    <w:rPr>
      <w:b/>
      <w:lang w:val="es-ES"/>
    </w:rPr>
  </w:style>
  <w:style w:type="paragraph" w:styleId="BodyText">
    <w:name w:val="Body Text"/>
    <w:basedOn w:val="Normal"/>
    <w:link w:val="BodyTextChar"/>
    <w:uiPriority w:val="1"/>
    <w:qFormat/>
    <w:rsid w:val="00933900"/>
    <w:pPr>
      <w:widowControl w:val="0"/>
      <w:autoSpaceDE w:val="0"/>
      <w:autoSpaceDN w:val="0"/>
      <w:adjustRightInd w:val="0"/>
      <w:spacing w:after="0" w:line="240" w:lineRule="auto"/>
      <w:ind w:left="118" w:firstLine="0"/>
    </w:pPr>
    <w:rPr>
      <w:color w:val="auto"/>
    </w:rPr>
  </w:style>
  <w:style w:type="character" w:customStyle="1" w:styleId="BodyTextChar">
    <w:name w:val="Body Text Char"/>
    <w:link w:val="BodyText"/>
    <w:uiPriority w:val="1"/>
    <w:rsid w:val="00933900"/>
    <w:rPr>
      <w:rFonts w:ascii="Times New Roman" w:eastAsia="Times New Roman" w:hAnsi="Times New Roman" w:cs="Times New Roman"/>
      <w:lang w:val="en-IN" w:eastAsia="en-IN"/>
    </w:rPr>
  </w:style>
  <w:style w:type="paragraph" w:customStyle="1" w:styleId="lbltxt">
    <w:name w:val="lbltxt"/>
    <w:rsid w:val="00933900"/>
    <w:pPr>
      <w:tabs>
        <w:tab w:val="left" w:pos="567"/>
      </w:tabs>
    </w:pPr>
    <w:rPr>
      <w:rFonts w:ascii="Times New Roman" w:eastAsia="Times New Roman" w:hAnsi="Times New Roman" w:cs="Times New Roman"/>
      <w:noProof/>
      <w:sz w:val="22"/>
      <w:lang w:val="en-GB" w:eastAsia="en-US"/>
    </w:rPr>
  </w:style>
  <w:style w:type="paragraph" w:customStyle="1" w:styleId="CM53">
    <w:name w:val="CM53"/>
    <w:basedOn w:val="Default"/>
    <w:next w:val="Default"/>
    <w:uiPriority w:val="99"/>
    <w:rsid w:val="000B0DAA"/>
    <w:rPr>
      <w:color w:val="auto"/>
    </w:rPr>
  </w:style>
  <w:style w:type="character" w:customStyle="1" w:styleId="UnresolvedMention2">
    <w:name w:val="Unresolved Mention2"/>
    <w:uiPriority w:val="99"/>
    <w:semiHidden/>
    <w:unhideWhenUsed/>
    <w:rsid w:val="00A75D0C"/>
    <w:rPr>
      <w:color w:val="605E5C"/>
      <w:shd w:val="clear" w:color="auto" w:fill="E1DFDD"/>
    </w:rPr>
  </w:style>
  <w:style w:type="character" w:styleId="FollowedHyperlink">
    <w:name w:val="FollowedHyperlink"/>
    <w:uiPriority w:val="99"/>
    <w:semiHidden/>
    <w:unhideWhenUsed/>
    <w:rsid w:val="00C45CD5"/>
    <w:rPr>
      <w:color w:val="954F72"/>
      <w:u w:val="single"/>
    </w:rPr>
  </w:style>
  <w:style w:type="paragraph" w:customStyle="1" w:styleId="Annex">
    <w:name w:val="Annex"/>
    <w:basedOn w:val="Normal"/>
    <w:next w:val="Normal"/>
    <w:rsid w:val="00FC0E82"/>
    <w:pPr>
      <w:spacing w:after="0" w:line="240" w:lineRule="auto"/>
      <w:ind w:left="0" w:firstLine="0"/>
      <w:jc w:val="center"/>
    </w:pPr>
    <w:rPr>
      <w:b/>
      <w:color w:val="auto"/>
      <w:szCs w:val="20"/>
      <w:lang w:val="en-US" w:eastAsia="ja-JP"/>
    </w:rPr>
  </w:style>
  <w:style w:type="paragraph" w:styleId="Date">
    <w:name w:val="Date"/>
    <w:basedOn w:val="Normal"/>
    <w:next w:val="Normal"/>
    <w:link w:val="DateChar"/>
    <w:uiPriority w:val="99"/>
    <w:rsid w:val="00FC0E82"/>
    <w:pPr>
      <w:spacing w:after="0" w:line="240" w:lineRule="auto"/>
      <w:ind w:left="0" w:firstLine="0"/>
    </w:pPr>
    <w:rPr>
      <w:color w:val="auto"/>
      <w:szCs w:val="20"/>
      <w:lang w:val="en-US" w:eastAsia="ja-JP"/>
    </w:rPr>
  </w:style>
  <w:style w:type="character" w:customStyle="1" w:styleId="DateChar">
    <w:name w:val="Date Char"/>
    <w:link w:val="Date"/>
    <w:uiPriority w:val="99"/>
    <w:rsid w:val="00FC0E82"/>
    <w:rPr>
      <w:rFonts w:ascii="Times New Roman" w:eastAsia="Times New Roman" w:hAnsi="Times New Roman" w:cs="Times New Roman"/>
      <w:sz w:val="22"/>
      <w:lang w:eastAsia="ja-JP"/>
    </w:rPr>
  </w:style>
  <w:style w:type="paragraph" w:customStyle="1" w:styleId="DraftingNotesAgency">
    <w:name w:val="Drafting Notes (Agency)"/>
    <w:basedOn w:val="Normal"/>
    <w:next w:val="BodytextAgency"/>
    <w:link w:val="DraftingNotesAgencyChar"/>
    <w:qFormat/>
    <w:rsid w:val="00FC0E82"/>
    <w:pPr>
      <w:spacing w:after="140" w:line="280" w:lineRule="atLeast"/>
      <w:ind w:left="0" w:firstLine="0"/>
    </w:pPr>
    <w:rPr>
      <w:rFonts w:ascii="Courier New" w:eastAsia="Verdana" w:hAnsi="Courier New"/>
      <w:i/>
      <w:color w:val="339966"/>
      <w:szCs w:val="18"/>
      <w:lang w:val="en-US" w:eastAsia="en-GB"/>
    </w:rPr>
  </w:style>
  <w:style w:type="paragraph" w:customStyle="1" w:styleId="No-numheading3Agency">
    <w:name w:val="No-num heading 3 (Agency)"/>
    <w:basedOn w:val="Normal"/>
    <w:next w:val="BodytextAgency"/>
    <w:link w:val="No-numheading3AgencyChar"/>
    <w:qFormat/>
    <w:rsid w:val="00FC0E82"/>
    <w:pPr>
      <w:keepNext/>
      <w:spacing w:before="280" w:after="220" w:line="240" w:lineRule="auto"/>
      <w:ind w:left="0" w:firstLine="0"/>
      <w:outlineLvl w:val="2"/>
    </w:pPr>
    <w:rPr>
      <w:rFonts w:eastAsia="Verdana" w:cs="Arial"/>
      <w:b/>
      <w:bCs/>
      <w:color w:val="auto"/>
      <w:kern w:val="32"/>
      <w:lang w:val="en-US" w:eastAsia="en-GB"/>
    </w:rPr>
  </w:style>
  <w:style w:type="character" w:customStyle="1" w:styleId="No-numheading3AgencyChar">
    <w:name w:val="No-num heading 3 (Agency) Char"/>
    <w:link w:val="No-numheading3Agency"/>
    <w:rsid w:val="00FC0E82"/>
    <w:rPr>
      <w:rFonts w:ascii="Times New Roman" w:eastAsia="Verdana" w:hAnsi="Times New Roman" w:cs="Arial"/>
      <w:b/>
      <w:bCs/>
      <w:kern w:val="32"/>
      <w:sz w:val="22"/>
      <w:szCs w:val="22"/>
      <w:lang w:eastAsia="en-GB"/>
    </w:rPr>
  </w:style>
  <w:style w:type="character" w:customStyle="1" w:styleId="DraftingNotesAgencyChar">
    <w:name w:val="Drafting Notes (Agency) Char"/>
    <w:link w:val="DraftingNotesAgency"/>
    <w:rsid w:val="00FC0E82"/>
    <w:rPr>
      <w:rFonts w:ascii="Courier New" w:eastAsia="Verdana" w:hAnsi="Courier New" w:cs="Times New Roman"/>
      <w:i/>
      <w:color w:val="339966"/>
      <w:sz w:val="22"/>
      <w:szCs w:val="18"/>
      <w:lang w:eastAsia="en-GB"/>
    </w:rPr>
  </w:style>
  <w:style w:type="character" w:styleId="UnresolvedMention">
    <w:name w:val="Unresolved Mention"/>
    <w:uiPriority w:val="99"/>
    <w:semiHidden/>
    <w:unhideWhenUsed/>
    <w:rsid w:val="002C1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965082">
      <w:bodyDiv w:val="1"/>
      <w:marLeft w:val="0"/>
      <w:marRight w:val="0"/>
      <w:marTop w:val="0"/>
      <w:marBottom w:val="0"/>
      <w:divBdr>
        <w:top w:val="none" w:sz="0" w:space="0" w:color="auto"/>
        <w:left w:val="none" w:sz="0" w:space="0" w:color="auto"/>
        <w:bottom w:val="none" w:sz="0" w:space="0" w:color="auto"/>
        <w:right w:val="none" w:sz="0" w:space="0" w:color="auto"/>
      </w:divBdr>
    </w:div>
    <w:div w:id="625548106">
      <w:bodyDiv w:val="1"/>
      <w:marLeft w:val="0"/>
      <w:marRight w:val="0"/>
      <w:marTop w:val="0"/>
      <w:marBottom w:val="0"/>
      <w:divBdr>
        <w:top w:val="none" w:sz="0" w:space="0" w:color="auto"/>
        <w:left w:val="none" w:sz="0" w:space="0" w:color="auto"/>
        <w:bottom w:val="none" w:sz="0" w:space="0" w:color="auto"/>
        <w:right w:val="none" w:sz="0" w:space="0" w:color="auto"/>
      </w:divBdr>
    </w:div>
    <w:div w:id="1182545964">
      <w:bodyDiv w:val="1"/>
      <w:marLeft w:val="0"/>
      <w:marRight w:val="0"/>
      <w:marTop w:val="0"/>
      <w:marBottom w:val="0"/>
      <w:divBdr>
        <w:top w:val="none" w:sz="0" w:space="0" w:color="auto"/>
        <w:left w:val="none" w:sz="0" w:space="0" w:color="auto"/>
        <w:bottom w:val="none" w:sz="0" w:space="0" w:color="auto"/>
        <w:right w:val="none" w:sz="0" w:space="0" w:color="auto"/>
      </w:divBdr>
    </w:div>
    <w:div w:id="209238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2ad3a63-90ad-4a46-a3cb-757f4658e205" origin="userSelected">
  <element uid="ba0343df-3220-4244-9388-1298e2abc028" value=""/>
  <element uid="4be5f866-0f4a-4261-80d5-eceb4feb516e" value=""/>
  <element uid="7349a702-6462-4442-88eb-c64cd513835c"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EMADOC-1700519818-2518322</_dlc_DocId>
    <_dlc_DocIdUrl xmlns="a034c160-bfb7-45f5-8632-2eb7e0508071">
      <Url>https://euema.sharepoint.com/sites/CRM/_layouts/15/DocIdRedir.aspx?ID=EMADOC-1700519818-2518322</Url>
      <Description>EMADOC-1700519818-2518322</Description>
    </_dlc_DocIdUrl>
  </documentManagement>
</p:properties>
</file>

<file path=customXml/itemProps1.xml><?xml version="1.0" encoding="utf-8"?>
<ds:datastoreItem xmlns:ds="http://schemas.openxmlformats.org/officeDocument/2006/customXml" ds:itemID="{4A2C3137-F5E4-43B6-9652-58C4638453B7}">
  <ds:schemaRefs>
    <ds:schemaRef ds:uri="http://schemas.openxmlformats.org/officeDocument/2006/bibliography"/>
  </ds:schemaRefs>
</ds:datastoreItem>
</file>

<file path=customXml/itemProps2.xml><?xml version="1.0" encoding="utf-8"?>
<ds:datastoreItem xmlns:ds="http://schemas.openxmlformats.org/officeDocument/2006/customXml" ds:itemID="{ABB30268-A7E2-4F13-A2AF-5963F7426D4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AB0C2CC-9FF7-4E3D-AE2C-31E074B6DBC2}"/>
</file>

<file path=customXml/itemProps4.xml><?xml version="1.0" encoding="utf-8"?>
<ds:datastoreItem xmlns:ds="http://schemas.openxmlformats.org/officeDocument/2006/customXml" ds:itemID="{33C275D5-2515-49B7-A7EA-032F9BB91A9D}"/>
</file>

<file path=customXml/itemProps5.xml><?xml version="1.0" encoding="utf-8"?>
<ds:datastoreItem xmlns:ds="http://schemas.openxmlformats.org/officeDocument/2006/customXml" ds:itemID="{2249D751-C98E-4E2B-A021-F30C605D26C9}"/>
</file>

<file path=customXml/itemProps6.xml><?xml version="1.0" encoding="utf-8"?>
<ds:datastoreItem xmlns:ds="http://schemas.openxmlformats.org/officeDocument/2006/customXml" ds:itemID="{DA04400E-7D25-45F8-9B3E-B5EC12B063A5}"/>
</file>

<file path=docProps/app.xml><?xml version="1.0" encoding="utf-8"?>
<Properties xmlns="http://schemas.openxmlformats.org/officeDocument/2006/extended-properties" xmlns:vt="http://schemas.openxmlformats.org/officeDocument/2006/docPropsVTypes">
  <Template>Normal</Template>
  <TotalTime>0</TotalTime>
  <Pages>79</Pages>
  <Words>29739</Words>
  <Characters>169513</Characters>
  <Application>Microsoft Office Word</Application>
  <DocSecurity>0</DocSecurity>
  <Lines>1412</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Mvasi : EPAR – Product information – tracked changes</dc:title>
  <dc:subject/>
  <dc:creator/>
  <cp:keywords/>
  <dc:description/>
  <cp:lastModifiedBy/>
  <cp:revision>1</cp:revision>
  <dcterms:created xsi:type="dcterms:W3CDTF">2025-09-18T06:48:00Z</dcterms:created>
  <dcterms:modified xsi:type="dcterms:W3CDTF">2025-09-18T06:53:00Z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b29dc0e1-f66e-4ba3-876b-2b3b8bee9576</vt:lpwstr>
  </property>
</Properties>
</file>