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1"/>
      </w:tblGrid>
      <w:tr w:rsidR="008A44C8" w14:paraId="6E11532A" w14:textId="77777777">
        <w:tc>
          <w:tcPr>
            <w:tcW w:w="9271" w:type="dxa"/>
            <w:shd w:val="clear" w:color="auto" w:fill="auto"/>
          </w:tcPr>
          <w:p w14:paraId="02229F1A" w14:textId="190CD25B" w:rsidR="008A44C8" w:rsidRPr="008A44C8" w:rsidRDefault="008A44C8">
            <w:pPr>
              <w:widowControl w:val="0"/>
              <w:tabs>
                <w:tab w:val="clear" w:pos="567"/>
              </w:tabs>
              <w:suppressAutoHyphens/>
              <w:rPr>
                <w:rFonts w:eastAsia="Times New Roman"/>
                <w:szCs w:val="24"/>
                <w:lang w:val="bg-BG"/>
              </w:rPr>
            </w:pPr>
            <w:r w:rsidRPr="008A44C8">
              <w:rPr>
                <w:rFonts w:eastAsia="Times New Roman"/>
                <w:szCs w:val="24"/>
                <w:lang w:val="bg-BG"/>
              </w:rPr>
              <w:t>Este documento es la información sobre el producto aprobada para Stoboclo en el que se destacan las modificaciones introducidas en el procedimiento anterior que afectan a la información sobre el producto (</w:t>
            </w:r>
            <w:r w:rsidRPr="008A44C8">
              <w:rPr>
                <w:rFonts w:eastAsia="맑은 고딕" w:hint="eastAsia"/>
                <w:szCs w:val="24"/>
                <w:lang w:val="en-GB" w:eastAsia="ko-KR"/>
              </w:rPr>
              <w:t>EMEA/H/C/006156/0000</w:t>
            </w:r>
            <w:r w:rsidRPr="008A44C8">
              <w:rPr>
                <w:rFonts w:eastAsia="Times New Roman"/>
                <w:szCs w:val="24"/>
                <w:lang w:val="bg-BG"/>
              </w:rPr>
              <w:t>).</w:t>
            </w:r>
          </w:p>
          <w:p w14:paraId="053E6045" w14:textId="77777777" w:rsidR="008A44C8" w:rsidRPr="008A44C8" w:rsidRDefault="008A44C8">
            <w:pPr>
              <w:widowControl w:val="0"/>
              <w:tabs>
                <w:tab w:val="clear" w:pos="567"/>
              </w:tabs>
              <w:suppressAutoHyphens/>
              <w:rPr>
                <w:rFonts w:eastAsia="Times New Roman"/>
                <w:szCs w:val="24"/>
                <w:lang w:val="bg-BG"/>
              </w:rPr>
            </w:pPr>
          </w:p>
          <w:p w14:paraId="46ACCBC0" w14:textId="3D4EA7FE" w:rsidR="008A44C8" w:rsidRDefault="008A44C8" w:rsidP="008A44C8">
            <w:pPr>
              <w:rPr>
                <w:lang w:val="es-ES_tradnl"/>
              </w:rPr>
            </w:pPr>
            <w:r>
              <w:rPr>
                <w:rFonts w:eastAsia="Times New Roman"/>
                <w:szCs w:val="24"/>
                <w:lang w:val="bg-BG"/>
              </w:rPr>
              <w:t xml:space="preserve">Para más información, consulte el sitio web de la Agencia Europea de Medicamentos: </w:t>
            </w:r>
            <w:hyperlink r:id="rId13" w:history="1">
              <w:r w:rsidR="00950FBE" w:rsidRPr="00445462">
                <w:rPr>
                  <w:rStyle w:val="ab"/>
                </w:rPr>
                <w:t>https://www.ema.europa.eu/en/medicines/human/EPAR/</w:t>
              </w:r>
              <w:r w:rsidR="00950FBE" w:rsidRPr="00445462">
                <w:rPr>
                  <w:rStyle w:val="ab"/>
                  <w:rFonts w:hint="eastAsia"/>
                  <w:lang w:eastAsia="ko-KR"/>
                </w:rPr>
                <w:t>stoboclo</w:t>
              </w:r>
            </w:hyperlink>
          </w:p>
        </w:tc>
      </w:tr>
    </w:tbl>
    <w:p w14:paraId="64D5E2B9" w14:textId="74305853" w:rsidR="008011D6" w:rsidRPr="004F4CD0" w:rsidRDefault="008011D6" w:rsidP="008B4ED7">
      <w:pPr>
        <w:jc w:val="center"/>
        <w:rPr>
          <w:lang w:val="es-ES_tradnl"/>
        </w:rPr>
      </w:pPr>
    </w:p>
    <w:p w14:paraId="7C67C46C" w14:textId="77777777" w:rsidR="008011D6" w:rsidRPr="004F4CD0" w:rsidRDefault="008011D6" w:rsidP="008B4ED7">
      <w:pPr>
        <w:jc w:val="center"/>
        <w:rPr>
          <w:lang w:val="es-ES_tradnl"/>
        </w:rPr>
      </w:pPr>
    </w:p>
    <w:p w14:paraId="33E74EAF" w14:textId="77777777" w:rsidR="008011D6" w:rsidRPr="004F4CD0" w:rsidRDefault="008011D6" w:rsidP="008B4ED7">
      <w:pPr>
        <w:jc w:val="center"/>
        <w:rPr>
          <w:lang w:val="es-ES_tradnl"/>
        </w:rPr>
      </w:pPr>
    </w:p>
    <w:p w14:paraId="4BC25555" w14:textId="77777777" w:rsidR="008011D6" w:rsidRPr="004F4CD0" w:rsidRDefault="008011D6" w:rsidP="008B4ED7">
      <w:pPr>
        <w:jc w:val="center"/>
        <w:rPr>
          <w:lang w:val="es-ES_tradnl"/>
        </w:rPr>
      </w:pPr>
    </w:p>
    <w:p w14:paraId="79507BD6" w14:textId="77777777" w:rsidR="008011D6" w:rsidRPr="004F4CD0" w:rsidRDefault="008011D6" w:rsidP="008B4ED7">
      <w:pPr>
        <w:jc w:val="center"/>
        <w:rPr>
          <w:lang w:val="es-ES_tradnl"/>
        </w:rPr>
      </w:pPr>
    </w:p>
    <w:p w14:paraId="1FABB868" w14:textId="77777777" w:rsidR="008011D6" w:rsidRPr="004F4CD0" w:rsidRDefault="008011D6" w:rsidP="008B4ED7">
      <w:pPr>
        <w:jc w:val="center"/>
        <w:rPr>
          <w:lang w:val="es-ES_tradnl"/>
        </w:rPr>
      </w:pPr>
    </w:p>
    <w:p w14:paraId="19CE2468" w14:textId="77777777" w:rsidR="008011D6" w:rsidRPr="004F4CD0" w:rsidRDefault="008011D6" w:rsidP="008B4ED7">
      <w:pPr>
        <w:jc w:val="center"/>
        <w:rPr>
          <w:lang w:val="es-ES_tradnl"/>
        </w:rPr>
      </w:pPr>
    </w:p>
    <w:p w14:paraId="14576D38" w14:textId="77777777" w:rsidR="008011D6" w:rsidRPr="004F4CD0" w:rsidRDefault="008011D6" w:rsidP="008B4ED7">
      <w:pPr>
        <w:jc w:val="center"/>
        <w:rPr>
          <w:lang w:val="es-ES_tradnl"/>
        </w:rPr>
      </w:pPr>
    </w:p>
    <w:p w14:paraId="7905C319" w14:textId="77777777" w:rsidR="008011D6" w:rsidRPr="004F4CD0" w:rsidRDefault="008011D6" w:rsidP="008B4ED7">
      <w:pPr>
        <w:jc w:val="center"/>
        <w:rPr>
          <w:bCs/>
          <w:lang w:val="es-ES_tradnl"/>
        </w:rPr>
      </w:pPr>
    </w:p>
    <w:p w14:paraId="6D1A9A67" w14:textId="77777777" w:rsidR="008011D6" w:rsidRPr="004F4CD0" w:rsidRDefault="008011D6" w:rsidP="008B4ED7">
      <w:pPr>
        <w:jc w:val="center"/>
        <w:rPr>
          <w:bCs/>
          <w:lang w:val="es-ES_tradnl"/>
        </w:rPr>
      </w:pPr>
    </w:p>
    <w:p w14:paraId="30A2593B" w14:textId="77777777" w:rsidR="008011D6" w:rsidRPr="004F4CD0" w:rsidRDefault="008011D6" w:rsidP="008B4ED7">
      <w:pPr>
        <w:jc w:val="center"/>
        <w:rPr>
          <w:bCs/>
          <w:lang w:val="es-ES_tradnl"/>
        </w:rPr>
      </w:pPr>
    </w:p>
    <w:p w14:paraId="5F45F0FE" w14:textId="77777777" w:rsidR="008011D6" w:rsidRPr="004F4CD0" w:rsidRDefault="008011D6" w:rsidP="008B4ED7">
      <w:pPr>
        <w:jc w:val="center"/>
        <w:rPr>
          <w:bCs/>
          <w:lang w:val="es-ES_tradnl"/>
        </w:rPr>
      </w:pPr>
    </w:p>
    <w:p w14:paraId="193B21D5" w14:textId="77777777" w:rsidR="008011D6" w:rsidRPr="004F4CD0" w:rsidRDefault="008011D6" w:rsidP="008B4ED7">
      <w:pPr>
        <w:jc w:val="center"/>
        <w:rPr>
          <w:bCs/>
          <w:lang w:val="es-ES_tradnl"/>
        </w:rPr>
      </w:pPr>
    </w:p>
    <w:p w14:paraId="0C8DAEE4" w14:textId="77777777" w:rsidR="008011D6" w:rsidRPr="004F4CD0" w:rsidRDefault="008011D6" w:rsidP="008B4ED7">
      <w:pPr>
        <w:jc w:val="center"/>
        <w:rPr>
          <w:bCs/>
          <w:lang w:val="es-ES_tradnl"/>
        </w:rPr>
      </w:pPr>
    </w:p>
    <w:p w14:paraId="327B1162" w14:textId="77777777" w:rsidR="008011D6" w:rsidRPr="004F4CD0" w:rsidRDefault="008011D6" w:rsidP="008B4ED7">
      <w:pPr>
        <w:jc w:val="center"/>
        <w:rPr>
          <w:bCs/>
          <w:lang w:val="es-ES_tradnl"/>
        </w:rPr>
      </w:pPr>
    </w:p>
    <w:p w14:paraId="3656AB0D" w14:textId="77777777" w:rsidR="008011D6" w:rsidRPr="004F4CD0" w:rsidRDefault="008011D6" w:rsidP="008B4ED7">
      <w:pPr>
        <w:jc w:val="center"/>
        <w:rPr>
          <w:bCs/>
          <w:lang w:val="es-ES_tradnl"/>
        </w:rPr>
      </w:pPr>
    </w:p>
    <w:p w14:paraId="35ECF262" w14:textId="77777777" w:rsidR="008011D6" w:rsidRPr="004F4CD0" w:rsidRDefault="008011D6" w:rsidP="008B4ED7">
      <w:pPr>
        <w:jc w:val="center"/>
        <w:rPr>
          <w:bCs/>
          <w:lang w:val="es-ES_tradnl"/>
        </w:rPr>
      </w:pPr>
    </w:p>
    <w:p w14:paraId="5E1B5937" w14:textId="77777777" w:rsidR="008011D6" w:rsidRPr="004F4CD0" w:rsidRDefault="008011D6" w:rsidP="008B4ED7">
      <w:pPr>
        <w:jc w:val="center"/>
        <w:rPr>
          <w:bCs/>
          <w:lang w:val="es-ES_tradnl"/>
        </w:rPr>
      </w:pPr>
    </w:p>
    <w:p w14:paraId="5A3A74FC" w14:textId="77777777" w:rsidR="008011D6" w:rsidRPr="004F4CD0" w:rsidRDefault="008011D6" w:rsidP="008B4ED7">
      <w:pPr>
        <w:jc w:val="center"/>
        <w:rPr>
          <w:bCs/>
          <w:lang w:val="es-ES_tradnl"/>
        </w:rPr>
      </w:pPr>
    </w:p>
    <w:p w14:paraId="0FA6D7DE" w14:textId="77777777" w:rsidR="008011D6" w:rsidRPr="004F4CD0" w:rsidRDefault="008011D6" w:rsidP="008B4ED7">
      <w:pPr>
        <w:jc w:val="center"/>
        <w:rPr>
          <w:bCs/>
          <w:lang w:val="es-ES_tradnl"/>
        </w:rPr>
      </w:pPr>
    </w:p>
    <w:p w14:paraId="0EB41DD8" w14:textId="77777777" w:rsidR="008011D6" w:rsidRPr="004F4CD0" w:rsidRDefault="008011D6" w:rsidP="008B4ED7">
      <w:pPr>
        <w:jc w:val="center"/>
        <w:rPr>
          <w:bCs/>
          <w:lang w:val="es-ES_tradnl"/>
        </w:rPr>
      </w:pPr>
    </w:p>
    <w:p w14:paraId="2EE991CE" w14:textId="77777777" w:rsidR="008011D6" w:rsidRPr="004F4CD0" w:rsidRDefault="008011D6" w:rsidP="008B4ED7">
      <w:pPr>
        <w:jc w:val="center"/>
        <w:rPr>
          <w:bCs/>
          <w:lang w:val="es-ES_tradnl"/>
        </w:rPr>
      </w:pPr>
    </w:p>
    <w:p w14:paraId="518B575D" w14:textId="77777777" w:rsidR="008011D6" w:rsidRPr="004F4CD0" w:rsidRDefault="008011D6" w:rsidP="008B4ED7">
      <w:pPr>
        <w:jc w:val="center"/>
        <w:rPr>
          <w:bCs/>
          <w:lang w:val="es-ES_tradnl"/>
        </w:rPr>
      </w:pPr>
    </w:p>
    <w:p w14:paraId="69A36838" w14:textId="77777777" w:rsidR="008011D6" w:rsidRPr="004F4CD0" w:rsidRDefault="008011D6" w:rsidP="008B4ED7">
      <w:pPr>
        <w:jc w:val="center"/>
        <w:rPr>
          <w:b/>
          <w:bCs/>
          <w:lang w:val="es-ES_tradnl"/>
        </w:rPr>
      </w:pPr>
      <w:r w:rsidRPr="004F4CD0">
        <w:rPr>
          <w:b/>
          <w:lang w:val="es-ES_tradnl"/>
        </w:rPr>
        <w:t>ANEXO I</w:t>
      </w:r>
    </w:p>
    <w:p w14:paraId="3CE21997" w14:textId="77777777" w:rsidR="008011D6" w:rsidRPr="004F4CD0" w:rsidRDefault="008011D6" w:rsidP="008B4ED7">
      <w:pPr>
        <w:jc w:val="center"/>
        <w:rPr>
          <w:bCs/>
          <w:lang w:val="es-ES_tradnl"/>
        </w:rPr>
      </w:pPr>
    </w:p>
    <w:p w14:paraId="48FC8940" w14:textId="77777777" w:rsidR="008011D6" w:rsidRPr="004F4CD0" w:rsidRDefault="008011D6" w:rsidP="00BF5188">
      <w:pPr>
        <w:pStyle w:val="TitleA"/>
        <w:rPr>
          <w:lang w:val="es-ES_tradnl"/>
        </w:rPr>
      </w:pPr>
      <w:r w:rsidRPr="004F4CD0">
        <w:rPr>
          <w:lang w:val="es-ES_tradnl"/>
        </w:rPr>
        <w:t>FICHA TÉCNICA O RESUMEN DE LAS CARACTERÍSTICAS DEL PRODUCTO</w:t>
      </w:r>
    </w:p>
    <w:p w14:paraId="6D83CC6C" w14:textId="5F64F4C7" w:rsidR="007267B6" w:rsidRPr="004F4CD0" w:rsidRDefault="00677635" w:rsidP="007267B6">
      <w:pPr>
        <w:rPr>
          <w:lang w:val="es-ES_tradnl"/>
        </w:rPr>
      </w:pPr>
      <w:r w:rsidRPr="004F4CD0">
        <w:rPr>
          <w:lang w:val="es-ES_tradnl"/>
        </w:rPr>
        <w:br w:type="page"/>
      </w:r>
      <w:r w:rsidR="00950FBE">
        <w:rPr>
          <w:noProof/>
          <w:lang w:val="en-US" w:eastAsia="zh-CN"/>
        </w:rPr>
        <w:lastRenderedPageBreak/>
        <w:pict w14:anchorId="04F5A91A">
          <v:shape id="_x0000_i1025" type="#_x0000_t75" alt="BT_1000x858px" style="width:15.75pt;height:12.75pt;visibility:visible;mso-wrap-style:square">
            <v:imagedata r:id="rId14" o:title="BT_1000x858px"/>
          </v:shape>
        </w:pict>
      </w:r>
      <w:r w:rsidR="007267B6" w:rsidRPr="004F4CD0">
        <w:rPr>
          <w:lang w:val="es-ES_tradnl"/>
        </w:rPr>
        <w:t>Este medicamento está sujeto a seguimiento adicional, lo que agilizará la detección de nueva información sobre su seguridad. Se invita a los profesionales sanitarios a notificar las sospechas de reacciones adversas. Ver</w:t>
      </w:r>
      <w:r w:rsidR="002E692F" w:rsidRPr="004F4CD0">
        <w:rPr>
          <w:lang w:val="es-ES_tradnl"/>
        </w:rPr>
        <w:t xml:space="preserve"> </w:t>
      </w:r>
      <w:r w:rsidR="007267B6" w:rsidRPr="004F4CD0">
        <w:rPr>
          <w:lang w:val="es-ES_tradnl"/>
        </w:rPr>
        <w:t>la sección</w:t>
      </w:r>
      <w:r w:rsidR="002E692F" w:rsidRPr="004F4CD0">
        <w:rPr>
          <w:lang w:val="es-ES_tradnl"/>
        </w:rPr>
        <w:t> </w:t>
      </w:r>
      <w:r w:rsidR="007267B6" w:rsidRPr="004F4CD0">
        <w:rPr>
          <w:lang w:val="es-ES_tradnl"/>
        </w:rPr>
        <w:t>4.8, en la que se incluye información sobre cómo notificarlas.</w:t>
      </w:r>
    </w:p>
    <w:p w14:paraId="361787D2" w14:textId="7446388D" w:rsidR="007267B6" w:rsidRPr="004F4CD0" w:rsidRDefault="007267B6" w:rsidP="00677635">
      <w:pPr>
        <w:rPr>
          <w:lang w:val="es-ES_tradnl"/>
        </w:rPr>
      </w:pPr>
    </w:p>
    <w:p w14:paraId="45FCD554" w14:textId="77777777" w:rsidR="007267B6" w:rsidRPr="004F4CD0" w:rsidRDefault="007267B6" w:rsidP="00677635">
      <w:pPr>
        <w:rPr>
          <w:lang w:val="es-ES_tradnl"/>
        </w:rPr>
      </w:pPr>
    </w:p>
    <w:p w14:paraId="25D96487" w14:textId="2392140A" w:rsidR="00992A6A" w:rsidRPr="004F4CD0" w:rsidRDefault="00677635" w:rsidP="00677635">
      <w:pPr>
        <w:rPr>
          <w:lang w:val="es-ES_tradnl"/>
        </w:rPr>
      </w:pPr>
      <w:r w:rsidRPr="004F4CD0">
        <w:rPr>
          <w:b/>
          <w:lang w:val="es-ES_tradnl"/>
        </w:rPr>
        <w:t>1.</w:t>
      </w:r>
      <w:r w:rsidRPr="004F4CD0">
        <w:rPr>
          <w:b/>
          <w:lang w:val="es-ES_tradnl"/>
        </w:rPr>
        <w:tab/>
        <w:t>NOMBRE DEL MEDICAMENTO</w:t>
      </w:r>
    </w:p>
    <w:p w14:paraId="1FF25388" w14:textId="77777777" w:rsidR="00992A6A" w:rsidRPr="004F4CD0" w:rsidRDefault="00992A6A" w:rsidP="008B4ED7">
      <w:pPr>
        <w:keepNext/>
        <w:rPr>
          <w:lang w:val="es-ES_tradnl"/>
        </w:rPr>
      </w:pPr>
    </w:p>
    <w:p w14:paraId="2E7B3CA2" w14:textId="0E3011C8" w:rsidR="00992A6A" w:rsidRPr="004F4CD0" w:rsidRDefault="007267B6" w:rsidP="008B4ED7">
      <w:pPr>
        <w:rPr>
          <w:lang w:val="es-ES_tradnl"/>
        </w:rPr>
      </w:pPr>
      <w:r w:rsidRPr="004F4CD0">
        <w:rPr>
          <w:lang w:val="es-ES_tradnl"/>
        </w:rPr>
        <w:t xml:space="preserve">Stoboclo </w:t>
      </w:r>
      <w:r w:rsidR="00992A6A" w:rsidRPr="004F4CD0">
        <w:rPr>
          <w:lang w:val="es-ES_tradnl"/>
        </w:rPr>
        <w:t>60 mg solución inyectable en jeringa precargada</w:t>
      </w:r>
    </w:p>
    <w:p w14:paraId="48D1DD7B" w14:textId="77777777" w:rsidR="00BE114A" w:rsidRPr="004F4CD0" w:rsidRDefault="00BE114A" w:rsidP="008B4ED7">
      <w:pPr>
        <w:rPr>
          <w:lang w:val="es-ES_tradnl"/>
        </w:rPr>
      </w:pPr>
    </w:p>
    <w:p w14:paraId="362A8E3A" w14:textId="77777777" w:rsidR="00992A6A" w:rsidRPr="004F4CD0" w:rsidRDefault="00992A6A" w:rsidP="008B4ED7">
      <w:pPr>
        <w:rPr>
          <w:lang w:val="es-ES_tradnl"/>
        </w:rPr>
      </w:pPr>
    </w:p>
    <w:p w14:paraId="199F190B" w14:textId="77777777" w:rsidR="00992A6A" w:rsidRPr="004F4CD0" w:rsidRDefault="00992A6A" w:rsidP="008B4ED7">
      <w:pPr>
        <w:keepNext/>
        <w:ind w:left="567" w:hanging="567"/>
        <w:rPr>
          <w:lang w:val="es-ES_tradnl"/>
        </w:rPr>
      </w:pPr>
      <w:r w:rsidRPr="004F4CD0">
        <w:rPr>
          <w:b/>
          <w:lang w:val="es-ES_tradnl"/>
        </w:rPr>
        <w:t>2.</w:t>
      </w:r>
      <w:r w:rsidRPr="004F4CD0">
        <w:rPr>
          <w:b/>
          <w:lang w:val="es-ES_tradnl"/>
        </w:rPr>
        <w:tab/>
        <w:t>COMPOSICIÓN CUALITATIVA Y CUANTITATIVA</w:t>
      </w:r>
    </w:p>
    <w:p w14:paraId="079089E6" w14:textId="77777777" w:rsidR="00992A6A" w:rsidRPr="004F4CD0" w:rsidRDefault="00992A6A" w:rsidP="008B4ED7">
      <w:pPr>
        <w:keepNext/>
        <w:rPr>
          <w:lang w:val="es-ES_tradnl"/>
        </w:rPr>
      </w:pPr>
    </w:p>
    <w:p w14:paraId="4F06FA4C" w14:textId="77777777" w:rsidR="00992A6A" w:rsidRPr="004F4CD0" w:rsidRDefault="00992A6A" w:rsidP="008B4ED7">
      <w:pPr>
        <w:rPr>
          <w:lang w:val="es-ES_tradnl"/>
        </w:rPr>
      </w:pPr>
      <w:r w:rsidRPr="004F4CD0">
        <w:rPr>
          <w:lang w:val="es-ES_tradnl"/>
        </w:rPr>
        <w:t>Cada jeringa precargada contiene 60 mg de denosumab en 1 ml de solución (60 mg/ml).</w:t>
      </w:r>
    </w:p>
    <w:p w14:paraId="59BD02DC" w14:textId="77777777" w:rsidR="004103A2" w:rsidRPr="004F4CD0" w:rsidRDefault="004103A2" w:rsidP="008B4ED7">
      <w:pPr>
        <w:rPr>
          <w:lang w:val="es-ES_tradnl"/>
        </w:rPr>
      </w:pPr>
    </w:p>
    <w:p w14:paraId="4323962D" w14:textId="77777777" w:rsidR="00992A6A" w:rsidRPr="004F4CD0" w:rsidRDefault="00992A6A" w:rsidP="008B4ED7">
      <w:pPr>
        <w:rPr>
          <w:lang w:val="es-ES_tradnl"/>
        </w:rPr>
      </w:pPr>
      <w:r w:rsidRPr="004F4CD0">
        <w:rPr>
          <w:lang w:val="es-ES_tradnl"/>
        </w:rPr>
        <w:t>Denosumab es un anticuerpo monoclonal IgG2 humano producido en una línea celular de mamíferos (células ováricas de hámster chino) mediante tecnología del ADN recombinante.</w:t>
      </w:r>
    </w:p>
    <w:p w14:paraId="47451789" w14:textId="77777777" w:rsidR="00992A6A" w:rsidRPr="004F4CD0" w:rsidRDefault="00992A6A" w:rsidP="008B4ED7">
      <w:pPr>
        <w:rPr>
          <w:lang w:val="es-ES_tradnl"/>
        </w:rPr>
      </w:pPr>
    </w:p>
    <w:p w14:paraId="40A4BEC8" w14:textId="74DA35CC" w:rsidR="0081033D" w:rsidRPr="004F4CD0" w:rsidRDefault="0081033D" w:rsidP="008B4ED7">
      <w:pPr>
        <w:keepNext/>
        <w:rPr>
          <w:u w:val="single"/>
          <w:lang w:val="es-ES_tradnl"/>
        </w:rPr>
      </w:pPr>
      <w:r w:rsidRPr="004F4CD0">
        <w:rPr>
          <w:u w:val="single"/>
          <w:lang w:val="es-ES_tradnl"/>
        </w:rPr>
        <w:t>Excipiente con efecto conocido</w:t>
      </w:r>
    </w:p>
    <w:p w14:paraId="724EC6CC" w14:textId="77777777" w:rsidR="00C57400" w:rsidRPr="004F4CD0" w:rsidRDefault="00C57400" w:rsidP="008B4ED7">
      <w:pPr>
        <w:keepNext/>
        <w:rPr>
          <w:lang w:val="es-ES_tradnl"/>
        </w:rPr>
      </w:pPr>
    </w:p>
    <w:p w14:paraId="0B37DA99" w14:textId="29A64BA0" w:rsidR="008603DE" w:rsidRPr="004F4CD0" w:rsidRDefault="0081033D" w:rsidP="008B4ED7">
      <w:pPr>
        <w:rPr>
          <w:lang w:val="es-ES_tradnl"/>
        </w:rPr>
      </w:pPr>
      <w:r w:rsidRPr="004F4CD0">
        <w:rPr>
          <w:lang w:val="es-ES_tradnl"/>
        </w:rPr>
        <w:t xml:space="preserve">Este medicamento contiene 47 mg de sorbitol </w:t>
      </w:r>
      <w:r w:rsidR="007267B6" w:rsidRPr="004F4CD0">
        <w:rPr>
          <w:lang w:val="es-ES_tradnl"/>
        </w:rPr>
        <w:t xml:space="preserve">(E420) y 0,1 mg de polisorbato 20 (E432) </w:t>
      </w:r>
      <w:r w:rsidRPr="004F4CD0">
        <w:rPr>
          <w:lang w:val="es-ES_tradnl"/>
        </w:rPr>
        <w:t>por cada ml de solución.</w:t>
      </w:r>
    </w:p>
    <w:p w14:paraId="78C9CE2F" w14:textId="77777777" w:rsidR="00992A6A" w:rsidRPr="004F4CD0" w:rsidRDefault="00992A6A" w:rsidP="008B4ED7">
      <w:pPr>
        <w:rPr>
          <w:lang w:val="es-ES_tradnl"/>
        </w:rPr>
      </w:pPr>
    </w:p>
    <w:p w14:paraId="70F7E086" w14:textId="77777777" w:rsidR="00992A6A" w:rsidRPr="004F4CD0" w:rsidRDefault="00992A6A" w:rsidP="008B4ED7">
      <w:pPr>
        <w:rPr>
          <w:lang w:val="es-ES_tradnl"/>
        </w:rPr>
      </w:pPr>
      <w:r w:rsidRPr="004F4CD0">
        <w:rPr>
          <w:lang w:val="es-ES_tradnl"/>
        </w:rPr>
        <w:t>Para consultar la lista completa de excipientes, ver sección 6.1.</w:t>
      </w:r>
    </w:p>
    <w:p w14:paraId="706D73D5" w14:textId="77777777" w:rsidR="00992A6A" w:rsidRPr="004F4CD0" w:rsidRDefault="00992A6A" w:rsidP="008B4ED7">
      <w:pPr>
        <w:rPr>
          <w:lang w:val="es-ES_tradnl"/>
        </w:rPr>
      </w:pPr>
    </w:p>
    <w:p w14:paraId="320195A9" w14:textId="77777777" w:rsidR="00992A6A" w:rsidRPr="004F4CD0" w:rsidRDefault="00992A6A" w:rsidP="008B4ED7">
      <w:pPr>
        <w:rPr>
          <w:lang w:val="es-ES_tradnl"/>
        </w:rPr>
      </w:pPr>
    </w:p>
    <w:p w14:paraId="01D741CD" w14:textId="77777777" w:rsidR="00992A6A" w:rsidRPr="004F4CD0" w:rsidRDefault="00992A6A" w:rsidP="008B4ED7">
      <w:pPr>
        <w:keepNext/>
        <w:ind w:left="567" w:hanging="567"/>
        <w:rPr>
          <w:b/>
          <w:lang w:val="es-ES_tradnl"/>
        </w:rPr>
      </w:pPr>
      <w:r w:rsidRPr="004F4CD0">
        <w:rPr>
          <w:b/>
          <w:lang w:val="es-ES_tradnl"/>
        </w:rPr>
        <w:t>3.</w:t>
      </w:r>
      <w:r w:rsidRPr="004F4CD0">
        <w:rPr>
          <w:b/>
          <w:lang w:val="es-ES_tradnl"/>
        </w:rPr>
        <w:tab/>
        <w:t>FORMA FARMACÉUTICA</w:t>
      </w:r>
    </w:p>
    <w:p w14:paraId="3A03FAF0" w14:textId="77777777" w:rsidR="00992A6A" w:rsidRPr="004F4CD0" w:rsidRDefault="00992A6A" w:rsidP="008B4ED7">
      <w:pPr>
        <w:keepNext/>
        <w:rPr>
          <w:lang w:val="es-ES_tradnl"/>
        </w:rPr>
      </w:pPr>
    </w:p>
    <w:p w14:paraId="45BE9C23" w14:textId="77777777" w:rsidR="00992A6A" w:rsidRPr="004F4CD0" w:rsidRDefault="00992A6A" w:rsidP="008B4ED7">
      <w:pPr>
        <w:rPr>
          <w:lang w:val="es-ES_tradnl"/>
        </w:rPr>
      </w:pPr>
      <w:r w:rsidRPr="004F4CD0">
        <w:rPr>
          <w:lang w:val="es-ES_tradnl"/>
        </w:rPr>
        <w:t>Solución inyectable (inyectable).</w:t>
      </w:r>
    </w:p>
    <w:p w14:paraId="3C78B81E" w14:textId="77777777" w:rsidR="00662C55" w:rsidRPr="004F4CD0" w:rsidRDefault="00662C55" w:rsidP="008B4ED7">
      <w:pPr>
        <w:rPr>
          <w:lang w:val="es-ES_tradnl"/>
        </w:rPr>
      </w:pPr>
    </w:p>
    <w:p w14:paraId="7E3C22B9" w14:textId="6526EA10" w:rsidR="008603DE" w:rsidRPr="004F4CD0" w:rsidRDefault="00992A6A" w:rsidP="008B4ED7">
      <w:pPr>
        <w:rPr>
          <w:lang w:val="es-ES_tradnl"/>
        </w:rPr>
      </w:pPr>
      <w:r w:rsidRPr="004F4CD0">
        <w:rPr>
          <w:lang w:val="es-ES_tradnl"/>
        </w:rPr>
        <w:t>Solución transparente, de incolora a amarilla</w:t>
      </w:r>
      <w:r w:rsidR="007267B6" w:rsidRPr="004F4CD0">
        <w:rPr>
          <w:lang w:val="es-ES_tradnl"/>
        </w:rPr>
        <w:t xml:space="preserve"> pálida con un pH de 5,2</w:t>
      </w:r>
      <w:r w:rsidRPr="004F4CD0">
        <w:rPr>
          <w:lang w:val="es-ES_tradnl"/>
        </w:rPr>
        <w:t>.</w:t>
      </w:r>
    </w:p>
    <w:p w14:paraId="640D0C84" w14:textId="77777777" w:rsidR="00992A6A" w:rsidRPr="004F4CD0" w:rsidRDefault="00992A6A" w:rsidP="008B4ED7">
      <w:pPr>
        <w:rPr>
          <w:lang w:val="es-ES_tradnl"/>
        </w:rPr>
      </w:pPr>
    </w:p>
    <w:p w14:paraId="63A600CA" w14:textId="77777777" w:rsidR="004103A2" w:rsidRPr="004F4CD0" w:rsidRDefault="004103A2" w:rsidP="008B4ED7">
      <w:pPr>
        <w:rPr>
          <w:lang w:val="es-ES_tradnl"/>
        </w:rPr>
      </w:pPr>
    </w:p>
    <w:p w14:paraId="7279213E" w14:textId="77777777" w:rsidR="00992A6A" w:rsidRPr="004F4CD0" w:rsidRDefault="00531950" w:rsidP="008B4ED7">
      <w:pPr>
        <w:keepNext/>
        <w:ind w:left="567" w:hanging="567"/>
        <w:rPr>
          <w:b/>
          <w:lang w:val="es-ES_tradnl"/>
        </w:rPr>
      </w:pPr>
      <w:r w:rsidRPr="004F4CD0">
        <w:rPr>
          <w:b/>
          <w:lang w:val="es-ES_tradnl"/>
        </w:rPr>
        <w:t>4.</w:t>
      </w:r>
      <w:r w:rsidRPr="004F4CD0">
        <w:rPr>
          <w:b/>
          <w:lang w:val="es-ES_tradnl"/>
        </w:rPr>
        <w:tab/>
        <w:t>DATOS CLÍNICOS</w:t>
      </w:r>
    </w:p>
    <w:p w14:paraId="2BFD3BE3" w14:textId="77777777" w:rsidR="00992A6A" w:rsidRPr="004F4CD0" w:rsidRDefault="00992A6A" w:rsidP="008B4ED7">
      <w:pPr>
        <w:keepNext/>
        <w:rPr>
          <w:lang w:val="es-ES_tradnl"/>
        </w:rPr>
      </w:pPr>
    </w:p>
    <w:p w14:paraId="2CEF50C1" w14:textId="77777777" w:rsidR="00992A6A" w:rsidRPr="004F4CD0" w:rsidRDefault="0040061E" w:rsidP="008B4ED7">
      <w:pPr>
        <w:keepNext/>
        <w:tabs>
          <w:tab w:val="clear" w:pos="567"/>
        </w:tabs>
        <w:ind w:left="567" w:hanging="567"/>
        <w:outlineLvl w:val="0"/>
        <w:rPr>
          <w:b/>
          <w:lang w:val="es-ES_tradnl"/>
        </w:rPr>
      </w:pPr>
      <w:r w:rsidRPr="004F4CD0">
        <w:rPr>
          <w:b/>
          <w:lang w:val="es-ES_tradnl"/>
        </w:rPr>
        <w:t>4.1</w:t>
      </w:r>
      <w:r w:rsidRPr="004F4CD0">
        <w:rPr>
          <w:b/>
          <w:lang w:val="es-ES_tradnl"/>
        </w:rPr>
        <w:tab/>
        <w:t>Indicaciones terapéuticas</w:t>
      </w:r>
    </w:p>
    <w:p w14:paraId="73F9B50E" w14:textId="77777777" w:rsidR="00992A6A" w:rsidRPr="004F4CD0" w:rsidRDefault="00992A6A" w:rsidP="008B4ED7">
      <w:pPr>
        <w:keepNext/>
        <w:rPr>
          <w:lang w:val="es-ES_tradnl"/>
        </w:rPr>
      </w:pPr>
    </w:p>
    <w:p w14:paraId="4DA3DC16" w14:textId="20EE61CC" w:rsidR="00992A6A" w:rsidRPr="004F4CD0" w:rsidRDefault="00992A6A" w:rsidP="008B4ED7">
      <w:pPr>
        <w:rPr>
          <w:lang w:val="es-ES_tradnl"/>
        </w:rPr>
      </w:pPr>
      <w:r w:rsidRPr="004F4CD0">
        <w:rPr>
          <w:lang w:val="es-ES_tradnl"/>
        </w:rPr>
        <w:t xml:space="preserve">Tratamiento de la osteoporosis en mujeres posmenopáusicas y en varones con riesgo elevado de fracturas. En mujeres posmenopáusicas </w:t>
      </w:r>
      <w:r w:rsidR="007267B6" w:rsidRPr="004F4CD0">
        <w:rPr>
          <w:lang w:val="es-ES_tradnl"/>
        </w:rPr>
        <w:t xml:space="preserve">denosumab </w:t>
      </w:r>
      <w:r w:rsidRPr="004F4CD0">
        <w:rPr>
          <w:lang w:val="es-ES_tradnl"/>
        </w:rPr>
        <w:t>reduce significativamente el riesgo de fracturas vertebrales, no vertebrales y de cadera.</w:t>
      </w:r>
    </w:p>
    <w:p w14:paraId="223F1787" w14:textId="77777777" w:rsidR="00992A6A" w:rsidRPr="004F4CD0" w:rsidRDefault="00992A6A" w:rsidP="008B4ED7">
      <w:pPr>
        <w:rPr>
          <w:lang w:val="es-ES_tradnl"/>
        </w:rPr>
      </w:pPr>
    </w:p>
    <w:p w14:paraId="69766038" w14:textId="742A9DDB" w:rsidR="00992A6A" w:rsidRPr="004F4CD0" w:rsidRDefault="00992A6A" w:rsidP="008B4ED7">
      <w:pPr>
        <w:rPr>
          <w:lang w:val="es-ES_tradnl"/>
        </w:rPr>
      </w:pPr>
      <w:r w:rsidRPr="004F4CD0">
        <w:rPr>
          <w:lang w:val="es-ES_tradnl"/>
        </w:rPr>
        <w:t xml:space="preserve">Tratamiento de la pérdida ósea asociada con la supresión hormonal en hombres con cáncer de próstata con riesgo elevado de fracturas (ver sección 5.1). En hombres con cáncer de próstata sometidos a supresión hormonal, </w:t>
      </w:r>
      <w:r w:rsidR="007267B6" w:rsidRPr="004F4CD0">
        <w:rPr>
          <w:lang w:val="es-ES_tradnl"/>
        </w:rPr>
        <w:t xml:space="preserve">denosumab </w:t>
      </w:r>
      <w:r w:rsidRPr="004F4CD0">
        <w:rPr>
          <w:lang w:val="es-ES_tradnl"/>
        </w:rPr>
        <w:t>reduce significativamente el riesgo de fracturas vertebrales.</w:t>
      </w:r>
    </w:p>
    <w:p w14:paraId="7D563DCD" w14:textId="77777777" w:rsidR="0081033D" w:rsidRPr="004F4CD0" w:rsidRDefault="0081033D" w:rsidP="008B4ED7">
      <w:pPr>
        <w:rPr>
          <w:lang w:val="es-ES_tradnl"/>
        </w:rPr>
      </w:pPr>
    </w:p>
    <w:p w14:paraId="708DCC2B" w14:textId="77777777" w:rsidR="0081033D" w:rsidRPr="004F4CD0" w:rsidRDefault="0081033D" w:rsidP="008B4ED7">
      <w:pPr>
        <w:rPr>
          <w:lang w:val="es-ES_tradnl"/>
        </w:rPr>
      </w:pPr>
      <w:r w:rsidRPr="004F4CD0">
        <w:rPr>
          <w:lang w:val="es-ES_tradnl"/>
        </w:rPr>
        <w:t>Tratamiento de la pérdida ósea asociada con el tratamiento sistémico a largo plazo con glucocorticoides en pacientes adultos con riesgo elevado de fracturas (ver sección 5.1).</w:t>
      </w:r>
    </w:p>
    <w:p w14:paraId="0ADE80A4" w14:textId="77777777" w:rsidR="00992A6A" w:rsidRPr="004F4CD0" w:rsidRDefault="00992A6A" w:rsidP="008B4ED7">
      <w:pPr>
        <w:rPr>
          <w:lang w:val="es-ES_tradnl"/>
        </w:rPr>
      </w:pPr>
    </w:p>
    <w:p w14:paraId="14F9C02A" w14:textId="77777777" w:rsidR="00992A6A" w:rsidRPr="004F4CD0" w:rsidRDefault="0040061E" w:rsidP="008B4ED7">
      <w:pPr>
        <w:keepNext/>
        <w:ind w:left="567" w:hanging="567"/>
        <w:rPr>
          <w:b/>
          <w:lang w:val="es-ES_tradnl"/>
        </w:rPr>
      </w:pPr>
      <w:r w:rsidRPr="004F4CD0">
        <w:rPr>
          <w:b/>
          <w:lang w:val="es-ES_tradnl"/>
        </w:rPr>
        <w:t>4.2</w:t>
      </w:r>
      <w:r w:rsidRPr="004F4CD0">
        <w:rPr>
          <w:b/>
          <w:lang w:val="es-ES_tradnl"/>
        </w:rPr>
        <w:tab/>
        <w:t>Posología y forma de administración</w:t>
      </w:r>
    </w:p>
    <w:p w14:paraId="4C4DC1A8" w14:textId="77777777" w:rsidR="00992A6A" w:rsidRPr="004F4CD0" w:rsidRDefault="00992A6A" w:rsidP="008B4ED7">
      <w:pPr>
        <w:keepNext/>
        <w:rPr>
          <w:lang w:val="es-ES_tradnl"/>
        </w:rPr>
      </w:pPr>
    </w:p>
    <w:p w14:paraId="5E0B1EEC" w14:textId="77777777" w:rsidR="004439BF" w:rsidRPr="004F4CD0" w:rsidRDefault="00992A6A" w:rsidP="008B4ED7">
      <w:pPr>
        <w:keepNext/>
        <w:rPr>
          <w:u w:val="single"/>
          <w:lang w:val="es-ES_tradnl"/>
        </w:rPr>
      </w:pPr>
      <w:r w:rsidRPr="004F4CD0">
        <w:rPr>
          <w:u w:val="single"/>
          <w:lang w:val="es-ES_tradnl"/>
        </w:rPr>
        <w:t>Posología</w:t>
      </w:r>
    </w:p>
    <w:p w14:paraId="6BAE3C37" w14:textId="77777777" w:rsidR="00992A6A" w:rsidRPr="004F4CD0" w:rsidRDefault="00992A6A" w:rsidP="008B4ED7">
      <w:pPr>
        <w:keepNext/>
        <w:rPr>
          <w:lang w:val="es-ES_tradnl"/>
        </w:rPr>
      </w:pPr>
    </w:p>
    <w:p w14:paraId="16490D2F" w14:textId="6BD29B92" w:rsidR="00992A6A" w:rsidRPr="004F4CD0" w:rsidRDefault="00992A6A" w:rsidP="008B4ED7">
      <w:pPr>
        <w:rPr>
          <w:lang w:val="es-ES_tradnl"/>
        </w:rPr>
      </w:pPr>
      <w:r w:rsidRPr="004F4CD0">
        <w:rPr>
          <w:lang w:val="es-ES_tradnl"/>
        </w:rPr>
        <w:t>La dosis recomendada es de 60 mg de denosumab administrados en una única inyección subcutánea una vez cada 6 meses en el muslo, el abdomen o la parte superior del brazo.</w:t>
      </w:r>
    </w:p>
    <w:p w14:paraId="0B8B79A7" w14:textId="77777777" w:rsidR="00992A6A" w:rsidRPr="004F4CD0" w:rsidRDefault="00992A6A" w:rsidP="008B4ED7">
      <w:pPr>
        <w:rPr>
          <w:lang w:val="es-ES_tradnl"/>
        </w:rPr>
      </w:pPr>
    </w:p>
    <w:p w14:paraId="00C6AA47" w14:textId="5C31F3FB" w:rsidR="00992A6A" w:rsidRPr="004F4CD0" w:rsidRDefault="00992A6A" w:rsidP="008B4ED7">
      <w:pPr>
        <w:rPr>
          <w:lang w:val="es-ES_tradnl"/>
        </w:rPr>
      </w:pPr>
      <w:r w:rsidRPr="004F4CD0">
        <w:rPr>
          <w:lang w:val="es-ES_tradnl"/>
        </w:rPr>
        <w:t>Los pacientes deben tomar suplementos adecuados de calcio y vitamina D (ver sección 4.4).</w:t>
      </w:r>
    </w:p>
    <w:p w14:paraId="23501376" w14:textId="52075D7F" w:rsidR="005D370F" w:rsidRPr="004F4CD0" w:rsidRDefault="005D370F" w:rsidP="008B4ED7">
      <w:pPr>
        <w:rPr>
          <w:lang w:val="es-ES_tradnl"/>
        </w:rPr>
      </w:pPr>
    </w:p>
    <w:p w14:paraId="6F585F8E" w14:textId="21F6D717" w:rsidR="005D370F" w:rsidRPr="004F4CD0" w:rsidRDefault="005D370F" w:rsidP="008B4ED7">
      <w:pPr>
        <w:rPr>
          <w:lang w:val="es-ES_tradnl"/>
        </w:rPr>
      </w:pPr>
      <w:r w:rsidRPr="004F4CD0">
        <w:rPr>
          <w:lang w:val="es-ES_tradnl"/>
        </w:rPr>
        <w:lastRenderedPageBreak/>
        <w:t xml:space="preserve">Los pacientes tratados con </w:t>
      </w:r>
      <w:r w:rsidR="007267B6" w:rsidRPr="004F4CD0">
        <w:rPr>
          <w:lang w:val="es-ES_tradnl"/>
        </w:rPr>
        <w:t xml:space="preserve">denosumab </w:t>
      </w:r>
      <w:r w:rsidRPr="004F4CD0">
        <w:rPr>
          <w:lang w:val="es-ES_tradnl"/>
        </w:rPr>
        <w:t>deben recibir el prospecto y la tarjeta recordatorio para el paciente.</w:t>
      </w:r>
    </w:p>
    <w:p w14:paraId="607F1885" w14:textId="77777777" w:rsidR="0025669A" w:rsidRPr="004F4CD0" w:rsidRDefault="0025669A" w:rsidP="008B4ED7">
      <w:pPr>
        <w:rPr>
          <w:lang w:val="es-ES_tradnl"/>
        </w:rPr>
      </w:pPr>
    </w:p>
    <w:p w14:paraId="75024C21" w14:textId="77777777" w:rsidR="00CB6286" w:rsidRPr="004F4CD0" w:rsidRDefault="00CB6286" w:rsidP="008B4ED7">
      <w:pPr>
        <w:rPr>
          <w:lang w:val="es-ES_tradnl"/>
        </w:rPr>
      </w:pPr>
      <w:r w:rsidRPr="004F4CD0">
        <w:rPr>
          <w:lang w:val="es-ES_tradnl"/>
        </w:rPr>
        <w:t>No se ha establecido la duración óptima del tratamiento antirresortivo para la osteoporosis (incluyendo denosumab y bifosfonatos). La necesidad de continuar con el tratamiento debe ser reevaluada periódicamente considerando los beneficios y riesgos potenciales de denosumab para cada paciente de forma individualizada, sobre todo tras 5 o más años de uso (ver sección 4.4).</w:t>
      </w:r>
    </w:p>
    <w:p w14:paraId="742F929C" w14:textId="77777777" w:rsidR="00992A6A" w:rsidRPr="004F4CD0" w:rsidRDefault="00992A6A" w:rsidP="008B4ED7">
      <w:pPr>
        <w:rPr>
          <w:lang w:val="es-ES_tradnl"/>
        </w:rPr>
      </w:pPr>
    </w:p>
    <w:p w14:paraId="03487E6F" w14:textId="19CAF636" w:rsidR="00C57400" w:rsidRPr="004F4CD0" w:rsidRDefault="00C57400" w:rsidP="008B4ED7">
      <w:pPr>
        <w:keepNext/>
        <w:tabs>
          <w:tab w:val="clear" w:pos="567"/>
        </w:tabs>
        <w:rPr>
          <w:i/>
          <w:iCs/>
          <w:lang w:val="es-ES_tradnl"/>
        </w:rPr>
      </w:pPr>
      <w:r w:rsidRPr="004F4CD0">
        <w:rPr>
          <w:i/>
          <w:lang w:val="es-ES_tradnl"/>
        </w:rPr>
        <w:t>Pacientes de edad avanzada (edad ≥ 65)</w:t>
      </w:r>
    </w:p>
    <w:p w14:paraId="0F272CBD" w14:textId="77777777" w:rsidR="00C57400" w:rsidRPr="004F4CD0" w:rsidRDefault="00C57400" w:rsidP="008B4ED7">
      <w:pPr>
        <w:rPr>
          <w:lang w:val="es-ES_tradnl"/>
        </w:rPr>
      </w:pPr>
      <w:r w:rsidRPr="004F4CD0">
        <w:rPr>
          <w:lang w:val="es-ES_tradnl"/>
        </w:rPr>
        <w:t>No se requieren ajustes de dosis en pacientes de edad avanzada.</w:t>
      </w:r>
    </w:p>
    <w:p w14:paraId="5FC4283C" w14:textId="77777777" w:rsidR="00C57400" w:rsidRPr="004F4CD0" w:rsidRDefault="00C57400" w:rsidP="008B4ED7">
      <w:pPr>
        <w:rPr>
          <w:lang w:val="es-ES_tradnl"/>
        </w:rPr>
      </w:pPr>
    </w:p>
    <w:p w14:paraId="601857FE" w14:textId="15119D17" w:rsidR="00992A6A" w:rsidRPr="004F4CD0" w:rsidRDefault="004439BF" w:rsidP="008B4ED7">
      <w:pPr>
        <w:keepNext/>
        <w:tabs>
          <w:tab w:val="clear" w:pos="567"/>
        </w:tabs>
        <w:rPr>
          <w:i/>
          <w:iCs/>
          <w:lang w:val="es-ES_tradnl"/>
        </w:rPr>
      </w:pPr>
      <w:r w:rsidRPr="004F4CD0">
        <w:rPr>
          <w:i/>
          <w:lang w:val="es-ES_tradnl"/>
        </w:rPr>
        <w:t>Insuficiencia renal</w:t>
      </w:r>
    </w:p>
    <w:p w14:paraId="20F485B7" w14:textId="77777777" w:rsidR="00992A6A" w:rsidRPr="004F4CD0" w:rsidRDefault="00E22884" w:rsidP="008B4ED7">
      <w:pPr>
        <w:rPr>
          <w:lang w:val="es-ES_tradnl"/>
        </w:rPr>
      </w:pPr>
      <w:r w:rsidRPr="004F4CD0">
        <w:rPr>
          <w:lang w:val="es-ES_tradnl"/>
        </w:rPr>
        <w:t>No se requieren ajustes de dosis en pacientes con insuficiencia renal (para consultar las recomendaciones respecto a la monitorización del calcio ver sección 4.4).</w:t>
      </w:r>
    </w:p>
    <w:p w14:paraId="5FBA7A2C" w14:textId="77777777" w:rsidR="00992A6A" w:rsidRPr="004F4CD0" w:rsidRDefault="00992A6A" w:rsidP="008B4ED7">
      <w:pPr>
        <w:rPr>
          <w:lang w:val="es-ES_tradnl"/>
        </w:rPr>
      </w:pPr>
    </w:p>
    <w:p w14:paraId="0FEDC8C6" w14:textId="7090C438" w:rsidR="0081033D" w:rsidRPr="004F4CD0" w:rsidRDefault="0081033D" w:rsidP="00B67848">
      <w:pPr>
        <w:rPr>
          <w:lang w:val="es-ES_tradnl"/>
        </w:rPr>
      </w:pPr>
      <w:r w:rsidRPr="004F4CD0">
        <w:rPr>
          <w:lang w:val="es-ES_tradnl"/>
        </w:rPr>
        <w:t xml:space="preserve">No se dispone de datos sobre pacientes en tratamiento sistémico a largo plazo con glucocorticoides </w:t>
      </w:r>
      <w:r w:rsidR="00591C49">
        <w:rPr>
          <w:rFonts w:eastAsia="맑은 고딕" w:hint="eastAsia"/>
          <w:lang w:val="es-ES_tradnl" w:eastAsia="ko-KR"/>
        </w:rPr>
        <w:t>e</w:t>
      </w:r>
      <w:r w:rsidRPr="004F4CD0">
        <w:rPr>
          <w:lang w:val="es-ES_tradnl"/>
        </w:rPr>
        <w:t xml:space="preserve"> insuficiencia renal grave</w:t>
      </w:r>
      <w:r w:rsidR="00591C49">
        <w:t>, tasa de filtración glomerular</w:t>
      </w:r>
      <w:r w:rsidRPr="004F4CD0">
        <w:rPr>
          <w:lang w:val="es-ES_tradnl"/>
        </w:rPr>
        <w:t xml:space="preserve"> (TFG &lt; 30 ml/min).</w:t>
      </w:r>
    </w:p>
    <w:p w14:paraId="303BFECA" w14:textId="77777777" w:rsidR="0081033D" w:rsidRPr="004F4CD0" w:rsidRDefault="0081033D" w:rsidP="008B4ED7">
      <w:pPr>
        <w:rPr>
          <w:lang w:val="es-ES_tradnl"/>
        </w:rPr>
      </w:pPr>
    </w:p>
    <w:p w14:paraId="08AA6154" w14:textId="77777777" w:rsidR="00992A6A" w:rsidRPr="004F4CD0" w:rsidRDefault="004439BF" w:rsidP="008B4ED7">
      <w:pPr>
        <w:keepNext/>
        <w:tabs>
          <w:tab w:val="clear" w:pos="567"/>
        </w:tabs>
        <w:rPr>
          <w:i/>
          <w:iCs/>
          <w:lang w:val="es-ES_tradnl"/>
        </w:rPr>
      </w:pPr>
      <w:r w:rsidRPr="004F4CD0">
        <w:rPr>
          <w:i/>
          <w:lang w:val="es-ES_tradnl"/>
        </w:rPr>
        <w:t>Insuficiencia hepática</w:t>
      </w:r>
    </w:p>
    <w:p w14:paraId="2C929951" w14:textId="09A7242E" w:rsidR="00992A6A" w:rsidRPr="004F4CD0" w:rsidRDefault="00992A6A" w:rsidP="008B4ED7">
      <w:pPr>
        <w:rPr>
          <w:lang w:val="es-ES_tradnl"/>
        </w:rPr>
      </w:pPr>
      <w:r w:rsidRPr="004F4CD0">
        <w:rPr>
          <w:lang w:val="es-ES_tradnl"/>
        </w:rPr>
        <w:t>No se ha estudiado la seguridad y la eficacia de denosumab en pacientes con insuficiencia hepática (ver sección 5.2).</w:t>
      </w:r>
    </w:p>
    <w:p w14:paraId="1669EFA4" w14:textId="77777777" w:rsidR="00992A6A" w:rsidRPr="004F4CD0" w:rsidRDefault="00992A6A" w:rsidP="008B4ED7">
      <w:pPr>
        <w:rPr>
          <w:lang w:val="es-ES_tradnl"/>
        </w:rPr>
      </w:pPr>
    </w:p>
    <w:p w14:paraId="791B32C7" w14:textId="77777777" w:rsidR="008603DE" w:rsidRPr="004F4CD0" w:rsidRDefault="00992A6A" w:rsidP="008B4ED7">
      <w:pPr>
        <w:keepNext/>
        <w:tabs>
          <w:tab w:val="clear" w:pos="567"/>
        </w:tabs>
        <w:rPr>
          <w:i/>
          <w:iCs/>
          <w:lang w:val="es-ES_tradnl"/>
        </w:rPr>
      </w:pPr>
      <w:r w:rsidRPr="004F4CD0">
        <w:rPr>
          <w:i/>
          <w:lang w:val="es-ES_tradnl"/>
        </w:rPr>
        <w:t>Población pediátrica</w:t>
      </w:r>
    </w:p>
    <w:p w14:paraId="6456ADCA" w14:textId="7CC48FDA" w:rsidR="00BF0C34" w:rsidRPr="004F4CD0" w:rsidRDefault="007267B6" w:rsidP="006050AD">
      <w:pPr>
        <w:rPr>
          <w:lang w:val="es-ES_tradnl"/>
        </w:rPr>
      </w:pPr>
      <w:r w:rsidRPr="004F4CD0">
        <w:rPr>
          <w:lang w:val="es-ES_tradnl"/>
        </w:rPr>
        <w:t xml:space="preserve">Stoboclo </w:t>
      </w:r>
      <w:r w:rsidR="00BF0C34" w:rsidRPr="004F4CD0">
        <w:rPr>
          <w:lang w:val="es-ES_tradnl"/>
        </w:rPr>
        <w:t>no se debe utilizar en niños de &lt; 18 años de edad por posible riesgo de seguridad de hipercalcemia grave, y por la posible inhibición del crecimiento óseo y la falta de aparición de la dentición (ver secciones 4.4 y 5.3). Los datos actualmente disponibles en niños de entre 2 y 17 años de edad están descritos en las secciones 5.1 y 5.2.</w:t>
      </w:r>
    </w:p>
    <w:p w14:paraId="6C55FDC4" w14:textId="77777777" w:rsidR="00BF0C34" w:rsidRPr="004F4CD0" w:rsidRDefault="00BF0C34" w:rsidP="00BF0C34">
      <w:pPr>
        <w:rPr>
          <w:lang w:val="es-ES_tradnl"/>
        </w:rPr>
      </w:pPr>
    </w:p>
    <w:p w14:paraId="41F910C9" w14:textId="77777777" w:rsidR="004439BF" w:rsidRPr="004F4CD0" w:rsidRDefault="00992A6A" w:rsidP="008B4ED7">
      <w:pPr>
        <w:keepNext/>
        <w:rPr>
          <w:u w:val="single"/>
          <w:lang w:val="es-ES_tradnl"/>
        </w:rPr>
      </w:pPr>
      <w:r w:rsidRPr="004F4CD0">
        <w:rPr>
          <w:u w:val="single"/>
          <w:lang w:val="es-ES_tradnl"/>
        </w:rPr>
        <w:t>Forma de administración</w:t>
      </w:r>
    </w:p>
    <w:p w14:paraId="0B05D5E6" w14:textId="77777777" w:rsidR="00992A6A" w:rsidRPr="004F4CD0" w:rsidRDefault="00992A6A" w:rsidP="008B4ED7">
      <w:pPr>
        <w:keepNext/>
        <w:rPr>
          <w:lang w:val="es-ES_tradnl"/>
        </w:rPr>
      </w:pPr>
    </w:p>
    <w:p w14:paraId="79EB9B16" w14:textId="77777777" w:rsidR="00C36B40" w:rsidRPr="004F4CD0" w:rsidRDefault="00C36B40" w:rsidP="008B4ED7">
      <w:pPr>
        <w:rPr>
          <w:lang w:val="es-ES_tradnl"/>
        </w:rPr>
      </w:pPr>
      <w:r w:rsidRPr="004F4CD0">
        <w:rPr>
          <w:lang w:val="es-ES_tradnl"/>
        </w:rPr>
        <w:t>Vía subcutánea.</w:t>
      </w:r>
    </w:p>
    <w:p w14:paraId="5EA9A695" w14:textId="77777777" w:rsidR="00FE1158" w:rsidRPr="004F4CD0" w:rsidRDefault="00FE1158" w:rsidP="008B4ED7">
      <w:pPr>
        <w:rPr>
          <w:lang w:val="es-ES_tradnl"/>
        </w:rPr>
      </w:pPr>
    </w:p>
    <w:p w14:paraId="2D688B41" w14:textId="77777777" w:rsidR="00992A6A" w:rsidRPr="004F4CD0" w:rsidRDefault="00992A6A" w:rsidP="008B4ED7">
      <w:pPr>
        <w:rPr>
          <w:lang w:val="es-ES_tradnl"/>
        </w:rPr>
      </w:pPr>
      <w:r w:rsidRPr="004F4CD0">
        <w:rPr>
          <w:lang w:val="es-ES_tradnl"/>
        </w:rPr>
        <w:t>La administración debe realizarla una persona que haya recibido la formación adecuada en técnicas de inyección.</w:t>
      </w:r>
    </w:p>
    <w:p w14:paraId="1EB31063" w14:textId="77777777" w:rsidR="00992A6A" w:rsidRPr="004F4CD0" w:rsidRDefault="00992A6A" w:rsidP="008B4ED7">
      <w:pPr>
        <w:rPr>
          <w:lang w:val="es-ES_tradnl"/>
        </w:rPr>
      </w:pPr>
    </w:p>
    <w:p w14:paraId="7E6D68D2" w14:textId="0B441700" w:rsidR="0093094E" w:rsidRPr="004F4CD0" w:rsidRDefault="00992A6A" w:rsidP="008B4ED7">
      <w:pPr>
        <w:rPr>
          <w:lang w:val="es-ES_tradnl"/>
        </w:rPr>
      </w:pPr>
      <w:r w:rsidRPr="004F4CD0">
        <w:rPr>
          <w:lang w:val="es-ES_tradnl"/>
        </w:rPr>
        <w:t>Para consultar las instrucciones de uso, manipulación y eliminación, ver sección 6.6.</w:t>
      </w:r>
    </w:p>
    <w:p w14:paraId="484950CF" w14:textId="77777777" w:rsidR="00992A6A" w:rsidRPr="004F4CD0" w:rsidRDefault="00992A6A" w:rsidP="008B4ED7">
      <w:pPr>
        <w:rPr>
          <w:lang w:val="es-ES_tradnl"/>
        </w:rPr>
      </w:pPr>
    </w:p>
    <w:p w14:paraId="3FADEB71" w14:textId="77777777" w:rsidR="00992A6A" w:rsidRPr="004F4CD0" w:rsidRDefault="00C175EC" w:rsidP="008B4ED7">
      <w:pPr>
        <w:keepNext/>
        <w:ind w:left="567" w:hanging="567"/>
        <w:rPr>
          <w:b/>
          <w:lang w:val="es-ES_tradnl"/>
        </w:rPr>
      </w:pPr>
      <w:r w:rsidRPr="004F4CD0">
        <w:rPr>
          <w:b/>
          <w:lang w:val="es-ES_tradnl"/>
        </w:rPr>
        <w:t>4.3</w:t>
      </w:r>
      <w:r w:rsidRPr="004F4CD0">
        <w:rPr>
          <w:b/>
          <w:lang w:val="es-ES_tradnl"/>
        </w:rPr>
        <w:tab/>
        <w:t>Contraindicaciones</w:t>
      </w:r>
    </w:p>
    <w:p w14:paraId="0E2E2A84" w14:textId="77777777" w:rsidR="004439BF" w:rsidRPr="004F4CD0" w:rsidRDefault="004439BF" w:rsidP="008B4ED7">
      <w:pPr>
        <w:keepNext/>
        <w:rPr>
          <w:lang w:val="es-ES_tradnl"/>
        </w:rPr>
      </w:pPr>
    </w:p>
    <w:p w14:paraId="1C21C2FA" w14:textId="77777777" w:rsidR="00992A6A" w:rsidRPr="004F4CD0" w:rsidRDefault="004439BF" w:rsidP="008B4ED7">
      <w:pPr>
        <w:rPr>
          <w:lang w:val="es-ES_tradnl"/>
        </w:rPr>
      </w:pPr>
      <w:r w:rsidRPr="004F4CD0">
        <w:rPr>
          <w:lang w:val="es-ES_tradnl"/>
        </w:rPr>
        <w:t>Hipersensibilidad al principio activo o a alguno de los excipientes incluidos en la sección 6.1.</w:t>
      </w:r>
    </w:p>
    <w:p w14:paraId="5641AD10" w14:textId="77777777" w:rsidR="004439BF" w:rsidRPr="004F4CD0" w:rsidRDefault="004439BF" w:rsidP="008B4ED7">
      <w:pPr>
        <w:rPr>
          <w:lang w:val="es-ES_tradnl"/>
        </w:rPr>
      </w:pPr>
    </w:p>
    <w:p w14:paraId="30991A27" w14:textId="77777777" w:rsidR="00992A6A" w:rsidRPr="004F4CD0" w:rsidRDefault="00992A6A" w:rsidP="008B4ED7">
      <w:pPr>
        <w:rPr>
          <w:lang w:val="es-ES_tradnl"/>
        </w:rPr>
      </w:pPr>
      <w:r w:rsidRPr="004F4CD0">
        <w:rPr>
          <w:lang w:val="es-ES_tradnl"/>
        </w:rPr>
        <w:t>Hipocalcemia (ver sección 4.4).</w:t>
      </w:r>
    </w:p>
    <w:p w14:paraId="7C8D0DC0" w14:textId="77777777" w:rsidR="00992A6A" w:rsidRPr="004F4CD0" w:rsidRDefault="00992A6A" w:rsidP="008B4ED7">
      <w:pPr>
        <w:rPr>
          <w:lang w:val="es-ES_tradnl"/>
        </w:rPr>
      </w:pPr>
    </w:p>
    <w:p w14:paraId="4A5578CF" w14:textId="77777777" w:rsidR="00992A6A" w:rsidRPr="004F4CD0" w:rsidRDefault="00992A6A" w:rsidP="008B4ED7">
      <w:pPr>
        <w:keepNext/>
        <w:ind w:left="567" w:hanging="567"/>
        <w:rPr>
          <w:b/>
          <w:lang w:val="es-ES_tradnl"/>
        </w:rPr>
      </w:pPr>
      <w:r w:rsidRPr="004F4CD0">
        <w:rPr>
          <w:b/>
          <w:lang w:val="es-ES_tradnl"/>
        </w:rPr>
        <w:t>4.4</w:t>
      </w:r>
      <w:r w:rsidRPr="004F4CD0">
        <w:rPr>
          <w:b/>
          <w:lang w:val="es-ES_tradnl"/>
        </w:rPr>
        <w:tab/>
        <w:t>Advertencias y precauciones especiales de empleo</w:t>
      </w:r>
    </w:p>
    <w:p w14:paraId="4C0872FE" w14:textId="77777777" w:rsidR="00992A6A" w:rsidRPr="004F4CD0" w:rsidRDefault="00992A6A" w:rsidP="008B4ED7">
      <w:pPr>
        <w:keepNext/>
        <w:rPr>
          <w:lang w:val="es-ES_tradnl"/>
        </w:rPr>
      </w:pPr>
    </w:p>
    <w:p w14:paraId="6C9DCAF1" w14:textId="4C0F8E67" w:rsidR="00AC40D3" w:rsidRPr="004F4CD0" w:rsidRDefault="00AC40D3" w:rsidP="00680B23">
      <w:pPr>
        <w:pStyle w:val="Style11ptunderlined"/>
        <w:rPr>
          <w:lang w:val="es-ES_tradnl"/>
        </w:rPr>
      </w:pPr>
      <w:r w:rsidRPr="004F4CD0">
        <w:rPr>
          <w:lang w:val="es-ES_tradnl"/>
        </w:rPr>
        <w:t>Trazabilidad</w:t>
      </w:r>
    </w:p>
    <w:p w14:paraId="0BD6D239" w14:textId="77777777" w:rsidR="00AC40D3" w:rsidRPr="004F4CD0" w:rsidRDefault="00AC40D3" w:rsidP="00E30E15">
      <w:pPr>
        <w:keepNext/>
        <w:rPr>
          <w:lang w:val="es-ES_tradnl"/>
        </w:rPr>
      </w:pPr>
    </w:p>
    <w:p w14:paraId="54B837A7" w14:textId="1814DA6D" w:rsidR="00AC40D3" w:rsidRPr="004F4CD0" w:rsidRDefault="00AC40D3" w:rsidP="00E30E15">
      <w:pPr>
        <w:rPr>
          <w:lang w:val="es-ES_tradnl"/>
        </w:rPr>
      </w:pPr>
      <w:r w:rsidRPr="004F4CD0">
        <w:rPr>
          <w:lang w:val="es-ES_tradnl"/>
        </w:rPr>
        <w:t>Con objeto de mejorar la trazabilidad de los medicamentos biológicos, el nombre y el número de lote del medicamento administrado deben estar claramente registrados.</w:t>
      </w:r>
    </w:p>
    <w:p w14:paraId="260A7445" w14:textId="77777777" w:rsidR="00AC40D3" w:rsidRPr="004F4CD0" w:rsidRDefault="00AC40D3" w:rsidP="00E30E15">
      <w:pPr>
        <w:rPr>
          <w:lang w:val="es-ES_tradnl"/>
        </w:rPr>
      </w:pPr>
    </w:p>
    <w:p w14:paraId="7B305349" w14:textId="3A3BDFEE" w:rsidR="00992A6A" w:rsidRPr="004F4CD0" w:rsidRDefault="00992A6A" w:rsidP="008B4ED7">
      <w:pPr>
        <w:keepNext/>
        <w:rPr>
          <w:u w:val="single"/>
          <w:lang w:val="es-ES_tradnl"/>
        </w:rPr>
      </w:pPr>
      <w:r w:rsidRPr="004F4CD0">
        <w:rPr>
          <w:u w:val="single"/>
          <w:lang w:val="es-ES_tradnl"/>
        </w:rPr>
        <w:t>Suplementos de calcio y vitamina D</w:t>
      </w:r>
    </w:p>
    <w:p w14:paraId="07F80FA2" w14:textId="77777777" w:rsidR="00556EDC" w:rsidRPr="004F4CD0" w:rsidRDefault="00556EDC" w:rsidP="008B4ED7">
      <w:pPr>
        <w:keepNext/>
        <w:rPr>
          <w:lang w:val="es-ES_tradnl"/>
        </w:rPr>
      </w:pPr>
    </w:p>
    <w:p w14:paraId="527C73EC" w14:textId="77777777" w:rsidR="00992A6A" w:rsidRPr="004F4CD0" w:rsidRDefault="00992A6A" w:rsidP="008B4ED7">
      <w:pPr>
        <w:rPr>
          <w:lang w:val="es-ES_tradnl"/>
        </w:rPr>
      </w:pPr>
      <w:r w:rsidRPr="004F4CD0">
        <w:rPr>
          <w:lang w:val="es-ES_tradnl"/>
        </w:rPr>
        <w:t>Es importante que todos los pacientes reciban un aporte adecuado de calcio y vitamina D.</w:t>
      </w:r>
    </w:p>
    <w:p w14:paraId="0B77F5CF" w14:textId="77777777" w:rsidR="00992A6A" w:rsidRPr="004F4CD0" w:rsidRDefault="00992A6A" w:rsidP="008B4ED7">
      <w:pPr>
        <w:rPr>
          <w:lang w:val="es-ES_tradnl"/>
        </w:rPr>
      </w:pPr>
    </w:p>
    <w:p w14:paraId="141DCE35" w14:textId="77777777" w:rsidR="00992A6A" w:rsidRPr="004F4CD0" w:rsidRDefault="00992A6A" w:rsidP="008B4ED7">
      <w:pPr>
        <w:keepNext/>
        <w:rPr>
          <w:u w:val="single"/>
          <w:lang w:val="es-ES_tradnl"/>
        </w:rPr>
      </w:pPr>
      <w:r w:rsidRPr="004F4CD0">
        <w:rPr>
          <w:u w:val="single"/>
          <w:lang w:val="es-ES_tradnl"/>
        </w:rPr>
        <w:lastRenderedPageBreak/>
        <w:t>Precauciones de uso</w:t>
      </w:r>
    </w:p>
    <w:p w14:paraId="567C9015" w14:textId="77777777" w:rsidR="00CD0319" w:rsidRPr="004F4CD0" w:rsidRDefault="00CD0319" w:rsidP="008B4ED7">
      <w:pPr>
        <w:keepNext/>
        <w:rPr>
          <w:lang w:val="es-ES_tradnl"/>
        </w:rPr>
      </w:pPr>
    </w:p>
    <w:p w14:paraId="03B064C0" w14:textId="77777777" w:rsidR="001D7336" w:rsidRPr="004F4CD0" w:rsidRDefault="001D7336" w:rsidP="008B4ED7">
      <w:pPr>
        <w:keepNext/>
        <w:tabs>
          <w:tab w:val="clear" w:pos="567"/>
        </w:tabs>
        <w:rPr>
          <w:i/>
          <w:iCs/>
          <w:lang w:val="es-ES_tradnl"/>
        </w:rPr>
      </w:pPr>
      <w:r w:rsidRPr="004F4CD0">
        <w:rPr>
          <w:i/>
          <w:lang w:val="es-ES_tradnl"/>
        </w:rPr>
        <w:t>Hipocalcemia</w:t>
      </w:r>
    </w:p>
    <w:p w14:paraId="2115DB8A" w14:textId="7AB4F12A" w:rsidR="00E22884" w:rsidRPr="004F4CD0" w:rsidRDefault="00941571" w:rsidP="008B4ED7">
      <w:pPr>
        <w:rPr>
          <w:lang w:val="es-ES_tradnl"/>
        </w:rPr>
      </w:pPr>
      <w:r w:rsidRPr="004F4CD0">
        <w:rPr>
          <w:lang w:val="es-ES_tradnl"/>
        </w:rPr>
        <w:t>Es importante identificar los pacientes con riesgo de hipocalcemia. La hipocalcemia debe corregirse mediante el aporte adecuado de calcio y vitamina D antes de iniciar el tratamiento. Se recomienda la monitorización clínica de los niveles de calcio antes de cada dosis y, en pacientes con predisposición a la hipocalcemia, dentro de las dos semanas siguientes tras la administración de la dosis inicial. Si algún paciente presenta síntomas que hagan sospechar hipocalcemia durante el tratamiento (consultar los síntomas en la sección 4.8) se deben medir los niveles de calcio. Se debe animar a los pacientes a notificar los síntomas indicativos de hipocalcemia.</w:t>
      </w:r>
    </w:p>
    <w:p w14:paraId="78AE6534" w14:textId="77777777" w:rsidR="009C1C9E" w:rsidRPr="004F4CD0" w:rsidRDefault="009C1C9E" w:rsidP="009C1C9E">
      <w:pPr>
        <w:rPr>
          <w:lang w:val="es-ES_tradnl"/>
        </w:rPr>
      </w:pPr>
    </w:p>
    <w:p w14:paraId="54C4CC27" w14:textId="77777777" w:rsidR="004030F8" w:rsidRPr="004F4CD0" w:rsidRDefault="004030F8" w:rsidP="004030F8">
      <w:pPr>
        <w:rPr>
          <w:lang w:val="es-ES_tradnl"/>
        </w:rPr>
      </w:pPr>
      <w:r w:rsidRPr="004F4CD0">
        <w:rPr>
          <w:lang w:val="es-ES_tradnl"/>
        </w:rPr>
        <w:t>Durante la fase poscomercialización, se ha notificado hipocalcemia sintomática grave (derivando en hospitalización, acontecimientos potencialmente mortales y casos mortales). Aunque la mayoría de los casos se dieron en las primeras semanas tras iniciar el tratamiento, algunos también ocurrieron más tarde.</w:t>
      </w:r>
    </w:p>
    <w:p w14:paraId="60518594" w14:textId="77777777" w:rsidR="001C38B9" w:rsidRPr="004F4CD0" w:rsidRDefault="001C38B9" w:rsidP="008B4ED7">
      <w:pPr>
        <w:rPr>
          <w:lang w:val="es-ES_tradnl"/>
        </w:rPr>
      </w:pPr>
    </w:p>
    <w:p w14:paraId="0EF3E09B" w14:textId="77777777" w:rsidR="0081033D" w:rsidRPr="004F4CD0" w:rsidRDefault="0081033D" w:rsidP="008B4ED7">
      <w:pPr>
        <w:rPr>
          <w:lang w:val="es-ES_tradnl"/>
        </w:rPr>
      </w:pPr>
      <w:r w:rsidRPr="004F4CD0">
        <w:rPr>
          <w:lang w:val="es-ES_tradnl"/>
        </w:rPr>
        <w:t>El tratamiento concomitante con glucocorticoides es un factor de riesgo de hipocalcemia adicional.</w:t>
      </w:r>
    </w:p>
    <w:p w14:paraId="3CFC56B4" w14:textId="77777777" w:rsidR="0081033D" w:rsidRPr="004F4CD0" w:rsidRDefault="0081033D" w:rsidP="008B4ED7">
      <w:pPr>
        <w:rPr>
          <w:lang w:val="es-ES_tradnl"/>
        </w:rPr>
      </w:pPr>
    </w:p>
    <w:p w14:paraId="3796FA4D" w14:textId="77777777" w:rsidR="0081033D" w:rsidRPr="004F4CD0" w:rsidRDefault="0081033D" w:rsidP="008B4ED7">
      <w:pPr>
        <w:keepNext/>
        <w:tabs>
          <w:tab w:val="clear" w:pos="567"/>
        </w:tabs>
        <w:rPr>
          <w:i/>
          <w:iCs/>
          <w:lang w:val="es-ES_tradnl"/>
        </w:rPr>
      </w:pPr>
      <w:r w:rsidRPr="004F4CD0">
        <w:rPr>
          <w:i/>
          <w:lang w:val="es-ES_tradnl"/>
        </w:rPr>
        <w:t>Insuficiencia renal</w:t>
      </w:r>
    </w:p>
    <w:p w14:paraId="360D3DAE" w14:textId="49A9B641" w:rsidR="0081033D" w:rsidRPr="004F4CD0" w:rsidRDefault="0081033D" w:rsidP="008B4ED7">
      <w:pPr>
        <w:rPr>
          <w:lang w:val="es-ES_tradnl"/>
        </w:rPr>
      </w:pPr>
      <w:r w:rsidRPr="004F4CD0">
        <w:rPr>
          <w:lang w:val="es-ES_tradnl"/>
        </w:rPr>
        <w:t>Los pacientes con insuficiencia renal grave (aclaramiento de creatinina &lt; 30 ml/min) o en diálisis presentan un riesgo más alto de desarrollar hipocalcemia. Los riesgos de desarrollar hipocalcemia y elevaciones de hormona paratiroidea asociadas aumentan a medida que aumenta el grado de insuficiencia renal. Se han notificado casos graves y mortales. En estos pacientes es especialmente importante una ingesta adecuada de calcio, vitamina D y un control regular del calcio, ver más arriba.</w:t>
      </w:r>
    </w:p>
    <w:p w14:paraId="350410A8" w14:textId="77777777" w:rsidR="0081033D" w:rsidRPr="004F4CD0" w:rsidRDefault="0081033D" w:rsidP="008B4ED7">
      <w:pPr>
        <w:rPr>
          <w:lang w:val="es-ES_tradnl"/>
        </w:rPr>
      </w:pPr>
    </w:p>
    <w:p w14:paraId="77FFCBB4" w14:textId="77777777" w:rsidR="008603DE" w:rsidRPr="004F4CD0" w:rsidRDefault="001D7336" w:rsidP="008B4ED7">
      <w:pPr>
        <w:keepNext/>
        <w:tabs>
          <w:tab w:val="clear" w:pos="567"/>
        </w:tabs>
        <w:rPr>
          <w:i/>
          <w:iCs/>
          <w:lang w:val="es-ES_tradnl"/>
        </w:rPr>
      </w:pPr>
      <w:r w:rsidRPr="004F4CD0">
        <w:rPr>
          <w:i/>
          <w:lang w:val="es-ES_tradnl"/>
        </w:rPr>
        <w:t>Infecciones cutáneas</w:t>
      </w:r>
    </w:p>
    <w:p w14:paraId="2B36ADF4" w14:textId="1BE76BA7" w:rsidR="00992A6A" w:rsidRPr="004F4CD0" w:rsidRDefault="00992A6A" w:rsidP="008B4ED7">
      <w:pPr>
        <w:rPr>
          <w:lang w:val="es-ES_tradnl"/>
        </w:rPr>
      </w:pPr>
      <w:r w:rsidRPr="004F4CD0">
        <w:rPr>
          <w:lang w:val="es-ES_tradnl"/>
        </w:rPr>
        <w:t>Los pacientes que reciban denosumab pueden presentar infecciones cutáneas (principalmente celulitis) que requieran hospitalización (ver sección 4.8). Debe recomendarse a los pacientes que soliciten asistencia médica inmediata, si presentan signos o síntomas de celulitis.</w:t>
      </w:r>
    </w:p>
    <w:p w14:paraId="6BBC4354" w14:textId="77777777" w:rsidR="00992A6A" w:rsidRPr="004F4CD0" w:rsidRDefault="00992A6A" w:rsidP="008B4ED7">
      <w:pPr>
        <w:rPr>
          <w:lang w:val="es-ES_tradnl"/>
        </w:rPr>
      </w:pPr>
    </w:p>
    <w:p w14:paraId="306FD79E" w14:textId="16025AA9" w:rsidR="00D5172C" w:rsidRPr="004F4CD0" w:rsidRDefault="00D5172C" w:rsidP="008B4ED7">
      <w:pPr>
        <w:keepNext/>
        <w:tabs>
          <w:tab w:val="clear" w:pos="567"/>
        </w:tabs>
        <w:rPr>
          <w:i/>
          <w:iCs/>
          <w:lang w:val="es-ES_tradnl"/>
        </w:rPr>
      </w:pPr>
      <w:r w:rsidRPr="004F4CD0">
        <w:rPr>
          <w:i/>
          <w:lang w:val="es-ES_tradnl"/>
        </w:rPr>
        <w:t>Osteonecrosis mandibular (ONM)</w:t>
      </w:r>
    </w:p>
    <w:p w14:paraId="4DAF83AB" w14:textId="1BCF939C" w:rsidR="008603DE" w:rsidRPr="004F4CD0" w:rsidRDefault="00D5172C" w:rsidP="008B4ED7">
      <w:pPr>
        <w:rPr>
          <w:lang w:val="es-ES_tradnl"/>
        </w:rPr>
      </w:pPr>
      <w:r w:rsidRPr="004F4CD0">
        <w:rPr>
          <w:lang w:val="es-ES_tradnl"/>
        </w:rPr>
        <w:t xml:space="preserve">En raras ocasiones, se han notificado casos de ONM en pacientes que reciben </w:t>
      </w:r>
      <w:r w:rsidR="007267B6" w:rsidRPr="004F4CD0">
        <w:rPr>
          <w:lang w:val="es-ES_tradnl"/>
        </w:rPr>
        <w:t xml:space="preserve">denosumab </w:t>
      </w:r>
      <w:r w:rsidRPr="004F4CD0">
        <w:rPr>
          <w:lang w:val="es-ES_tradnl"/>
        </w:rPr>
        <w:t>para la osteoporosis (ver sección 4.8).</w:t>
      </w:r>
    </w:p>
    <w:p w14:paraId="615B0498" w14:textId="77777777" w:rsidR="00415DB2" w:rsidRPr="004F4CD0" w:rsidRDefault="00415DB2" w:rsidP="008B4ED7">
      <w:pPr>
        <w:rPr>
          <w:lang w:val="es-ES_tradnl"/>
        </w:rPr>
      </w:pPr>
    </w:p>
    <w:p w14:paraId="7BCC3460" w14:textId="77777777" w:rsidR="008603DE" w:rsidRPr="004F4CD0" w:rsidRDefault="00226058" w:rsidP="008B4ED7">
      <w:pPr>
        <w:rPr>
          <w:lang w:val="es-ES_tradnl"/>
        </w:rPr>
      </w:pPr>
      <w:r w:rsidRPr="004F4CD0">
        <w:rPr>
          <w:lang w:val="es-ES_tradnl"/>
        </w:rPr>
        <w:t>El inicio de tratamiento/nuevo periodo de tratamiento se debe retrasar en los pacientes que presenten lesiones no curadas y abiertas en el tejido blando de la boca. En pacientes con factores de riesgo concomitantes se recomienda la realización de una revisión dental con un tratamiento odontológico preventivo y una evaluación individual del beneficio</w:t>
      </w:r>
      <w:r w:rsidRPr="004F4CD0">
        <w:rPr>
          <w:lang w:val="es-ES_tradnl"/>
        </w:rPr>
        <w:noBreakHyphen/>
        <w:t>riesgo antes de iniciar el tratamiento con denosumab.</w:t>
      </w:r>
    </w:p>
    <w:p w14:paraId="64023C10" w14:textId="77777777" w:rsidR="00226058" w:rsidRPr="004F4CD0" w:rsidRDefault="00226058" w:rsidP="008B4ED7">
      <w:pPr>
        <w:rPr>
          <w:lang w:val="es-ES_tradnl"/>
        </w:rPr>
      </w:pPr>
    </w:p>
    <w:p w14:paraId="44C70EF3" w14:textId="77777777" w:rsidR="008603DE" w:rsidRPr="004F4CD0" w:rsidRDefault="00226058" w:rsidP="00D16E20">
      <w:pPr>
        <w:keepNext/>
        <w:rPr>
          <w:lang w:val="es-ES_tradnl"/>
        </w:rPr>
      </w:pPr>
      <w:r w:rsidRPr="004F4CD0">
        <w:rPr>
          <w:lang w:val="es-ES_tradnl"/>
        </w:rPr>
        <w:t>Cuando se evalúe el riesgo de un paciente de desarrollar ONM, se deben considerar los siguientes factores de riesgo:</w:t>
      </w:r>
    </w:p>
    <w:p w14:paraId="239551A7" w14:textId="77777777" w:rsidR="003E24B7" w:rsidRPr="004F4CD0" w:rsidRDefault="003E24B7" w:rsidP="008B4ED7">
      <w:pPr>
        <w:numPr>
          <w:ilvl w:val="0"/>
          <w:numId w:val="54"/>
        </w:numPr>
        <w:tabs>
          <w:tab w:val="clear" w:pos="567"/>
        </w:tabs>
        <w:ind w:left="567" w:hanging="567"/>
        <w:rPr>
          <w:lang w:val="es-ES_tradnl"/>
        </w:rPr>
      </w:pPr>
      <w:r w:rsidRPr="004F4CD0">
        <w:rPr>
          <w:lang w:val="es-ES_tradnl"/>
        </w:rPr>
        <w:t>potencia del medicamento que inhibe la resorción ósea (mayor riesgo para los compuestos muy potentes), vía de administración (mayor riesgo para la administración parenteral) y la dosis acumulativa del tratamiento de resorción ósea.</w:t>
      </w:r>
    </w:p>
    <w:p w14:paraId="326A312F" w14:textId="77777777" w:rsidR="008603DE" w:rsidRPr="004F4CD0" w:rsidRDefault="00226058" w:rsidP="008B4ED7">
      <w:pPr>
        <w:numPr>
          <w:ilvl w:val="0"/>
          <w:numId w:val="54"/>
        </w:numPr>
        <w:tabs>
          <w:tab w:val="clear" w:pos="567"/>
        </w:tabs>
        <w:ind w:left="567" w:hanging="567"/>
        <w:rPr>
          <w:lang w:val="es-ES_tradnl"/>
        </w:rPr>
      </w:pPr>
      <w:r w:rsidRPr="004F4CD0">
        <w:rPr>
          <w:lang w:val="es-ES_tradnl"/>
        </w:rPr>
        <w:t>cáncer, comorbilidades (p. ej. anemia, coagulopatías, infección), fumar.</w:t>
      </w:r>
    </w:p>
    <w:p w14:paraId="2EEDB6C9" w14:textId="77777777" w:rsidR="00226058" w:rsidRPr="004F4CD0" w:rsidRDefault="00226058" w:rsidP="00D16E20">
      <w:pPr>
        <w:keepNext/>
        <w:numPr>
          <w:ilvl w:val="0"/>
          <w:numId w:val="54"/>
        </w:numPr>
        <w:tabs>
          <w:tab w:val="clear" w:pos="567"/>
        </w:tabs>
        <w:ind w:left="567" w:hanging="567"/>
        <w:rPr>
          <w:lang w:val="es-ES_tradnl"/>
        </w:rPr>
      </w:pPr>
      <w:r w:rsidRPr="004F4CD0">
        <w:rPr>
          <w:lang w:val="es-ES_tradnl"/>
        </w:rPr>
        <w:t>tratamientos concomitantes: corticosteroides, quimioterapia, inhibidores de la angiogénesis, radioterapia de cabeza y cuello.</w:t>
      </w:r>
    </w:p>
    <w:p w14:paraId="708A0745" w14:textId="0E3F294A" w:rsidR="00226058" w:rsidRPr="004F4CD0" w:rsidRDefault="00226058" w:rsidP="008B4ED7">
      <w:pPr>
        <w:numPr>
          <w:ilvl w:val="0"/>
          <w:numId w:val="54"/>
        </w:numPr>
        <w:tabs>
          <w:tab w:val="clear" w:pos="567"/>
        </w:tabs>
        <w:ind w:left="567" w:hanging="567"/>
        <w:rPr>
          <w:lang w:val="es-ES_tradnl"/>
        </w:rPr>
      </w:pPr>
      <w:r w:rsidRPr="004F4CD0">
        <w:rPr>
          <w:lang w:val="es-ES_tradnl"/>
        </w:rPr>
        <w:t>higiene bucal deficiente, enfermedad periodontal, prótesis dentales mal ajustadas, historia de enfermedad dental, procedimientos dentales invasivos (p. ej. extracciones dentales).</w:t>
      </w:r>
    </w:p>
    <w:p w14:paraId="7A45E27E" w14:textId="77777777" w:rsidR="00226058" w:rsidRPr="004F4CD0" w:rsidRDefault="00226058" w:rsidP="008B4ED7">
      <w:pPr>
        <w:rPr>
          <w:lang w:val="es-ES_tradnl"/>
        </w:rPr>
      </w:pPr>
    </w:p>
    <w:p w14:paraId="660EE280" w14:textId="1819B2EC" w:rsidR="00043BA2" w:rsidRPr="004F4CD0" w:rsidRDefault="00D5172C" w:rsidP="008B4ED7">
      <w:pPr>
        <w:rPr>
          <w:lang w:val="es-ES_tradnl"/>
        </w:rPr>
      </w:pPr>
      <w:r w:rsidRPr="004F4CD0">
        <w:rPr>
          <w:lang w:val="es-ES_tradnl"/>
        </w:rPr>
        <w:t>Se debe animar a todos los pacientes a mantener una buena higiene bucal, a someterse a revisiones dentales rutinarias y a comunicar inmediatamente cualquier síntoma oral, como movilidad dental, dolor o inflamación o úlceras que no se curan o que supuran durante el tratamiento con denosumab. Mientras se esté en tratamiento, los procedimientos dentales invasivos se deben realizar únicamente después de considerarlos detenidamente y se deben evitar en periodos cercanos a la administración de denosumab.</w:t>
      </w:r>
    </w:p>
    <w:p w14:paraId="64142389" w14:textId="77777777" w:rsidR="00D5172C" w:rsidRPr="004F4CD0" w:rsidRDefault="00D5172C" w:rsidP="008B4ED7">
      <w:pPr>
        <w:rPr>
          <w:lang w:val="es-ES_tradnl"/>
        </w:rPr>
      </w:pPr>
    </w:p>
    <w:p w14:paraId="73A43335" w14:textId="77777777" w:rsidR="00D5172C" w:rsidRPr="004F4CD0" w:rsidRDefault="00D5172C" w:rsidP="008B4ED7">
      <w:pPr>
        <w:rPr>
          <w:lang w:val="es-ES_tradnl"/>
        </w:rPr>
      </w:pPr>
      <w:r w:rsidRPr="004F4CD0">
        <w:rPr>
          <w:lang w:val="es-ES_tradnl"/>
        </w:rPr>
        <w:t>El plan de manejo de los pacientes que desarrollen ONM se debe establecer en estrecha colaboración entre el médico que le trata y un dentista o cirujano maxilofacial con experiencia en ONM. Se debe considerar la interrupción temporal del tratamiento hasta que la situación se resuelva y se mitiguen, en la medida de lo posible, los factores de riesgo que han contribuido.</w:t>
      </w:r>
    </w:p>
    <w:p w14:paraId="7D4D5C6E" w14:textId="77777777" w:rsidR="00BD493B" w:rsidRPr="004F4CD0" w:rsidRDefault="00BD493B" w:rsidP="008B4ED7">
      <w:pPr>
        <w:rPr>
          <w:lang w:val="es-ES_tradnl"/>
        </w:rPr>
      </w:pPr>
    </w:p>
    <w:p w14:paraId="1BDFE29F" w14:textId="77777777" w:rsidR="00E54693" w:rsidRPr="004F4CD0" w:rsidRDefault="00E54693" w:rsidP="008B4ED7">
      <w:pPr>
        <w:keepNext/>
        <w:tabs>
          <w:tab w:val="clear" w:pos="567"/>
        </w:tabs>
        <w:rPr>
          <w:i/>
          <w:iCs/>
          <w:lang w:val="es-ES_tradnl"/>
        </w:rPr>
      </w:pPr>
      <w:r w:rsidRPr="004F4CD0">
        <w:rPr>
          <w:i/>
          <w:lang w:val="es-ES_tradnl"/>
        </w:rPr>
        <w:t>Osteonecrosis del conducto auditivo externo</w:t>
      </w:r>
    </w:p>
    <w:p w14:paraId="7705AE92" w14:textId="77777777" w:rsidR="00E54693" w:rsidRPr="004F4CD0" w:rsidRDefault="00E54693" w:rsidP="00B97FC6">
      <w:pPr>
        <w:keepLines/>
        <w:rPr>
          <w:lang w:val="es-ES_tradnl"/>
        </w:rPr>
      </w:pPr>
      <w:r w:rsidRPr="004F4CD0">
        <w:rPr>
          <w:lang w:val="es-ES_tradnl"/>
        </w:rPr>
        <w:t>Se han notificado casos de osteonecrosis del conducto auditivo externo con el uso de denosumab. Los posibles factores de riesgo de osteonecrosis del conducto auditivo externo incluyen el uso de esteroides y la quimioterapia y/o factores de riesgo locales como infección o traumatismo. Se debe considerar la posibilidad de osteonecrosis del conducto auditivo externo en pacientes que reciben denosumab y presentan síntomas auditivos como infecciones de oído crónicas.</w:t>
      </w:r>
    </w:p>
    <w:p w14:paraId="30071BD0" w14:textId="77777777" w:rsidR="00E54693" w:rsidRPr="004F4CD0" w:rsidRDefault="00E54693" w:rsidP="008B4ED7">
      <w:pPr>
        <w:rPr>
          <w:lang w:val="es-ES_tradnl"/>
        </w:rPr>
      </w:pPr>
    </w:p>
    <w:p w14:paraId="1BC2CF4F" w14:textId="77777777" w:rsidR="00CD0319" w:rsidRPr="004F4CD0" w:rsidRDefault="00CD0319" w:rsidP="008B4ED7">
      <w:pPr>
        <w:keepNext/>
        <w:tabs>
          <w:tab w:val="clear" w:pos="567"/>
        </w:tabs>
        <w:rPr>
          <w:i/>
          <w:iCs/>
          <w:lang w:val="es-ES_tradnl"/>
        </w:rPr>
      </w:pPr>
      <w:r w:rsidRPr="004F4CD0">
        <w:rPr>
          <w:i/>
          <w:lang w:val="es-ES_tradnl"/>
        </w:rPr>
        <w:t>Fracturas atípicas de fémur</w:t>
      </w:r>
    </w:p>
    <w:p w14:paraId="1B97CDE3" w14:textId="325CE713" w:rsidR="00CD0319" w:rsidRPr="004F4CD0" w:rsidRDefault="00CD0319" w:rsidP="008B4ED7">
      <w:pPr>
        <w:rPr>
          <w:lang w:val="es-ES_tradnl"/>
        </w:rPr>
      </w:pPr>
      <w:r w:rsidRPr="004F4CD0">
        <w:rPr>
          <w:lang w:val="es-ES_tradnl"/>
        </w:rPr>
        <w:t>Se han notificado casos de fracturas atípicas de fémur en pacientes tratados con denosumab (ver sección 4.8). Las fracturas atípicas de fémur pueden ocurrir sin trauma o con trauma leve en la región subtrocantérea o diafisaria del fémur. Estos eventos se identifican mediante hallazgos radiográficos específicos. Las fracturas atípicas de fémur también se han notificado en pacientes que presentan ciertas comorbilidades (p. ej. deficiencia de vitamina D, artritis reumatoide, hipofosfatasia) y con el uso de ciertos medicamentos (p. ej. bisfosfonatos, glucocorticoides, inhibidores de la bomba de protones). Estos eventos también han ocurrido sin tratamiento con terapia antirresortiva. Las fracturas similares notificadas en asociación con bisfosfonatos son a menudo bilaterales; por lo tanto, se debe examinar el fémur contralateral en los pacientes tratados con denosumab que hayan sufrido una fractura de la diáfisis del fémur. Se debe considerar la interrupción del tratamiento con denosumab en los pacientes con sospecha de fractura atípica de fémur hasta la evaluación del paciente en base a una evaluación individual del beneficio riesgo. Se debe aconsejar a los pacientes que si experimentan un dolor reciente o inusual en muslo, cadera o ingle durante el tratamiento con denosumab lo notifiquen. Los pacientes que presenten estos síntomas se deben evaluar para descartar una fractura femoral incompleta.</w:t>
      </w:r>
    </w:p>
    <w:p w14:paraId="29C23C2E" w14:textId="77777777" w:rsidR="00992A6A" w:rsidRPr="004F4CD0" w:rsidRDefault="00992A6A" w:rsidP="008B4ED7">
      <w:pPr>
        <w:rPr>
          <w:lang w:val="es-ES_tradnl"/>
        </w:rPr>
      </w:pPr>
    </w:p>
    <w:p w14:paraId="1B8B8BD4" w14:textId="77777777" w:rsidR="008603DE" w:rsidRPr="004F4CD0" w:rsidRDefault="00CB6286" w:rsidP="008B4ED7">
      <w:pPr>
        <w:keepNext/>
        <w:tabs>
          <w:tab w:val="clear" w:pos="567"/>
        </w:tabs>
        <w:rPr>
          <w:i/>
          <w:iCs/>
          <w:lang w:val="es-ES_tradnl"/>
        </w:rPr>
      </w:pPr>
      <w:r w:rsidRPr="004F4CD0">
        <w:rPr>
          <w:i/>
          <w:lang w:val="es-ES_tradnl"/>
        </w:rPr>
        <w:t>Tratamiento antirresortivo a largo plazo</w:t>
      </w:r>
    </w:p>
    <w:p w14:paraId="537FF2B2" w14:textId="77777777" w:rsidR="00CB6286" w:rsidRPr="004F4CD0" w:rsidRDefault="00CB6286" w:rsidP="008B4ED7">
      <w:pPr>
        <w:rPr>
          <w:lang w:val="es-ES_tradnl"/>
        </w:rPr>
      </w:pPr>
      <w:r w:rsidRPr="004F4CD0">
        <w:rPr>
          <w:lang w:val="es-ES_tradnl"/>
        </w:rPr>
        <w:t>El tratamiento con antirresortivos a largo plazo (incluyendo denosumab y bifosfonatos) puede contribuir al incremento del riesgo de aparición de acontecimientos adversos como osteonecrosis mandibular y fracturas atípicas de fémur debido a la marcada supresión del remodelado óseo (ver sección 4.2).</w:t>
      </w:r>
    </w:p>
    <w:p w14:paraId="6E8E76B8" w14:textId="77777777" w:rsidR="00CB6286" w:rsidRPr="004F4CD0" w:rsidRDefault="00CB6286" w:rsidP="008B4ED7">
      <w:pPr>
        <w:rPr>
          <w:lang w:val="es-ES_tradnl"/>
        </w:rPr>
      </w:pPr>
    </w:p>
    <w:p w14:paraId="6A6D6BCC" w14:textId="77777777" w:rsidR="008603DE" w:rsidRPr="004F4CD0" w:rsidRDefault="005C47A5" w:rsidP="008B4ED7">
      <w:pPr>
        <w:keepNext/>
        <w:tabs>
          <w:tab w:val="clear" w:pos="567"/>
        </w:tabs>
        <w:rPr>
          <w:i/>
          <w:iCs/>
          <w:lang w:val="es-ES_tradnl"/>
        </w:rPr>
      </w:pPr>
      <w:r w:rsidRPr="004F4CD0">
        <w:rPr>
          <w:i/>
          <w:lang w:val="es-ES_tradnl"/>
        </w:rPr>
        <w:t>Tratamiento concomitante con otros medicamentos que contengan denosumab</w:t>
      </w:r>
    </w:p>
    <w:p w14:paraId="084EA833" w14:textId="7BD87E0E" w:rsidR="00BF0C34" w:rsidRPr="004F4CD0" w:rsidRDefault="00992A6A" w:rsidP="00BF0C34">
      <w:pPr>
        <w:rPr>
          <w:lang w:val="es-ES_tradnl"/>
        </w:rPr>
      </w:pPr>
      <w:r w:rsidRPr="004F4CD0">
        <w:rPr>
          <w:lang w:val="es-ES_tradnl"/>
        </w:rPr>
        <w:t>Los pacientes tratados con denosumab no deben ser tratados concomitantemente con otros medicamentos que contengan denosumab (para la prevención de eventos relacionados con el esqueleto en adultos con metástasis óseas de tumores sólidos).</w:t>
      </w:r>
    </w:p>
    <w:p w14:paraId="0F474771" w14:textId="77777777" w:rsidR="004F7580" w:rsidRPr="004F4CD0" w:rsidRDefault="004F7580" w:rsidP="00BF0C34">
      <w:pPr>
        <w:rPr>
          <w:lang w:val="es-ES_tradnl"/>
        </w:rPr>
      </w:pPr>
    </w:p>
    <w:p w14:paraId="5C42A851" w14:textId="62263305" w:rsidR="00BF0C34" w:rsidRPr="004F4CD0" w:rsidRDefault="00BF0C34" w:rsidP="00D16E20">
      <w:pPr>
        <w:keepNext/>
        <w:rPr>
          <w:i/>
          <w:iCs/>
          <w:lang w:val="es-ES_tradnl"/>
        </w:rPr>
      </w:pPr>
      <w:r w:rsidRPr="004F4CD0">
        <w:rPr>
          <w:i/>
          <w:lang w:val="es-ES_tradnl"/>
        </w:rPr>
        <w:t>Hipercalcemia en pacientes pediátricos</w:t>
      </w:r>
    </w:p>
    <w:p w14:paraId="04400F62" w14:textId="055E936E" w:rsidR="00BF0C34" w:rsidRPr="004F4CD0" w:rsidRDefault="007267B6" w:rsidP="00BF0C34">
      <w:pPr>
        <w:rPr>
          <w:lang w:val="es-ES_tradnl"/>
        </w:rPr>
      </w:pPr>
      <w:r w:rsidRPr="004F4CD0">
        <w:rPr>
          <w:lang w:val="es-ES_tradnl"/>
        </w:rPr>
        <w:t xml:space="preserve">Denosumab </w:t>
      </w:r>
      <w:r w:rsidR="00BF0C34" w:rsidRPr="004F4CD0">
        <w:rPr>
          <w:lang w:val="es-ES_tradnl"/>
        </w:rPr>
        <w:t>no debería utilizarse en pacientes pediátricos (&lt; 18 años de edad). Se han notificado casos de hipercalcemia grave. De los casos notificados en ensayos clínicos algunos se agravaron debido a daño renal agudo.</w:t>
      </w:r>
    </w:p>
    <w:p w14:paraId="63F77154" w14:textId="77777777" w:rsidR="00C36B40" w:rsidRPr="004F4CD0" w:rsidRDefault="00C36B40" w:rsidP="008B4ED7">
      <w:pPr>
        <w:rPr>
          <w:lang w:val="es-ES_tradnl"/>
        </w:rPr>
      </w:pPr>
    </w:p>
    <w:p w14:paraId="26C386F3" w14:textId="77777777" w:rsidR="00992A6A" w:rsidRPr="004F4CD0" w:rsidRDefault="00992A6A" w:rsidP="008B4ED7">
      <w:pPr>
        <w:keepNext/>
        <w:tabs>
          <w:tab w:val="clear" w:pos="567"/>
        </w:tabs>
        <w:rPr>
          <w:i/>
          <w:iCs/>
          <w:lang w:val="es-ES_tradnl"/>
        </w:rPr>
      </w:pPr>
      <w:r w:rsidRPr="004F4CD0">
        <w:rPr>
          <w:i/>
          <w:lang w:val="es-ES_tradnl"/>
        </w:rPr>
        <w:t>Advertencias sobre los excipientes</w:t>
      </w:r>
    </w:p>
    <w:p w14:paraId="361CCD2D" w14:textId="77777777" w:rsidR="0081033D" w:rsidRPr="004F4CD0" w:rsidRDefault="0081033D" w:rsidP="008B4ED7">
      <w:pPr>
        <w:rPr>
          <w:lang w:val="es-ES_tradnl"/>
        </w:rPr>
      </w:pPr>
      <w:r w:rsidRPr="004F4CD0">
        <w:rPr>
          <w:lang w:val="es-ES_tradnl"/>
        </w:rPr>
        <w:t>Este medicamento contiene 47 mg de sorbitol por cada ml de solución. Se debe tener en cuenta el efecto aditivo de los medicamentos que contienen sorbitol (o fructosa) administrados de forma concomitante y de la ingesta de sorbitol (o fructosa) en la dieta.</w:t>
      </w:r>
    </w:p>
    <w:p w14:paraId="09F81A55" w14:textId="77777777" w:rsidR="00992A6A" w:rsidRPr="004F4CD0" w:rsidRDefault="00992A6A" w:rsidP="008B4ED7">
      <w:pPr>
        <w:rPr>
          <w:lang w:val="es-ES_tradnl"/>
        </w:rPr>
      </w:pPr>
    </w:p>
    <w:p w14:paraId="187EDA86" w14:textId="57461548" w:rsidR="00A6016E" w:rsidRPr="004F4CD0" w:rsidRDefault="00992A6A" w:rsidP="008B4ED7">
      <w:pPr>
        <w:rPr>
          <w:lang w:val="es-ES_tradnl"/>
        </w:rPr>
      </w:pPr>
      <w:r w:rsidRPr="004F4CD0">
        <w:rPr>
          <w:lang w:val="es-ES_tradnl"/>
        </w:rPr>
        <w:t>Este medicamento contiene menos de 1 mmol de sodio (23 mg) por 60 mg; esto es, esencialmente “exento de sodio”.</w:t>
      </w:r>
    </w:p>
    <w:p w14:paraId="1EA8F239" w14:textId="77777777" w:rsidR="00992A6A" w:rsidRPr="004F4CD0" w:rsidRDefault="00992A6A" w:rsidP="008B4ED7">
      <w:pPr>
        <w:rPr>
          <w:lang w:val="es-ES_tradnl"/>
        </w:rPr>
      </w:pPr>
    </w:p>
    <w:p w14:paraId="40A5F068" w14:textId="77777777" w:rsidR="000901B5" w:rsidRPr="004F4CD0" w:rsidRDefault="000901B5" w:rsidP="000901B5">
      <w:pPr>
        <w:rPr>
          <w:lang w:val="es-ES_tradnl"/>
        </w:rPr>
      </w:pPr>
      <w:r w:rsidRPr="004F4CD0">
        <w:rPr>
          <w:lang w:val="es-ES_tradnl"/>
        </w:rPr>
        <w:t xml:space="preserve">Este medicamento contiene 0,1 mg de polisorbato 20 en cada jeringa equivalente a 0,1 mg/ml. </w:t>
      </w:r>
    </w:p>
    <w:p w14:paraId="4A9C12CD" w14:textId="4E1A9273" w:rsidR="000901B5" w:rsidRPr="004F4CD0" w:rsidRDefault="000901B5" w:rsidP="000901B5">
      <w:pPr>
        <w:rPr>
          <w:lang w:val="es-ES_tradnl"/>
        </w:rPr>
      </w:pPr>
      <w:r w:rsidRPr="004F4CD0">
        <w:rPr>
          <w:lang w:val="es-ES_tradnl"/>
        </w:rPr>
        <w:t>Los polisorbatos pueden causar reacciones alérgicas. Informe a su médico si tiene cualquier alergia conocida.</w:t>
      </w:r>
    </w:p>
    <w:p w14:paraId="5B5ABB30" w14:textId="77777777" w:rsidR="000901B5" w:rsidRPr="004F4CD0" w:rsidRDefault="000901B5" w:rsidP="000901B5">
      <w:pPr>
        <w:rPr>
          <w:lang w:val="es-ES_tradnl"/>
        </w:rPr>
      </w:pPr>
    </w:p>
    <w:p w14:paraId="52614A46" w14:textId="77777777" w:rsidR="008011D6" w:rsidRPr="004F4CD0" w:rsidRDefault="008011D6" w:rsidP="008B4ED7">
      <w:pPr>
        <w:keepNext/>
        <w:ind w:left="567" w:hanging="567"/>
        <w:rPr>
          <w:b/>
          <w:lang w:val="es-ES_tradnl"/>
        </w:rPr>
      </w:pPr>
      <w:r w:rsidRPr="004F4CD0">
        <w:rPr>
          <w:b/>
          <w:lang w:val="es-ES_tradnl"/>
        </w:rPr>
        <w:t>4.5</w:t>
      </w:r>
      <w:r w:rsidRPr="004F4CD0">
        <w:rPr>
          <w:b/>
          <w:lang w:val="es-ES_tradnl"/>
        </w:rPr>
        <w:tab/>
        <w:t>Interacción con otros medicamentos y otras formas de interacción</w:t>
      </w:r>
    </w:p>
    <w:p w14:paraId="796B49E6" w14:textId="77777777" w:rsidR="008011D6" w:rsidRPr="004F4CD0" w:rsidRDefault="008011D6" w:rsidP="008B4ED7">
      <w:pPr>
        <w:keepNext/>
        <w:rPr>
          <w:lang w:val="es-ES_tradnl"/>
        </w:rPr>
      </w:pPr>
    </w:p>
    <w:p w14:paraId="23FF0108" w14:textId="42DC41FE" w:rsidR="003B1662" w:rsidRPr="004F4CD0" w:rsidRDefault="003B1662" w:rsidP="008B4ED7">
      <w:pPr>
        <w:rPr>
          <w:lang w:val="es-ES_tradnl"/>
        </w:rPr>
      </w:pPr>
      <w:r w:rsidRPr="004F4CD0">
        <w:rPr>
          <w:lang w:val="es-ES_tradnl"/>
        </w:rPr>
        <w:t>En un estudio de interacción, denosumab no modificó la farmacocinética de midazolam, que se metaboliza por el citocromo P450 3A4 (CYP3A4). Esto indica que denosumab no debe modificar la farmacocinética de otros medicamentos metabolizados por CYP3A4.</w:t>
      </w:r>
    </w:p>
    <w:p w14:paraId="08D748C8" w14:textId="77777777" w:rsidR="008011D6" w:rsidRPr="004F4CD0" w:rsidRDefault="008011D6" w:rsidP="008B4ED7">
      <w:pPr>
        <w:rPr>
          <w:lang w:val="es-ES_tradnl"/>
        </w:rPr>
      </w:pPr>
    </w:p>
    <w:p w14:paraId="460FCEF6" w14:textId="264BC390" w:rsidR="008603DE" w:rsidRPr="004F4CD0" w:rsidRDefault="008011D6" w:rsidP="008B4ED7">
      <w:pPr>
        <w:rPr>
          <w:lang w:val="es-ES_tradnl"/>
        </w:rPr>
      </w:pPr>
      <w:r w:rsidRPr="004F4CD0">
        <w:rPr>
          <w:lang w:val="es-ES_tradnl"/>
        </w:rPr>
        <w:t>No hay datos clínicos sobre la administración conjunta de denosumab y tratamiento hormonal sustitutivo (estrógenos), sin embargo</w:t>
      </w:r>
      <w:r w:rsidR="00843AA5" w:rsidRPr="004F4CD0">
        <w:rPr>
          <w:lang w:val="es-ES_tradnl"/>
        </w:rPr>
        <w:t>,</w:t>
      </w:r>
      <w:r w:rsidRPr="004F4CD0">
        <w:rPr>
          <w:lang w:val="es-ES_tradnl"/>
        </w:rPr>
        <w:t xml:space="preserve"> la posibilidad de interacción farmacodinámica se considera muy baja.</w:t>
      </w:r>
    </w:p>
    <w:p w14:paraId="678396F2" w14:textId="77777777" w:rsidR="008011D6" w:rsidRPr="004F4CD0" w:rsidRDefault="008011D6" w:rsidP="008B4ED7">
      <w:pPr>
        <w:rPr>
          <w:lang w:val="es-ES_tradnl"/>
        </w:rPr>
      </w:pPr>
    </w:p>
    <w:p w14:paraId="3E42AB1D" w14:textId="77777777" w:rsidR="008603DE" w:rsidRPr="004F4CD0" w:rsidRDefault="008011D6" w:rsidP="008B4ED7">
      <w:pPr>
        <w:rPr>
          <w:lang w:val="es-ES_tradnl"/>
        </w:rPr>
      </w:pPr>
      <w:r w:rsidRPr="004F4CD0">
        <w:rPr>
          <w:lang w:val="es-ES_tradnl"/>
        </w:rPr>
        <w:t>En mujeres posmenopáusicas con osteoporosis, no se modificó la farmacocinética y farmacodinámica de denosumab con el tratamiento previo con alendronato, según los datos de un estudio de transición (de alendronato a denosumab).</w:t>
      </w:r>
    </w:p>
    <w:p w14:paraId="1EAB5247" w14:textId="77777777" w:rsidR="008011D6" w:rsidRPr="004F4CD0" w:rsidRDefault="008011D6" w:rsidP="008B4ED7">
      <w:pPr>
        <w:rPr>
          <w:lang w:val="es-ES_tradnl"/>
        </w:rPr>
      </w:pPr>
    </w:p>
    <w:p w14:paraId="2D801FFF" w14:textId="77777777" w:rsidR="008011D6" w:rsidRPr="004F4CD0" w:rsidRDefault="008011D6" w:rsidP="008B4ED7">
      <w:pPr>
        <w:keepNext/>
        <w:ind w:left="567" w:hanging="567"/>
        <w:rPr>
          <w:b/>
          <w:lang w:val="es-ES_tradnl"/>
        </w:rPr>
      </w:pPr>
      <w:r w:rsidRPr="004F4CD0">
        <w:rPr>
          <w:b/>
          <w:lang w:val="es-ES_tradnl"/>
        </w:rPr>
        <w:t>4.6</w:t>
      </w:r>
      <w:r w:rsidRPr="004F4CD0">
        <w:rPr>
          <w:b/>
          <w:lang w:val="es-ES_tradnl"/>
        </w:rPr>
        <w:tab/>
        <w:t>Fertilidad, embarazo y lactancia</w:t>
      </w:r>
    </w:p>
    <w:p w14:paraId="275847F0" w14:textId="77777777" w:rsidR="008011D6" w:rsidRPr="004F4CD0" w:rsidRDefault="008011D6" w:rsidP="008B4ED7">
      <w:pPr>
        <w:keepNext/>
        <w:rPr>
          <w:lang w:val="es-ES_tradnl"/>
        </w:rPr>
      </w:pPr>
    </w:p>
    <w:p w14:paraId="00CC94EA" w14:textId="77777777" w:rsidR="008603DE" w:rsidRPr="004F4CD0" w:rsidRDefault="00053CE5" w:rsidP="008B4ED7">
      <w:pPr>
        <w:keepNext/>
        <w:rPr>
          <w:u w:val="single"/>
          <w:lang w:val="es-ES_tradnl"/>
        </w:rPr>
      </w:pPr>
      <w:r w:rsidRPr="004F4CD0">
        <w:rPr>
          <w:u w:val="single"/>
          <w:lang w:val="es-ES_tradnl"/>
        </w:rPr>
        <w:t>Embarazo</w:t>
      </w:r>
    </w:p>
    <w:p w14:paraId="43797680" w14:textId="77777777" w:rsidR="001D13A5" w:rsidRPr="004F4CD0" w:rsidRDefault="001D13A5" w:rsidP="008B4ED7">
      <w:pPr>
        <w:keepNext/>
        <w:rPr>
          <w:lang w:val="es-ES_tradnl"/>
        </w:rPr>
      </w:pPr>
    </w:p>
    <w:p w14:paraId="25C3EDC3" w14:textId="77777777" w:rsidR="007039B1" w:rsidRPr="004F4CD0" w:rsidRDefault="007039B1" w:rsidP="008B4ED7">
      <w:pPr>
        <w:rPr>
          <w:lang w:val="es-ES_tradnl"/>
        </w:rPr>
      </w:pPr>
      <w:r w:rsidRPr="004F4CD0">
        <w:rPr>
          <w:lang w:val="es-ES_tradnl"/>
        </w:rPr>
        <w:t>No hay datos o estos son limitados relativos al uso de denosumab en mujeres embarazadas. Estudios realizados en animales han mostrado toxicidad para la reproducción (ver sección 5.3).</w:t>
      </w:r>
    </w:p>
    <w:p w14:paraId="688507F0" w14:textId="77777777" w:rsidR="00A517BF" w:rsidRPr="004F4CD0" w:rsidRDefault="00A517BF" w:rsidP="008B4ED7">
      <w:pPr>
        <w:rPr>
          <w:lang w:val="es-ES_tradnl"/>
        </w:rPr>
      </w:pPr>
    </w:p>
    <w:p w14:paraId="528E6192" w14:textId="1B8D9C5A" w:rsidR="007039B1" w:rsidRPr="004F4CD0" w:rsidRDefault="007039B1" w:rsidP="008B4ED7">
      <w:pPr>
        <w:rPr>
          <w:lang w:val="es-ES_tradnl"/>
        </w:rPr>
      </w:pPr>
      <w:r w:rsidRPr="004F4CD0">
        <w:rPr>
          <w:lang w:val="es-ES_tradnl"/>
        </w:rPr>
        <w:t xml:space="preserve">No se recomienda el uso de </w:t>
      </w:r>
      <w:r w:rsidR="003809E4" w:rsidRPr="004F4CD0">
        <w:rPr>
          <w:lang w:val="es-ES_tradnl"/>
        </w:rPr>
        <w:t xml:space="preserve">denosumab </w:t>
      </w:r>
      <w:r w:rsidRPr="004F4CD0">
        <w:rPr>
          <w:lang w:val="es-ES_tradnl"/>
        </w:rPr>
        <w:t xml:space="preserve">en mujeres embarazadas ni en mujeres en edad fértil que no estén utilizando métodos anticonceptivos. Se debe recomendar a las mujeres no quedarse embarazadas durante el tratamiento con </w:t>
      </w:r>
      <w:r w:rsidR="003809E4" w:rsidRPr="004F4CD0">
        <w:rPr>
          <w:lang w:val="es-ES_tradnl"/>
        </w:rPr>
        <w:t xml:space="preserve">denosumab </w:t>
      </w:r>
      <w:r w:rsidRPr="004F4CD0">
        <w:rPr>
          <w:lang w:val="es-ES_tradnl"/>
        </w:rPr>
        <w:t xml:space="preserve">y al menos 5 meses después. Cualquier efecto de </w:t>
      </w:r>
      <w:r w:rsidR="003809E4" w:rsidRPr="004F4CD0">
        <w:rPr>
          <w:lang w:val="es-ES_tradnl"/>
        </w:rPr>
        <w:t xml:space="preserve">denosumab </w:t>
      </w:r>
      <w:r w:rsidRPr="004F4CD0">
        <w:rPr>
          <w:lang w:val="es-ES_tradnl"/>
        </w:rPr>
        <w:t>es probable que sea mayor durante el segundo y tercer trimestre del embarazo, ya que los anticuerpos monoclonales pasan a través de la placenta de forma lineal a medida que el embarazo progresa, y la mayor cantidad pasa durante el tercer trimestre.</w:t>
      </w:r>
    </w:p>
    <w:p w14:paraId="3B4200A5" w14:textId="77777777" w:rsidR="007039B1" w:rsidRPr="004F4CD0" w:rsidRDefault="007039B1" w:rsidP="008B4ED7">
      <w:pPr>
        <w:rPr>
          <w:lang w:val="es-ES_tradnl"/>
        </w:rPr>
      </w:pPr>
    </w:p>
    <w:p w14:paraId="6E1F9547" w14:textId="77777777" w:rsidR="00053CE5" w:rsidRPr="004F4CD0" w:rsidRDefault="00053CE5" w:rsidP="008B4ED7">
      <w:pPr>
        <w:keepNext/>
        <w:rPr>
          <w:u w:val="single"/>
          <w:lang w:val="es-ES_tradnl"/>
        </w:rPr>
      </w:pPr>
      <w:r w:rsidRPr="004F4CD0">
        <w:rPr>
          <w:u w:val="single"/>
          <w:lang w:val="es-ES_tradnl"/>
        </w:rPr>
        <w:t>Lactancia</w:t>
      </w:r>
    </w:p>
    <w:p w14:paraId="4CAEAEBE" w14:textId="77777777" w:rsidR="00071108" w:rsidRPr="004F4CD0" w:rsidRDefault="00071108" w:rsidP="008B4ED7">
      <w:pPr>
        <w:keepNext/>
        <w:rPr>
          <w:lang w:val="es-ES_tradnl"/>
        </w:rPr>
      </w:pPr>
    </w:p>
    <w:p w14:paraId="647282DE" w14:textId="6C4E3068" w:rsidR="00053CE5" w:rsidRPr="004F4CD0" w:rsidRDefault="00053CE5" w:rsidP="008B4ED7">
      <w:pPr>
        <w:rPr>
          <w:lang w:val="es-ES_tradnl"/>
        </w:rPr>
      </w:pPr>
      <w:r w:rsidRPr="004F4CD0">
        <w:rPr>
          <w:lang w:val="es-ES_tradnl"/>
        </w:rPr>
        <w:t xml:space="preserve">Se desconoce si denosumab se excreta en la leche materna. Los estudios en ratones manipulados genéticamente en los que se inactivó el RANKL mediante la eliminación de genes (“ratones knockout”) indican que la ausencia del RANKL (la diana de denosumab, ver sección 5.1) durante el embarazo puede interferir en la maduración de las glándulas mamarias alterando la lactancia posparto (ver sección 5.3). La decisión entre no amamantar o no seguir el tratamiento con </w:t>
      </w:r>
      <w:r w:rsidR="003809E4" w:rsidRPr="004F4CD0">
        <w:rPr>
          <w:lang w:val="es-ES_tradnl"/>
        </w:rPr>
        <w:t xml:space="preserve">denosumab </w:t>
      </w:r>
      <w:r w:rsidRPr="004F4CD0">
        <w:rPr>
          <w:lang w:val="es-ES_tradnl"/>
        </w:rPr>
        <w:t xml:space="preserve">debe tomarse teniendo en cuenta las ventajas de la lactancia para el recién nacido/lactante y las ventajas del tratamiento con </w:t>
      </w:r>
      <w:r w:rsidR="003809E4" w:rsidRPr="004F4CD0">
        <w:rPr>
          <w:lang w:val="es-ES_tradnl"/>
        </w:rPr>
        <w:t xml:space="preserve">denosumab </w:t>
      </w:r>
      <w:r w:rsidRPr="004F4CD0">
        <w:rPr>
          <w:lang w:val="es-ES_tradnl"/>
        </w:rPr>
        <w:t>para la mujer.</w:t>
      </w:r>
    </w:p>
    <w:p w14:paraId="1813624E" w14:textId="77777777" w:rsidR="00AF18CA" w:rsidRPr="004F4CD0" w:rsidRDefault="00AF18CA" w:rsidP="008B4ED7">
      <w:pPr>
        <w:rPr>
          <w:lang w:val="es-ES_tradnl"/>
        </w:rPr>
      </w:pPr>
    </w:p>
    <w:p w14:paraId="3AAF1424" w14:textId="77777777" w:rsidR="008603DE" w:rsidRPr="004F4CD0" w:rsidRDefault="008011D6" w:rsidP="008B4ED7">
      <w:pPr>
        <w:keepNext/>
        <w:rPr>
          <w:u w:val="single"/>
          <w:lang w:val="es-ES_tradnl"/>
        </w:rPr>
      </w:pPr>
      <w:r w:rsidRPr="004F4CD0">
        <w:rPr>
          <w:u w:val="single"/>
          <w:lang w:val="es-ES_tradnl"/>
        </w:rPr>
        <w:t>Fertilidad</w:t>
      </w:r>
    </w:p>
    <w:p w14:paraId="69A47FB1" w14:textId="77777777" w:rsidR="00071108" w:rsidRPr="004F4CD0" w:rsidRDefault="00071108" w:rsidP="008B4ED7">
      <w:pPr>
        <w:keepNext/>
        <w:rPr>
          <w:lang w:val="es-ES_tradnl"/>
        </w:rPr>
      </w:pPr>
    </w:p>
    <w:p w14:paraId="66C3A89A" w14:textId="77777777" w:rsidR="008011D6" w:rsidRPr="004F4CD0" w:rsidRDefault="008011D6" w:rsidP="008B4ED7">
      <w:pPr>
        <w:rPr>
          <w:lang w:val="es-ES_tradnl"/>
        </w:rPr>
      </w:pPr>
      <w:r w:rsidRPr="004F4CD0">
        <w:rPr>
          <w:lang w:val="es-ES_tradnl"/>
        </w:rPr>
        <w:t>No hay datos disponibles del efecto de denosumab sobre la fertilidad humana. Los estudios en animales no evidencian efectos perjudiciales directos o indirectos relativos a la fertilidad (ver sección 5.3).</w:t>
      </w:r>
    </w:p>
    <w:p w14:paraId="7B280D15" w14:textId="77777777" w:rsidR="008011D6" w:rsidRPr="004F4CD0" w:rsidRDefault="008011D6" w:rsidP="008B4ED7">
      <w:pPr>
        <w:rPr>
          <w:lang w:val="es-ES_tradnl"/>
        </w:rPr>
      </w:pPr>
    </w:p>
    <w:p w14:paraId="4A8AE979" w14:textId="77777777" w:rsidR="008011D6" w:rsidRPr="004F4CD0" w:rsidRDefault="00C175EC" w:rsidP="008B4ED7">
      <w:pPr>
        <w:keepNext/>
        <w:ind w:left="567" w:hanging="567"/>
        <w:rPr>
          <w:b/>
          <w:lang w:val="es-ES_tradnl"/>
        </w:rPr>
      </w:pPr>
      <w:r w:rsidRPr="004F4CD0">
        <w:rPr>
          <w:b/>
          <w:lang w:val="es-ES_tradnl"/>
        </w:rPr>
        <w:t>4.7</w:t>
      </w:r>
      <w:r w:rsidRPr="004F4CD0">
        <w:rPr>
          <w:b/>
          <w:lang w:val="es-ES_tradnl"/>
        </w:rPr>
        <w:tab/>
        <w:t>Efectos sobre la capacidad para conducir y utilizar máquinas</w:t>
      </w:r>
    </w:p>
    <w:p w14:paraId="4E2B90C3" w14:textId="77777777" w:rsidR="008011D6" w:rsidRPr="004F4CD0" w:rsidRDefault="008011D6" w:rsidP="008B4ED7">
      <w:pPr>
        <w:keepNext/>
        <w:rPr>
          <w:lang w:val="es-ES_tradnl"/>
        </w:rPr>
      </w:pPr>
    </w:p>
    <w:p w14:paraId="785D5F74" w14:textId="0EA407EF" w:rsidR="008603DE" w:rsidRPr="004F4CD0" w:rsidRDefault="008011D6" w:rsidP="008B4ED7">
      <w:pPr>
        <w:rPr>
          <w:lang w:val="es-ES_tradnl"/>
        </w:rPr>
      </w:pPr>
      <w:r w:rsidRPr="004F4CD0">
        <w:rPr>
          <w:lang w:val="es-ES_tradnl"/>
        </w:rPr>
        <w:t xml:space="preserve">La influencia de </w:t>
      </w:r>
      <w:r w:rsidR="003809E4" w:rsidRPr="004F4CD0">
        <w:rPr>
          <w:lang w:val="es-ES_tradnl"/>
        </w:rPr>
        <w:t xml:space="preserve">denosumab </w:t>
      </w:r>
      <w:r w:rsidRPr="004F4CD0">
        <w:rPr>
          <w:lang w:val="es-ES_tradnl"/>
        </w:rPr>
        <w:t>sobre la capacidad para conducir y utilizar máquinas es nula o insignificante.</w:t>
      </w:r>
    </w:p>
    <w:p w14:paraId="3123E472" w14:textId="77777777" w:rsidR="008011D6" w:rsidRPr="004F4CD0" w:rsidRDefault="008011D6" w:rsidP="008B4ED7">
      <w:pPr>
        <w:rPr>
          <w:lang w:val="es-ES_tradnl"/>
        </w:rPr>
      </w:pPr>
    </w:p>
    <w:p w14:paraId="48FFB444" w14:textId="77777777" w:rsidR="00992A6A" w:rsidRPr="004F4CD0" w:rsidRDefault="00EB1F77" w:rsidP="008B4ED7">
      <w:pPr>
        <w:keepNext/>
        <w:ind w:left="567" w:hanging="567"/>
        <w:rPr>
          <w:b/>
          <w:lang w:val="es-ES_tradnl"/>
        </w:rPr>
      </w:pPr>
      <w:r w:rsidRPr="004F4CD0">
        <w:rPr>
          <w:b/>
          <w:lang w:val="es-ES_tradnl"/>
        </w:rPr>
        <w:t>4.8</w:t>
      </w:r>
      <w:r w:rsidRPr="004F4CD0">
        <w:rPr>
          <w:b/>
          <w:lang w:val="es-ES_tradnl"/>
        </w:rPr>
        <w:tab/>
        <w:t>Reacciones adversas</w:t>
      </w:r>
    </w:p>
    <w:p w14:paraId="14B38027" w14:textId="77777777" w:rsidR="00992A6A" w:rsidRPr="004F4CD0" w:rsidRDefault="00992A6A" w:rsidP="008B4ED7">
      <w:pPr>
        <w:keepNext/>
        <w:rPr>
          <w:lang w:val="es-ES_tradnl"/>
        </w:rPr>
      </w:pPr>
    </w:p>
    <w:p w14:paraId="45481DC7" w14:textId="77777777" w:rsidR="00E317CF" w:rsidRPr="004F4CD0" w:rsidRDefault="00E317CF" w:rsidP="008B4ED7">
      <w:pPr>
        <w:keepNext/>
        <w:rPr>
          <w:u w:val="single"/>
          <w:lang w:val="es-ES_tradnl"/>
        </w:rPr>
      </w:pPr>
      <w:r w:rsidRPr="004F4CD0">
        <w:rPr>
          <w:u w:val="single"/>
          <w:lang w:val="es-ES_tradnl"/>
        </w:rPr>
        <w:t>Resumen del perfil de seguridad</w:t>
      </w:r>
    </w:p>
    <w:p w14:paraId="7AAB2B50" w14:textId="77777777" w:rsidR="00014F4A" w:rsidRPr="004F4CD0" w:rsidRDefault="00014F4A" w:rsidP="008B4ED7">
      <w:pPr>
        <w:keepNext/>
        <w:rPr>
          <w:lang w:val="es-ES_tradnl"/>
        </w:rPr>
      </w:pPr>
    </w:p>
    <w:p w14:paraId="13A99BF8" w14:textId="1978D421" w:rsidR="00E317CF" w:rsidRPr="004F4CD0" w:rsidRDefault="00C9738C" w:rsidP="008B4ED7">
      <w:pPr>
        <w:rPr>
          <w:lang w:val="es-ES_tradnl"/>
        </w:rPr>
      </w:pPr>
      <w:r w:rsidRPr="004F4CD0">
        <w:rPr>
          <w:lang w:val="es-ES_tradnl"/>
        </w:rPr>
        <w:t xml:space="preserve">Las reacciones adversas más frecuentes con denosumab (observadas en más de 1 de cada 10 pacientes) son dolor musculoesquelético y dolor en las extremidades. Se han observado casos poco frecuentes de celulitis, raramente se han observado casos de hipocalcemia, hipersensibilidad, osteonecrosis </w:t>
      </w:r>
      <w:r w:rsidRPr="004F4CD0">
        <w:rPr>
          <w:lang w:val="es-ES_tradnl"/>
        </w:rPr>
        <w:lastRenderedPageBreak/>
        <w:t>mandibular y fracturas atípicas de fémur (ver secciones 4.4 y 4.8 - descripción de las reacciones adversas seleccionadas) en pacientes que reciben denosumab.</w:t>
      </w:r>
    </w:p>
    <w:p w14:paraId="6CD12EF7" w14:textId="77777777" w:rsidR="00E317CF" w:rsidRPr="004F4CD0" w:rsidRDefault="00E317CF" w:rsidP="008B4ED7">
      <w:pPr>
        <w:rPr>
          <w:lang w:val="es-ES_tradnl"/>
        </w:rPr>
      </w:pPr>
    </w:p>
    <w:p w14:paraId="3003AA93" w14:textId="77777777" w:rsidR="00992A6A" w:rsidRPr="004F4CD0" w:rsidRDefault="00992A6A" w:rsidP="008B4ED7">
      <w:pPr>
        <w:keepNext/>
        <w:rPr>
          <w:u w:val="single"/>
          <w:lang w:val="es-ES_tradnl"/>
        </w:rPr>
      </w:pPr>
      <w:r w:rsidRPr="004F4CD0">
        <w:rPr>
          <w:u w:val="single"/>
          <w:lang w:val="es-ES_tradnl"/>
        </w:rPr>
        <w:t>Tabla de reacciones adversas</w:t>
      </w:r>
    </w:p>
    <w:p w14:paraId="17B39229" w14:textId="77777777" w:rsidR="001D13A5" w:rsidRPr="004F4CD0" w:rsidRDefault="001D13A5" w:rsidP="008B4ED7">
      <w:pPr>
        <w:keepNext/>
        <w:rPr>
          <w:lang w:val="es-ES_tradnl"/>
        </w:rPr>
      </w:pPr>
    </w:p>
    <w:p w14:paraId="5EFAF0AE" w14:textId="4A68EF70" w:rsidR="00E317CF" w:rsidRPr="004F4CD0" w:rsidRDefault="00E317CF" w:rsidP="008B4ED7">
      <w:pPr>
        <w:rPr>
          <w:lang w:val="es-ES_tradnl"/>
        </w:rPr>
      </w:pPr>
      <w:r w:rsidRPr="004F4CD0">
        <w:rPr>
          <w:lang w:val="es-ES_tradnl"/>
        </w:rPr>
        <w:t>Los datos de la tabla 1 abajo, describen las reacciones adversas notificadas en ensayos clínicos de fase II y fase III en pacientes con osteoporosis y en pacientes con cáncer de mama o próstata sometidos a supresión hormonal; y/o de notificaciones espontáneas.</w:t>
      </w:r>
    </w:p>
    <w:p w14:paraId="5BF02F7B" w14:textId="77777777" w:rsidR="00E317CF" w:rsidRPr="004F4CD0" w:rsidRDefault="00E317CF" w:rsidP="008B4ED7">
      <w:pPr>
        <w:rPr>
          <w:lang w:val="es-ES_tradnl"/>
        </w:rPr>
      </w:pPr>
    </w:p>
    <w:p w14:paraId="285A6D95" w14:textId="56684918" w:rsidR="008603DE" w:rsidRPr="004F4CD0" w:rsidRDefault="00E317CF" w:rsidP="00B97FC6">
      <w:pPr>
        <w:keepLines/>
        <w:rPr>
          <w:lang w:val="es-ES_tradnl"/>
        </w:rPr>
      </w:pPr>
      <w:r w:rsidRPr="004F4CD0">
        <w:rPr>
          <w:lang w:val="es-ES_tradnl"/>
        </w:rPr>
        <w:t>Para clasificar las reacciones adversas se utilizó la convención siguiente (consulte la tabla 1): muy frecuentes (≥ 1/10), frecuentes (≥ 1/100 a &lt; 1/10), poco frecuentes (≥ 1/1 000 a &lt; 1/100), raras (≥ 1/10 000 a &lt; 1/1 000), muy raras (&lt; 1/10 000) y frecuencia no conocida (no puede estimarse a partir de los datos disponibles). Las reacciones adversas se enumeran en orden decreciente de gravedad dentro de cada intervalo de frecuencia y clasificación por órganos y sistemas.</w:t>
      </w:r>
    </w:p>
    <w:p w14:paraId="302AB62F" w14:textId="77777777" w:rsidR="00834859" w:rsidRPr="004F4CD0" w:rsidRDefault="00834859" w:rsidP="008B4ED7">
      <w:pPr>
        <w:rPr>
          <w:lang w:val="es-ES_tradnl"/>
        </w:rPr>
      </w:pPr>
    </w:p>
    <w:p w14:paraId="719C06BB" w14:textId="77777777" w:rsidR="00E317CF" w:rsidRPr="004F4CD0" w:rsidRDefault="00E317CF" w:rsidP="008B4ED7">
      <w:pPr>
        <w:keepNext/>
        <w:rPr>
          <w:b/>
          <w:bCs/>
          <w:lang w:val="es-ES_tradnl"/>
        </w:rPr>
      </w:pPr>
      <w:r w:rsidRPr="004F4CD0">
        <w:rPr>
          <w:b/>
          <w:lang w:val="es-ES_tradnl"/>
        </w:rPr>
        <w:t>Tabla 1. Reacciones adversas notificadas en pacientes con osteoporosis y en pacientes con cáncer de mama o próstata que recibían tratamiento de deprivación hormonal</w:t>
      </w:r>
    </w:p>
    <w:p w14:paraId="09BB3616" w14:textId="77777777" w:rsidR="00E317CF" w:rsidRPr="004F4CD0" w:rsidRDefault="00E317CF" w:rsidP="008B4ED7">
      <w:pPr>
        <w:keepNext/>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1"/>
        <w:gridCol w:w="2527"/>
        <w:gridCol w:w="3651"/>
      </w:tblGrid>
      <w:tr w:rsidR="00E317CF" w:rsidRPr="004F4CD0" w14:paraId="71A62424" w14:textId="77777777" w:rsidTr="008B4ED7">
        <w:trPr>
          <w:cantSplit/>
          <w:trHeight w:val="57"/>
          <w:tblHeader/>
        </w:trPr>
        <w:tc>
          <w:tcPr>
            <w:tcW w:w="1675" w:type="pct"/>
            <w:tcBorders>
              <w:top w:val="single" w:sz="4" w:space="0" w:color="auto"/>
              <w:left w:val="single" w:sz="4" w:space="0" w:color="auto"/>
              <w:bottom w:val="single" w:sz="4" w:space="0" w:color="auto"/>
              <w:right w:val="single" w:sz="4" w:space="0" w:color="auto"/>
            </w:tcBorders>
          </w:tcPr>
          <w:p w14:paraId="6E16B119" w14:textId="77777777" w:rsidR="00E317CF" w:rsidRPr="004F4CD0" w:rsidRDefault="00E317CF" w:rsidP="008B4ED7">
            <w:pPr>
              <w:keepNext/>
              <w:rPr>
                <w:rFonts w:eastAsia="MS Mincho"/>
                <w:b/>
                <w:lang w:val="es-ES_tradnl"/>
              </w:rPr>
            </w:pPr>
            <w:r w:rsidRPr="004F4CD0">
              <w:rPr>
                <w:b/>
                <w:lang w:val="es-ES_tradnl"/>
              </w:rPr>
              <w:t>Clasificación por órganos y sistemas de MedDRA</w:t>
            </w:r>
          </w:p>
        </w:tc>
        <w:tc>
          <w:tcPr>
            <w:tcW w:w="1360" w:type="pct"/>
            <w:tcBorders>
              <w:top w:val="single" w:sz="4" w:space="0" w:color="auto"/>
              <w:left w:val="single" w:sz="4" w:space="0" w:color="auto"/>
              <w:bottom w:val="single" w:sz="4" w:space="0" w:color="auto"/>
              <w:right w:val="single" w:sz="4" w:space="0" w:color="auto"/>
            </w:tcBorders>
          </w:tcPr>
          <w:p w14:paraId="7794F461" w14:textId="77777777" w:rsidR="00E317CF" w:rsidRPr="004F4CD0" w:rsidRDefault="00E317CF" w:rsidP="008B4ED7">
            <w:pPr>
              <w:keepNext/>
              <w:rPr>
                <w:rFonts w:eastAsia="MS Mincho"/>
                <w:bCs/>
                <w:u w:val="single"/>
                <w:lang w:val="es-ES_tradnl"/>
              </w:rPr>
            </w:pPr>
            <w:r w:rsidRPr="004F4CD0">
              <w:rPr>
                <w:b/>
                <w:lang w:val="es-ES_tradnl"/>
              </w:rPr>
              <w:t>Categoría de frecuencia</w:t>
            </w:r>
          </w:p>
        </w:tc>
        <w:tc>
          <w:tcPr>
            <w:tcW w:w="1965" w:type="pct"/>
            <w:tcBorders>
              <w:top w:val="single" w:sz="4" w:space="0" w:color="auto"/>
              <w:left w:val="single" w:sz="4" w:space="0" w:color="auto"/>
              <w:bottom w:val="single" w:sz="4" w:space="0" w:color="auto"/>
              <w:right w:val="single" w:sz="4" w:space="0" w:color="auto"/>
            </w:tcBorders>
          </w:tcPr>
          <w:p w14:paraId="28702773" w14:textId="77777777" w:rsidR="00E317CF" w:rsidRPr="004F4CD0" w:rsidRDefault="00E317CF" w:rsidP="008B4ED7">
            <w:pPr>
              <w:keepNext/>
              <w:rPr>
                <w:rFonts w:eastAsia="MS Mincho"/>
                <w:b/>
                <w:bCs/>
                <w:lang w:val="es-ES_tradnl"/>
              </w:rPr>
            </w:pPr>
            <w:r w:rsidRPr="004F4CD0">
              <w:rPr>
                <w:b/>
                <w:lang w:val="es-ES_tradnl"/>
              </w:rPr>
              <w:t>Reacciones adversas</w:t>
            </w:r>
          </w:p>
        </w:tc>
      </w:tr>
      <w:tr w:rsidR="008B4ED7" w:rsidRPr="004F4CD0" w14:paraId="3B2E3561"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0DC57038" w14:textId="77777777" w:rsidR="008B4ED7" w:rsidRPr="004F4CD0" w:rsidRDefault="008B4ED7" w:rsidP="008B4ED7">
            <w:pPr>
              <w:keepNext/>
              <w:rPr>
                <w:lang w:val="es-ES_tradnl"/>
              </w:rPr>
            </w:pPr>
            <w:r w:rsidRPr="004F4CD0">
              <w:rPr>
                <w:lang w:val="es-ES_tradnl"/>
              </w:rPr>
              <w:t>Infecciones e infestaciones</w:t>
            </w:r>
          </w:p>
        </w:tc>
        <w:tc>
          <w:tcPr>
            <w:tcW w:w="1360" w:type="pct"/>
            <w:tcBorders>
              <w:top w:val="single" w:sz="4" w:space="0" w:color="auto"/>
              <w:left w:val="single" w:sz="4" w:space="0" w:color="auto"/>
              <w:bottom w:val="nil"/>
              <w:right w:val="single" w:sz="4" w:space="0" w:color="auto"/>
            </w:tcBorders>
          </w:tcPr>
          <w:p w14:paraId="2E1A2BB9" w14:textId="47B2FBDE" w:rsidR="008B4ED7" w:rsidRPr="004F4CD0" w:rsidRDefault="008B4ED7" w:rsidP="008B4ED7">
            <w:pPr>
              <w:rPr>
                <w:lang w:val="es-ES_tradnl"/>
              </w:rPr>
            </w:pPr>
            <w:r w:rsidRPr="004F4CD0">
              <w:rPr>
                <w:lang w:val="es-ES_tradnl"/>
              </w:rPr>
              <w:t>Frecuentes</w:t>
            </w:r>
          </w:p>
        </w:tc>
        <w:tc>
          <w:tcPr>
            <w:tcW w:w="1965" w:type="pct"/>
            <w:tcBorders>
              <w:top w:val="single" w:sz="4" w:space="0" w:color="auto"/>
              <w:left w:val="single" w:sz="4" w:space="0" w:color="auto"/>
              <w:bottom w:val="nil"/>
              <w:right w:val="single" w:sz="4" w:space="0" w:color="auto"/>
            </w:tcBorders>
          </w:tcPr>
          <w:p w14:paraId="2FF3E894" w14:textId="729AE495" w:rsidR="008B4ED7" w:rsidRPr="004F4CD0" w:rsidRDefault="008B4ED7" w:rsidP="008B4ED7">
            <w:pPr>
              <w:rPr>
                <w:lang w:val="es-ES_tradnl"/>
              </w:rPr>
            </w:pPr>
            <w:r w:rsidRPr="004F4CD0">
              <w:rPr>
                <w:lang w:val="es-ES_tradnl"/>
              </w:rPr>
              <w:t>Infección del tracto urinario</w:t>
            </w:r>
          </w:p>
        </w:tc>
      </w:tr>
      <w:tr w:rsidR="008B4ED7" w:rsidRPr="004F4CD0" w14:paraId="297E6286" w14:textId="77777777" w:rsidTr="00C345B1">
        <w:trPr>
          <w:cantSplit/>
          <w:trHeight w:val="57"/>
        </w:trPr>
        <w:tc>
          <w:tcPr>
            <w:tcW w:w="1675" w:type="pct"/>
            <w:vMerge/>
            <w:tcBorders>
              <w:left w:val="single" w:sz="4" w:space="0" w:color="auto"/>
              <w:right w:val="single" w:sz="4" w:space="0" w:color="auto"/>
            </w:tcBorders>
          </w:tcPr>
          <w:p w14:paraId="573456A7" w14:textId="77777777" w:rsidR="008B4ED7" w:rsidRPr="004F4CD0" w:rsidRDefault="008B4ED7" w:rsidP="008B4ED7">
            <w:pPr>
              <w:keepNext/>
              <w:rPr>
                <w:lang w:val="es-ES_tradnl"/>
              </w:rPr>
            </w:pPr>
          </w:p>
        </w:tc>
        <w:tc>
          <w:tcPr>
            <w:tcW w:w="1360" w:type="pct"/>
            <w:tcBorders>
              <w:top w:val="nil"/>
              <w:left w:val="single" w:sz="4" w:space="0" w:color="auto"/>
              <w:bottom w:val="nil"/>
              <w:right w:val="single" w:sz="4" w:space="0" w:color="auto"/>
            </w:tcBorders>
          </w:tcPr>
          <w:p w14:paraId="0DED1AB0" w14:textId="7920DEA7" w:rsidR="008B4ED7" w:rsidRPr="004F4CD0" w:rsidRDefault="008B4ED7" w:rsidP="008B4ED7">
            <w:pPr>
              <w:rPr>
                <w:lang w:val="es-ES_tradnl"/>
              </w:rPr>
            </w:pPr>
            <w:r w:rsidRPr="004F4CD0">
              <w:rPr>
                <w:lang w:val="es-ES_tradnl"/>
              </w:rPr>
              <w:t>Frecuentes</w:t>
            </w:r>
          </w:p>
        </w:tc>
        <w:tc>
          <w:tcPr>
            <w:tcW w:w="1965" w:type="pct"/>
            <w:tcBorders>
              <w:top w:val="nil"/>
              <w:left w:val="single" w:sz="4" w:space="0" w:color="auto"/>
              <w:bottom w:val="nil"/>
              <w:right w:val="single" w:sz="4" w:space="0" w:color="auto"/>
            </w:tcBorders>
          </w:tcPr>
          <w:p w14:paraId="5C25997E" w14:textId="4BFC85BD" w:rsidR="008B4ED7" w:rsidRPr="004F4CD0" w:rsidRDefault="008B4ED7" w:rsidP="008B4ED7">
            <w:pPr>
              <w:rPr>
                <w:lang w:val="es-ES_tradnl"/>
              </w:rPr>
            </w:pPr>
            <w:r w:rsidRPr="004F4CD0">
              <w:rPr>
                <w:lang w:val="es-ES_tradnl"/>
              </w:rPr>
              <w:t>Infección del tracto respiratorio superior</w:t>
            </w:r>
          </w:p>
        </w:tc>
      </w:tr>
      <w:tr w:rsidR="008B4ED7" w:rsidRPr="004F4CD0" w14:paraId="61203A73" w14:textId="77777777" w:rsidTr="00C345B1">
        <w:trPr>
          <w:cantSplit/>
          <w:trHeight w:val="57"/>
        </w:trPr>
        <w:tc>
          <w:tcPr>
            <w:tcW w:w="1675" w:type="pct"/>
            <w:vMerge/>
            <w:tcBorders>
              <w:left w:val="single" w:sz="4" w:space="0" w:color="auto"/>
              <w:right w:val="single" w:sz="4" w:space="0" w:color="auto"/>
            </w:tcBorders>
          </w:tcPr>
          <w:p w14:paraId="18C139C2" w14:textId="77777777" w:rsidR="008B4ED7" w:rsidRPr="004F4CD0" w:rsidRDefault="008B4ED7" w:rsidP="008B4ED7">
            <w:pPr>
              <w:keepNext/>
              <w:rPr>
                <w:lang w:val="es-ES_tradnl"/>
              </w:rPr>
            </w:pPr>
          </w:p>
        </w:tc>
        <w:tc>
          <w:tcPr>
            <w:tcW w:w="1360" w:type="pct"/>
            <w:tcBorders>
              <w:top w:val="nil"/>
              <w:left w:val="single" w:sz="4" w:space="0" w:color="auto"/>
              <w:bottom w:val="nil"/>
              <w:right w:val="single" w:sz="4" w:space="0" w:color="auto"/>
            </w:tcBorders>
          </w:tcPr>
          <w:p w14:paraId="47D17AF4" w14:textId="7B22AC61" w:rsidR="008B4ED7" w:rsidRPr="004F4CD0" w:rsidRDefault="008B4ED7" w:rsidP="008B4ED7">
            <w:pPr>
              <w:rPr>
                <w:lang w:val="es-ES_tradnl"/>
              </w:rPr>
            </w:pPr>
            <w:r w:rsidRPr="004F4CD0">
              <w:rPr>
                <w:lang w:val="es-ES_tradnl"/>
              </w:rPr>
              <w:t>Poco frecuentes</w:t>
            </w:r>
          </w:p>
        </w:tc>
        <w:tc>
          <w:tcPr>
            <w:tcW w:w="1965" w:type="pct"/>
            <w:tcBorders>
              <w:top w:val="nil"/>
              <w:left w:val="single" w:sz="4" w:space="0" w:color="auto"/>
              <w:bottom w:val="nil"/>
              <w:right w:val="single" w:sz="4" w:space="0" w:color="auto"/>
            </w:tcBorders>
          </w:tcPr>
          <w:p w14:paraId="4A66B450" w14:textId="77222E80" w:rsidR="008B4ED7" w:rsidRPr="004F4CD0" w:rsidRDefault="008B4ED7" w:rsidP="008B4ED7">
            <w:pPr>
              <w:rPr>
                <w:lang w:val="es-ES_tradnl"/>
              </w:rPr>
            </w:pPr>
            <w:r w:rsidRPr="004F4CD0">
              <w:rPr>
                <w:lang w:val="es-ES_tradnl"/>
              </w:rPr>
              <w:t>Diverticulitis</w:t>
            </w:r>
            <w:r w:rsidRPr="004F4CD0">
              <w:rPr>
                <w:vertAlign w:val="superscript"/>
                <w:lang w:val="es-ES_tradnl"/>
              </w:rPr>
              <w:t>1</w:t>
            </w:r>
          </w:p>
        </w:tc>
      </w:tr>
      <w:tr w:rsidR="008B4ED7" w:rsidRPr="004F4CD0" w14:paraId="3647E549" w14:textId="77777777" w:rsidTr="00C345B1">
        <w:trPr>
          <w:cantSplit/>
          <w:trHeight w:val="57"/>
        </w:trPr>
        <w:tc>
          <w:tcPr>
            <w:tcW w:w="1675" w:type="pct"/>
            <w:vMerge/>
            <w:tcBorders>
              <w:left w:val="single" w:sz="4" w:space="0" w:color="auto"/>
              <w:right w:val="single" w:sz="4" w:space="0" w:color="auto"/>
            </w:tcBorders>
          </w:tcPr>
          <w:p w14:paraId="39C5A929" w14:textId="77777777" w:rsidR="008B4ED7" w:rsidRPr="004F4CD0" w:rsidRDefault="008B4ED7" w:rsidP="008B4ED7">
            <w:pPr>
              <w:keepNext/>
              <w:rPr>
                <w:lang w:val="es-ES_tradnl"/>
              </w:rPr>
            </w:pPr>
          </w:p>
        </w:tc>
        <w:tc>
          <w:tcPr>
            <w:tcW w:w="1360" w:type="pct"/>
            <w:tcBorders>
              <w:top w:val="nil"/>
              <w:left w:val="single" w:sz="4" w:space="0" w:color="auto"/>
              <w:bottom w:val="nil"/>
              <w:right w:val="single" w:sz="4" w:space="0" w:color="auto"/>
            </w:tcBorders>
          </w:tcPr>
          <w:p w14:paraId="6EF75379" w14:textId="42CD1DE6" w:rsidR="008B4ED7" w:rsidRPr="004F4CD0" w:rsidRDefault="008B4ED7" w:rsidP="008B4ED7">
            <w:pPr>
              <w:rPr>
                <w:lang w:val="es-ES_tradnl"/>
              </w:rPr>
            </w:pPr>
            <w:r w:rsidRPr="004F4CD0">
              <w:rPr>
                <w:lang w:val="es-ES_tradnl"/>
              </w:rPr>
              <w:t>Poco frecuentes</w:t>
            </w:r>
          </w:p>
        </w:tc>
        <w:tc>
          <w:tcPr>
            <w:tcW w:w="1965" w:type="pct"/>
            <w:tcBorders>
              <w:top w:val="nil"/>
              <w:left w:val="single" w:sz="4" w:space="0" w:color="auto"/>
              <w:bottom w:val="nil"/>
              <w:right w:val="single" w:sz="4" w:space="0" w:color="auto"/>
            </w:tcBorders>
          </w:tcPr>
          <w:p w14:paraId="214A3109" w14:textId="33AFCA3B" w:rsidR="008B4ED7" w:rsidRPr="004F4CD0" w:rsidRDefault="008B4ED7" w:rsidP="008B4ED7">
            <w:pPr>
              <w:rPr>
                <w:lang w:val="es-ES_tradnl"/>
              </w:rPr>
            </w:pPr>
            <w:r w:rsidRPr="004F4CD0">
              <w:rPr>
                <w:lang w:val="es-ES_tradnl"/>
              </w:rPr>
              <w:t>Celulitis</w:t>
            </w:r>
            <w:r w:rsidRPr="004F4CD0">
              <w:rPr>
                <w:vertAlign w:val="superscript"/>
                <w:lang w:val="es-ES_tradnl"/>
              </w:rPr>
              <w:t>1</w:t>
            </w:r>
          </w:p>
        </w:tc>
      </w:tr>
      <w:tr w:rsidR="008B4ED7" w:rsidRPr="004F4CD0" w14:paraId="616FDCF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7BA45BC3" w14:textId="77777777" w:rsidR="008B4ED7" w:rsidRPr="004F4CD0" w:rsidRDefault="008B4ED7" w:rsidP="008B4ED7">
            <w:pPr>
              <w:keepNext/>
              <w:rPr>
                <w:lang w:val="es-ES_tradnl"/>
              </w:rPr>
            </w:pPr>
          </w:p>
        </w:tc>
        <w:tc>
          <w:tcPr>
            <w:tcW w:w="1360" w:type="pct"/>
            <w:tcBorders>
              <w:top w:val="nil"/>
              <w:left w:val="single" w:sz="4" w:space="0" w:color="auto"/>
              <w:bottom w:val="single" w:sz="4" w:space="0" w:color="auto"/>
              <w:right w:val="single" w:sz="4" w:space="0" w:color="auto"/>
            </w:tcBorders>
          </w:tcPr>
          <w:p w14:paraId="6B61304A" w14:textId="134E6D8B" w:rsidR="008B4ED7" w:rsidRPr="004F4CD0" w:rsidRDefault="008B4ED7" w:rsidP="008B4ED7">
            <w:pPr>
              <w:rPr>
                <w:lang w:val="es-ES_tradnl"/>
              </w:rPr>
            </w:pPr>
            <w:r w:rsidRPr="004F4CD0">
              <w:rPr>
                <w:lang w:val="es-ES_tradnl"/>
              </w:rPr>
              <w:t>Poco frecuentes</w:t>
            </w:r>
          </w:p>
        </w:tc>
        <w:tc>
          <w:tcPr>
            <w:tcW w:w="1965" w:type="pct"/>
            <w:tcBorders>
              <w:top w:val="nil"/>
              <w:left w:val="single" w:sz="4" w:space="0" w:color="auto"/>
              <w:bottom w:val="single" w:sz="4" w:space="0" w:color="auto"/>
              <w:right w:val="single" w:sz="4" w:space="0" w:color="auto"/>
            </w:tcBorders>
          </w:tcPr>
          <w:p w14:paraId="0A8668D1" w14:textId="6357A05C" w:rsidR="008B4ED7" w:rsidRPr="004F4CD0" w:rsidRDefault="008B4ED7" w:rsidP="008B4ED7">
            <w:pPr>
              <w:rPr>
                <w:lang w:val="es-ES_tradnl"/>
              </w:rPr>
            </w:pPr>
            <w:r w:rsidRPr="004F4CD0">
              <w:rPr>
                <w:lang w:val="es-ES_tradnl"/>
              </w:rPr>
              <w:t>Infección del oído</w:t>
            </w:r>
          </w:p>
        </w:tc>
      </w:tr>
      <w:tr w:rsidR="008B4ED7" w:rsidRPr="004F4CD0" w14:paraId="307B5887" w14:textId="77777777" w:rsidTr="00C345B1">
        <w:trPr>
          <w:cantSplit/>
          <w:trHeight w:val="57"/>
        </w:trPr>
        <w:tc>
          <w:tcPr>
            <w:tcW w:w="1675" w:type="pct"/>
            <w:vMerge w:val="restart"/>
            <w:tcBorders>
              <w:top w:val="single" w:sz="4" w:space="0" w:color="auto"/>
              <w:left w:val="single" w:sz="4" w:space="0" w:color="auto"/>
              <w:right w:val="single" w:sz="4" w:space="0" w:color="auto"/>
            </w:tcBorders>
          </w:tcPr>
          <w:p w14:paraId="76C2AC3E" w14:textId="77777777" w:rsidR="008B4ED7" w:rsidRPr="004F4CD0" w:rsidRDefault="008B4ED7" w:rsidP="008B4ED7">
            <w:pPr>
              <w:keepNext/>
              <w:rPr>
                <w:lang w:val="es-ES_tradnl"/>
              </w:rPr>
            </w:pPr>
            <w:r w:rsidRPr="004F4CD0">
              <w:rPr>
                <w:lang w:val="es-ES_tradnl"/>
              </w:rPr>
              <w:t>Trastornos del sistema inmunológico</w:t>
            </w:r>
          </w:p>
        </w:tc>
        <w:tc>
          <w:tcPr>
            <w:tcW w:w="1360" w:type="pct"/>
            <w:tcBorders>
              <w:top w:val="single" w:sz="4" w:space="0" w:color="auto"/>
              <w:left w:val="single" w:sz="4" w:space="0" w:color="auto"/>
              <w:bottom w:val="nil"/>
              <w:right w:val="single" w:sz="4" w:space="0" w:color="auto"/>
            </w:tcBorders>
          </w:tcPr>
          <w:p w14:paraId="0AB13ABD" w14:textId="1289B774" w:rsidR="008B4ED7" w:rsidRPr="004F4CD0" w:rsidRDefault="008B4ED7" w:rsidP="008B4ED7">
            <w:pPr>
              <w:rPr>
                <w:lang w:val="es-ES_tradnl"/>
              </w:rPr>
            </w:pPr>
            <w:r w:rsidRPr="004F4CD0">
              <w:rPr>
                <w:lang w:val="es-ES_tradnl"/>
              </w:rPr>
              <w:t>Raras</w:t>
            </w:r>
          </w:p>
        </w:tc>
        <w:tc>
          <w:tcPr>
            <w:tcW w:w="1965" w:type="pct"/>
            <w:tcBorders>
              <w:top w:val="single" w:sz="4" w:space="0" w:color="auto"/>
              <w:left w:val="single" w:sz="4" w:space="0" w:color="auto"/>
              <w:bottom w:val="nil"/>
              <w:right w:val="single" w:sz="4" w:space="0" w:color="auto"/>
            </w:tcBorders>
          </w:tcPr>
          <w:p w14:paraId="12826C24" w14:textId="119FD2CC" w:rsidR="008B4ED7" w:rsidRPr="004F4CD0" w:rsidRDefault="008B4ED7" w:rsidP="008B4ED7">
            <w:pPr>
              <w:rPr>
                <w:lang w:val="es-ES_tradnl"/>
              </w:rPr>
            </w:pPr>
            <w:r w:rsidRPr="004F4CD0">
              <w:rPr>
                <w:lang w:val="es-ES_tradnl"/>
              </w:rPr>
              <w:t>Hipersensibilidad al medicamento</w:t>
            </w:r>
            <w:r w:rsidRPr="004F4CD0">
              <w:rPr>
                <w:vertAlign w:val="superscript"/>
                <w:lang w:val="es-ES_tradnl"/>
              </w:rPr>
              <w:t>1</w:t>
            </w:r>
          </w:p>
        </w:tc>
      </w:tr>
      <w:tr w:rsidR="008B4ED7" w:rsidRPr="004F4CD0" w14:paraId="13AF493C" w14:textId="77777777" w:rsidTr="00C345B1">
        <w:trPr>
          <w:cantSplit/>
          <w:trHeight w:val="57"/>
        </w:trPr>
        <w:tc>
          <w:tcPr>
            <w:tcW w:w="1675" w:type="pct"/>
            <w:vMerge/>
            <w:tcBorders>
              <w:left w:val="single" w:sz="4" w:space="0" w:color="auto"/>
              <w:bottom w:val="single" w:sz="4" w:space="0" w:color="auto"/>
              <w:right w:val="single" w:sz="4" w:space="0" w:color="auto"/>
            </w:tcBorders>
          </w:tcPr>
          <w:p w14:paraId="1245EBA7" w14:textId="77777777" w:rsidR="008B4ED7" w:rsidRPr="004F4CD0" w:rsidRDefault="008B4ED7" w:rsidP="008B4ED7">
            <w:pPr>
              <w:keepNext/>
              <w:rPr>
                <w:lang w:val="es-ES_tradnl"/>
              </w:rPr>
            </w:pPr>
          </w:p>
        </w:tc>
        <w:tc>
          <w:tcPr>
            <w:tcW w:w="1360" w:type="pct"/>
            <w:tcBorders>
              <w:top w:val="nil"/>
              <w:left w:val="single" w:sz="4" w:space="0" w:color="auto"/>
              <w:bottom w:val="single" w:sz="4" w:space="0" w:color="auto"/>
              <w:right w:val="single" w:sz="4" w:space="0" w:color="auto"/>
            </w:tcBorders>
          </w:tcPr>
          <w:p w14:paraId="1F6E2F8D" w14:textId="7F76FB0A" w:rsidR="008B4ED7" w:rsidRPr="004F4CD0" w:rsidRDefault="008B4ED7" w:rsidP="008B4ED7">
            <w:pPr>
              <w:rPr>
                <w:lang w:val="es-ES_tradnl"/>
              </w:rPr>
            </w:pPr>
            <w:r w:rsidRPr="004F4CD0">
              <w:rPr>
                <w:lang w:val="es-ES_tradnl"/>
              </w:rPr>
              <w:t>Raras</w:t>
            </w:r>
          </w:p>
        </w:tc>
        <w:tc>
          <w:tcPr>
            <w:tcW w:w="1965" w:type="pct"/>
            <w:tcBorders>
              <w:top w:val="nil"/>
              <w:left w:val="single" w:sz="4" w:space="0" w:color="auto"/>
              <w:bottom w:val="single" w:sz="4" w:space="0" w:color="auto"/>
              <w:right w:val="single" w:sz="4" w:space="0" w:color="auto"/>
            </w:tcBorders>
          </w:tcPr>
          <w:p w14:paraId="6122EB71" w14:textId="61DDB619" w:rsidR="008B4ED7" w:rsidRPr="004F4CD0" w:rsidRDefault="008B4ED7" w:rsidP="008B4ED7">
            <w:pPr>
              <w:rPr>
                <w:lang w:val="es-ES_tradnl"/>
              </w:rPr>
            </w:pPr>
            <w:r w:rsidRPr="004F4CD0">
              <w:rPr>
                <w:lang w:val="es-ES_tradnl"/>
              </w:rPr>
              <w:t>Reacción anafiláctica</w:t>
            </w:r>
            <w:r w:rsidRPr="004F4CD0">
              <w:rPr>
                <w:vertAlign w:val="superscript"/>
                <w:lang w:val="es-ES_tradnl"/>
              </w:rPr>
              <w:t>1</w:t>
            </w:r>
          </w:p>
        </w:tc>
      </w:tr>
      <w:tr w:rsidR="00E317CF" w:rsidRPr="004F4CD0" w14:paraId="5C160F2F"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06FFF668" w14:textId="77777777" w:rsidR="00E317CF" w:rsidRPr="004F4CD0" w:rsidRDefault="00E317CF" w:rsidP="008B4ED7">
            <w:pPr>
              <w:rPr>
                <w:lang w:val="es-ES_tradnl"/>
              </w:rPr>
            </w:pPr>
            <w:r w:rsidRPr="004F4CD0">
              <w:rPr>
                <w:lang w:val="es-ES_tradnl"/>
              </w:rPr>
              <w:t>Trastornos del metabolismo y de la nutrición</w:t>
            </w:r>
          </w:p>
        </w:tc>
        <w:tc>
          <w:tcPr>
            <w:tcW w:w="1360" w:type="pct"/>
            <w:tcBorders>
              <w:top w:val="single" w:sz="4" w:space="0" w:color="auto"/>
              <w:left w:val="single" w:sz="4" w:space="0" w:color="auto"/>
              <w:bottom w:val="single" w:sz="4" w:space="0" w:color="auto"/>
              <w:right w:val="single" w:sz="4" w:space="0" w:color="auto"/>
            </w:tcBorders>
          </w:tcPr>
          <w:p w14:paraId="249CB293" w14:textId="77777777" w:rsidR="00E317CF" w:rsidRPr="004F4CD0" w:rsidRDefault="00E317CF" w:rsidP="008B4ED7">
            <w:pPr>
              <w:rPr>
                <w:lang w:val="es-ES_tradnl"/>
              </w:rPr>
            </w:pPr>
            <w:r w:rsidRPr="004F4CD0">
              <w:rPr>
                <w:lang w:val="es-ES_tradnl"/>
              </w:rPr>
              <w:t>Raras</w:t>
            </w:r>
          </w:p>
        </w:tc>
        <w:tc>
          <w:tcPr>
            <w:tcW w:w="1965" w:type="pct"/>
            <w:tcBorders>
              <w:top w:val="single" w:sz="4" w:space="0" w:color="auto"/>
              <w:left w:val="single" w:sz="4" w:space="0" w:color="auto"/>
              <w:bottom w:val="single" w:sz="4" w:space="0" w:color="auto"/>
              <w:right w:val="single" w:sz="4" w:space="0" w:color="auto"/>
            </w:tcBorders>
          </w:tcPr>
          <w:p w14:paraId="2A7B6D1F" w14:textId="77777777" w:rsidR="00E317CF" w:rsidRPr="004F4CD0" w:rsidRDefault="00E317CF" w:rsidP="008B4ED7">
            <w:pPr>
              <w:rPr>
                <w:lang w:val="es-ES_tradnl"/>
              </w:rPr>
            </w:pPr>
            <w:r w:rsidRPr="004F4CD0">
              <w:rPr>
                <w:lang w:val="es-ES_tradnl"/>
              </w:rPr>
              <w:t>Hipocalcemia</w:t>
            </w:r>
            <w:r w:rsidRPr="004F4CD0">
              <w:rPr>
                <w:vertAlign w:val="superscript"/>
                <w:lang w:val="es-ES_tradnl"/>
              </w:rPr>
              <w:t>1</w:t>
            </w:r>
          </w:p>
        </w:tc>
      </w:tr>
      <w:tr w:rsidR="00E317CF" w:rsidRPr="004F4CD0" w14:paraId="1D8C5504" w14:textId="77777777" w:rsidTr="008B4ED7">
        <w:trPr>
          <w:cantSplit/>
          <w:trHeight w:val="57"/>
        </w:trPr>
        <w:tc>
          <w:tcPr>
            <w:tcW w:w="1675" w:type="pct"/>
            <w:tcBorders>
              <w:top w:val="single" w:sz="4" w:space="0" w:color="auto"/>
              <w:left w:val="single" w:sz="4" w:space="0" w:color="auto"/>
              <w:bottom w:val="single" w:sz="4" w:space="0" w:color="auto"/>
              <w:right w:val="single" w:sz="4" w:space="0" w:color="auto"/>
            </w:tcBorders>
          </w:tcPr>
          <w:p w14:paraId="55515E82" w14:textId="77777777" w:rsidR="00E317CF" w:rsidRPr="004F4CD0" w:rsidRDefault="00E317CF" w:rsidP="008B4ED7">
            <w:pPr>
              <w:rPr>
                <w:lang w:val="es-ES_tradnl"/>
              </w:rPr>
            </w:pPr>
            <w:r w:rsidRPr="004F4CD0">
              <w:rPr>
                <w:lang w:val="es-ES_tradnl"/>
              </w:rPr>
              <w:t>Trastornos del sistema nervioso</w:t>
            </w:r>
          </w:p>
        </w:tc>
        <w:tc>
          <w:tcPr>
            <w:tcW w:w="1360" w:type="pct"/>
            <w:tcBorders>
              <w:top w:val="single" w:sz="4" w:space="0" w:color="auto"/>
              <w:left w:val="single" w:sz="4" w:space="0" w:color="auto"/>
              <w:bottom w:val="single" w:sz="4" w:space="0" w:color="auto"/>
              <w:right w:val="single" w:sz="4" w:space="0" w:color="auto"/>
            </w:tcBorders>
          </w:tcPr>
          <w:p w14:paraId="2DA3724D" w14:textId="77777777" w:rsidR="00E317CF" w:rsidRPr="004F4CD0" w:rsidRDefault="00E317CF" w:rsidP="008B4ED7">
            <w:pPr>
              <w:rPr>
                <w:lang w:val="es-ES_tradnl"/>
              </w:rPr>
            </w:pPr>
            <w:r w:rsidRPr="004F4CD0">
              <w:rPr>
                <w:lang w:val="es-ES_tradnl"/>
              </w:rPr>
              <w:t>Frecuentes</w:t>
            </w:r>
          </w:p>
        </w:tc>
        <w:tc>
          <w:tcPr>
            <w:tcW w:w="1965" w:type="pct"/>
            <w:tcBorders>
              <w:top w:val="single" w:sz="4" w:space="0" w:color="auto"/>
              <w:left w:val="single" w:sz="4" w:space="0" w:color="auto"/>
              <w:bottom w:val="single" w:sz="4" w:space="0" w:color="auto"/>
              <w:right w:val="single" w:sz="4" w:space="0" w:color="auto"/>
            </w:tcBorders>
          </w:tcPr>
          <w:p w14:paraId="7264BBFA" w14:textId="77777777" w:rsidR="00E317CF" w:rsidRPr="004F4CD0" w:rsidRDefault="00E317CF" w:rsidP="008B4ED7">
            <w:pPr>
              <w:rPr>
                <w:lang w:val="es-ES_tradnl"/>
              </w:rPr>
            </w:pPr>
            <w:r w:rsidRPr="004F4CD0">
              <w:rPr>
                <w:lang w:val="es-ES_tradnl"/>
              </w:rPr>
              <w:t>Ciática</w:t>
            </w:r>
          </w:p>
        </w:tc>
      </w:tr>
      <w:tr w:rsidR="008B4ED7" w:rsidRPr="004F4CD0" w14:paraId="47257BC5"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2BA64336" w14:textId="77777777" w:rsidR="008B4ED7" w:rsidRPr="004F4CD0" w:rsidRDefault="008B4ED7" w:rsidP="008B4ED7">
            <w:pPr>
              <w:rPr>
                <w:lang w:val="es-ES_tradnl"/>
              </w:rPr>
            </w:pPr>
            <w:r w:rsidRPr="004F4CD0">
              <w:rPr>
                <w:lang w:val="es-ES_tradnl"/>
              </w:rPr>
              <w:t>Trastornos gastrointestinales</w:t>
            </w:r>
          </w:p>
        </w:tc>
        <w:tc>
          <w:tcPr>
            <w:tcW w:w="1360" w:type="pct"/>
            <w:tcBorders>
              <w:top w:val="single" w:sz="4" w:space="0" w:color="auto"/>
              <w:left w:val="single" w:sz="4" w:space="0" w:color="auto"/>
              <w:bottom w:val="nil"/>
              <w:right w:val="single" w:sz="4" w:space="0" w:color="auto"/>
            </w:tcBorders>
          </w:tcPr>
          <w:p w14:paraId="0BE6CBB1" w14:textId="4F84ED70" w:rsidR="008B4ED7" w:rsidRPr="004F4CD0" w:rsidRDefault="008B4ED7" w:rsidP="008B4ED7">
            <w:pPr>
              <w:rPr>
                <w:lang w:val="es-ES_tradnl"/>
              </w:rPr>
            </w:pPr>
            <w:r w:rsidRPr="004F4CD0">
              <w:rPr>
                <w:lang w:val="es-ES_tradnl"/>
              </w:rPr>
              <w:t>Frecuentes</w:t>
            </w:r>
          </w:p>
        </w:tc>
        <w:tc>
          <w:tcPr>
            <w:tcW w:w="1965" w:type="pct"/>
            <w:tcBorders>
              <w:top w:val="single" w:sz="4" w:space="0" w:color="auto"/>
              <w:left w:val="single" w:sz="4" w:space="0" w:color="auto"/>
              <w:bottom w:val="nil"/>
              <w:right w:val="single" w:sz="4" w:space="0" w:color="auto"/>
            </w:tcBorders>
          </w:tcPr>
          <w:p w14:paraId="7EA97CCB" w14:textId="5C2B6EC3" w:rsidR="008B4ED7" w:rsidRPr="004F4CD0" w:rsidRDefault="008B4ED7" w:rsidP="008B4ED7">
            <w:pPr>
              <w:rPr>
                <w:lang w:val="es-ES_tradnl"/>
              </w:rPr>
            </w:pPr>
            <w:r w:rsidRPr="004F4CD0">
              <w:rPr>
                <w:lang w:val="es-ES_tradnl"/>
              </w:rPr>
              <w:t>Estreñimiento</w:t>
            </w:r>
          </w:p>
        </w:tc>
      </w:tr>
      <w:tr w:rsidR="008B4ED7" w:rsidRPr="004F4CD0" w14:paraId="58E0BB82"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6D8ED6AF" w14:textId="77777777" w:rsidR="008B4ED7" w:rsidRPr="004F4CD0" w:rsidRDefault="008B4ED7" w:rsidP="008B4ED7">
            <w:pPr>
              <w:rPr>
                <w:lang w:val="es-ES_tradnl"/>
              </w:rPr>
            </w:pPr>
          </w:p>
        </w:tc>
        <w:tc>
          <w:tcPr>
            <w:tcW w:w="1360" w:type="pct"/>
            <w:tcBorders>
              <w:top w:val="nil"/>
              <w:left w:val="single" w:sz="4" w:space="0" w:color="auto"/>
              <w:bottom w:val="single" w:sz="4" w:space="0" w:color="auto"/>
              <w:right w:val="single" w:sz="4" w:space="0" w:color="auto"/>
            </w:tcBorders>
          </w:tcPr>
          <w:p w14:paraId="1BCEDEC1" w14:textId="0E117A13" w:rsidR="008B4ED7" w:rsidRPr="004F4CD0" w:rsidRDefault="008B4ED7" w:rsidP="008B4ED7">
            <w:pPr>
              <w:rPr>
                <w:lang w:val="es-ES_tradnl"/>
              </w:rPr>
            </w:pPr>
            <w:r w:rsidRPr="004F4CD0">
              <w:rPr>
                <w:lang w:val="es-ES_tradnl"/>
              </w:rPr>
              <w:t>Frecuentes</w:t>
            </w:r>
          </w:p>
        </w:tc>
        <w:tc>
          <w:tcPr>
            <w:tcW w:w="1965" w:type="pct"/>
            <w:tcBorders>
              <w:top w:val="nil"/>
              <w:left w:val="single" w:sz="4" w:space="0" w:color="auto"/>
              <w:bottom w:val="single" w:sz="4" w:space="0" w:color="auto"/>
              <w:right w:val="single" w:sz="4" w:space="0" w:color="auto"/>
            </w:tcBorders>
          </w:tcPr>
          <w:p w14:paraId="6A444A3B" w14:textId="2DE59900" w:rsidR="008B4ED7" w:rsidRPr="004F4CD0" w:rsidRDefault="008B4ED7" w:rsidP="008B4ED7">
            <w:pPr>
              <w:rPr>
                <w:lang w:val="es-ES_tradnl"/>
              </w:rPr>
            </w:pPr>
            <w:r w:rsidRPr="004F4CD0">
              <w:rPr>
                <w:lang w:val="es-ES_tradnl"/>
              </w:rPr>
              <w:t>Molestia abdominal</w:t>
            </w:r>
          </w:p>
        </w:tc>
      </w:tr>
      <w:tr w:rsidR="008B4ED7" w:rsidRPr="004F4CD0" w14:paraId="26B01B2D"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040A1082" w14:textId="77777777" w:rsidR="008B4ED7" w:rsidRPr="004F4CD0" w:rsidRDefault="008B4ED7" w:rsidP="00C345B1">
            <w:pPr>
              <w:keepNext/>
              <w:rPr>
                <w:lang w:val="es-ES_tradnl"/>
              </w:rPr>
            </w:pPr>
            <w:r w:rsidRPr="004F4CD0">
              <w:rPr>
                <w:lang w:val="es-ES_tradnl"/>
              </w:rPr>
              <w:t>Trastornos de la piel y del tejido subcutáneo</w:t>
            </w:r>
          </w:p>
        </w:tc>
        <w:tc>
          <w:tcPr>
            <w:tcW w:w="1360" w:type="pct"/>
            <w:tcBorders>
              <w:top w:val="single" w:sz="4" w:space="0" w:color="auto"/>
              <w:left w:val="single" w:sz="4" w:space="0" w:color="auto"/>
              <w:bottom w:val="nil"/>
              <w:right w:val="single" w:sz="4" w:space="0" w:color="auto"/>
            </w:tcBorders>
          </w:tcPr>
          <w:p w14:paraId="72ED77EF" w14:textId="11941F54" w:rsidR="008B4ED7" w:rsidRPr="004F4CD0" w:rsidRDefault="008B4ED7" w:rsidP="00C345B1">
            <w:pPr>
              <w:keepNext/>
              <w:rPr>
                <w:lang w:val="es-ES_tradnl"/>
              </w:rPr>
            </w:pPr>
            <w:r w:rsidRPr="004F4CD0">
              <w:rPr>
                <w:lang w:val="es-ES_tradnl"/>
              </w:rPr>
              <w:t>Frecuentes</w:t>
            </w:r>
          </w:p>
        </w:tc>
        <w:tc>
          <w:tcPr>
            <w:tcW w:w="1965" w:type="pct"/>
            <w:tcBorders>
              <w:top w:val="single" w:sz="4" w:space="0" w:color="auto"/>
              <w:left w:val="single" w:sz="4" w:space="0" w:color="auto"/>
              <w:bottom w:val="nil"/>
              <w:right w:val="single" w:sz="4" w:space="0" w:color="auto"/>
            </w:tcBorders>
          </w:tcPr>
          <w:p w14:paraId="156389F4" w14:textId="135076EC" w:rsidR="008B4ED7" w:rsidRPr="004F4CD0" w:rsidRDefault="008B4ED7" w:rsidP="00C345B1">
            <w:pPr>
              <w:keepNext/>
              <w:rPr>
                <w:lang w:val="es-ES_tradnl"/>
              </w:rPr>
            </w:pPr>
            <w:r w:rsidRPr="004F4CD0">
              <w:rPr>
                <w:lang w:val="es-ES_tradnl"/>
              </w:rPr>
              <w:t>Erupción cutánea</w:t>
            </w:r>
          </w:p>
        </w:tc>
      </w:tr>
      <w:tr w:rsidR="008B4ED7" w:rsidRPr="004F4CD0" w14:paraId="0ADB9C40" w14:textId="77777777" w:rsidTr="008B4ED7">
        <w:trPr>
          <w:cantSplit/>
          <w:trHeight w:val="57"/>
        </w:trPr>
        <w:tc>
          <w:tcPr>
            <w:tcW w:w="1675" w:type="pct"/>
            <w:vMerge/>
            <w:tcBorders>
              <w:left w:val="single" w:sz="4" w:space="0" w:color="auto"/>
              <w:right w:val="single" w:sz="4" w:space="0" w:color="auto"/>
            </w:tcBorders>
          </w:tcPr>
          <w:p w14:paraId="3BB3334B"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64C38AD4" w14:textId="28C960BD" w:rsidR="008B4ED7" w:rsidRPr="004F4CD0" w:rsidRDefault="008B4ED7" w:rsidP="00C345B1">
            <w:pPr>
              <w:keepNext/>
              <w:rPr>
                <w:lang w:val="es-ES_tradnl"/>
              </w:rPr>
            </w:pPr>
            <w:r w:rsidRPr="004F4CD0">
              <w:rPr>
                <w:lang w:val="es-ES_tradnl"/>
              </w:rPr>
              <w:t>Frecuentes</w:t>
            </w:r>
          </w:p>
        </w:tc>
        <w:tc>
          <w:tcPr>
            <w:tcW w:w="1965" w:type="pct"/>
            <w:tcBorders>
              <w:top w:val="nil"/>
              <w:left w:val="single" w:sz="4" w:space="0" w:color="auto"/>
              <w:bottom w:val="nil"/>
              <w:right w:val="single" w:sz="4" w:space="0" w:color="auto"/>
            </w:tcBorders>
          </w:tcPr>
          <w:p w14:paraId="3CB1C4E7" w14:textId="192CBCA6" w:rsidR="008B4ED7" w:rsidRPr="004F4CD0" w:rsidRDefault="008B4ED7" w:rsidP="00C345B1">
            <w:pPr>
              <w:keepNext/>
              <w:rPr>
                <w:lang w:val="es-ES_tradnl"/>
              </w:rPr>
            </w:pPr>
            <w:r w:rsidRPr="004F4CD0">
              <w:rPr>
                <w:lang w:val="es-ES_tradnl"/>
              </w:rPr>
              <w:t>Eccema</w:t>
            </w:r>
          </w:p>
        </w:tc>
      </w:tr>
      <w:tr w:rsidR="008B4ED7" w:rsidRPr="004F4CD0" w14:paraId="764C570D" w14:textId="77777777" w:rsidTr="008B4ED7">
        <w:trPr>
          <w:cantSplit/>
          <w:trHeight w:val="57"/>
        </w:trPr>
        <w:tc>
          <w:tcPr>
            <w:tcW w:w="1675" w:type="pct"/>
            <w:vMerge/>
            <w:tcBorders>
              <w:left w:val="single" w:sz="4" w:space="0" w:color="auto"/>
              <w:right w:val="single" w:sz="4" w:space="0" w:color="auto"/>
            </w:tcBorders>
          </w:tcPr>
          <w:p w14:paraId="1301AFFD"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42C94810" w14:textId="100BB809" w:rsidR="008B4ED7" w:rsidRPr="004F4CD0" w:rsidRDefault="008B4ED7" w:rsidP="00C345B1">
            <w:pPr>
              <w:keepNext/>
              <w:rPr>
                <w:lang w:val="es-ES_tradnl"/>
              </w:rPr>
            </w:pPr>
            <w:r w:rsidRPr="004F4CD0">
              <w:rPr>
                <w:lang w:val="es-ES_tradnl"/>
              </w:rPr>
              <w:t>Frecuentes</w:t>
            </w:r>
          </w:p>
        </w:tc>
        <w:tc>
          <w:tcPr>
            <w:tcW w:w="1965" w:type="pct"/>
            <w:tcBorders>
              <w:top w:val="nil"/>
              <w:left w:val="single" w:sz="4" w:space="0" w:color="auto"/>
              <w:bottom w:val="nil"/>
              <w:right w:val="single" w:sz="4" w:space="0" w:color="auto"/>
            </w:tcBorders>
          </w:tcPr>
          <w:p w14:paraId="3EDE6EC5" w14:textId="2DD2915F" w:rsidR="008B4ED7" w:rsidRPr="004F4CD0" w:rsidRDefault="008B4ED7" w:rsidP="00C345B1">
            <w:pPr>
              <w:keepNext/>
              <w:rPr>
                <w:lang w:val="es-ES_tradnl"/>
              </w:rPr>
            </w:pPr>
            <w:r w:rsidRPr="004F4CD0">
              <w:rPr>
                <w:lang w:val="es-ES_tradnl"/>
              </w:rPr>
              <w:t>Alopecia</w:t>
            </w:r>
          </w:p>
        </w:tc>
      </w:tr>
      <w:tr w:rsidR="008B4ED7" w:rsidRPr="004F4CD0" w14:paraId="0E0A5DA1" w14:textId="77777777" w:rsidTr="008B4ED7">
        <w:trPr>
          <w:cantSplit/>
          <w:trHeight w:val="57"/>
        </w:trPr>
        <w:tc>
          <w:tcPr>
            <w:tcW w:w="1675" w:type="pct"/>
            <w:vMerge/>
            <w:tcBorders>
              <w:left w:val="single" w:sz="4" w:space="0" w:color="auto"/>
              <w:right w:val="single" w:sz="4" w:space="0" w:color="auto"/>
            </w:tcBorders>
          </w:tcPr>
          <w:p w14:paraId="5CF237C2"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53520091" w14:textId="4E7EF62B" w:rsidR="008B4ED7" w:rsidRPr="004F4CD0" w:rsidRDefault="008B4ED7" w:rsidP="00C345B1">
            <w:pPr>
              <w:keepNext/>
              <w:rPr>
                <w:lang w:val="es-ES_tradnl"/>
              </w:rPr>
            </w:pPr>
            <w:r w:rsidRPr="004F4CD0">
              <w:rPr>
                <w:lang w:val="es-ES_tradnl"/>
              </w:rPr>
              <w:t>Poco frecuentes</w:t>
            </w:r>
          </w:p>
        </w:tc>
        <w:tc>
          <w:tcPr>
            <w:tcW w:w="1965" w:type="pct"/>
            <w:tcBorders>
              <w:top w:val="nil"/>
              <w:left w:val="single" w:sz="4" w:space="0" w:color="auto"/>
              <w:bottom w:val="nil"/>
              <w:right w:val="single" w:sz="4" w:space="0" w:color="auto"/>
            </w:tcBorders>
          </w:tcPr>
          <w:p w14:paraId="0BEC9485" w14:textId="224F2B48" w:rsidR="008B4ED7" w:rsidRPr="004F4CD0" w:rsidRDefault="008B4ED7" w:rsidP="00C345B1">
            <w:pPr>
              <w:keepNext/>
              <w:rPr>
                <w:lang w:val="es-ES_tradnl"/>
              </w:rPr>
            </w:pPr>
            <w:r w:rsidRPr="004F4CD0">
              <w:rPr>
                <w:lang w:val="es-ES_tradnl"/>
              </w:rPr>
              <w:t>Erupción liquenoide medicamentosa</w:t>
            </w:r>
            <w:r w:rsidRPr="004F4CD0">
              <w:rPr>
                <w:vertAlign w:val="superscript"/>
                <w:lang w:val="es-ES_tradnl"/>
              </w:rPr>
              <w:t>1</w:t>
            </w:r>
          </w:p>
        </w:tc>
      </w:tr>
      <w:tr w:rsidR="008B4ED7" w:rsidRPr="004F4CD0" w14:paraId="3EAF196A" w14:textId="77777777" w:rsidTr="008B4ED7">
        <w:trPr>
          <w:cantSplit/>
          <w:trHeight w:val="57"/>
        </w:trPr>
        <w:tc>
          <w:tcPr>
            <w:tcW w:w="1675" w:type="pct"/>
            <w:vMerge/>
            <w:tcBorders>
              <w:left w:val="single" w:sz="4" w:space="0" w:color="auto"/>
              <w:right w:val="single" w:sz="4" w:space="0" w:color="auto"/>
            </w:tcBorders>
          </w:tcPr>
          <w:p w14:paraId="55DFAB26" w14:textId="77777777" w:rsidR="008B4ED7" w:rsidRPr="004F4CD0" w:rsidRDefault="008B4ED7" w:rsidP="00C345B1">
            <w:pPr>
              <w:keepNext/>
              <w:rPr>
                <w:lang w:val="es-ES_tradnl"/>
              </w:rPr>
            </w:pPr>
          </w:p>
        </w:tc>
        <w:tc>
          <w:tcPr>
            <w:tcW w:w="1360" w:type="pct"/>
            <w:tcBorders>
              <w:top w:val="nil"/>
              <w:left w:val="single" w:sz="4" w:space="0" w:color="auto"/>
              <w:bottom w:val="single" w:sz="4" w:space="0" w:color="auto"/>
              <w:right w:val="single" w:sz="4" w:space="0" w:color="auto"/>
            </w:tcBorders>
          </w:tcPr>
          <w:p w14:paraId="00B5AEC5" w14:textId="09871F02" w:rsidR="008B4ED7" w:rsidRPr="004F4CD0" w:rsidRDefault="008B4ED7" w:rsidP="00C345B1">
            <w:pPr>
              <w:keepNext/>
              <w:rPr>
                <w:lang w:val="es-ES_tradnl"/>
              </w:rPr>
            </w:pPr>
            <w:r w:rsidRPr="004F4CD0">
              <w:rPr>
                <w:lang w:val="es-ES_tradnl"/>
              </w:rPr>
              <w:t>Muy raras</w:t>
            </w:r>
          </w:p>
        </w:tc>
        <w:tc>
          <w:tcPr>
            <w:tcW w:w="1965" w:type="pct"/>
            <w:tcBorders>
              <w:top w:val="nil"/>
              <w:left w:val="single" w:sz="4" w:space="0" w:color="auto"/>
              <w:bottom w:val="single" w:sz="4" w:space="0" w:color="auto"/>
              <w:right w:val="single" w:sz="4" w:space="0" w:color="auto"/>
            </w:tcBorders>
          </w:tcPr>
          <w:p w14:paraId="54FE6680" w14:textId="4B73534A" w:rsidR="008B4ED7" w:rsidRPr="004F4CD0" w:rsidRDefault="008B4ED7" w:rsidP="00C345B1">
            <w:pPr>
              <w:keepNext/>
              <w:rPr>
                <w:lang w:val="es-ES_tradnl"/>
              </w:rPr>
            </w:pPr>
            <w:r w:rsidRPr="004F4CD0">
              <w:rPr>
                <w:lang w:val="es-ES_tradnl"/>
              </w:rPr>
              <w:t>Vasculitis por hipersensibilidad</w:t>
            </w:r>
          </w:p>
        </w:tc>
      </w:tr>
      <w:tr w:rsidR="008B4ED7" w:rsidRPr="004F4CD0" w14:paraId="05D88368" w14:textId="77777777" w:rsidTr="008B4ED7">
        <w:trPr>
          <w:cantSplit/>
          <w:trHeight w:val="57"/>
        </w:trPr>
        <w:tc>
          <w:tcPr>
            <w:tcW w:w="1675" w:type="pct"/>
            <w:vMerge w:val="restart"/>
            <w:tcBorders>
              <w:top w:val="single" w:sz="4" w:space="0" w:color="auto"/>
              <w:left w:val="single" w:sz="4" w:space="0" w:color="auto"/>
              <w:right w:val="single" w:sz="4" w:space="0" w:color="auto"/>
            </w:tcBorders>
          </w:tcPr>
          <w:p w14:paraId="4D0F5667" w14:textId="77777777" w:rsidR="008B4ED7" w:rsidRPr="004F4CD0" w:rsidRDefault="008B4ED7" w:rsidP="00C345B1">
            <w:pPr>
              <w:keepNext/>
              <w:rPr>
                <w:lang w:val="es-ES_tradnl"/>
              </w:rPr>
            </w:pPr>
            <w:r w:rsidRPr="004F4CD0">
              <w:rPr>
                <w:lang w:val="es-ES_tradnl"/>
              </w:rPr>
              <w:t>Trastornos musculoesqueléticos y del tejido conjuntivo</w:t>
            </w:r>
          </w:p>
        </w:tc>
        <w:tc>
          <w:tcPr>
            <w:tcW w:w="1360" w:type="pct"/>
            <w:tcBorders>
              <w:top w:val="single" w:sz="4" w:space="0" w:color="auto"/>
              <w:left w:val="single" w:sz="4" w:space="0" w:color="auto"/>
              <w:bottom w:val="nil"/>
              <w:right w:val="single" w:sz="4" w:space="0" w:color="auto"/>
            </w:tcBorders>
          </w:tcPr>
          <w:p w14:paraId="7D8B3165" w14:textId="5E7945F1" w:rsidR="008B4ED7" w:rsidRPr="004F4CD0" w:rsidRDefault="008B4ED7" w:rsidP="00C345B1">
            <w:pPr>
              <w:keepNext/>
              <w:rPr>
                <w:lang w:val="es-ES_tradnl"/>
              </w:rPr>
            </w:pPr>
            <w:r w:rsidRPr="004F4CD0">
              <w:rPr>
                <w:lang w:val="es-ES_tradnl"/>
              </w:rPr>
              <w:t>Muy frecuentes</w:t>
            </w:r>
          </w:p>
        </w:tc>
        <w:tc>
          <w:tcPr>
            <w:tcW w:w="1965" w:type="pct"/>
            <w:tcBorders>
              <w:top w:val="single" w:sz="4" w:space="0" w:color="auto"/>
              <w:left w:val="single" w:sz="4" w:space="0" w:color="auto"/>
              <w:bottom w:val="nil"/>
              <w:right w:val="single" w:sz="4" w:space="0" w:color="auto"/>
            </w:tcBorders>
          </w:tcPr>
          <w:p w14:paraId="6F074B16" w14:textId="493B2495" w:rsidR="008B4ED7" w:rsidRPr="004F4CD0" w:rsidRDefault="008B4ED7" w:rsidP="00C345B1">
            <w:pPr>
              <w:keepNext/>
              <w:rPr>
                <w:lang w:val="es-ES_tradnl"/>
              </w:rPr>
            </w:pPr>
            <w:r w:rsidRPr="004F4CD0">
              <w:rPr>
                <w:lang w:val="es-ES_tradnl"/>
              </w:rPr>
              <w:t>Dolor en las extremidades</w:t>
            </w:r>
          </w:p>
        </w:tc>
      </w:tr>
      <w:tr w:rsidR="008B4ED7" w:rsidRPr="004F4CD0" w14:paraId="3AD41102" w14:textId="77777777" w:rsidTr="008B4ED7">
        <w:trPr>
          <w:cantSplit/>
          <w:trHeight w:val="57"/>
        </w:trPr>
        <w:tc>
          <w:tcPr>
            <w:tcW w:w="1675" w:type="pct"/>
            <w:vMerge/>
            <w:tcBorders>
              <w:left w:val="single" w:sz="4" w:space="0" w:color="auto"/>
              <w:right w:val="single" w:sz="4" w:space="0" w:color="auto"/>
            </w:tcBorders>
          </w:tcPr>
          <w:p w14:paraId="1F00FDDC"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041791A1" w14:textId="57D3560A" w:rsidR="008B4ED7" w:rsidRPr="004F4CD0" w:rsidRDefault="008B4ED7" w:rsidP="00C345B1">
            <w:pPr>
              <w:keepNext/>
              <w:rPr>
                <w:lang w:val="es-ES_tradnl"/>
              </w:rPr>
            </w:pPr>
            <w:r w:rsidRPr="004F4CD0">
              <w:rPr>
                <w:lang w:val="es-ES_tradnl"/>
              </w:rPr>
              <w:t>Muy frecuentes</w:t>
            </w:r>
          </w:p>
        </w:tc>
        <w:tc>
          <w:tcPr>
            <w:tcW w:w="1965" w:type="pct"/>
            <w:tcBorders>
              <w:top w:val="nil"/>
              <w:left w:val="single" w:sz="4" w:space="0" w:color="auto"/>
              <w:bottom w:val="nil"/>
              <w:right w:val="single" w:sz="4" w:space="0" w:color="auto"/>
            </w:tcBorders>
          </w:tcPr>
          <w:p w14:paraId="173A8384" w14:textId="741E875D" w:rsidR="008B4ED7" w:rsidRPr="004F4CD0" w:rsidRDefault="008B4ED7" w:rsidP="00C345B1">
            <w:pPr>
              <w:keepNext/>
              <w:rPr>
                <w:lang w:val="es-ES_tradnl"/>
              </w:rPr>
            </w:pPr>
            <w:r w:rsidRPr="004F4CD0">
              <w:rPr>
                <w:lang w:val="es-ES_tradnl"/>
              </w:rPr>
              <w:t>Dolor musculoesquelético</w:t>
            </w:r>
            <w:r w:rsidRPr="004F4CD0">
              <w:rPr>
                <w:vertAlign w:val="superscript"/>
                <w:lang w:val="es-ES_tradnl"/>
              </w:rPr>
              <w:t>1</w:t>
            </w:r>
          </w:p>
        </w:tc>
      </w:tr>
      <w:tr w:rsidR="008B4ED7" w:rsidRPr="004F4CD0" w14:paraId="418989D3" w14:textId="77777777" w:rsidTr="008B4ED7">
        <w:trPr>
          <w:cantSplit/>
          <w:trHeight w:val="57"/>
        </w:trPr>
        <w:tc>
          <w:tcPr>
            <w:tcW w:w="1675" w:type="pct"/>
            <w:vMerge/>
            <w:tcBorders>
              <w:left w:val="single" w:sz="4" w:space="0" w:color="auto"/>
              <w:right w:val="single" w:sz="4" w:space="0" w:color="auto"/>
            </w:tcBorders>
          </w:tcPr>
          <w:p w14:paraId="67446BD0"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46E8E7C6" w14:textId="5994E378" w:rsidR="008B4ED7" w:rsidRPr="004F4CD0" w:rsidRDefault="008B4ED7" w:rsidP="00C345B1">
            <w:pPr>
              <w:keepNext/>
              <w:rPr>
                <w:lang w:val="es-ES_tradnl"/>
              </w:rPr>
            </w:pPr>
            <w:r w:rsidRPr="004F4CD0">
              <w:rPr>
                <w:lang w:val="es-ES_tradnl"/>
              </w:rPr>
              <w:t>Raras</w:t>
            </w:r>
          </w:p>
        </w:tc>
        <w:tc>
          <w:tcPr>
            <w:tcW w:w="1965" w:type="pct"/>
            <w:tcBorders>
              <w:top w:val="nil"/>
              <w:left w:val="single" w:sz="4" w:space="0" w:color="auto"/>
              <w:bottom w:val="nil"/>
              <w:right w:val="single" w:sz="4" w:space="0" w:color="auto"/>
            </w:tcBorders>
          </w:tcPr>
          <w:p w14:paraId="70106F44" w14:textId="4B5E71AD" w:rsidR="008B4ED7" w:rsidRPr="004F4CD0" w:rsidRDefault="008B4ED7" w:rsidP="00C345B1">
            <w:pPr>
              <w:keepNext/>
              <w:rPr>
                <w:lang w:val="es-ES_tradnl"/>
              </w:rPr>
            </w:pPr>
            <w:r w:rsidRPr="004F4CD0">
              <w:rPr>
                <w:lang w:val="es-ES_tradnl"/>
              </w:rPr>
              <w:t>Osteonecrosis mandibular</w:t>
            </w:r>
            <w:r w:rsidRPr="004F4CD0">
              <w:rPr>
                <w:vertAlign w:val="superscript"/>
                <w:lang w:val="es-ES_tradnl"/>
              </w:rPr>
              <w:t>1</w:t>
            </w:r>
          </w:p>
        </w:tc>
      </w:tr>
      <w:tr w:rsidR="008B4ED7" w:rsidRPr="004F4CD0" w14:paraId="6C5F3DA9" w14:textId="77777777" w:rsidTr="008B4ED7">
        <w:trPr>
          <w:cantSplit/>
          <w:trHeight w:val="57"/>
        </w:trPr>
        <w:tc>
          <w:tcPr>
            <w:tcW w:w="1675" w:type="pct"/>
            <w:vMerge/>
            <w:tcBorders>
              <w:left w:val="single" w:sz="4" w:space="0" w:color="auto"/>
              <w:right w:val="single" w:sz="4" w:space="0" w:color="auto"/>
            </w:tcBorders>
          </w:tcPr>
          <w:p w14:paraId="31164912" w14:textId="77777777" w:rsidR="008B4ED7" w:rsidRPr="004F4CD0" w:rsidRDefault="008B4ED7" w:rsidP="00C345B1">
            <w:pPr>
              <w:keepNext/>
              <w:rPr>
                <w:lang w:val="es-ES_tradnl"/>
              </w:rPr>
            </w:pPr>
          </w:p>
        </w:tc>
        <w:tc>
          <w:tcPr>
            <w:tcW w:w="1360" w:type="pct"/>
            <w:tcBorders>
              <w:top w:val="nil"/>
              <w:left w:val="single" w:sz="4" w:space="0" w:color="auto"/>
              <w:bottom w:val="nil"/>
              <w:right w:val="single" w:sz="4" w:space="0" w:color="auto"/>
            </w:tcBorders>
          </w:tcPr>
          <w:p w14:paraId="3EFDF847" w14:textId="478F1051" w:rsidR="008B4ED7" w:rsidRPr="004F4CD0" w:rsidRDefault="008B4ED7" w:rsidP="00C345B1">
            <w:pPr>
              <w:keepNext/>
              <w:rPr>
                <w:lang w:val="es-ES_tradnl"/>
              </w:rPr>
            </w:pPr>
            <w:r w:rsidRPr="004F4CD0">
              <w:rPr>
                <w:lang w:val="es-ES_tradnl"/>
              </w:rPr>
              <w:t>Raras</w:t>
            </w:r>
          </w:p>
        </w:tc>
        <w:tc>
          <w:tcPr>
            <w:tcW w:w="1965" w:type="pct"/>
            <w:tcBorders>
              <w:top w:val="nil"/>
              <w:left w:val="single" w:sz="4" w:space="0" w:color="auto"/>
              <w:bottom w:val="nil"/>
              <w:right w:val="single" w:sz="4" w:space="0" w:color="auto"/>
            </w:tcBorders>
          </w:tcPr>
          <w:p w14:paraId="302A933C" w14:textId="27C0560F" w:rsidR="008B4ED7" w:rsidRPr="004F4CD0" w:rsidRDefault="008B4ED7" w:rsidP="00C345B1">
            <w:pPr>
              <w:keepNext/>
              <w:rPr>
                <w:lang w:val="es-ES_tradnl"/>
              </w:rPr>
            </w:pPr>
            <w:r w:rsidRPr="004F4CD0">
              <w:rPr>
                <w:lang w:val="es-ES_tradnl"/>
              </w:rPr>
              <w:t>Fracturas atípicas de fémur</w:t>
            </w:r>
            <w:r w:rsidRPr="004F4CD0">
              <w:rPr>
                <w:vertAlign w:val="superscript"/>
                <w:lang w:val="es-ES_tradnl"/>
              </w:rPr>
              <w:t>1</w:t>
            </w:r>
          </w:p>
        </w:tc>
      </w:tr>
      <w:tr w:rsidR="008B4ED7" w:rsidRPr="004F4CD0" w14:paraId="7706ECFA" w14:textId="77777777" w:rsidTr="008B4ED7">
        <w:trPr>
          <w:cantSplit/>
          <w:trHeight w:val="57"/>
        </w:trPr>
        <w:tc>
          <w:tcPr>
            <w:tcW w:w="1675" w:type="pct"/>
            <w:vMerge/>
            <w:tcBorders>
              <w:left w:val="single" w:sz="4" w:space="0" w:color="auto"/>
              <w:bottom w:val="single" w:sz="4" w:space="0" w:color="auto"/>
              <w:right w:val="single" w:sz="4" w:space="0" w:color="auto"/>
            </w:tcBorders>
          </w:tcPr>
          <w:p w14:paraId="2C954B78" w14:textId="77777777" w:rsidR="008B4ED7" w:rsidRPr="004F4CD0" w:rsidRDefault="008B4ED7" w:rsidP="00C345B1">
            <w:pPr>
              <w:keepNext/>
              <w:rPr>
                <w:lang w:val="es-ES_tradnl"/>
              </w:rPr>
            </w:pPr>
          </w:p>
        </w:tc>
        <w:tc>
          <w:tcPr>
            <w:tcW w:w="1360" w:type="pct"/>
            <w:tcBorders>
              <w:top w:val="nil"/>
              <w:left w:val="single" w:sz="4" w:space="0" w:color="auto"/>
              <w:bottom w:val="single" w:sz="4" w:space="0" w:color="auto"/>
              <w:right w:val="single" w:sz="4" w:space="0" w:color="auto"/>
            </w:tcBorders>
          </w:tcPr>
          <w:p w14:paraId="767D02BF" w14:textId="2ECB47D2" w:rsidR="008B4ED7" w:rsidRPr="004F4CD0" w:rsidRDefault="008B4ED7" w:rsidP="00C345B1">
            <w:pPr>
              <w:keepNext/>
              <w:rPr>
                <w:lang w:val="es-ES_tradnl"/>
              </w:rPr>
            </w:pPr>
            <w:r w:rsidRPr="004F4CD0">
              <w:rPr>
                <w:lang w:val="es-ES_tradnl"/>
              </w:rPr>
              <w:t>Frecuencia no conocida</w:t>
            </w:r>
          </w:p>
        </w:tc>
        <w:tc>
          <w:tcPr>
            <w:tcW w:w="1965" w:type="pct"/>
            <w:tcBorders>
              <w:top w:val="nil"/>
              <w:left w:val="single" w:sz="4" w:space="0" w:color="auto"/>
              <w:bottom w:val="single" w:sz="4" w:space="0" w:color="auto"/>
              <w:right w:val="single" w:sz="4" w:space="0" w:color="auto"/>
            </w:tcBorders>
          </w:tcPr>
          <w:p w14:paraId="34DF5685" w14:textId="075D778F" w:rsidR="008B4ED7" w:rsidRPr="004F4CD0" w:rsidRDefault="008B4ED7" w:rsidP="00C345B1">
            <w:pPr>
              <w:keepNext/>
              <w:rPr>
                <w:lang w:val="es-ES_tradnl"/>
              </w:rPr>
            </w:pPr>
            <w:r w:rsidRPr="004F4CD0">
              <w:rPr>
                <w:lang w:val="es-ES_tradnl"/>
              </w:rPr>
              <w:t>Osteonecrosis del conducto auditivo externo</w:t>
            </w:r>
            <w:r w:rsidRPr="004F4CD0">
              <w:rPr>
                <w:vertAlign w:val="superscript"/>
                <w:lang w:val="es-ES_tradnl"/>
              </w:rPr>
              <w:t>2</w:t>
            </w:r>
          </w:p>
        </w:tc>
      </w:tr>
    </w:tbl>
    <w:p w14:paraId="5E35DC5C" w14:textId="2BA287A5" w:rsidR="00992A6A" w:rsidRPr="004F4CD0" w:rsidRDefault="00992A6A" w:rsidP="00C345B1">
      <w:pPr>
        <w:keepNext/>
        <w:rPr>
          <w:sz w:val="20"/>
          <w:szCs w:val="20"/>
          <w:lang w:val="es-ES_tradnl"/>
        </w:rPr>
      </w:pPr>
      <w:r w:rsidRPr="004F4CD0">
        <w:rPr>
          <w:sz w:val="20"/>
          <w:vertAlign w:val="superscript"/>
          <w:lang w:val="es-ES_tradnl"/>
        </w:rPr>
        <w:t>1</w:t>
      </w:r>
      <w:r w:rsidRPr="004F4CD0">
        <w:rPr>
          <w:sz w:val="20"/>
          <w:lang w:val="es-ES_tradnl"/>
        </w:rPr>
        <w:t xml:space="preserve"> Ver sección Descripción de las reacciones adversas seleccionadas.</w:t>
      </w:r>
    </w:p>
    <w:p w14:paraId="53539C5F" w14:textId="153A9185" w:rsidR="008603DE" w:rsidRPr="004F4CD0" w:rsidRDefault="00E54693" w:rsidP="00C345B1">
      <w:pPr>
        <w:rPr>
          <w:sz w:val="20"/>
          <w:szCs w:val="20"/>
          <w:lang w:val="es-ES_tradnl"/>
        </w:rPr>
      </w:pPr>
      <w:r w:rsidRPr="004F4CD0">
        <w:rPr>
          <w:sz w:val="20"/>
          <w:vertAlign w:val="superscript"/>
          <w:lang w:val="es-ES_tradnl"/>
        </w:rPr>
        <w:t>2</w:t>
      </w:r>
      <w:r w:rsidRPr="004F4CD0">
        <w:rPr>
          <w:sz w:val="20"/>
          <w:lang w:val="es-ES_tradnl"/>
        </w:rPr>
        <w:t xml:space="preserve"> Ver sección 4.4.</w:t>
      </w:r>
    </w:p>
    <w:p w14:paraId="49A2D861" w14:textId="77777777" w:rsidR="00E54693" w:rsidRPr="004F4CD0" w:rsidRDefault="00E54693" w:rsidP="008B4ED7">
      <w:pPr>
        <w:pStyle w:val="a9"/>
        <w:rPr>
          <w:sz w:val="22"/>
          <w:lang w:val="es-ES_tradnl"/>
        </w:rPr>
      </w:pPr>
    </w:p>
    <w:p w14:paraId="0753E259" w14:textId="36B677A0" w:rsidR="008603DE" w:rsidRPr="004F4CD0" w:rsidRDefault="008011D6" w:rsidP="008B4ED7">
      <w:pPr>
        <w:rPr>
          <w:lang w:val="es-ES_tradnl"/>
        </w:rPr>
      </w:pPr>
      <w:r w:rsidRPr="004F4CD0">
        <w:rPr>
          <w:lang w:val="es-ES_tradnl"/>
        </w:rPr>
        <w:t>En un análisis combinado de datos de todos los ensayos de fase II y fase III controlados con placebo, se notificó síndrome pseudogripal con una tasa de incidencia bruta del 1,2% para denosumab y del 0,7% para el grupo placebo. Aunque esta distribución desigual se identificó en un análisis combinado, no se identificó en un análisis estratificado.</w:t>
      </w:r>
    </w:p>
    <w:p w14:paraId="381F3365" w14:textId="77777777" w:rsidR="008011D6" w:rsidRPr="004F4CD0" w:rsidRDefault="008011D6" w:rsidP="008B4ED7">
      <w:pPr>
        <w:rPr>
          <w:lang w:val="es-ES_tradnl"/>
        </w:rPr>
      </w:pPr>
    </w:p>
    <w:p w14:paraId="200372F9" w14:textId="77777777" w:rsidR="008011D6" w:rsidRPr="004F4CD0" w:rsidRDefault="008011D6" w:rsidP="008B4ED7">
      <w:pPr>
        <w:keepNext/>
        <w:rPr>
          <w:u w:val="single"/>
          <w:lang w:val="es-ES_tradnl"/>
        </w:rPr>
      </w:pPr>
      <w:r w:rsidRPr="004F4CD0">
        <w:rPr>
          <w:u w:val="single"/>
          <w:lang w:val="es-ES_tradnl"/>
        </w:rPr>
        <w:lastRenderedPageBreak/>
        <w:t>Descripción de las reacciones adversas seleccionadas</w:t>
      </w:r>
    </w:p>
    <w:p w14:paraId="3F5E86A9" w14:textId="77777777" w:rsidR="008011D6" w:rsidRPr="004F4CD0" w:rsidRDefault="008011D6" w:rsidP="008B4ED7">
      <w:pPr>
        <w:keepNext/>
        <w:rPr>
          <w:lang w:val="es-ES_tradnl"/>
        </w:rPr>
      </w:pPr>
    </w:p>
    <w:p w14:paraId="2860D0D2" w14:textId="77777777" w:rsidR="008011D6" w:rsidRPr="004F4CD0" w:rsidRDefault="008011D6" w:rsidP="008B4ED7">
      <w:pPr>
        <w:keepNext/>
        <w:tabs>
          <w:tab w:val="clear" w:pos="567"/>
        </w:tabs>
        <w:rPr>
          <w:i/>
          <w:iCs/>
          <w:lang w:val="es-ES_tradnl"/>
        </w:rPr>
      </w:pPr>
      <w:r w:rsidRPr="004F4CD0">
        <w:rPr>
          <w:i/>
          <w:lang w:val="es-ES_tradnl"/>
        </w:rPr>
        <w:t>Hipocalcemia</w:t>
      </w:r>
    </w:p>
    <w:p w14:paraId="2537D072" w14:textId="45D122EE" w:rsidR="008603DE" w:rsidRPr="004F4CD0" w:rsidRDefault="008011D6" w:rsidP="008B4ED7">
      <w:pPr>
        <w:rPr>
          <w:lang w:val="es-ES_tradnl"/>
        </w:rPr>
      </w:pPr>
      <w:r w:rsidRPr="004F4CD0">
        <w:rPr>
          <w:lang w:val="es-ES_tradnl"/>
        </w:rPr>
        <w:t xml:space="preserve">En dos ensayos clínicos de fase III controlados con placebo en mujeres posmenopáusicas con osteoporosis, aproximadamente el 0,05% (2 de 4.050) de las pacientes presentaron una disminución de los niveles de calcio sérico (menos de 1,88 mmol/l) tras la administración de </w:t>
      </w:r>
      <w:r w:rsidR="003809E4" w:rsidRPr="004F4CD0">
        <w:rPr>
          <w:lang w:val="es-ES_tradnl"/>
        </w:rPr>
        <w:t>denosumab</w:t>
      </w:r>
      <w:r w:rsidRPr="004F4CD0">
        <w:rPr>
          <w:lang w:val="es-ES_tradnl"/>
        </w:rPr>
        <w:t>. No se notificaron disminuciones de los niveles de calcio sérico (menos de 1,88 mmol/l) en ninguno de los dos ensayos clínicos de fase III controlados con placebo en pacientes que recibían tratamiento de deprivación hormonal, ni en el ensayo clínico de fase III controlado con placebo en varones con osteoporosis.</w:t>
      </w:r>
    </w:p>
    <w:p w14:paraId="69447C2E" w14:textId="77777777" w:rsidR="00CD0319" w:rsidRPr="004F4CD0" w:rsidRDefault="00CD0319" w:rsidP="008B4ED7">
      <w:pPr>
        <w:rPr>
          <w:lang w:val="es-ES_tradnl"/>
        </w:rPr>
      </w:pPr>
    </w:p>
    <w:p w14:paraId="035CD797" w14:textId="084AD0EB" w:rsidR="007B6756" w:rsidRPr="004F4CD0" w:rsidRDefault="007B6756" w:rsidP="008B4ED7">
      <w:pPr>
        <w:rPr>
          <w:lang w:val="es-ES_tradnl"/>
        </w:rPr>
      </w:pPr>
      <w:r w:rsidRPr="004F4CD0">
        <w:rPr>
          <w:lang w:val="es-ES_tradnl"/>
        </w:rPr>
        <w:t>Durante la fase poscomercialización, se han notificado casos raros de hipocalcemia sintomática grave que derivaron en hospitalización, acontecimientos potencialmente mortales y casos mortales, predominantemente en pacientes con riesgo incrementado de hipocalcemia que recibían denosumab, que ocurrieron, en la mayoría de los casos, a las primeras semanas tras iniciar el tratamiento. Ejemplos de manifestaciones clínicas de hipocalcemia sintomática grave incluyeron prolongación del intervalo QT, tetania, convulsiones y estado mental alterado (ver sección 4.4). En los ensayos clínicos con denosumab, los síntomas de hipocalcemia incluyeron parestesias o agarrotamiento muscular, contracciones, espasmos y calambres musculares.</w:t>
      </w:r>
    </w:p>
    <w:p w14:paraId="1BC77E65" w14:textId="77777777" w:rsidR="008011D6" w:rsidRPr="004F4CD0" w:rsidRDefault="008011D6" w:rsidP="008B4ED7">
      <w:pPr>
        <w:rPr>
          <w:lang w:val="es-ES_tradnl"/>
        </w:rPr>
      </w:pPr>
    </w:p>
    <w:p w14:paraId="4F48A78E" w14:textId="77777777" w:rsidR="008011D6" w:rsidRPr="004F4CD0" w:rsidRDefault="008011D6" w:rsidP="008B4ED7">
      <w:pPr>
        <w:keepNext/>
        <w:tabs>
          <w:tab w:val="clear" w:pos="567"/>
        </w:tabs>
        <w:rPr>
          <w:i/>
          <w:iCs/>
          <w:lang w:val="es-ES_tradnl"/>
        </w:rPr>
      </w:pPr>
      <w:r w:rsidRPr="004F4CD0">
        <w:rPr>
          <w:i/>
          <w:lang w:val="es-ES_tradnl"/>
        </w:rPr>
        <w:t>Infecciones cutáneas</w:t>
      </w:r>
    </w:p>
    <w:p w14:paraId="3150DBA3" w14:textId="16949D14" w:rsidR="008011D6" w:rsidRPr="004F4CD0" w:rsidRDefault="008011D6" w:rsidP="008B4ED7">
      <w:pPr>
        <w:rPr>
          <w:lang w:val="es-ES_tradnl"/>
        </w:rPr>
      </w:pPr>
      <w:r w:rsidRPr="004F4CD0">
        <w:rPr>
          <w:lang w:val="es-ES_tradnl"/>
        </w:rPr>
        <w:t xml:space="preserve">En ensayos clínicos de fase III controlados con placebo, la incidencia global de infecciones cutáneas fue similar en el grupo placebo y en el de denosumab: en mujeres posmenopáusicas con osteoporosis (placebo [1,2%, 50 de 4.041] frente a </w:t>
      </w:r>
      <w:r w:rsidR="003809E4" w:rsidRPr="004F4CD0">
        <w:rPr>
          <w:lang w:val="es-ES_tradnl"/>
        </w:rPr>
        <w:t>denosumab</w:t>
      </w:r>
      <w:r w:rsidR="003809E4" w:rsidRPr="004F4CD0" w:rsidDel="003809E4">
        <w:rPr>
          <w:lang w:val="es-ES_tradnl"/>
        </w:rPr>
        <w:t xml:space="preserve"> </w:t>
      </w:r>
      <w:r w:rsidRPr="004F4CD0">
        <w:rPr>
          <w:lang w:val="es-ES_tradnl"/>
        </w:rPr>
        <w:t xml:space="preserve">[1,5%, 59 de 4.050]); en varones con osteoporosis (placebo [0,8%, 1 de 120] frente a </w:t>
      </w:r>
      <w:r w:rsidR="003809E4" w:rsidRPr="004F4CD0">
        <w:rPr>
          <w:lang w:val="es-ES_tradnl"/>
        </w:rPr>
        <w:t>denosumab</w:t>
      </w:r>
      <w:r w:rsidR="003809E4" w:rsidRPr="004F4CD0" w:rsidDel="003809E4">
        <w:rPr>
          <w:lang w:val="es-ES_tradnl"/>
        </w:rPr>
        <w:t xml:space="preserve"> </w:t>
      </w:r>
      <w:r w:rsidRPr="004F4CD0">
        <w:rPr>
          <w:lang w:val="es-ES_tradnl"/>
        </w:rPr>
        <w:t xml:space="preserve">[0%, 0 de 120]); en pacientes con cáncer de mama o próstata que recibían tratamiento de deprivación hormonal (placebo [1,7%, 14 de 845] frente a </w:t>
      </w:r>
      <w:r w:rsidR="003809E4" w:rsidRPr="004F4CD0">
        <w:rPr>
          <w:lang w:val="es-ES_tradnl"/>
        </w:rPr>
        <w:t>denosumab</w:t>
      </w:r>
      <w:r w:rsidR="003809E4" w:rsidRPr="004F4CD0" w:rsidDel="003809E4">
        <w:rPr>
          <w:lang w:val="es-ES_tradnl"/>
        </w:rPr>
        <w:t xml:space="preserve"> </w:t>
      </w:r>
      <w:r w:rsidRPr="004F4CD0">
        <w:rPr>
          <w:lang w:val="es-ES_tradnl"/>
        </w:rPr>
        <w:t xml:space="preserve">[1,4%, 12 de 860]). Se notificaron infecciones cutáneas que provocaron la hospitalización en el 0,1% (3 de 4.041) de las mujeres posmenopáusicas con osteoporosis que recibían placebo, en comparación con el 0,4% (16 de 4.050) de las mujeres que recibían </w:t>
      </w:r>
      <w:r w:rsidR="003809E4" w:rsidRPr="004F4CD0">
        <w:rPr>
          <w:lang w:val="es-ES_tradnl"/>
        </w:rPr>
        <w:t>denosumab</w:t>
      </w:r>
      <w:r w:rsidRPr="004F4CD0">
        <w:rPr>
          <w:lang w:val="es-ES_tradnl"/>
        </w:rPr>
        <w:t xml:space="preserve">. Estos casos fueron principalmente celulitis. Las infecciones cutáneas notificadas como reacciones adversas graves fueron similares en el grupo placebo (0,6%, 5 de 845) y en el de </w:t>
      </w:r>
      <w:r w:rsidR="003809E4" w:rsidRPr="004F4CD0">
        <w:rPr>
          <w:lang w:val="es-ES_tradnl"/>
        </w:rPr>
        <w:t>denosumab</w:t>
      </w:r>
      <w:r w:rsidR="003809E4" w:rsidRPr="004F4CD0" w:rsidDel="003809E4">
        <w:rPr>
          <w:lang w:val="es-ES_tradnl"/>
        </w:rPr>
        <w:t xml:space="preserve"> </w:t>
      </w:r>
      <w:r w:rsidRPr="004F4CD0">
        <w:rPr>
          <w:lang w:val="es-ES_tradnl"/>
        </w:rPr>
        <w:t>(0,6%, 5 de 860) en los estudios de cáncer de mama y próstata.</w:t>
      </w:r>
    </w:p>
    <w:p w14:paraId="0606C905" w14:textId="77777777" w:rsidR="006606E8" w:rsidRPr="004F4CD0" w:rsidRDefault="006606E8" w:rsidP="008B4ED7">
      <w:pPr>
        <w:rPr>
          <w:lang w:val="es-ES_tradnl"/>
        </w:rPr>
      </w:pPr>
    </w:p>
    <w:p w14:paraId="4D5A7F43" w14:textId="77777777" w:rsidR="006606E8" w:rsidRPr="004F4CD0" w:rsidRDefault="006606E8" w:rsidP="008B4ED7">
      <w:pPr>
        <w:keepNext/>
        <w:tabs>
          <w:tab w:val="clear" w:pos="567"/>
        </w:tabs>
        <w:rPr>
          <w:i/>
          <w:iCs/>
          <w:lang w:val="es-ES_tradnl"/>
        </w:rPr>
      </w:pPr>
      <w:r w:rsidRPr="004F4CD0">
        <w:rPr>
          <w:i/>
          <w:lang w:val="es-ES_tradnl"/>
        </w:rPr>
        <w:t>Osteonecrosis mandibular</w:t>
      </w:r>
    </w:p>
    <w:p w14:paraId="23D0FAE5" w14:textId="284C3AE1" w:rsidR="00CB6286" w:rsidRPr="004F4CD0" w:rsidRDefault="00BD493B" w:rsidP="008B4ED7">
      <w:pPr>
        <w:rPr>
          <w:lang w:val="es-ES_tradnl"/>
        </w:rPr>
      </w:pPr>
      <w:r w:rsidRPr="004F4CD0">
        <w:rPr>
          <w:lang w:val="es-ES_tradnl"/>
        </w:rPr>
        <w:t>La ONM ha sido notificada en raras ocasiones, en 16 pacientes, en ensayos clínicos en osteoporosis y en pacientes con cáncer de mama o próstata sometidos a supresión hormonal incluyendo un total de 23.148 pacientes (ver sección 4.4). Trece de estos casos de ONM ocurrieron en mujeres posmenopáusicas con osteoporosis durante la extensión del ensayo clínico de fase III, después de haber recibido tratamiento con denosumab durante 10 años. La incidencia de ONM fue del 0,04% a los 3 años, del 0,06% a los 5 años y del 0,44% a los 10 años de tratamiento con denosumab. El riesgo de ONM se incrementó con la duración de la exposición a denosumab.</w:t>
      </w:r>
    </w:p>
    <w:p w14:paraId="2335D698" w14:textId="77777777" w:rsidR="00C2322D" w:rsidRPr="004F4CD0" w:rsidRDefault="00C2322D" w:rsidP="008B4ED7">
      <w:pPr>
        <w:rPr>
          <w:lang w:val="es-ES_tradnl"/>
        </w:rPr>
      </w:pPr>
    </w:p>
    <w:p w14:paraId="0884144D" w14:textId="4A102F72" w:rsidR="00773E8F" w:rsidRPr="004F4CD0" w:rsidRDefault="00013F3A" w:rsidP="00773E8F">
      <w:pPr>
        <w:rPr>
          <w:lang w:val="es-ES_tradnl"/>
        </w:rPr>
      </w:pPr>
      <w:r>
        <w:t xml:space="preserve">El riesgo de ONM se ha evaluado también en un estudio de cohortes retrospectivo en 76 192 mujeres posmenopáusicas que iniciaron recientemente el tratamiento con </w:t>
      </w:r>
      <w:r>
        <w:rPr>
          <w:rFonts w:eastAsia="맑은 고딕" w:hint="eastAsia"/>
          <w:lang w:eastAsia="ko-KR"/>
        </w:rPr>
        <w:t>denosumab</w:t>
      </w:r>
      <w:r>
        <w:t>. La incidencia de ONM fue del 0,32% (intervalo de confianza [IC] del 95%): 0,26, 0,39) en las pacientes que usaron denosumab hasta los 3 años y del 0,51% (IC del 95%: 0,39, 0,65) en las pacientes que usaron denosumab hasta los 5 años de seguimiento</w:t>
      </w:r>
      <w:r w:rsidR="00773E8F" w:rsidRPr="004F4CD0">
        <w:rPr>
          <w:lang w:val="es-ES_tradnl"/>
        </w:rPr>
        <w:t>.</w:t>
      </w:r>
    </w:p>
    <w:p w14:paraId="1E74A3DB" w14:textId="77777777" w:rsidR="00773E8F" w:rsidRPr="004F4CD0" w:rsidRDefault="00773E8F" w:rsidP="008B4ED7">
      <w:pPr>
        <w:rPr>
          <w:lang w:val="es-ES_tradnl"/>
        </w:rPr>
      </w:pPr>
    </w:p>
    <w:p w14:paraId="63764FEC" w14:textId="77777777" w:rsidR="000675CA" w:rsidRPr="004F4CD0" w:rsidRDefault="000675CA" w:rsidP="008B4ED7">
      <w:pPr>
        <w:keepNext/>
        <w:tabs>
          <w:tab w:val="clear" w:pos="567"/>
        </w:tabs>
        <w:rPr>
          <w:i/>
          <w:iCs/>
          <w:lang w:val="es-ES_tradnl"/>
        </w:rPr>
      </w:pPr>
      <w:r w:rsidRPr="004F4CD0">
        <w:rPr>
          <w:i/>
          <w:lang w:val="es-ES_tradnl"/>
        </w:rPr>
        <w:t>Fracturas atípicas de fémur</w:t>
      </w:r>
    </w:p>
    <w:p w14:paraId="4CE4EE3F" w14:textId="0F7B921F" w:rsidR="000675CA" w:rsidRPr="004F4CD0" w:rsidRDefault="000675CA" w:rsidP="008B4ED7">
      <w:pPr>
        <w:rPr>
          <w:lang w:val="es-ES_tradnl"/>
        </w:rPr>
      </w:pPr>
      <w:r w:rsidRPr="004F4CD0">
        <w:rPr>
          <w:lang w:val="es-ES_tradnl"/>
        </w:rPr>
        <w:t>En el programa clínico en osteoporosis, se han notificado raramente casos de fracturas atípicas de fémur en pacientes tratados con denosumab (ver sección 4.4).</w:t>
      </w:r>
    </w:p>
    <w:p w14:paraId="0594B4BE" w14:textId="77777777" w:rsidR="008011D6" w:rsidRPr="004F4CD0" w:rsidRDefault="008011D6" w:rsidP="008B4ED7">
      <w:pPr>
        <w:rPr>
          <w:lang w:val="es-ES_tradnl"/>
        </w:rPr>
      </w:pPr>
    </w:p>
    <w:p w14:paraId="34E685EF" w14:textId="77777777" w:rsidR="008603DE" w:rsidRPr="004F4CD0" w:rsidRDefault="008011D6" w:rsidP="008B4ED7">
      <w:pPr>
        <w:keepNext/>
        <w:tabs>
          <w:tab w:val="clear" w:pos="567"/>
        </w:tabs>
        <w:rPr>
          <w:i/>
          <w:iCs/>
          <w:lang w:val="es-ES_tradnl"/>
        </w:rPr>
      </w:pPr>
      <w:r w:rsidRPr="004F4CD0">
        <w:rPr>
          <w:i/>
          <w:lang w:val="es-ES_tradnl"/>
        </w:rPr>
        <w:t>Diverticulitis</w:t>
      </w:r>
    </w:p>
    <w:p w14:paraId="0AAD0269" w14:textId="6BDF5E95" w:rsidR="008011D6" w:rsidRPr="004F4CD0" w:rsidRDefault="008011D6" w:rsidP="00BF0C34">
      <w:pPr>
        <w:rPr>
          <w:lang w:val="es-ES_tradnl"/>
        </w:rPr>
      </w:pPr>
      <w:r w:rsidRPr="004F4CD0">
        <w:rPr>
          <w:lang w:val="es-ES_tradnl"/>
        </w:rPr>
        <w:t xml:space="preserve">En un único ensayo clínico de fase III, controlado con placebo, en pacientes con cáncer de próstata sometidos a tratamiento de deprivación androgénica, se observó una distribución desigual del número de casos de diverticulitis como reacción adversa (1,2% denosumab, 0% placebo). La incidencia de diverticulitis fue comparable entre ambos grupos de tratamiento en mujeres posmenopáusicas o </w:t>
      </w:r>
      <w:r w:rsidRPr="004F4CD0">
        <w:rPr>
          <w:lang w:val="es-ES_tradnl"/>
        </w:rPr>
        <w:lastRenderedPageBreak/>
        <w:t>varones con osteoporosis y en mujeres con cáncer de mama no metastásico tratadas con inhibidores de la aromatasa.</w:t>
      </w:r>
    </w:p>
    <w:p w14:paraId="2A422ECB" w14:textId="77777777" w:rsidR="00992A6A" w:rsidRPr="004F4CD0" w:rsidRDefault="00992A6A" w:rsidP="008B4ED7">
      <w:pPr>
        <w:rPr>
          <w:lang w:val="es-ES_tradnl"/>
        </w:rPr>
      </w:pPr>
    </w:p>
    <w:p w14:paraId="4809E183" w14:textId="77777777" w:rsidR="008603DE" w:rsidRPr="004F4CD0" w:rsidRDefault="00992A6A" w:rsidP="008B4ED7">
      <w:pPr>
        <w:keepNext/>
        <w:tabs>
          <w:tab w:val="clear" w:pos="567"/>
        </w:tabs>
        <w:rPr>
          <w:i/>
          <w:iCs/>
          <w:lang w:val="es-ES_tradnl"/>
        </w:rPr>
      </w:pPr>
      <w:r w:rsidRPr="004F4CD0">
        <w:rPr>
          <w:i/>
          <w:lang w:val="es-ES_tradnl"/>
        </w:rPr>
        <w:t>Reacciones de hipersensibilidad relacionadas con el medicamento</w:t>
      </w:r>
    </w:p>
    <w:p w14:paraId="3E1D282B" w14:textId="69F908FF" w:rsidR="008603DE" w:rsidRPr="004F4CD0" w:rsidRDefault="008A3961" w:rsidP="008B4ED7">
      <w:pPr>
        <w:rPr>
          <w:lang w:val="es-ES_tradnl"/>
        </w:rPr>
      </w:pPr>
      <w:r w:rsidRPr="004F4CD0">
        <w:rPr>
          <w:lang w:val="es-ES_tradnl"/>
        </w:rPr>
        <w:t xml:space="preserve">En la experiencia poscomercialización se han notificado casos raros de hipersensibilidad relacionada con el medicamento, incluyendo erupción cutánea, urticaria, edema facial, eritema, y reacciones anafilácticas en pacientes que recibían </w:t>
      </w:r>
      <w:r w:rsidR="003809E4" w:rsidRPr="004F4CD0">
        <w:rPr>
          <w:lang w:val="es-ES_tradnl"/>
        </w:rPr>
        <w:t>denosumab</w:t>
      </w:r>
      <w:r w:rsidRPr="004F4CD0">
        <w:rPr>
          <w:lang w:val="es-ES_tradnl"/>
        </w:rPr>
        <w:t>.</w:t>
      </w:r>
    </w:p>
    <w:p w14:paraId="7F9AE1B1" w14:textId="77777777" w:rsidR="007B6756" w:rsidRPr="004F4CD0" w:rsidRDefault="007B6756" w:rsidP="008B4ED7">
      <w:pPr>
        <w:rPr>
          <w:lang w:val="es-ES_tradnl"/>
        </w:rPr>
      </w:pPr>
    </w:p>
    <w:p w14:paraId="73D14EF7" w14:textId="77777777" w:rsidR="007B6756" w:rsidRPr="004F4CD0" w:rsidRDefault="007B6756" w:rsidP="008B4ED7">
      <w:pPr>
        <w:keepNext/>
        <w:tabs>
          <w:tab w:val="clear" w:pos="567"/>
        </w:tabs>
        <w:rPr>
          <w:i/>
          <w:iCs/>
          <w:lang w:val="es-ES_tradnl"/>
        </w:rPr>
      </w:pPr>
      <w:r w:rsidRPr="004F4CD0">
        <w:rPr>
          <w:i/>
          <w:lang w:val="es-ES_tradnl"/>
        </w:rPr>
        <w:t>Dolor musculoesquelético</w:t>
      </w:r>
    </w:p>
    <w:p w14:paraId="3FCF49C0" w14:textId="11DAFDA6" w:rsidR="007B6756" w:rsidRPr="004F4CD0" w:rsidRDefault="007B6756" w:rsidP="008B4ED7">
      <w:pPr>
        <w:rPr>
          <w:lang w:val="es-ES_tradnl"/>
        </w:rPr>
      </w:pPr>
      <w:r w:rsidRPr="004F4CD0">
        <w:rPr>
          <w:lang w:val="es-ES_tradnl"/>
        </w:rPr>
        <w:t xml:space="preserve">En pacientes que recibían </w:t>
      </w:r>
      <w:r w:rsidR="003809E4" w:rsidRPr="004F4CD0">
        <w:rPr>
          <w:lang w:val="es-ES_tradnl"/>
        </w:rPr>
        <w:t xml:space="preserve">denosumab </w:t>
      </w:r>
      <w:r w:rsidRPr="004F4CD0">
        <w:rPr>
          <w:lang w:val="es-ES_tradnl"/>
        </w:rPr>
        <w:t>en el ámbito poscomercialización, se han notificado casos de dolor musculoesquelético, incluyendo casos graves. En los ensayos clínicos, el dolor musculoesquelético fue muy frecuente tanto en el grupo de denosumab como en el grupo placebo. El dolor musculoesquelético que provocara la discontinuación del tratamiento fue poco frecuente.</w:t>
      </w:r>
    </w:p>
    <w:p w14:paraId="0E4D1382" w14:textId="77777777" w:rsidR="00F41B80" w:rsidRPr="004F4CD0" w:rsidRDefault="00F41B80" w:rsidP="008B4ED7">
      <w:pPr>
        <w:rPr>
          <w:lang w:val="es-ES_tradnl"/>
        </w:rPr>
      </w:pPr>
    </w:p>
    <w:p w14:paraId="3DF22404" w14:textId="77777777" w:rsidR="00F41B80" w:rsidRPr="004F4CD0" w:rsidRDefault="00F41B80" w:rsidP="008B4ED7">
      <w:pPr>
        <w:keepNext/>
        <w:tabs>
          <w:tab w:val="clear" w:pos="567"/>
        </w:tabs>
        <w:rPr>
          <w:i/>
          <w:iCs/>
          <w:lang w:val="es-ES_tradnl"/>
        </w:rPr>
      </w:pPr>
      <w:r w:rsidRPr="004F4CD0">
        <w:rPr>
          <w:i/>
          <w:lang w:val="es-ES_tradnl"/>
        </w:rPr>
        <w:t>Erupciones liquenoides medicamentosas</w:t>
      </w:r>
    </w:p>
    <w:p w14:paraId="0D5C735D" w14:textId="12A17493" w:rsidR="00F41B80" w:rsidRPr="004F4CD0" w:rsidRDefault="00A96BB4" w:rsidP="008B4ED7">
      <w:pPr>
        <w:rPr>
          <w:lang w:val="es-ES_tradnl"/>
        </w:rPr>
      </w:pPr>
      <w:r w:rsidRPr="004F4CD0">
        <w:rPr>
          <w:lang w:val="es-ES_tradnl"/>
        </w:rPr>
        <w:t>Se han notificado erupciones liquenoides medicamentosas en pacientes (p. ej., reacciones tipo liquen plano) en el ámbito poscomercialización.</w:t>
      </w:r>
    </w:p>
    <w:p w14:paraId="2EC27C52" w14:textId="77777777" w:rsidR="008011D6" w:rsidRPr="004F4CD0" w:rsidRDefault="008011D6" w:rsidP="008B4ED7">
      <w:pPr>
        <w:rPr>
          <w:lang w:val="es-ES_tradnl"/>
        </w:rPr>
      </w:pPr>
    </w:p>
    <w:p w14:paraId="76281ED7" w14:textId="77777777" w:rsidR="008011D6" w:rsidRPr="004F4CD0" w:rsidRDefault="008011D6" w:rsidP="008B4ED7">
      <w:pPr>
        <w:keepNext/>
        <w:rPr>
          <w:u w:val="single"/>
          <w:lang w:val="es-ES_tradnl"/>
        </w:rPr>
      </w:pPr>
      <w:r w:rsidRPr="004F4CD0">
        <w:rPr>
          <w:u w:val="single"/>
          <w:lang w:val="es-ES_tradnl"/>
        </w:rPr>
        <w:t>Otras poblaciones especiales</w:t>
      </w:r>
    </w:p>
    <w:p w14:paraId="7C342220" w14:textId="6E802633" w:rsidR="002409B1" w:rsidRPr="004F4CD0" w:rsidRDefault="002409B1" w:rsidP="008B4ED7">
      <w:pPr>
        <w:keepNext/>
        <w:rPr>
          <w:lang w:val="es-ES_tradnl"/>
        </w:rPr>
      </w:pPr>
    </w:p>
    <w:p w14:paraId="45465522" w14:textId="3C6A2D95" w:rsidR="00555733" w:rsidRPr="004F4CD0" w:rsidRDefault="00555733" w:rsidP="008B4ED7">
      <w:pPr>
        <w:keepNext/>
        <w:rPr>
          <w:i/>
          <w:iCs/>
          <w:lang w:val="es-ES_tradnl"/>
        </w:rPr>
      </w:pPr>
      <w:r w:rsidRPr="004F4CD0">
        <w:rPr>
          <w:i/>
          <w:lang w:val="es-ES_tradnl"/>
        </w:rPr>
        <w:t>Población pediátrica</w:t>
      </w:r>
    </w:p>
    <w:p w14:paraId="506380AC" w14:textId="19418912" w:rsidR="00555733" w:rsidRPr="004F4CD0" w:rsidRDefault="003809E4" w:rsidP="00434AA6">
      <w:pPr>
        <w:rPr>
          <w:lang w:val="es-ES_tradnl"/>
        </w:rPr>
      </w:pPr>
      <w:r w:rsidRPr="004F4CD0">
        <w:rPr>
          <w:lang w:val="es-ES_tradnl"/>
        </w:rPr>
        <w:t xml:space="preserve">Denosumab </w:t>
      </w:r>
      <w:r w:rsidR="00555733" w:rsidRPr="004F4CD0">
        <w:rPr>
          <w:lang w:val="es-ES_tradnl"/>
        </w:rPr>
        <w:t>no debería utilizarse en pacientes pediátricos (&lt; 18 años de edad). Se han notificado casos de hipercalcemia grave (ver sección 5.1). De los casos notificados en ensayos clínicos algunos se agravaron debido a daño renal agudo.</w:t>
      </w:r>
    </w:p>
    <w:p w14:paraId="56B84DE3" w14:textId="77777777" w:rsidR="00555733" w:rsidRPr="004F4CD0" w:rsidRDefault="00555733" w:rsidP="008B4ED7">
      <w:pPr>
        <w:keepNext/>
        <w:rPr>
          <w:lang w:val="es-ES_tradnl"/>
        </w:rPr>
      </w:pPr>
    </w:p>
    <w:p w14:paraId="770E27EC" w14:textId="77777777" w:rsidR="008603DE" w:rsidRPr="004F4CD0" w:rsidRDefault="002409B1" w:rsidP="008B4ED7">
      <w:pPr>
        <w:keepNext/>
        <w:tabs>
          <w:tab w:val="clear" w:pos="567"/>
        </w:tabs>
        <w:rPr>
          <w:i/>
          <w:iCs/>
          <w:lang w:val="es-ES_tradnl"/>
        </w:rPr>
      </w:pPr>
      <w:r w:rsidRPr="004F4CD0">
        <w:rPr>
          <w:i/>
          <w:lang w:val="es-ES_tradnl"/>
        </w:rPr>
        <w:t>Insuficiencia renal</w:t>
      </w:r>
    </w:p>
    <w:p w14:paraId="751E8423" w14:textId="77777777" w:rsidR="008011D6" w:rsidRPr="004F4CD0" w:rsidRDefault="008011D6" w:rsidP="008B4ED7">
      <w:pPr>
        <w:rPr>
          <w:lang w:val="es-ES_tradnl"/>
        </w:rPr>
      </w:pPr>
      <w:r w:rsidRPr="004F4CD0">
        <w:rPr>
          <w:lang w:val="es-ES_tradnl"/>
        </w:rPr>
        <w:t>En los ensayos clínicos, los pacientes con insuficiencia renal grave (aclaramiento de creatinina &lt; 30 ml/min) o en diálisis presentaron un mayor riesgo de desarrollar hipocalcemia si no tomaban suplementos de calcio. Es importante que los pacientes con insuficiencia renal grave o en diálisis tomen una cantidad adecuada de calcio y vitamina D (ver sección 4.4).</w:t>
      </w:r>
    </w:p>
    <w:p w14:paraId="2EC03936" w14:textId="77777777" w:rsidR="008011D6" w:rsidRPr="004F4CD0" w:rsidRDefault="008011D6" w:rsidP="008B4ED7">
      <w:pPr>
        <w:rPr>
          <w:lang w:val="es-ES_tradnl"/>
        </w:rPr>
      </w:pPr>
    </w:p>
    <w:p w14:paraId="1F5FA842" w14:textId="77777777" w:rsidR="00C108F9" w:rsidRPr="004F4CD0" w:rsidRDefault="006E32CF" w:rsidP="008B4ED7">
      <w:pPr>
        <w:keepNext/>
        <w:rPr>
          <w:u w:val="single"/>
          <w:lang w:val="es-ES_tradnl"/>
        </w:rPr>
      </w:pPr>
      <w:r w:rsidRPr="004F4CD0">
        <w:rPr>
          <w:u w:val="single"/>
          <w:lang w:val="es-ES_tradnl"/>
        </w:rPr>
        <w:t>Notificación de sospechas de reacciones adversas</w:t>
      </w:r>
    </w:p>
    <w:p w14:paraId="33C6A513" w14:textId="77777777" w:rsidR="006E32CF" w:rsidRPr="004F4CD0" w:rsidRDefault="006E32CF" w:rsidP="008B4ED7">
      <w:pPr>
        <w:keepNext/>
        <w:tabs>
          <w:tab w:val="clear" w:pos="567"/>
        </w:tabs>
        <w:autoSpaceDE w:val="0"/>
        <w:autoSpaceDN w:val="0"/>
        <w:adjustRightInd w:val="0"/>
        <w:rPr>
          <w:u w:val="single"/>
          <w:lang w:val="es-ES_tradnl" w:eastAsia="en-GB"/>
        </w:rPr>
      </w:pPr>
    </w:p>
    <w:p w14:paraId="66B78D1C" w14:textId="55230588" w:rsidR="006E32CF" w:rsidRPr="004F4CD0" w:rsidRDefault="006E32CF" w:rsidP="008B4ED7">
      <w:pPr>
        <w:rPr>
          <w:lang w:val="es-ES_tradnl"/>
        </w:rPr>
      </w:pPr>
      <w:r w:rsidRPr="004F4CD0">
        <w:rPr>
          <w:lang w:val="es-ES_tradnl"/>
        </w:rPr>
        <w:t xml:space="preserve">Es importante notificar sospechas de reacciones adversas al medicamento tras su autorización. Ello permite una supervisión continuada de la relación beneficio/riesgo del medicamento. Se invita a los profesionales sanitarios a notificar las sospechas de reacciones adversas a través del </w:t>
      </w:r>
      <w:r>
        <w:rPr>
          <w:highlight w:val="lightGray"/>
          <w:lang w:val="es-ES_tradnl"/>
        </w:rPr>
        <w:t xml:space="preserve">sistema nacional de notificación incluido en el </w:t>
      </w:r>
      <w:hyperlink r:id="rId15" w:history="1">
        <w:r>
          <w:rPr>
            <w:rStyle w:val="ab"/>
            <w:highlight w:val="lightGray"/>
            <w:lang w:val="es-ES_tradnl"/>
          </w:rPr>
          <w:t>Apéndice V</w:t>
        </w:r>
      </w:hyperlink>
      <w:r w:rsidRPr="004F4CD0">
        <w:rPr>
          <w:lang w:val="es-ES_tradnl"/>
        </w:rPr>
        <w:t>.</w:t>
      </w:r>
    </w:p>
    <w:p w14:paraId="2AAD68C1" w14:textId="77777777" w:rsidR="006E32CF" w:rsidRPr="004F4CD0" w:rsidRDefault="006E32CF" w:rsidP="008B4ED7">
      <w:pPr>
        <w:rPr>
          <w:lang w:val="es-ES_tradnl"/>
        </w:rPr>
      </w:pPr>
    </w:p>
    <w:p w14:paraId="59987812" w14:textId="77777777" w:rsidR="008011D6" w:rsidRPr="004F4CD0" w:rsidRDefault="008011D6" w:rsidP="008B4ED7">
      <w:pPr>
        <w:keepNext/>
        <w:ind w:left="567" w:hanging="567"/>
        <w:rPr>
          <w:b/>
          <w:lang w:val="es-ES_tradnl"/>
        </w:rPr>
      </w:pPr>
      <w:r w:rsidRPr="004F4CD0">
        <w:rPr>
          <w:b/>
          <w:lang w:val="es-ES_tradnl"/>
        </w:rPr>
        <w:t>4.9</w:t>
      </w:r>
      <w:r w:rsidRPr="004F4CD0">
        <w:rPr>
          <w:b/>
          <w:lang w:val="es-ES_tradnl"/>
        </w:rPr>
        <w:tab/>
        <w:t>Sobredosis</w:t>
      </w:r>
    </w:p>
    <w:p w14:paraId="49434113" w14:textId="77777777" w:rsidR="008011D6" w:rsidRPr="004F4CD0" w:rsidRDefault="008011D6" w:rsidP="008B4ED7">
      <w:pPr>
        <w:keepNext/>
        <w:rPr>
          <w:lang w:val="es-ES_tradnl"/>
        </w:rPr>
      </w:pPr>
    </w:p>
    <w:p w14:paraId="34245D61" w14:textId="77777777" w:rsidR="00992A6A" w:rsidRPr="004F4CD0" w:rsidRDefault="00992A6A" w:rsidP="008B4ED7">
      <w:pPr>
        <w:rPr>
          <w:lang w:val="es-ES_tradnl"/>
        </w:rPr>
      </w:pPr>
      <w:r w:rsidRPr="004F4CD0">
        <w:rPr>
          <w:lang w:val="es-ES_tradnl"/>
        </w:rPr>
        <w:t>No hay experiencia de sobredosis en los ensayos clínicos. Denosumab se ha administrado en ensayos clínicos utilizando dosis de hasta 180 mg cada 4 semanas (dosis acumuladas de hasta 1.080 mg durante 6 meses) y no se han observado reacciones adversas adicionales.</w:t>
      </w:r>
    </w:p>
    <w:p w14:paraId="721F2628" w14:textId="77777777" w:rsidR="008011D6" w:rsidRPr="004F4CD0" w:rsidRDefault="008011D6" w:rsidP="008B4ED7">
      <w:pPr>
        <w:rPr>
          <w:lang w:val="es-ES_tradnl"/>
        </w:rPr>
      </w:pPr>
    </w:p>
    <w:p w14:paraId="3007B728" w14:textId="77777777" w:rsidR="008011D6" w:rsidRPr="004F4CD0" w:rsidRDefault="008011D6" w:rsidP="008B4ED7">
      <w:pPr>
        <w:rPr>
          <w:lang w:val="es-ES_tradnl"/>
        </w:rPr>
      </w:pPr>
    </w:p>
    <w:p w14:paraId="330A3F4A" w14:textId="77777777" w:rsidR="008011D6" w:rsidRPr="004F4CD0" w:rsidRDefault="008011D6" w:rsidP="008B4ED7">
      <w:pPr>
        <w:keepNext/>
        <w:ind w:left="567" w:hanging="567"/>
        <w:rPr>
          <w:b/>
          <w:lang w:val="es-ES_tradnl"/>
        </w:rPr>
      </w:pPr>
      <w:r w:rsidRPr="004F4CD0">
        <w:rPr>
          <w:b/>
          <w:lang w:val="es-ES_tradnl"/>
        </w:rPr>
        <w:t>5.</w:t>
      </w:r>
      <w:r w:rsidRPr="004F4CD0">
        <w:rPr>
          <w:b/>
          <w:lang w:val="es-ES_tradnl"/>
        </w:rPr>
        <w:tab/>
        <w:t>PROPIEDADES FARMACOLÓGICAS</w:t>
      </w:r>
    </w:p>
    <w:p w14:paraId="2B2AD7D8" w14:textId="77777777" w:rsidR="008011D6" w:rsidRPr="004F4CD0" w:rsidRDefault="008011D6" w:rsidP="008B4ED7">
      <w:pPr>
        <w:keepNext/>
        <w:rPr>
          <w:lang w:val="es-ES_tradnl"/>
        </w:rPr>
      </w:pPr>
    </w:p>
    <w:p w14:paraId="25A74AC5" w14:textId="5DDA5259" w:rsidR="008011D6" w:rsidRPr="004F4CD0" w:rsidRDefault="00C345B1" w:rsidP="008B4ED7">
      <w:pPr>
        <w:keepNext/>
        <w:ind w:left="567" w:hanging="567"/>
        <w:rPr>
          <w:b/>
          <w:lang w:val="es-ES_tradnl"/>
        </w:rPr>
      </w:pPr>
      <w:r w:rsidRPr="004F4CD0">
        <w:rPr>
          <w:b/>
          <w:lang w:val="es-ES_tradnl"/>
        </w:rPr>
        <w:t>5.1</w:t>
      </w:r>
      <w:r w:rsidRPr="004F4CD0">
        <w:rPr>
          <w:b/>
          <w:lang w:val="es-ES_tradnl"/>
        </w:rPr>
        <w:tab/>
        <w:t>Propiedades farmacodinámicas</w:t>
      </w:r>
    </w:p>
    <w:p w14:paraId="1DEC1E1E" w14:textId="77777777" w:rsidR="008011D6" w:rsidRPr="004F4CD0" w:rsidRDefault="008011D6" w:rsidP="008B4ED7">
      <w:pPr>
        <w:keepNext/>
        <w:rPr>
          <w:lang w:val="es-ES_tradnl"/>
        </w:rPr>
      </w:pPr>
    </w:p>
    <w:p w14:paraId="064C215F" w14:textId="5701DF8D" w:rsidR="008011D6" w:rsidRPr="004F4CD0" w:rsidRDefault="008011D6" w:rsidP="008B4ED7">
      <w:pPr>
        <w:rPr>
          <w:lang w:val="es-ES_tradnl"/>
        </w:rPr>
      </w:pPr>
      <w:r w:rsidRPr="004F4CD0">
        <w:rPr>
          <w:lang w:val="es-ES_tradnl"/>
        </w:rPr>
        <w:t>Grupo farmacoterapéutico: Medicamentos para tratar las enfermedades óseas – Otros fármacos que modifican la estructura y la mineralización ósea, código ATC: M05BX04</w:t>
      </w:r>
    </w:p>
    <w:p w14:paraId="31A8DD07" w14:textId="77777777" w:rsidR="008011D6" w:rsidRPr="004F4CD0" w:rsidRDefault="008011D6" w:rsidP="008B4ED7">
      <w:pPr>
        <w:rPr>
          <w:lang w:val="es-ES_tradnl"/>
        </w:rPr>
      </w:pPr>
    </w:p>
    <w:p w14:paraId="281752DC" w14:textId="0234411F" w:rsidR="005378E2" w:rsidRPr="004F4CD0" w:rsidRDefault="00FE7655" w:rsidP="005378E2">
      <w:pPr>
        <w:autoSpaceDE w:val="0"/>
        <w:autoSpaceDN w:val="0"/>
        <w:adjustRightInd w:val="0"/>
        <w:rPr>
          <w:lang w:val="es-ES_tradnl"/>
        </w:rPr>
      </w:pPr>
      <w:r>
        <w:rPr>
          <w:rFonts w:eastAsia="맑은 고딕" w:hint="eastAsia"/>
          <w:lang w:val="es-ES_tradnl" w:eastAsia="ko-KR"/>
        </w:rPr>
        <w:t>Stoboclo</w:t>
      </w:r>
      <w:r w:rsidR="005378E2" w:rsidRPr="004F4CD0">
        <w:rPr>
          <w:lang w:val="es-ES_tradnl"/>
        </w:rPr>
        <w:t xml:space="preserve"> es un medicamento biosimilar. La información detallada sobre este medicamento está disponible en la página web de la Agencia Europea de Medicamentos </w:t>
      </w:r>
      <w:hyperlink r:id="rId16" w:history="1">
        <w:r w:rsidR="005378E2" w:rsidRPr="004F4CD0">
          <w:rPr>
            <w:rStyle w:val="ab"/>
            <w:lang w:val="es-ES_tradnl"/>
          </w:rPr>
          <w:t>https://www.ema.europa.eu</w:t>
        </w:r>
      </w:hyperlink>
      <w:r w:rsidR="005378E2" w:rsidRPr="004F4CD0">
        <w:rPr>
          <w:lang w:val="es-ES_tradnl"/>
        </w:rPr>
        <w:t>.</w:t>
      </w:r>
    </w:p>
    <w:p w14:paraId="120DAF75" w14:textId="77777777" w:rsidR="005378E2" w:rsidRPr="004F4CD0" w:rsidRDefault="005378E2" w:rsidP="008B4ED7">
      <w:pPr>
        <w:rPr>
          <w:lang w:val="es-ES_tradnl"/>
        </w:rPr>
      </w:pPr>
    </w:p>
    <w:p w14:paraId="36343321" w14:textId="77777777" w:rsidR="008011D6" w:rsidRPr="004F4CD0" w:rsidRDefault="008011D6" w:rsidP="008B4ED7">
      <w:pPr>
        <w:keepNext/>
        <w:rPr>
          <w:u w:val="single"/>
          <w:lang w:val="es-ES_tradnl"/>
        </w:rPr>
      </w:pPr>
      <w:r w:rsidRPr="004F4CD0">
        <w:rPr>
          <w:u w:val="single"/>
          <w:lang w:val="es-ES_tradnl"/>
        </w:rPr>
        <w:lastRenderedPageBreak/>
        <w:t>Mecanismo de acción</w:t>
      </w:r>
    </w:p>
    <w:p w14:paraId="0B9A4DD0" w14:textId="77777777" w:rsidR="002409B1" w:rsidRPr="004F4CD0" w:rsidRDefault="002409B1" w:rsidP="008B4ED7">
      <w:pPr>
        <w:keepNext/>
        <w:rPr>
          <w:u w:val="single"/>
          <w:lang w:val="es-ES_tradnl"/>
        </w:rPr>
      </w:pPr>
    </w:p>
    <w:p w14:paraId="39A7C95A" w14:textId="77777777" w:rsidR="008011D6" w:rsidRPr="004F4CD0" w:rsidRDefault="008011D6" w:rsidP="008B4ED7">
      <w:pPr>
        <w:rPr>
          <w:lang w:val="es-ES_tradnl"/>
        </w:rPr>
      </w:pPr>
      <w:r w:rsidRPr="004F4CD0">
        <w:rPr>
          <w:lang w:val="es-ES_tradnl"/>
        </w:rPr>
        <w:t>Denosumab es un anticuerpo monoclonal humano (IgG2) que se dirige y se une con gran afinidad y especificidad al RANKL, impidiendo la activación de su receptor, RANK, en la superficie de los precursores de los osteoclastos y en los osteoclastos. Al impedir la interacción del RANKL/RANK se inhibe la formación, la función y la supervivencia de los osteoclastos, lo que a su vez provoca la disminución de la resorción ósea en el hueso trabecular y cortical.</w:t>
      </w:r>
    </w:p>
    <w:p w14:paraId="74E462A6" w14:textId="77777777" w:rsidR="008011D6" w:rsidRPr="004F4CD0" w:rsidRDefault="008011D6" w:rsidP="008B4ED7">
      <w:pPr>
        <w:rPr>
          <w:lang w:val="es-ES_tradnl"/>
        </w:rPr>
      </w:pPr>
    </w:p>
    <w:p w14:paraId="78A97C27" w14:textId="77777777" w:rsidR="008011D6" w:rsidRPr="004F4CD0" w:rsidRDefault="008011D6" w:rsidP="008B4ED7">
      <w:pPr>
        <w:keepNext/>
        <w:rPr>
          <w:u w:val="single"/>
          <w:lang w:val="es-ES_tradnl"/>
        </w:rPr>
      </w:pPr>
      <w:r w:rsidRPr="004F4CD0">
        <w:rPr>
          <w:u w:val="single"/>
          <w:lang w:val="es-ES_tradnl"/>
        </w:rPr>
        <w:t>Efectos farmacodinámicos</w:t>
      </w:r>
    </w:p>
    <w:p w14:paraId="190CDC22" w14:textId="77777777" w:rsidR="002409B1" w:rsidRPr="004F4CD0" w:rsidRDefault="002409B1" w:rsidP="008B4ED7">
      <w:pPr>
        <w:keepNext/>
        <w:rPr>
          <w:lang w:val="es-ES_tradnl"/>
        </w:rPr>
      </w:pPr>
    </w:p>
    <w:p w14:paraId="1D65B07D" w14:textId="53AC4CC3" w:rsidR="008011D6" w:rsidRPr="004F4CD0" w:rsidRDefault="008011D6" w:rsidP="008B4ED7">
      <w:pPr>
        <w:rPr>
          <w:lang w:val="es-ES_tradnl"/>
        </w:rPr>
      </w:pPr>
      <w:r w:rsidRPr="004F4CD0">
        <w:rPr>
          <w:lang w:val="es-ES_tradnl"/>
        </w:rPr>
        <w:t xml:space="preserve">El tratamiento con </w:t>
      </w:r>
      <w:r w:rsidR="005378E2" w:rsidRPr="004F4CD0">
        <w:rPr>
          <w:lang w:val="es-ES_tradnl"/>
        </w:rPr>
        <w:t xml:space="preserve">denosumab </w:t>
      </w:r>
      <w:r w:rsidRPr="004F4CD0">
        <w:rPr>
          <w:lang w:val="es-ES_tradnl"/>
        </w:rPr>
        <w:t>redujo rápidamente la tasa de remodelado óseo, alcanzando el nadir del marcador de resorción ósea de los telopéptidos carboxiterminales del colágeno de tipo I (CTX) en suero (disminución del 85%) en 3 días, con disminuciones mantenidas del CTX durante el intervalo de administración. Al final de cada intervalo de administración, la disminución del CTX se atenuó parcialmente desde la disminución máxima de ≥ 87% hasta aproximadamente ≥ 45% (intervalo 45</w:t>
      </w:r>
      <w:r w:rsidRPr="004F4CD0">
        <w:rPr>
          <w:lang w:val="es-ES_tradnl"/>
        </w:rPr>
        <w:noBreakHyphen/>
        <w:t xml:space="preserve">80%), lo que demostró la reversibilidad de los efectos de </w:t>
      </w:r>
      <w:r w:rsidR="005378E2" w:rsidRPr="004F4CD0">
        <w:rPr>
          <w:lang w:val="es-ES_tradnl"/>
        </w:rPr>
        <w:t xml:space="preserve">denosumab </w:t>
      </w:r>
      <w:r w:rsidRPr="004F4CD0">
        <w:rPr>
          <w:lang w:val="es-ES_tradnl"/>
        </w:rPr>
        <w:t>sobre el remodelado óseo cuando disminuyen los niveles séricos. Estos efectos se mantuvieron con el tratamiento continuado. En general, los marcadores de remodelado óseo alcanzaron los niveles previos al tratamiento en los 9 meses posteriores a la última dosis. Después de reiniciar el tratamiento, la disminución del CTX con denosumab fue similar a la observada en pacientes que iniciaban por primera vez el tratamiento con denosumab.</w:t>
      </w:r>
    </w:p>
    <w:p w14:paraId="61305E5C" w14:textId="77777777" w:rsidR="008011D6" w:rsidRPr="004F4CD0" w:rsidRDefault="008011D6" w:rsidP="008B4ED7">
      <w:pPr>
        <w:rPr>
          <w:lang w:val="es-ES_tradnl"/>
        </w:rPr>
      </w:pPr>
    </w:p>
    <w:p w14:paraId="17A0DD0B" w14:textId="77777777" w:rsidR="008011D6" w:rsidRPr="004F4CD0" w:rsidRDefault="008011D6" w:rsidP="008B4ED7">
      <w:pPr>
        <w:keepNext/>
        <w:rPr>
          <w:u w:val="single"/>
          <w:lang w:val="es-ES_tradnl"/>
        </w:rPr>
      </w:pPr>
      <w:r w:rsidRPr="004F4CD0">
        <w:rPr>
          <w:u w:val="single"/>
          <w:lang w:val="es-ES_tradnl"/>
        </w:rPr>
        <w:t>Inmunogenicidad</w:t>
      </w:r>
    </w:p>
    <w:p w14:paraId="114CBEDF" w14:textId="77777777" w:rsidR="002409B1" w:rsidRPr="004F4CD0" w:rsidRDefault="002409B1" w:rsidP="008B4ED7">
      <w:pPr>
        <w:keepNext/>
        <w:rPr>
          <w:lang w:val="es-ES_tradnl"/>
        </w:rPr>
      </w:pPr>
    </w:p>
    <w:p w14:paraId="1FAFB28D" w14:textId="39707B55" w:rsidR="00B02863" w:rsidRPr="004F4CD0" w:rsidRDefault="005378E2" w:rsidP="008B4ED7">
      <w:pPr>
        <w:keepNext/>
        <w:rPr>
          <w:lang w:val="es-ES_tradnl"/>
        </w:rPr>
      </w:pPr>
      <w:r w:rsidRPr="004F4CD0">
        <w:rPr>
          <w:lang w:val="es-ES_tradnl"/>
        </w:rPr>
        <w:t>Se pueden desarrollar anticuerpos contra denosumab durante el tratamiento con denosumab. No se ha observado ninguna correlación evidente entre el desarrollo de anticuerpos y la farmacocinética, la respuesta clínic</w:t>
      </w:r>
      <w:r w:rsidR="00B02863" w:rsidRPr="004F4CD0">
        <w:rPr>
          <w:lang w:val="es-ES_tradnl"/>
        </w:rPr>
        <w:t>a</w:t>
      </w:r>
      <w:r w:rsidRPr="004F4CD0">
        <w:rPr>
          <w:lang w:val="es-ES_tradnl"/>
        </w:rPr>
        <w:t xml:space="preserve"> o los acontecimientos adversos.</w:t>
      </w:r>
    </w:p>
    <w:p w14:paraId="56793770" w14:textId="77777777" w:rsidR="008011D6" w:rsidRPr="004F4CD0" w:rsidRDefault="008011D6" w:rsidP="008B4ED7">
      <w:pPr>
        <w:rPr>
          <w:lang w:val="es-ES_tradnl"/>
        </w:rPr>
      </w:pPr>
    </w:p>
    <w:p w14:paraId="0350ACD1" w14:textId="77777777" w:rsidR="008011D6" w:rsidRPr="004F4CD0" w:rsidRDefault="002409B1" w:rsidP="008B4ED7">
      <w:pPr>
        <w:keepNext/>
        <w:rPr>
          <w:u w:val="single"/>
          <w:lang w:val="es-ES_tradnl"/>
        </w:rPr>
      </w:pPr>
      <w:r w:rsidRPr="004F4CD0">
        <w:rPr>
          <w:u w:val="single"/>
          <w:lang w:val="es-ES_tradnl"/>
        </w:rPr>
        <w:t>Eficacia clínica y seguridad en mujeres posmenopáusicas con osteoporosis</w:t>
      </w:r>
    </w:p>
    <w:p w14:paraId="49027B55" w14:textId="77777777" w:rsidR="002409B1" w:rsidRPr="004F4CD0" w:rsidRDefault="002409B1" w:rsidP="008B4ED7">
      <w:pPr>
        <w:keepNext/>
        <w:rPr>
          <w:lang w:val="es-ES_tradnl"/>
        </w:rPr>
      </w:pPr>
    </w:p>
    <w:p w14:paraId="7F424890" w14:textId="7DEA0E3E" w:rsidR="008603DE" w:rsidRPr="004F4CD0" w:rsidRDefault="008011D6" w:rsidP="008B4ED7">
      <w:pPr>
        <w:rPr>
          <w:lang w:val="es-ES_tradnl"/>
        </w:rPr>
      </w:pPr>
      <w:r w:rsidRPr="004F4CD0">
        <w:rPr>
          <w:lang w:val="es-ES_tradnl"/>
        </w:rPr>
        <w:t>Se investigó la eficacia y seguridad de denosumab administrado una vez cada 6 meses durante 3 años en mujeres posmenopáusicas (7.808 mujeres de entre 60 y 91 años, de las cuales el 23,6% tenían fracturas vertebrales prevalentes) con puntuaciones T (</w:t>
      </w:r>
      <w:r w:rsidRPr="004F4CD0">
        <w:rPr>
          <w:i/>
          <w:lang w:val="es-ES_tradnl"/>
        </w:rPr>
        <w:t>T</w:t>
      </w:r>
      <w:r w:rsidRPr="004F4CD0">
        <w:rPr>
          <w:i/>
          <w:lang w:val="es-ES_tradnl"/>
        </w:rPr>
        <w:noBreakHyphen/>
        <w:t>scores</w:t>
      </w:r>
      <w:r w:rsidRPr="004F4CD0">
        <w:rPr>
          <w:lang w:val="es-ES_tradnl"/>
        </w:rPr>
        <w:t>) de la densidad mineral ósea (DMO) basal en la columna lumbar o la cadera total de entre -2,5 y -4,0 y una probabilidad media absoluta de fractura a los 10 años del 18,60% (deciles: 7,9</w:t>
      </w:r>
      <w:r w:rsidRPr="004F4CD0">
        <w:rPr>
          <w:lang w:val="es-ES_tradnl"/>
        </w:rPr>
        <w:noBreakHyphen/>
        <w:t>32,4%) para fracturas osteoporóticas mayores y del 7,22% (deciles: 1,4</w:t>
      </w:r>
      <w:r w:rsidRPr="004F4CD0">
        <w:rPr>
          <w:lang w:val="es-ES_tradnl"/>
        </w:rPr>
        <w:noBreakHyphen/>
        <w:t>14,9%) para fractura de cadera. Se excluyeron del estudio las mujeres con otras enfermedades o con tratamientos que pudieran afectar a los huesos. Las mujeres recibieron suplementos diarios de calcio (como mínimo 1.000 mg) y vitamina D (como mínimo 400 UI).</w:t>
      </w:r>
    </w:p>
    <w:p w14:paraId="2CE6C79B" w14:textId="77777777" w:rsidR="008011D6" w:rsidRPr="004F4CD0" w:rsidRDefault="008011D6" w:rsidP="008B4ED7">
      <w:pPr>
        <w:rPr>
          <w:lang w:val="es-ES_tradnl"/>
        </w:rPr>
      </w:pPr>
    </w:p>
    <w:p w14:paraId="2C845290" w14:textId="77777777" w:rsidR="008011D6" w:rsidRPr="004F4CD0" w:rsidRDefault="008011D6" w:rsidP="008B4ED7">
      <w:pPr>
        <w:keepNext/>
        <w:tabs>
          <w:tab w:val="clear" w:pos="567"/>
        </w:tabs>
        <w:rPr>
          <w:i/>
          <w:iCs/>
          <w:lang w:val="es-ES_tradnl"/>
        </w:rPr>
      </w:pPr>
      <w:r w:rsidRPr="004F4CD0">
        <w:rPr>
          <w:i/>
          <w:lang w:val="es-ES_tradnl"/>
        </w:rPr>
        <w:t>Efecto sobre las fracturas vertebrales</w:t>
      </w:r>
    </w:p>
    <w:p w14:paraId="6B601C33" w14:textId="29081F75" w:rsidR="008011D6" w:rsidRPr="004F4CD0" w:rsidRDefault="008716D8" w:rsidP="008B4ED7">
      <w:pPr>
        <w:rPr>
          <w:lang w:val="es-ES_tradnl"/>
        </w:rPr>
      </w:pPr>
      <w:r w:rsidRPr="004F4CD0">
        <w:rPr>
          <w:lang w:val="es-ES_tradnl"/>
        </w:rPr>
        <w:t xml:space="preserve">Denosumab </w:t>
      </w:r>
      <w:r w:rsidR="008011D6" w:rsidRPr="004F4CD0">
        <w:rPr>
          <w:lang w:val="es-ES_tradnl"/>
        </w:rPr>
        <w:t>redujo significativamente el riesgo de nuevas fracturas vertebrales al cabo de 1, 2 y 3 años (p &lt; 0,0001) (consulte la tabla 2).</w:t>
      </w:r>
    </w:p>
    <w:p w14:paraId="6126D214" w14:textId="77777777" w:rsidR="008011D6" w:rsidRPr="004F4CD0" w:rsidRDefault="008011D6" w:rsidP="008B4ED7">
      <w:pPr>
        <w:rPr>
          <w:lang w:val="es-ES_tradnl"/>
        </w:rPr>
      </w:pPr>
    </w:p>
    <w:p w14:paraId="2956255B" w14:textId="37AB9EE6" w:rsidR="008011D6" w:rsidRPr="004F4CD0" w:rsidRDefault="008011D6" w:rsidP="008B4ED7">
      <w:pPr>
        <w:keepNext/>
        <w:rPr>
          <w:b/>
          <w:bCs/>
          <w:lang w:val="es-ES_tradnl"/>
        </w:rPr>
      </w:pPr>
      <w:r w:rsidRPr="004F4CD0">
        <w:rPr>
          <w:b/>
          <w:lang w:val="es-ES_tradnl"/>
        </w:rPr>
        <w:t xml:space="preserve">Tabla 2. Efecto de </w:t>
      </w:r>
      <w:r w:rsidR="008716D8" w:rsidRPr="004F4CD0">
        <w:rPr>
          <w:b/>
          <w:bCs/>
          <w:lang w:val="es-ES_tradnl"/>
        </w:rPr>
        <w:t xml:space="preserve">denosumab </w:t>
      </w:r>
      <w:r w:rsidRPr="004F4CD0">
        <w:rPr>
          <w:b/>
          <w:lang w:val="es-ES_tradnl"/>
        </w:rPr>
        <w:t>sobre el riesgo de nuevas fracturas vertebrales</w:t>
      </w:r>
    </w:p>
    <w:p w14:paraId="68E3D099" w14:textId="77777777" w:rsidR="008011D6" w:rsidRPr="004F4CD0" w:rsidRDefault="008011D6" w:rsidP="008B4ED7">
      <w:pPr>
        <w:keepNext/>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0"/>
        <w:gridCol w:w="2046"/>
        <w:gridCol w:w="2045"/>
        <w:gridCol w:w="1954"/>
        <w:gridCol w:w="1954"/>
      </w:tblGrid>
      <w:tr w:rsidR="008011D6" w:rsidRPr="004F4CD0" w14:paraId="6F1B8E56" w14:textId="77777777" w:rsidTr="00C345B1">
        <w:trPr>
          <w:cantSplit/>
          <w:trHeight w:val="57"/>
          <w:tblHeader/>
        </w:trPr>
        <w:tc>
          <w:tcPr>
            <w:tcW w:w="694" w:type="pct"/>
            <w:vMerge w:val="restart"/>
          </w:tcPr>
          <w:p w14:paraId="06C674CC" w14:textId="77777777" w:rsidR="008011D6" w:rsidRPr="004F4CD0" w:rsidRDefault="008011D6" w:rsidP="00C345B1">
            <w:pPr>
              <w:keepNext/>
              <w:rPr>
                <w:lang w:val="es-ES_tradnl"/>
              </w:rPr>
            </w:pPr>
          </w:p>
        </w:tc>
        <w:tc>
          <w:tcPr>
            <w:tcW w:w="2202" w:type="pct"/>
            <w:gridSpan w:val="2"/>
          </w:tcPr>
          <w:p w14:paraId="067B6937" w14:textId="77777777" w:rsidR="008011D6" w:rsidRPr="004F4CD0" w:rsidRDefault="008011D6" w:rsidP="00C345B1">
            <w:pPr>
              <w:keepNext/>
              <w:jc w:val="center"/>
              <w:rPr>
                <w:lang w:val="es-ES_tradnl"/>
              </w:rPr>
            </w:pPr>
            <w:r w:rsidRPr="004F4CD0">
              <w:rPr>
                <w:lang w:val="es-ES_tradnl"/>
              </w:rPr>
              <w:t>Proporción de mujeres con fractura (%)</w:t>
            </w:r>
          </w:p>
        </w:tc>
        <w:tc>
          <w:tcPr>
            <w:tcW w:w="1052" w:type="pct"/>
            <w:vMerge w:val="restart"/>
          </w:tcPr>
          <w:p w14:paraId="2FC42324" w14:textId="77777777" w:rsidR="00511EFE" w:rsidRPr="004F4CD0" w:rsidRDefault="008011D6" w:rsidP="00511EFE">
            <w:pPr>
              <w:keepNext/>
              <w:rPr>
                <w:lang w:val="es-ES_tradnl"/>
              </w:rPr>
            </w:pPr>
            <w:r w:rsidRPr="004F4CD0">
              <w:rPr>
                <w:lang w:val="es-ES_tradnl"/>
              </w:rPr>
              <w:t>Reducción del riesgo absoluto (%)</w:t>
            </w:r>
          </w:p>
          <w:p w14:paraId="17382032" w14:textId="1284F638" w:rsidR="008011D6" w:rsidRPr="004F4CD0" w:rsidRDefault="008011D6" w:rsidP="00511EFE">
            <w:pPr>
              <w:keepNext/>
              <w:rPr>
                <w:lang w:val="es-ES_tradnl"/>
              </w:rPr>
            </w:pPr>
            <w:r w:rsidRPr="004F4CD0">
              <w:rPr>
                <w:lang w:val="es-ES_tradnl"/>
              </w:rPr>
              <w:t>(IC del 95%)</w:t>
            </w:r>
          </w:p>
        </w:tc>
        <w:tc>
          <w:tcPr>
            <w:tcW w:w="1052" w:type="pct"/>
            <w:vMerge w:val="restart"/>
          </w:tcPr>
          <w:p w14:paraId="5436C8F3" w14:textId="77777777" w:rsidR="00511EFE" w:rsidRPr="004F4CD0" w:rsidRDefault="008011D6" w:rsidP="00511EFE">
            <w:pPr>
              <w:keepNext/>
              <w:rPr>
                <w:lang w:val="es-ES_tradnl"/>
              </w:rPr>
            </w:pPr>
            <w:r w:rsidRPr="004F4CD0">
              <w:rPr>
                <w:lang w:val="es-ES_tradnl"/>
              </w:rPr>
              <w:t>Reducción del riesgo relativo (%)</w:t>
            </w:r>
          </w:p>
          <w:p w14:paraId="7F2CA74F" w14:textId="54C7E200" w:rsidR="008011D6" w:rsidRPr="004F4CD0" w:rsidRDefault="008011D6" w:rsidP="00511EFE">
            <w:pPr>
              <w:keepNext/>
              <w:rPr>
                <w:lang w:val="es-ES_tradnl"/>
              </w:rPr>
            </w:pPr>
            <w:r w:rsidRPr="004F4CD0">
              <w:rPr>
                <w:lang w:val="es-ES_tradnl"/>
              </w:rPr>
              <w:t>(IC del 95%)</w:t>
            </w:r>
          </w:p>
        </w:tc>
      </w:tr>
      <w:tr w:rsidR="008011D6" w:rsidRPr="004F4CD0" w14:paraId="2A358850" w14:textId="77777777" w:rsidTr="00C345B1">
        <w:trPr>
          <w:cantSplit/>
          <w:trHeight w:val="57"/>
          <w:tblHeader/>
        </w:trPr>
        <w:tc>
          <w:tcPr>
            <w:tcW w:w="694" w:type="pct"/>
            <w:vMerge/>
          </w:tcPr>
          <w:p w14:paraId="0F307733" w14:textId="77777777" w:rsidR="008011D6" w:rsidRPr="004F4CD0" w:rsidRDefault="008011D6" w:rsidP="00C345B1">
            <w:pPr>
              <w:keepNext/>
              <w:rPr>
                <w:lang w:val="es-ES_tradnl"/>
              </w:rPr>
            </w:pPr>
          </w:p>
        </w:tc>
        <w:tc>
          <w:tcPr>
            <w:tcW w:w="1101" w:type="pct"/>
          </w:tcPr>
          <w:p w14:paraId="39FFC535" w14:textId="77777777" w:rsidR="00511EFE" w:rsidRPr="004F4CD0" w:rsidRDefault="008011D6" w:rsidP="00511EFE">
            <w:pPr>
              <w:keepNext/>
              <w:jc w:val="center"/>
              <w:rPr>
                <w:lang w:val="es-ES_tradnl"/>
              </w:rPr>
            </w:pPr>
            <w:r w:rsidRPr="004F4CD0">
              <w:rPr>
                <w:lang w:val="es-ES_tradnl"/>
              </w:rPr>
              <w:t>Placebo</w:t>
            </w:r>
          </w:p>
          <w:p w14:paraId="765D8888" w14:textId="243D5427" w:rsidR="008011D6" w:rsidRPr="004F4CD0" w:rsidRDefault="008011D6" w:rsidP="00511EFE">
            <w:pPr>
              <w:keepNext/>
              <w:jc w:val="center"/>
              <w:rPr>
                <w:lang w:val="es-ES_tradnl"/>
              </w:rPr>
            </w:pPr>
            <w:r w:rsidRPr="004F4CD0">
              <w:rPr>
                <w:lang w:val="es-ES_tradnl"/>
              </w:rPr>
              <w:t>n = 3.906</w:t>
            </w:r>
          </w:p>
        </w:tc>
        <w:tc>
          <w:tcPr>
            <w:tcW w:w="1101" w:type="pct"/>
          </w:tcPr>
          <w:p w14:paraId="49A4AC14" w14:textId="77777777" w:rsidR="008716D8" w:rsidRPr="004F4CD0" w:rsidRDefault="008716D8" w:rsidP="008716D8">
            <w:pPr>
              <w:pStyle w:val="TableParagraph"/>
              <w:jc w:val="center"/>
              <w:rPr>
                <w:lang w:val="es-ES_tradnl"/>
              </w:rPr>
            </w:pPr>
            <w:r w:rsidRPr="004F4CD0">
              <w:rPr>
                <w:lang w:val="es-ES_tradnl"/>
              </w:rPr>
              <w:t>Denosumab</w:t>
            </w:r>
          </w:p>
          <w:p w14:paraId="5B7765FA" w14:textId="25819294" w:rsidR="008011D6" w:rsidRPr="004F4CD0" w:rsidRDefault="008011D6" w:rsidP="00511EFE">
            <w:pPr>
              <w:keepNext/>
              <w:jc w:val="center"/>
              <w:rPr>
                <w:lang w:val="es-ES_tradnl"/>
              </w:rPr>
            </w:pPr>
            <w:r w:rsidRPr="004F4CD0">
              <w:rPr>
                <w:lang w:val="es-ES_tradnl"/>
              </w:rPr>
              <w:t>n = 3.902</w:t>
            </w:r>
          </w:p>
        </w:tc>
        <w:tc>
          <w:tcPr>
            <w:tcW w:w="1052" w:type="pct"/>
            <w:vMerge/>
          </w:tcPr>
          <w:p w14:paraId="0E8FFBAB" w14:textId="77777777" w:rsidR="008011D6" w:rsidRPr="004F4CD0" w:rsidRDefault="008011D6" w:rsidP="00C345B1">
            <w:pPr>
              <w:keepNext/>
              <w:rPr>
                <w:lang w:val="es-ES_tradnl"/>
              </w:rPr>
            </w:pPr>
          </w:p>
        </w:tc>
        <w:tc>
          <w:tcPr>
            <w:tcW w:w="1052" w:type="pct"/>
            <w:vMerge/>
          </w:tcPr>
          <w:p w14:paraId="44B68C6A" w14:textId="77777777" w:rsidR="008011D6" w:rsidRPr="004F4CD0" w:rsidRDefault="008011D6" w:rsidP="00C345B1">
            <w:pPr>
              <w:keepNext/>
              <w:rPr>
                <w:lang w:val="es-ES_tradnl"/>
              </w:rPr>
            </w:pPr>
          </w:p>
        </w:tc>
      </w:tr>
      <w:tr w:rsidR="008011D6" w:rsidRPr="004F4CD0" w14:paraId="05BB97E3" w14:textId="77777777" w:rsidTr="00C345B1">
        <w:trPr>
          <w:cantSplit/>
          <w:trHeight w:val="57"/>
        </w:trPr>
        <w:tc>
          <w:tcPr>
            <w:tcW w:w="694" w:type="pct"/>
          </w:tcPr>
          <w:p w14:paraId="62BB3BAE" w14:textId="77777777" w:rsidR="008011D6" w:rsidRPr="004F4CD0" w:rsidRDefault="008011D6" w:rsidP="00C345B1">
            <w:pPr>
              <w:rPr>
                <w:lang w:val="es-ES_tradnl"/>
              </w:rPr>
            </w:pPr>
            <w:r w:rsidRPr="004F4CD0">
              <w:rPr>
                <w:lang w:val="es-ES_tradnl"/>
              </w:rPr>
              <w:t>0</w:t>
            </w:r>
            <w:r w:rsidRPr="004F4CD0">
              <w:rPr>
                <w:lang w:val="es-ES_tradnl"/>
              </w:rPr>
              <w:noBreakHyphen/>
              <w:t>1 años</w:t>
            </w:r>
          </w:p>
        </w:tc>
        <w:tc>
          <w:tcPr>
            <w:tcW w:w="1101" w:type="pct"/>
          </w:tcPr>
          <w:p w14:paraId="43ED5B27" w14:textId="77777777" w:rsidR="008011D6" w:rsidRPr="004F4CD0" w:rsidRDefault="008011D6" w:rsidP="00C345B1">
            <w:pPr>
              <w:jc w:val="center"/>
              <w:rPr>
                <w:lang w:val="es-ES_tradnl"/>
              </w:rPr>
            </w:pPr>
            <w:r w:rsidRPr="004F4CD0">
              <w:rPr>
                <w:lang w:val="es-ES_tradnl"/>
              </w:rPr>
              <w:t>2,2</w:t>
            </w:r>
          </w:p>
        </w:tc>
        <w:tc>
          <w:tcPr>
            <w:tcW w:w="1101" w:type="pct"/>
          </w:tcPr>
          <w:p w14:paraId="03CEB1F3" w14:textId="77777777" w:rsidR="008011D6" w:rsidRPr="004F4CD0" w:rsidRDefault="008011D6" w:rsidP="00C345B1">
            <w:pPr>
              <w:jc w:val="center"/>
              <w:rPr>
                <w:lang w:val="es-ES_tradnl"/>
              </w:rPr>
            </w:pPr>
            <w:r w:rsidRPr="004F4CD0">
              <w:rPr>
                <w:lang w:val="es-ES_tradnl"/>
              </w:rPr>
              <w:t>0,9</w:t>
            </w:r>
          </w:p>
        </w:tc>
        <w:tc>
          <w:tcPr>
            <w:tcW w:w="1052" w:type="pct"/>
          </w:tcPr>
          <w:p w14:paraId="2B8D7565" w14:textId="77777777" w:rsidR="008011D6" w:rsidRPr="004F4CD0" w:rsidRDefault="008011D6" w:rsidP="00C345B1">
            <w:pPr>
              <w:rPr>
                <w:lang w:val="es-ES_tradnl"/>
              </w:rPr>
            </w:pPr>
            <w:r w:rsidRPr="004F4CD0">
              <w:rPr>
                <w:lang w:val="es-ES_tradnl"/>
              </w:rPr>
              <w:t>1,4 (0,8, 1,9)</w:t>
            </w:r>
          </w:p>
        </w:tc>
        <w:tc>
          <w:tcPr>
            <w:tcW w:w="1052" w:type="pct"/>
          </w:tcPr>
          <w:p w14:paraId="6CDD6D6B" w14:textId="77777777" w:rsidR="008011D6" w:rsidRPr="004F4CD0" w:rsidRDefault="008011D6" w:rsidP="00C345B1">
            <w:pPr>
              <w:rPr>
                <w:lang w:val="es-ES_tradnl"/>
              </w:rPr>
            </w:pPr>
            <w:r w:rsidRPr="004F4CD0">
              <w:rPr>
                <w:lang w:val="es-ES_tradnl"/>
              </w:rPr>
              <w:t>61 (42, 74)**</w:t>
            </w:r>
          </w:p>
        </w:tc>
      </w:tr>
      <w:tr w:rsidR="008011D6" w:rsidRPr="004F4CD0" w14:paraId="6C147A00" w14:textId="77777777" w:rsidTr="00C345B1">
        <w:trPr>
          <w:cantSplit/>
          <w:trHeight w:val="57"/>
        </w:trPr>
        <w:tc>
          <w:tcPr>
            <w:tcW w:w="694" w:type="pct"/>
          </w:tcPr>
          <w:p w14:paraId="08BE963E" w14:textId="77777777" w:rsidR="008011D6" w:rsidRPr="004F4CD0" w:rsidRDefault="008011D6" w:rsidP="00C345B1">
            <w:pPr>
              <w:rPr>
                <w:lang w:val="es-ES_tradnl"/>
              </w:rPr>
            </w:pPr>
            <w:r w:rsidRPr="004F4CD0">
              <w:rPr>
                <w:lang w:val="es-ES_tradnl"/>
              </w:rPr>
              <w:t>0</w:t>
            </w:r>
            <w:r w:rsidRPr="004F4CD0">
              <w:rPr>
                <w:lang w:val="es-ES_tradnl"/>
              </w:rPr>
              <w:noBreakHyphen/>
              <w:t>2 años</w:t>
            </w:r>
          </w:p>
        </w:tc>
        <w:tc>
          <w:tcPr>
            <w:tcW w:w="1101" w:type="pct"/>
          </w:tcPr>
          <w:p w14:paraId="12967389" w14:textId="77777777" w:rsidR="008011D6" w:rsidRPr="004F4CD0" w:rsidRDefault="008011D6" w:rsidP="00C345B1">
            <w:pPr>
              <w:jc w:val="center"/>
              <w:rPr>
                <w:lang w:val="es-ES_tradnl"/>
              </w:rPr>
            </w:pPr>
            <w:r w:rsidRPr="004F4CD0">
              <w:rPr>
                <w:lang w:val="es-ES_tradnl"/>
              </w:rPr>
              <w:t>5,0</w:t>
            </w:r>
          </w:p>
        </w:tc>
        <w:tc>
          <w:tcPr>
            <w:tcW w:w="1101" w:type="pct"/>
          </w:tcPr>
          <w:p w14:paraId="30DB0C49" w14:textId="77777777" w:rsidR="008011D6" w:rsidRPr="004F4CD0" w:rsidRDefault="008011D6" w:rsidP="00C345B1">
            <w:pPr>
              <w:jc w:val="center"/>
              <w:rPr>
                <w:lang w:val="es-ES_tradnl"/>
              </w:rPr>
            </w:pPr>
            <w:r w:rsidRPr="004F4CD0">
              <w:rPr>
                <w:lang w:val="es-ES_tradnl"/>
              </w:rPr>
              <w:t>1,4</w:t>
            </w:r>
          </w:p>
        </w:tc>
        <w:tc>
          <w:tcPr>
            <w:tcW w:w="1052" w:type="pct"/>
          </w:tcPr>
          <w:p w14:paraId="5E732B3A" w14:textId="77777777" w:rsidR="008011D6" w:rsidRPr="004F4CD0" w:rsidRDefault="008011D6" w:rsidP="00C345B1">
            <w:pPr>
              <w:rPr>
                <w:lang w:val="es-ES_tradnl"/>
              </w:rPr>
            </w:pPr>
            <w:r w:rsidRPr="004F4CD0">
              <w:rPr>
                <w:lang w:val="es-ES_tradnl"/>
              </w:rPr>
              <w:t>3,5 (2,7, 4,3)</w:t>
            </w:r>
          </w:p>
        </w:tc>
        <w:tc>
          <w:tcPr>
            <w:tcW w:w="1052" w:type="pct"/>
          </w:tcPr>
          <w:p w14:paraId="034E40B1" w14:textId="67412719" w:rsidR="008011D6" w:rsidRPr="004F4CD0" w:rsidRDefault="008011D6" w:rsidP="00C345B1">
            <w:pPr>
              <w:rPr>
                <w:lang w:val="es-ES_tradnl"/>
              </w:rPr>
            </w:pPr>
            <w:r w:rsidRPr="004F4CD0">
              <w:rPr>
                <w:lang w:val="es-ES_tradnl"/>
              </w:rPr>
              <w:t>71 (61, 79)**</w:t>
            </w:r>
          </w:p>
        </w:tc>
      </w:tr>
      <w:tr w:rsidR="008011D6" w:rsidRPr="004F4CD0" w14:paraId="1948236D" w14:textId="77777777" w:rsidTr="00C345B1">
        <w:trPr>
          <w:cantSplit/>
          <w:trHeight w:val="57"/>
        </w:trPr>
        <w:tc>
          <w:tcPr>
            <w:tcW w:w="694" w:type="pct"/>
          </w:tcPr>
          <w:p w14:paraId="68993894" w14:textId="77777777" w:rsidR="008011D6" w:rsidRPr="004F4CD0" w:rsidRDefault="008011D6" w:rsidP="00C345B1">
            <w:pPr>
              <w:keepNext/>
              <w:rPr>
                <w:lang w:val="es-ES_tradnl"/>
              </w:rPr>
            </w:pPr>
            <w:r w:rsidRPr="004F4CD0">
              <w:rPr>
                <w:lang w:val="es-ES_tradnl"/>
              </w:rPr>
              <w:t>0</w:t>
            </w:r>
            <w:r w:rsidRPr="004F4CD0">
              <w:rPr>
                <w:lang w:val="es-ES_tradnl"/>
              </w:rPr>
              <w:noBreakHyphen/>
              <w:t>3 años</w:t>
            </w:r>
          </w:p>
        </w:tc>
        <w:tc>
          <w:tcPr>
            <w:tcW w:w="1101" w:type="pct"/>
          </w:tcPr>
          <w:p w14:paraId="591C69CB" w14:textId="77777777" w:rsidR="008011D6" w:rsidRPr="004F4CD0" w:rsidRDefault="008011D6" w:rsidP="00C345B1">
            <w:pPr>
              <w:keepNext/>
              <w:jc w:val="center"/>
              <w:rPr>
                <w:lang w:val="es-ES_tradnl"/>
              </w:rPr>
            </w:pPr>
            <w:r w:rsidRPr="004F4CD0">
              <w:rPr>
                <w:lang w:val="es-ES_tradnl"/>
              </w:rPr>
              <w:t>7,2</w:t>
            </w:r>
          </w:p>
        </w:tc>
        <w:tc>
          <w:tcPr>
            <w:tcW w:w="1101" w:type="pct"/>
          </w:tcPr>
          <w:p w14:paraId="32137D65" w14:textId="77777777" w:rsidR="008011D6" w:rsidRPr="004F4CD0" w:rsidRDefault="008011D6" w:rsidP="00C345B1">
            <w:pPr>
              <w:keepNext/>
              <w:jc w:val="center"/>
              <w:rPr>
                <w:lang w:val="es-ES_tradnl"/>
              </w:rPr>
            </w:pPr>
            <w:r w:rsidRPr="004F4CD0">
              <w:rPr>
                <w:lang w:val="es-ES_tradnl"/>
              </w:rPr>
              <w:t>2,3</w:t>
            </w:r>
          </w:p>
        </w:tc>
        <w:tc>
          <w:tcPr>
            <w:tcW w:w="1052" w:type="pct"/>
          </w:tcPr>
          <w:p w14:paraId="30BE4DB4" w14:textId="77777777" w:rsidR="008011D6" w:rsidRPr="004F4CD0" w:rsidRDefault="008011D6" w:rsidP="00C345B1">
            <w:pPr>
              <w:keepNext/>
              <w:rPr>
                <w:lang w:val="es-ES_tradnl"/>
              </w:rPr>
            </w:pPr>
            <w:r w:rsidRPr="004F4CD0">
              <w:rPr>
                <w:lang w:val="es-ES_tradnl"/>
              </w:rPr>
              <w:t>4,8 (3,9, 5,8)</w:t>
            </w:r>
          </w:p>
        </w:tc>
        <w:tc>
          <w:tcPr>
            <w:tcW w:w="1052" w:type="pct"/>
          </w:tcPr>
          <w:p w14:paraId="0FB7CD35" w14:textId="77777777" w:rsidR="008011D6" w:rsidRPr="004F4CD0" w:rsidRDefault="008011D6" w:rsidP="00C345B1">
            <w:pPr>
              <w:keepNext/>
              <w:rPr>
                <w:lang w:val="es-ES_tradnl"/>
              </w:rPr>
            </w:pPr>
            <w:r w:rsidRPr="004F4CD0">
              <w:rPr>
                <w:lang w:val="es-ES_tradnl"/>
              </w:rPr>
              <w:t>68 (59, 74)*</w:t>
            </w:r>
          </w:p>
        </w:tc>
      </w:tr>
    </w:tbl>
    <w:p w14:paraId="7F83D6C6" w14:textId="77777777" w:rsidR="008011D6" w:rsidRPr="004F4CD0" w:rsidRDefault="008011D6" w:rsidP="00C345B1">
      <w:pPr>
        <w:rPr>
          <w:sz w:val="20"/>
          <w:szCs w:val="20"/>
          <w:lang w:val="es-ES_tradnl"/>
        </w:rPr>
      </w:pPr>
      <w:r w:rsidRPr="004F4CD0">
        <w:rPr>
          <w:sz w:val="20"/>
          <w:lang w:val="es-ES_tradnl"/>
        </w:rPr>
        <w:t>*p &lt; 0,0001, **p &lt; 0,0001 – análisis exploratorio</w:t>
      </w:r>
    </w:p>
    <w:p w14:paraId="7FD36363" w14:textId="77777777" w:rsidR="008011D6" w:rsidRPr="004F4CD0" w:rsidRDefault="008011D6" w:rsidP="008B4ED7">
      <w:pPr>
        <w:rPr>
          <w:lang w:val="es-ES_tradnl"/>
        </w:rPr>
      </w:pPr>
    </w:p>
    <w:p w14:paraId="6B98B7BC" w14:textId="77777777" w:rsidR="008011D6" w:rsidRPr="004F4CD0" w:rsidRDefault="008011D6" w:rsidP="008B4ED7">
      <w:pPr>
        <w:keepNext/>
        <w:tabs>
          <w:tab w:val="clear" w:pos="567"/>
        </w:tabs>
        <w:rPr>
          <w:i/>
          <w:iCs/>
          <w:lang w:val="es-ES_tradnl"/>
        </w:rPr>
      </w:pPr>
      <w:r w:rsidRPr="004F4CD0">
        <w:rPr>
          <w:i/>
          <w:lang w:val="es-ES_tradnl"/>
        </w:rPr>
        <w:t>Efecto sobre las fracturas de cadera</w:t>
      </w:r>
    </w:p>
    <w:p w14:paraId="5CCDA15B" w14:textId="5C262D85" w:rsidR="008603DE" w:rsidRPr="004F4CD0" w:rsidRDefault="008716D8" w:rsidP="008B4ED7">
      <w:pPr>
        <w:rPr>
          <w:lang w:val="es-ES_tradnl"/>
        </w:rPr>
      </w:pPr>
      <w:r w:rsidRPr="004F4CD0">
        <w:rPr>
          <w:lang w:val="es-ES_tradnl"/>
        </w:rPr>
        <w:t xml:space="preserve">Denosumab </w:t>
      </w:r>
      <w:r w:rsidR="008011D6" w:rsidRPr="004F4CD0">
        <w:rPr>
          <w:lang w:val="es-ES_tradnl"/>
        </w:rPr>
        <w:t xml:space="preserve">demostró una reducción relativa del 40% (reducción del riesgo absoluto del 0,5%) en el riesgo de fractura de cadera durante 3 años (p &lt; 0,05). A los 3 años, la incidencia de fractura de cadera fue del 1,2% en el grupo placebo en comparación con el 0,7% en el grupo de </w:t>
      </w:r>
      <w:r w:rsidRPr="004F4CD0">
        <w:rPr>
          <w:lang w:val="es-ES_tradnl"/>
        </w:rPr>
        <w:t>denosumab</w:t>
      </w:r>
      <w:r w:rsidR="008011D6" w:rsidRPr="004F4CD0">
        <w:rPr>
          <w:lang w:val="es-ES_tradnl"/>
        </w:rPr>
        <w:t>.</w:t>
      </w:r>
    </w:p>
    <w:p w14:paraId="57B3F5DA" w14:textId="77777777" w:rsidR="008011D6" w:rsidRPr="004F4CD0" w:rsidRDefault="008011D6" w:rsidP="008B4ED7">
      <w:pPr>
        <w:rPr>
          <w:lang w:val="es-ES_tradnl"/>
        </w:rPr>
      </w:pPr>
    </w:p>
    <w:p w14:paraId="2DEB8536" w14:textId="3FAD208E" w:rsidR="008011D6" w:rsidRPr="004F4CD0" w:rsidRDefault="008011D6" w:rsidP="008B4ED7">
      <w:pPr>
        <w:rPr>
          <w:lang w:val="es-ES_tradnl"/>
        </w:rPr>
      </w:pPr>
      <w:r w:rsidRPr="004F4CD0">
        <w:rPr>
          <w:lang w:val="es-ES_tradnl"/>
        </w:rPr>
        <w:t xml:space="preserve">En un análisis post hoc realizado en mujeres &gt; 75 años, se observó una reducción del riesgo relativo del 62% con </w:t>
      </w:r>
      <w:r w:rsidR="008716D8" w:rsidRPr="004F4CD0">
        <w:rPr>
          <w:lang w:val="es-ES_tradnl"/>
        </w:rPr>
        <w:t>denosumab</w:t>
      </w:r>
      <w:r w:rsidR="008716D8" w:rsidRPr="004F4CD0" w:rsidDel="008716D8">
        <w:rPr>
          <w:lang w:val="es-ES_tradnl"/>
        </w:rPr>
        <w:t xml:space="preserve"> </w:t>
      </w:r>
      <w:r w:rsidRPr="004F4CD0">
        <w:rPr>
          <w:lang w:val="es-ES_tradnl"/>
        </w:rPr>
        <w:t>(reducción del riesgo absoluto del 1,4%, p &lt; 0,01).</w:t>
      </w:r>
    </w:p>
    <w:p w14:paraId="3F623A5D" w14:textId="77777777" w:rsidR="008011D6" w:rsidRPr="004F4CD0" w:rsidRDefault="008011D6" w:rsidP="008B4ED7">
      <w:pPr>
        <w:rPr>
          <w:lang w:val="es-ES_tradnl"/>
        </w:rPr>
      </w:pPr>
    </w:p>
    <w:p w14:paraId="3665E225" w14:textId="77777777" w:rsidR="008011D6" w:rsidRPr="004F4CD0" w:rsidRDefault="008011D6" w:rsidP="008B4ED7">
      <w:pPr>
        <w:keepNext/>
        <w:tabs>
          <w:tab w:val="clear" w:pos="567"/>
        </w:tabs>
        <w:rPr>
          <w:i/>
          <w:iCs/>
          <w:lang w:val="es-ES_tradnl"/>
        </w:rPr>
      </w:pPr>
      <w:r w:rsidRPr="004F4CD0">
        <w:rPr>
          <w:i/>
          <w:lang w:val="es-ES_tradnl"/>
        </w:rPr>
        <w:t>Efecto sobre todas las fracturas clínicas</w:t>
      </w:r>
    </w:p>
    <w:p w14:paraId="7DA16F8B" w14:textId="6FC6CE3C" w:rsidR="008011D6" w:rsidRPr="004F4CD0" w:rsidRDefault="008716D8" w:rsidP="008B4ED7">
      <w:pPr>
        <w:rPr>
          <w:lang w:val="es-ES_tradnl"/>
        </w:rPr>
      </w:pPr>
      <w:r w:rsidRPr="004F4CD0">
        <w:rPr>
          <w:lang w:val="es-ES_tradnl"/>
        </w:rPr>
        <w:t xml:space="preserve">Denosumab </w:t>
      </w:r>
      <w:r w:rsidR="008011D6" w:rsidRPr="004F4CD0">
        <w:rPr>
          <w:lang w:val="es-ES_tradnl"/>
        </w:rPr>
        <w:t>redujo significativamente las fracturas en todos los grupos/tipos de fracturas (consulte la tabla 3).</w:t>
      </w:r>
    </w:p>
    <w:p w14:paraId="354119FD" w14:textId="77777777" w:rsidR="008011D6" w:rsidRPr="004F4CD0" w:rsidRDefault="008011D6" w:rsidP="008B4ED7">
      <w:pPr>
        <w:rPr>
          <w:lang w:val="es-ES_tradnl"/>
        </w:rPr>
      </w:pPr>
    </w:p>
    <w:p w14:paraId="1D8EC75E" w14:textId="38E2CE28" w:rsidR="008011D6" w:rsidRPr="004F4CD0" w:rsidRDefault="008011D6" w:rsidP="008B4ED7">
      <w:pPr>
        <w:pStyle w:val="Text"/>
        <w:keepNext/>
        <w:tabs>
          <w:tab w:val="left" w:pos="567"/>
        </w:tabs>
        <w:spacing w:before="0" w:beforeAutospacing="0" w:after="0" w:afterAutospacing="0" w:line="240" w:lineRule="auto"/>
        <w:ind w:left="0"/>
        <w:outlineLvl w:val="0"/>
        <w:rPr>
          <w:rFonts w:ascii="Times New Roman" w:hAnsi="Times New Roman" w:cs="Times New Roman"/>
          <w:b/>
          <w:color w:val="auto"/>
          <w:sz w:val="22"/>
          <w:szCs w:val="22"/>
          <w:lang w:val="es-ES_tradnl"/>
        </w:rPr>
      </w:pPr>
      <w:r w:rsidRPr="004F4CD0">
        <w:rPr>
          <w:rFonts w:ascii="Times New Roman" w:hAnsi="Times New Roman"/>
          <w:b/>
          <w:color w:val="auto"/>
          <w:sz w:val="22"/>
          <w:lang w:val="es-ES_tradnl"/>
        </w:rPr>
        <w:t xml:space="preserve">Tabla 3. Efecto de </w:t>
      </w:r>
      <w:r w:rsidR="008716D8" w:rsidRPr="000D0706">
        <w:rPr>
          <w:rFonts w:ascii="Times New Roman" w:hAnsi="Times New Roman" w:cs="Times New Roman"/>
          <w:b/>
          <w:color w:val="auto"/>
          <w:sz w:val="22"/>
          <w:szCs w:val="16"/>
          <w:lang w:val="es-ES_tradnl"/>
        </w:rPr>
        <w:t>denosumab</w:t>
      </w:r>
      <w:r w:rsidR="008716D8" w:rsidRPr="000D0706">
        <w:rPr>
          <w:b/>
          <w:color w:val="auto"/>
          <w:sz w:val="22"/>
          <w:szCs w:val="16"/>
          <w:lang w:val="es-ES_tradnl"/>
        </w:rPr>
        <w:t xml:space="preserve"> </w:t>
      </w:r>
      <w:r w:rsidRPr="004F4CD0">
        <w:rPr>
          <w:rFonts w:ascii="Times New Roman" w:hAnsi="Times New Roman"/>
          <w:b/>
          <w:color w:val="auto"/>
          <w:sz w:val="22"/>
          <w:lang w:val="es-ES_tradnl"/>
        </w:rPr>
        <w:t>sobre el riesgo de fracturas clínicas durante 3 años</w:t>
      </w:r>
    </w:p>
    <w:p w14:paraId="09832D6E" w14:textId="77777777" w:rsidR="008011D6" w:rsidRPr="004F4CD0" w:rsidRDefault="008011D6" w:rsidP="008B4ED7">
      <w:pPr>
        <w:keepNext/>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9"/>
        <w:gridCol w:w="1440"/>
        <w:gridCol w:w="1800"/>
        <w:gridCol w:w="1531"/>
        <w:gridCol w:w="1529"/>
      </w:tblGrid>
      <w:tr w:rsidR="008011D6" w:rsidRPr="004F4CD0" w14:paraId="1252D415" w14:textId="77777777" w:rsidTr="00C345B1">
        <w:trPr>
          <w:cantSplit/>
          <w:trHeight w:val="57"/>
          <w:tblHeader/>
        </w:trPr>
        <w:tc>
          <w:tcPr>
            <w:tcW w:w="1609" w:type="pct"/>
            <w:vMerge w:val="restart"/>
            <w:tcBorders>
              <w:top w:val="single" w:sz="4" w:space="0" w:color="auto"/>
              <w:left w:val="single" w:sz="4" w:space="0" w:color="auto"/>
              <w:right w:val="single" w:sz="4" w:space="0" w:color="auto"/>
            </w:tcBorders>
          </w:tcPr>
          <w:p w14:paraId="087284FE" w14:textId="77777777" w:rsidR="008011D6" w:rsidRPr="004F4CD0" w:rsidRDefault="008011D6" w:rsidP="00C345B1">
            <w:pPr>
              <w:pStyle w:val="lbltxt"/>
              <w:keepNext/>
              <w:rPr>
                <w:noProof w:val="0"/>
                <w:lang w:val="es-ES_tradnl"/>
              </w:rPr>
            </w:pPr>
          </w:p>
        </w:tc>
        <w:tc>
          <w:tcPr>
            <w:tcW w:w="1744" w:type="pct"/>
            <w:gridSpan w:val="2"/>
            <w:tcBorders>
              <w:top w:val="single" w:sz="4" w:space="0" w:color="auto"/>
              <w:left w:val="single" w:sz="4" w:space="0" w:color="auto"/>
              <w:bottom w:val="single" w:sz="4" w:space="0" w:color="auto"/>
              <w:right w:val="single" w:sz="4" w:space="0" w:color="auto"/>
            </w:tcBorders>
          </w:tcPr>
          <w:p w14:paraId="2C64C84F" w14:textId="77777777" w:rsidR="008011D6" w:rsidRPr="004F4CD0" w:rsidRDefault="008011D6" w:rsidP="00C345B1">
            <w:pPr>
              <w:jc w:val="center"/>
              <w:rPr>
                <w:lang w:val="es-ES_tradnl"/>
              </w:rPr>
            </w:pPr>
            <w:r w:rsidRPr="004F4CD0">
              <w:rPr>
                <w:lang w:val="es-ES_tradnl"/>
              </w:rPr>
              <w:t>Proporción de mujeres con fractura (%)</w:t>
            </w:r>
            <w:r w:rsidRPr="004F4CD0">
              <w:rPr>
                <w:vertAlign w:val="superscript"/>
                <w:lang w:val="es-ES_tradnl"/>
              </w:rPr>
              <w:t>+</w:t>
            </w:r>
          </w:p>
        </w:tc>
        <w:tc>
          <w:tcPr>
            <w:tcW w:w="824" w:type="pct"/>
            <w:vMerge w:val="restart"/>
            <w:tcBorders>
              <w:top w:val="single" w:sz="4" w:space="0" w:color="auto"/>
              <w:left w:val="single" w:sz="4" w:space="0" w:color="auto"/>
              <w:bottom w:val="single" w:sz="4" w:space="0" w:color="auto"/>
              <w:right w:val="single" w:sz="4" w:space="0" w:color="auto"/>
            </w:tcBorders>
          </w:tcPr>
          <w:p w14:paraId="4E706496" w14:textId="77777777" w:rsidR="00511EFE" w:rsidRPr="004F4CD0" w:rsidRDefault="008011D6" w:rsidP="00511EFE">
            <w:pPr>
              <w:rPr>
                <w:lang w:val="es-ES_tradnl"/>
              </w:rPr>
            </w:pPr>
            <w:r w:rsidRPr="004F4CD0">
              <w:rPr>
                <w:lang w:val="es-ES_tradnl"/>
              </w:rPr>
              <w:t>Reducción del riesgo absoluto (%)</w:t>
            </w:r>
          </w:p>
          <w:p w14:paraId="179AFC77" w14:textId="48CF9B25" w:rsidR="008011D6" w:rsidRPr="004F4CD0" w:rsidRDefault="008011D6" w:rsidP="00511EFE">
            <w:pPr>
              <w:rPr>
                <w:lang w:val="es-ES_tradnl"/>
              </w:rPr>
            </w:pPr>
            <w:r w:rsidRPr="004F4CD0">
              <w:rPr>
                <w:lang w:val="es-ES_tradnl"/>
              </w:rPr>
              <w:t>(IC del 95%)</w:t>
            </w:r>
          </w:p>
        </w:tc>
        <w:tc>
          <w:tcPr>
            <w:tcW w:w="823" w:type="pct"/>
            <w:vMerge w:val="restart"/>
            <w:tcBorders>
              <w:top w:val="single" w:sz="4" w:space="0" w:color="auto"/>
              <w:left w:val="single" w:sz="4" w:space="0" w:color="auto"/>
              <w:bottom w:val="single" w:sz="4" w:space="0" w:color="auto"/>
              <w:right w:val="single" w:sz="4" w:space="0" w:color="auto"/>
            </w:tcBorders>
          </w:tcPr>
          <w:p w14:paraId="4028ABDB" w14:textId="77777777" w:rsidR="00511EFE" w:rsidRPr="004F4CD0" w:rsidRDefault="008011D6" w:rsidP="00511EFE">
            <w:pPr>
              <w:rPr>
                <w:lang w:val="es-ES_tradnl"/>
              </w:rPr>
            </w:pPr>
            <w:r w:rsidRPr="004F4CD0">
              <w:rPr>
                <w:lang w:val="es-ES_tradnl"/>
              </w:rPr>
              <w:t>Reducción del riesgo relativo (%)</w:t>
            </w:r>
          </w:p>
          <w:p w14:paraId="75567EFE" w14:textId="7355C992" w:rsidR="008011D6" w:rsidRPr="004F4CD0" w:rsidRDefault="008011D6" w:rsidP="00511EFE">
            <w:pPr>
              <w:rPr>
                <w:lang w:val="es-ES_tradnl"/>
              </w:rPr>
            </w:pPr>
            <w:r w:rsidRPr="004F4CD0">
              <w:rPr>
                <w:lang w:val="es-ES_tradnl"/>
              </w:rPr>
              <w:t>(IC del 95%)</w:t>
            </w:r>
          </w:p>
        </w:tc>
      </w:tr>
      <w:tr w:rsidR="008011D6" w:rsidRPr="004F4CD0" w14:paraId="78E4B21D" w14:textId="77777777" w:rsidTr="00C345B1">
        <w:trPr>
          <w:cantSplit/>
          <w:trHeight w:val="57"/>
          <w:tblHeader/>
        </w:trPr>
        <w:tc>
          <w:tcPr>
            <w:tcW w:w="1609" w:type="pct"/>
            <w:vMerge/>
            <w:tcBorders>
              <w:left w:val="single" w:sz="4" w:space="0" w:color="auto"/>
              <w:bottom w:val="single" w:sz="4" w:space="0" w:color="auto"/>
              <w:right w:val="single" w:sz="4" w:space="0" w:color="auto"/>
            </w:tcBorders>
          </w:tcPr>
          <w:p w14:paraId="0E9EDC35" w14:textId="77777777" w:rsidR="008011D6" w:rsidRPr="004F4CD0" w:rsidRDefault="008011D6" w:rsidP="00C345B1">
            <w:pPr>
              <w:keepNext/>
              <w:rPr>
                <w:lang w:val="es-ES_tradnl"/>
              </w:rPr>
            </w:pPr>
          </w:p>
        </w:tc>
        <w:tc>
          <w:tcPr>
            <w:tcW w:w="775" w:type="pct"/>
            <w:tcBorders>
              <w:top w:val="single" w:sz="4" w:space="0" w:color="auto"/>
              <w:left w:val="single" w:sz="4" w:space="0" w:color="auto"/>
              <w:bottom w:val="single" w:sz="4" w:space="0" w:color="auto"/>
              <w:right w:val="single" w:sz="4" w:space="0" w:color="auto"/>
            </w:tcBorders>
          </w:tcPr>
          <w:p w14:paraId="195F3F31" w14:textId="77777777" w:rsidR="00511EFE" w:rsidRPr="004F4CD0" w:rsidRDefault="008011D6" w:rsidP="00511EFE">
            <w:pPr>
              <w:jc w:val="center"/>
              <w:rPr>
                <w:lang w:val="es-ES_tradnl"/>
              </w:rPr>
            </w:pPr>
            <w:r w:rsidRPr="004F4CD0">
              <w:rPr>
                <w:lang w:val="es-ES_tradnl"/>
              </w:rPr>
              <w:t>Placebo</w:t>
            </w:r>
          </w:p>
          <w:p w14:paraId="6CA51F62" w14:textId="7607FCCF" w:rsidR="008011D6" w:rsidRPr="004F4CD0" w:rsidRDefault="008011D6" w:rsidP="00511EFE">
            <w:pPr>
              <w:jc w:val="center"/>
              <w:rPr>
                <w:lang w:val="es-ES_tradnl"/>
              </w:rPr>
            </w:pPr>
            <w:r w:rsidRPr="004F4CD0">
              <w:rPr>
                <w:lang w:val="es-ES_tradnl"/>
              </w:rPr>
              <w:t>n = 3.906</w:t>
            </w:r>
          </w:p>
        </w:tc>
        <w:tc>
          <w:tcPr>
            <w:tcW w:w="969" w:type="pct"/>
            <w:tcBorders>
              <w:top w:val="single" w:sz="4" w:space="0" w:color="auto"/>
              <w:left w:val="single" w:sz="4" w:space="0" w:color="auto"/>
              <w:bottom w:val="single" w:sz="4" w:space="0" w:color="auto"/>
              <w:right w:val="single" w:sz="4" w:space="0" w:color="auto"/>
            </w:tcBorders>
          </w:tcPr>
          <w:p w14:paraId="59BB1D34" w14:textId="77777777" w:rsidR="008716D8" w:rsidRPr="004F4CD0" w:rsidRDefault="008716D8" w:rsidP="008716D8">
            <w:pPr>
              <w:pStyle w:val="TableParagraph"/>
              <w:jc w:val="center"/>
              <w:rPr>
                <w:lang w:val="es-ES_tradnl"/>
              </w:rPr>
            </w:pPr>
            <w:r w:rsidRPr="004F4CD0">
              <w:rPr>
                <w:lang w:val="es-ES_tradnl"/>
              </w:rPr>
              <w:t>Denosumab</w:t>
            </w:r>
          </w:p>
          <w:p w14:paraId="64557642" w14:textId="0ED62254" w:rsidR="008011D6" w:rsidRPr="004F4CD0" w:rsidRDefault="008011D6" w:rsidP="00511EFE">
            <w:pPr>
              <w:jc w:val="center"/>
              <w:rPr>
                <w:lang w:val="es-ES_tradnl"/>
              </w:rPr>
            </w:pPr>
            <w:r w:rsidRPr="004F4CD0">
              <w:rPr>
                <w:lang w:val="es-ES_tradnl"/>
              </w:rPr>
              <w:t>n = 3.902</w:t>
            </w:r>
          </w:p>
        </w:tc>
        <w:tc>
          <w:tcPr>
            <w:tcW w:w="824" w:type="pct"/>
            <w:vMerge/>
            <w:tcBorders>
              <w:top w:val="single" w:sz="4" w:space="0" w:color="auto"/>
              <w:left w:val="single" w:sz="4" w:space="0" w:color="auto"/>
              <w:bottom w:val="single" w:sz="4" w:space="0" w:color="auto"/>
              <w:right w:val="single" w:sz="4" w:space="0" w:color="auto"/>
            </w:tcBorders>
            <w:vAlign w:val="center"/>
          </w:tcPr>
          <w:p w14:paraId="3DA6A1E3" w14:textId="77777777" w:rsidR="008011D6" w:rsidRPr="004F4CD0" w:rsidRDefault="008011D6" w:rsidP="00C345B1">
            <w:pPr>
              <w:rPr>
                <w:lang w:val="es-ES_tradnl"/>
              </w:rPr>
            </w:pPr>
          </w:p>
        </w:tc>
        <w:tc>
          <w:tcPr>
            <w:tcW w:w="823" w:type="pct"/>
            <w:vMerge/>
            <w:tcBorders>
              <w:top w:val="single" w:sz="4" w:space="0" w:color="auto"/>
              <w:left w:val="single" w:sz="4" w:space="0" w:color="auto"/>
              <w:bottom w:val="single" w:sz="4" w:space="0" w:color="auto"/>
              <w:right w:val="single" w:sz="4" w:space="0" w:color="auto"/>
            </w:tcBorders>
            <w:vAlign w:val="center"/>
          </w:tcPr>
          <w:p w14:paraId="3C9D481F" w14:textId="77777777" w:rsidR="008011D6" w:rsidRPr="004F4CD0" w:rsidRDefault="008011D6" w:rsidP="00C345B1">
            <w:pPr>
              <w:rPr>
                <w:lang w:val="es-ES_tradnl"/>
              </w:rPr>
            </w:pPr>
          </w:p>
        </w:tc>
      </w:tr>
      <w:tr w:rsidR="008011D6" w:rsidRPr="004F4CD0" w14:paraId="0145F824"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891EF1A" w14:textId="77777777" w:rsidR="008011D6" w:rsidRPr="004F4CD0" w:rsidRDefault="008011D6" w:rsidP="00C345B1">
            <w:pPr>
              <w:rPr>
                <w:lang w:val="es-ES_tradnl"/>
              </w:rPr>
            </w:pPr>
            <w:r w:rsidRPr="004F4CD0">
              <w:rPr>
                <w:lang w:val="es-ES_tradnl"/>
              </w:rPr>
              <w:t>Cualquier fractura clínica</w:t>
            </w:r>
            <w:r w:rsidRPr="004F4CD0">
              <w:rPr>
                <w:vertAlign w:val="superscript"/>
                <w:lang w:val="es-ES_tradnl"/>
              </w:rPr>
              <w:t>1</w:t>
            </w:r>
          </w:p>
        </w:tc>
        <w:tc>
          <w:tcPr>
            <w:tcW w:w="775" w:type="pct"/>
            <w:tcBorders>
              <w:top w:val="single" w:sz="4" w:space="0" w:color="auto"/>
              <w:left w:val="single" w:sz="4" w:space="0" w:color="auto"/>
              <w:bottom w:val="single" w:sz="4" w:space="0" w:color="auto"/>
              <w:right w:val="single" w:sz="4" w:space="0" w:color="auto"/>
            </w:tcBorders>
          </w:tcPr>
          <w:p w14:paraId="118EC04B" w14:textId="77777777" w:rsidR="008011D6" w:rsidRPr="004F4CD0" w:rsidRDefault="008011D6" w:rsidP="00C345B1">
            <w:pPr>
              <w:jc w:val="center"/>
              <w:rPr>
                <w:lang w:val="es-ES_tradnl"/>
              </w:rPr>
            </w:pPr>
            <w:r w:rsidRPr="004F4CD0">
              <w:rPr>
                <w:lang w:val="es-ES_tradnl"/>
              </w:rPr>
              <w:t>10,2</w:t>
            </w:r>
          </w:p>
        </w:tc>
        <w:tc>
          <w:tcPr>
            <w:tcW w:w="969" w:type="pct"/>
            <w:tcBorders>
              <w:top w:val="single" w:sz="4" w:space="0" w:color="auto"/>
              <w:left w:val="single" w:sz="4" w:space="0" w:color="auto"/>
              <w:bottom w:val="single" w:sz="4" w:space="0" w:color="auto"/>
              <w:right w:val="single" w:sz="4" w:space="0" w:color="auto"/>
            </w:tcBorders>
          </w:tcPr>
          <w:p w14:paraId="2C73BCDD" w14:textId="77777777" w:rsidR="008011D6" w:rsidRPr="004F4CD0" w:rsidRDefault="008011D6" w:rsidP="00C345B1">
            <w:pPr>
              <w:jc w:val="center"/>
              <w:rPr>
                <w:lang w:val="es-ES_tradnl"/>
              </w:rPr>
            </w:pPr>
            <w:r w:rsidRPr="004F4CD0">
              <w:rPr>
                <w:lang w:val="es-ES_tradnl"/>
              </w:rPr>
              <w:t>7,2</w:t>
            </w:r>
          </w:p>
        </w:tc>
        <w:tc>
          <w:tcPr>
            <w:tcW w:w="824" w:type="pct"/>
            <w:tcBorders>
              <w:top w:val="single" w:sz="4" w:space="0" w:color="auto"/>
              <w:left w:val="single" w:sz="4" w:space="0" w:color="auto"/>
              <w:bottom w:val="single" w:sz="4" w:space="0" w:color="auto"/>
              <w:right w:val="single" w:sz="4" w:space="0" w:color="auto"/>
            </w:tcBorders>
          </w:tcPr>
          <w:p w14:paraId="6F2125ED" w14:textId="77777777" w:rsidR="008011D6" w:rsidRPr="004F4CD0" w:rsidRDefault="008011D6" w:rsidP="00C345B1">
            <w:pPr>
              <w:rPr>
                <w:lang w:val="es-ES_tradnl"/>
              </w:rPr>
            </w:pPr>
            <w:r w:rsidRPr="004F4CD0">
              <w:rPr>
                <w:lang w:val="es-ES_tradnl"/>
              </w:rPr>
              <w:t>2,9 (1,6, 4,2)</w:t>
            </w:r>
          </w:p>
        </w:tc>
        <w:tc>
          <w:tcPr>
            <w:tcW w:w="823" w:type="pct"/>
            <w:tcBorders>
              <w:top w:val="single" w:sz="4" w:space="0" w:color="auto"/>
              <w:left w:val="single" w:sz="4" w:space="0" w:color="auto"/>
              <w:bottom w:val="single" w:sz="4" w:space="0" w:color="auto"/>
              <w:right w:val="single" w:sz="4" w:space="0" w:color="auto"/>
            </w:tcBorders>
          </w:tcPr>
          <w:p w14:paraId="65B8E56A" w14:textId="77777777" w:rsidR="008011D6" w:rsidRPr="004F4CD0" w:rsidRDefault="008011D6" w:rsidP="00C345B1">
            <w:pPr>
              <w:rPr>
                <w:lang w:val="es-ES_tradnl"/>
              </w:rPr>
            </w:pPr>
            <w:r w:rsidRPr="004F4CD0">
              <w:rPr>
                <w:lang w:val="es-ES_tradnl"/>
              </w:rPr>
              <w:t>30 (19, 41)***</w:t>
            </w:r>
          </w:p>
        </w:tc>
      </w:tr>
      <w:tr w:rsidR="008011D6" w:rsidRPr="004F4CD0" w14:paraId="129D2B9C"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44D2E61" w14:textId="77777777" w:rsidR="008011D6" w:rsidRPr="004F4CD0" w:rsidRDefault="008011D6" w:rsidP="00C345B1">
            <w:pPr>
              <w:rPr>
                <w:lang w:val="es-ES_tradnl"/>
              </w:rPr>
            </w:pPr>
            <w:r w:rsidRPr="004F4CD0">
              <w:rPr>
                <w:lang w:val="es-ES_tradnl"/>
              </w:rPr>
              <w:t>Fractura vertebral clínica</w:t>
            </w:r>
          </w:p>
        </w:tc>
        <w:tc>
          <w:tcPr>
            <w:tcW w:w="775" w:type="pct"/>
            <w:tcBorders>
              <w:top w:val="single" w:sz="4" w:space="0" w:color="auto"/>
              <w:left w:val="single" w:sz="4" w:space="0" w:color="auto"/>
              <w:bottom w:val="single" w:sz="4" w:space="0" w:color="auto"/>
              <w:right w:val="single" w:sz="4" w:space="0" w:color="auto"/>
            </w:tcBorders>
          </w:tcPr>
          <w:p w14:paraId="4FF92D02" w14:textId="77777777" w:rsidR="008011D6" w:rsidRPr="004F4CD0" w:rsidRDefault="008011D6" w:rsidP="00C345B1">
            <w:pPr>
              <w:jc w:val="center"/>
              <w:rPr>
                <w:lang w:val="es-ES_tradnl"/>
              </w:rPr>
            </w:pPr>
            <w:r w:rsidRPr="004F4CD0">
              <w:rPr>
                <w:lang w:val="es-ES_tradnl"/>
              </w:rPr>
              <w:t>2,6</w:t>
            </w:r>
          </w:p>
        </w:tc>
        <w:tc>
          <w:tcPr>
            <w:tcW w:w="969" w:type="pct"/>
            <w:tcBorders>
              <w:top w:val="single" w:sz="4" w:space="0" w:color="auto"/>
              <w:left w:val="single" w:sz="4" w:space="0" w:color="auto"/>
              <w:bottom w:val="single" w:sz="4" w:space="0" w:color="auto"/>
              <w:right w:val="single" w:sz="4" w:space="0" w:color="auto"/>
            </w:tcBorders>
          </w:tcPr>
          <w:p w14:paraId="25408F27" w14:textId="77777777" w:rsidR="008011D6" w:rsidRPr="004F4CD0" w:rsidRDefault="008011D6" w:rsidP="00C345B1">
            <w:pPr>
              <w:jc w:val="center"/>
              <w:rPr>
                <w:lang w:val="es-ES_tradnl"/>
              </w:rPr>
            </w:pPr>
            <w:r w:rsidRPr="004F4CD0">
              <w:rPr>
                <w:lang w:val="es-ES_tradnl"/>
              </w:rPr>
              <w:t>0,8</w:t>
            </w:r>
          </w:p>
        </w:tc>
        <w:tc>
          <w:tcPr>
            <w:tcW w:w="824" w:type="pct"/>
            <w:tcBorders>
              <w:top w:val="single" w:sz="4" w:space="0" w:color="auto"/>
              <w:left w:val="single" w:sz="4" w:space="0" w:color="auto"/>
              <w:bottom w:val="single" w:sz="4" w:space="0" w:color="auto"/>
              <w:right w:val="single" w:sz="4" w:space="0" w:color="auto"/>
            </w:tcBorders>
          </w:tcPr>
          <w:p w14:paraId="38C09473" w14:textId="77777777" w:rsidR="008011D6" w:rsidRPr="004F4CD0" w:rsidRDefault="008011D6" w:rsidP="00C345B1">
            <w:pPr>
              <w:rPr>
                <w:lang w:val="es-ES_tradnl"/>
              </w:rPr>
            </w:pPr>
            <w:r w:rsidRPr="004F4CD0">
              <w:rPr>
                <w:lang w:val="es-ES_tradnl"/>
              </w:rPr>
              <w:t>1,8 (1,2, 2,4)</w:t>
            </w:r>
          </w:p>
        </w:tc>
        <w:tc>
          <w:tcPr>
            <w:tcW w:w="823" w:type="pct"/>
            <w:tcBorders>
              <w:top w:val="single" w:sz="4" w:space="0" w:color="auto"/>
              <w:left w:val="single" w:sz="4" w:space="0" w:color="auto"/>
              <w:bottom w:val="single" w:sz="4" w:space="0" w:color="auto"/>
              <w:right w:val="single" w:sz="4" w:space="0" w:color="auto"/>
            </w:tcBorders>
          </w:tcPr>
          <w:p w14:paraId="4F0BCBFB" w14:textId="77777777" w:rsidR="008011D6" w:rsidRPr="004F4CD0" w:rsidRDefault="008011D6" w:rsidP="00C345B1">
            <w:pPr>
              <w:rPr>
                <w:lang w:val="es-ES_tradnl"/>
              </w:rPr>
            </w:pPr>
            <w:r w:rsidRPr="004F4CD0">
              <w:rPr>
                <w:lang w:val="es-ES_tradnl"/>
              </w:rPr>
              <w:t>69 (53, 80)***</w:t>
            </w:r>
          </w:p>
        </w:tc>
      </w:tr>
      <w:tr w:rsidR="008011D6" w:rsidRPr="004F4CD0" w14:paraId="3DEBD95D"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329EC7D4" w14:textId="77777777" w:rsidR="008011D6" w:rsidRPr="004F4CD0" w:rsidRDefault="008011D6" w:rsidP="00C345B1">
            <w:pPr>
              <w:rPr>
                <w:lang w:val="es-ES_tradnl"/>
              </w:rPr>
            </w:pPr>
            <w:r w:rsidRPr="004F4CD0">
              <w:rPr>
                <w:lang w:val="es-ES_tradnl"/>
              </w:rPr>
              <w:t>Fractura no vertebral</w:t>
            </w:r>
            <w:r w:rsidRPr="004F4CD0">
              <w:rPr>
                <w:vertAlign w:val="superscript"/>
                <w:lang w:val="es-ES_tradnl"/>
              </w:rPr>
              <w:t>2</w:t>
            </w:r>
          </w:p>
        </w:tc>
        <w:tc>
          <w:tcPr>
            <w:tcW w:w="775" w:type="pct"/>
            <w:tcBorders>
              <w:top w:val="single" w:sz="4" w:space="0" w:color="auto"/>
              <w:left w:val="single" w:sz="4" w:space="0" w:color="auto"/>
              <w:bottom w:val="single" w:sz="4" w:space="0" w:color="auto"/>
              <w:right w:val="single" w:sz="4" w:space="0" w:color="auto"/>
            </w:tcBorders>
          </w:tcPr>
          <w:p w14:paraId="1064E6C9" w14:textId="77777777" w:rsidR="008011D6" w:rsidRPr="004F4CD0" w:rsidRDefault="008011D6" w:rsidP="00C345B1">
            <w:pPr>
              <w:jc w:val="center"/>
              <w:rPr>
                <w:lang w:val="es-ES_tradnl"/>
              </w:rPr>
            </w:pPr>
            <w:r w:rsidRPr="004F4CD0">
              <w:rPr>
                <w:lang w:val="es-ES_tradnl"/>
              </w:rPr>
              <w:t>8,0</w:t>
            </w:r>
          </w:p>
        </w:tc>
        <w:tc>
          <w:tcPr>
            <w:tcW w:w="969" w:type="pct"/>
            <w:tcBorders>
              <w:top w:val="single" w:sz="4" w:space="0" w:color="auto"/>
              <w:left w:val="single" w:sz="4" w:space="0" w:color="auto"/>
              <w:bottom w:val="single" w:sz="4" w:space="0" w:color="auto"/>
              <w:right w:val="single" w:sz="4" w:space="0" w:color="auto"/>
            </w:tcBorders>
          </w:tcPr>
          <w:p w14:paraId="09F66D89" w14:textId="77777777" w:rsidR="008011D6" w:rsidRPr="004F4CD0" w:rsidRDefault="008011D6" w:rsidP="00C345B1">
            <w:pPr>
              <w:jc w:val="center"/>
              <w:rPr>
                <w:lang w:val="es-ES_tradnl"/>
              </w:rPr>
            </w:pPr>
            <w:r w:rsidRPr="004F4CD0">
              <w:rPr>
                <w:lang w:val="es-ES_tradnl"/>
              </w:rPr>
              <w:t>6,5</w:t>
            </w:r>
          </w:p>
        </w:tc>
        <w:tc>
          <w:tcPr>
            <w:tcW w:w="824" w:type="pct"/>
            <w:tcBorders>
              <w:top w:val="single" w:sz="4" w:space="0" w:color="auto"/>
              <w:left w:val="single" w:sz="4" w:space="0" w:color="auto"/>
              <w:bottom w:val="single" w:sz="4" w:space="0" w:color="auto"/>
              <w:right w:val="single" w:sz="4" w:space="0" w:color="auto"/>
            </w:tcBorders>
          </w:tcPr>
          <w:p w14:paraId="4DD4E34E" w14:textId="77777777" w:rsidR="008011D6" w:rsidRPr="004F4CD0" w:rsidRDefault="008011D6" w:rsidP="00C345B1">
            <w:pPr>
              <w:rPr>
                <w:lang w:val="es-ES_tradnl"/>
              </w:rPr>
            </w:pPr>
            <w:r w:rsidRPr="004F4CD0">
              <w:rPr>
                <w:lang w:val="es-ES_tradnl"/>
              </w:rPr>
              <w:t>1,5 (0,3, 2,7)</w:t>
            </w:r>
          </w:p>
        </w:tc>
        <w:tc>
          <w:tcPr>
            <w:tcW w:w="823" w:type="pct"/>
            <w:tcBorders>
              <w:top w:val="single" w:sz="4" w:space="0" w:color="auto"/>
              <w:left w:val="single" w:sz="4" w:space="0" w:color="auto"/>
              <w:bottom w:val="single" w:sz="4" w:space="0" w:color="auto"/>
              <w:right w:val="single" w:sz="4" w:space="0" w:color="auto"/>
            </w:tcBorders>
          </w:tcPr>
          <w:p w14:paraId="7B210C90" w14:textId="77777777" w:rsidR="008011D6" w:rsidRPr="004F4CD0" w:rsidRDefault="008011D6" w:rsidP="00C345B1">
            <w:pPr>
              <w:rPr>
                <w:lang w:val="es-ES_tradnl"/>
              </w:rPr>
            </w:pPr>
            <w:r w:rsidRPr="004F4CD0">
              <w:rPr>
                <w:lang w:val="es-ES_tradnl"/>
              </w:rPr>
              <w:t>20 (5, 33)**</w:t>
            </w:r>
          </w:p>
        </w:tc>
      </w:tr>
      <w:tr w:rsidR="008011D6" w:rsidRPr="004F4CD0" w14:paraId="109D5B3A"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1BFE91BD" w14:textId="77777777" w:rsidR="008011D6" w:rsidRPr="004F4CD0" w:rsidRDefault="008011D6" w:rsidP="00B97FC6">
            <w:pPr>
              <w:rPr>
                <w:lang w:val="es-ES_tradnl"/>
              </w:rPr>
            </w:pPr>
            <w:r w:rsidRPr="004F4CD0">
              <w:rPr>
                <w:lang w:val="es-ES_tradnl"/>
              </w:rPr>
              <w:t>Fractura mayor no vertebral</w:t>
            </w:r>
            <w:r w:rsidRPr="004F4CD0">
              <w:rPr>
                <w:vertAlign w:val="superscript"/>
                <w:lang w:val="es-ES_tradnl"/>
              </w:rPr>
              <w:t>3</w:t>
            </w:r>
          </w:p>
        </w:tc>
        <w:tc>
          <w:tcPr>
            <w:tcW w:w="775" w:type="pct"/>
            <w:tcBorders>
              <w:top w:val="single" w:sz="4" w:space="0" w:color="auto"/>
              <w:left w:val="single" w:sz="4" w:space="0" w:color="auto"/>
              <w:bottom w:val="single" w:sz="4" w:space="0" w:color="auto"/>
              <w:right w:val="single" w:sz="4" w:space="0" w:color="auto"/>
            </w:tcBorders>
          </w:tcPr>
          <w:p w14:paraId="1029C80B" w14:textId="77777777" w:rsidR="008011D6" w:rsidRPr="004F4CD0" w:rsidRDefault="008011D6" w:rsidP="00B97FC6">
            <w:pPr>
              <w:jc w:val="center"/>
              <w:rPr>
                <w:lang w:val="es-ES_tradnl"/>
              </w:rPr>
            </w:pPr>
            <w:r w:rsidRPr="004F4CD0">
              <w:rPr>
                <w:lang w:val="es-ES_tradnl"/>
              </w:rPr>
              <w:t>6,4</w:t>
            </w:r>
          </w:p>
        </w:tc>
        <w:tc>
          <w:tcPr>
            <w:tcW w:w="969" w:type="pct"/>
            <w:tcBorders>
              <w:top w:val="single" w:sz="4" w:space="0" w:color="auto"/>
              <w:left w:val="single" w:sz="4" w:space="0" w:color="auto"/>
              <w:bottom w:val="single" w:sz="4" w:space="0" w:color="auto"/>
              <w:right w:val="single" w:sz="4" w:space="0" w:color="auto"/>
            </w:tcBorders>
          </w:tcPr>
          <w:p w14:paraId="2DEC134E" w14:textId="77777777" w:rsidR="008011D6" w:rsidRPr="004F4CD0" w:rsidRDefault="008011D6" w:rsidP="00B97FC6">
            <w:pPr>
              <w:jc w:val="center"/>
              <w:rPr>
                <w:lang w:val="es-ES_tradnl"/>
              </w:rPr>
            </w:pPr>
            <w:r w:rsidRPr="004F4CD0">
              <w:rPr>
                <w:lang w:val="es-ES_tradnl"/>
              </w:rPr>
              <w:t>5,2</w:t>
            </w:r>
          </w:p>
        </w:tc>
        <w:tc>
          <w:tcPr>
            <w:tcW w:w="824" w:type="pct"/>
            <w:tcBorders>
              <w:top w:val="single" w:sz="4" w:space="0" w:color="auto"/>
              <w:left w:val="single" w:sz="4" w:space="0" w:color="auto"/>
              <w:bottom w:val="single" w:sz="4" w:space="0" w:color="auto"/>
              <w:right w:val="single" w:sz="4" w:space="0" w:color="auto"/>
            </w:tcBorders>
          </w:tcPr>
          <w:p w14:paraId="54AD71D9" w14:textId="77777777" w:rsidR="008011D6" w:rsidRPr="004F4CD0" w:rsidRDefault="008011D6" w:rsidP="00B97FC6">
            <w:pPr>
              <w:rPr>
                <w:lang w:val="es-ES_tradnl"/>
              </w:rPr>
            </w:pPr>
            <w:r w:rsidRPr="004F4CD0">
              <w:rPr>
                <w:lang w:val="es-ES_tradnl"/>
              </w:rPr>
              <w:t>1,2 (0,1, 2,2)</w:t>
            </w:r>
          </w:p>
        </w:tc>
        <w:tc>
          <w:tcPr>
            <w:tcW w:w="823" w:type="pct"/>
            <w:tcBorders>
              <w:top w:val="single" w:sz="4" w:space="0" w:color="auto"/>
              <w:left w:val="single" w:sz="4" w:space="0" w:color="auto"/>
              <w:bottom w:val="single" w:sz="4" w:space="0" w:color="auto"/>
              <w:right w:val="single" w:sz="4" w:space="0" w:color="auto"/>
            </w:tcBorders>
          </w:tcPr>
          <w:p w14:paraId="1CF57BDC" w14:textId="77777777" w:rsidR="008011D6" w:rsidRPr="004F4CD0" w:rsidRDefault="008011D6" w:rsidP="00B97FC6">
            <w:pPr>
              <w:rPr>
                <w:lang w:val="es-ES_tradnl"/>
              </w:rPr>
            </w:pPr>
            <w:r w:rsidRPr="004F4CD0">
              <w:rPr>
                <w:lang w:val="es-ES_tradnl"/>
              </w:rPr>
              <w:t>20 (3, 34)*</w:t>
            </w:r>
          </w:p>
        </w:tc>
      </w:tr>
      <w:tr w:rsidR="008011D6" w:rsidRPr="004F4CD0" w14:paraId="2D85FDE8" w14:textId="77777777" w:rsidTr="00C345B1">
        <w:trPr>
          <w:cantSplit/>
          <w:trHeight w:val="57"/>
        </w:trPr>
        <w:tc>
          <w:tcPr>
            <w:tcW w:w="1609" w:type="pct"/>
            <w:tcBorders>
              <w:top w:val="single" w:sz="4" w:space="0" w:color="auto"/>
              <w:left w:val="single" w:sz="4" w:space="0" w:color="auto"/>
              <w:bottom w:val="single" w:sz="4" w:space="0" w:color="auto"/>
              <w:right w:val="single" w:sz="4" w:space="0" w:color="auto"/>
            </w:tcBorders>
          </w:tcPr>
          <w:p w14:paraId="7FC16B4D" w14:textId="77777777" w:rsidR="008011D6" w:rsidRPr="004F4CD0" w:rsidRDefault="008011D6" w:rsidP="00B97FC6">
            <w:pPr>
              <w:rPr>
                <w:lang w:val="es-ES_tradnl"/>
              </w:rPr>
            </w:pPr>
            <w:r w:rsidRPr="004F4CD0">
              <w:rPr>
                <w:lang w:val="es-ES_tradnl"/>
              </w:rPr>
              <w:t>Fractura osteoporótica mayor</w:t>
            </w:r>
            <w:r w:rsidRPr="004F4CD0">
              <w:rPr>
                <w:vertAlign w:val="superscript"/>
                <w:lang w:val="es-ES_tradnl"/>
              </w:rPr>
              <w:t>4</w:t>
            </w:r>
          </w:p>
        </w:tc>
        <w:tc>
          <w:tcPr>
            <w:tcW w:w="775" w:type="pct"/>
            <w:tcBorders>
              <w:top w:val="single" w:sz="4" w:space="0" w:color="auto"/>
              <w:left w:val="single" w:sz="4" w:space="0" w:color="auto"/>
              <w:bottom w:val="single" w:sz="4" w:space="0" w:color="auto"/>
              <w:right w:val="single" w:sz="4" w:space="0" w:color="auto"/>
            </w:tcBorders>
          </w:tcPr>
          <w:p w14:paraId="3A3E61C2" w14:textId="77777777" w:rsidR="008011D6" w:rsidRPr="004F4CD0" w:rsidRDefault="008011D6" w:rsidP="00B97FC6">
            <w:pPr>
              <w:jc w:val="center"/>
              <w:rPr>
                <w:lang w:val="es-ES_tradnl"/>
              </w:rPr>
            </w:pPr>
            <w:r w:rsidRPr="004F4CD0">
              <w:rPr>
                <w:lang w:val="es-ES_tradnl"/>
              </w:rPr>
              <w:t>8,0</w:t>
            </w:r>
          </w:p>
        </w:tc>
        <w:tc>
          <w:tcPr>
            <w:tcW w:w="969" w:type="pct"/>
            <w:tcBorders>
              <w:top w:val="single" w:sz="4" w:space="0" w:color="auto"/>
              <w:left w:val="single" w:sz="4" w:space="0" w:color="auto"/>
              <w:bottom w:val="single" w:sz="4" w:space="0" w:color="auto"/>
              <w:right w:val="single" w:sz="4" w:space="0" w:color="auto"/>
            </w:tcBorders>
          </w:tcPr>
          <w:p w14:paraId="063921D4" w14:textId="77777777" w:rsidR="008011D6" w:rsidRPr="004F4CD0" w:rsidRDefault="008011D6" w:rsidP="00B97FC6">
            <w:pPr>
              <w:jc w:val="center"/>
              <w:rPr>
                <w:lang w:val="es-ES_tradnl"/>
              </w:rPr>
            </w:pPr>
            <w:r w:rsidRPr="004F4CD0">
              <w:rPr>
                <w:lang w:val="es-ES_tradnl"/>
              </w:rPr>
              <w:t>5,3</w:t>
            </w:r>
          </w:p>
        </w:tc>
        <w:tc>
          <w:tcPr>
            <w:tcW w:w="824" w:type="pct"/>
            <w:tcBorders>
              <w:top w:val="single" w:sz="4" w:space="0" w:color="auto"/>
              <w:left w:val="single" w:sz="4" w:space="0" w:color="auto"/>
              <w:bottom w:val="single" w:sz="4" w:space="0" w:color="auto"/>
              <w:right w:val="single" w:sz="4" w:space="0" w:color="auto"/>
            </w:tcBorders>
          </w:tcPr>
          <w:p w14:paraId="58D36707" w14:textId="77777777" w:rsidR="008011D6" w:rsidRPr="004F4CD0" w:rsidRDefault="008011D6" w:rsidP="00B97FC6">
            <w:pPr>
              <w:rPr>
                <w:lang w:val="es-ES_tradnl"/>
              </w:rPr>
            </w:pPr>
            <w:r w:rsidRPr="004F4CD0">
              <w:rPr>
                <w:lang w:val="es-ES_tradnl"/>
              </w:rPr>
              <w:t>2,7 (1,6, 3,9)</w:t>
            </w:r>
          </w:p>
        </w:tc>
        <w:tc>
          <w:tcPr>
            <w:tcW w:w="823" w:type="pct"/>
            <w:tcBorders>
              <w:top w:val="single" w:sz="4" w:space="0" w:color="auto"/>
              <w:left w:val="single" w:sz="4" w:space="0" w:color="auto"/>
              <w:bottom w:val="single" w:sz="4" w:space="0" w:color="auto"/>
              <w:right w:val="single" w:sz="4" w:space="0" w:color="auto"/>
            </w:tcBorders>
          </w:tcPr>
          <w:p w14:paraId="41246D68" w14:textId="77777777" w:rsidR="008011D6" w:rsidRPr="004F4CD0" w:rsidRDefault="008011D6" w:rsidP="00B97FC6">
            <w:pPr>
              <w:rPr>
                <w:lang w:val="es-ES_tradnl"/>
              </w:rPr>
            </w:pPr>
            <w:r w:rsidRPr="004F4CD0">
              <w:rPr>
                <w:lang w:val="es-ES_tradnl"/>
              </w:rPr>
              <w:t>35 (22, 45)***</w:t>
            </w:r>
          </w:p>
        </w:tc>
      </w:tr>
    </w:tbl>
    <w:p w14:paraId="086A7FEE" w14:textId="2462EA33" w:rsidR="008603DE" w:rsidRPr="004F4CD0" w:rsidRDefault="008011D6" w:rsidP="00B97FC6">
      <w:pPr>
        <w:rPr>
          <w:sz w:val="20"/>
          <w:szCs w:val="20"/>
          <w:lang w:val="es-ES_tradnl"/>
        </w:rPr>
      </w:pPr>
      <w:r w:rsidRPr="004F4CD0">
        <w:rPr>
          <w:sz w:val="20"/>
          <w:lang w:val="es-ES_tradnl"/>
        </w:rPr>
        <w:t xml:space="preserve">*p ≤ 0,05, **p = 0,0106 </w:t>
      </w:r>
      <w:r w:rsidRPr="004F4CD0">
        <w:rPr>
          <w:i/>
          <w:sz w:val="20"/>
          <w:lang w:val="es-ES_tradnl"/>
        </w:rPr>
        <w:t>(variable secundaria incluida en el ajuste multivariante),</w:t>
      </w:r>
      <w:r w:rsidRPr="004F4CD0">
        <w:rPr>
          <w:sz w:val="20"/>
          <w:lang w:val="es-ES_tradnl"/>
        </w:rPr>
        <w:t xml:space="preserve"> ***p ≤ 0,0001</w:t>
      </w:r>
    </w:p>
    <w:p w14:paraId="78BA8E59" w14:textId="77777777" w:rsidR="008011D6" w:rsidRPr="004F4CD0" w:rsidRDefault="008011D6" w:rsidP="00B97FC6">
      <w:pPr>
        <w:rPr>
          <w:sz w:val="20"/>
          <w:szCs w:val="20"/>
          <w:lang w:val="es-ES_tradnl"/>
        </w:rPr>
      </w:pPr>
      <w:r w:rsidRPr="004F4CD0">
        <w:rPr>
          <w:sz w:val="20"/>
          <w:vertAlign w:val="superscript"/>
          <w:lang w:val="es-ES_tradnl"/>
        </w:rPr>
        <w:t>+</w:t>
      </w:r>
      <w:r w:rsidRPr="004F4CD0">
        <w:rPr>
          <w:sz w:val="20"/>
          <w:lang w:val="es-ES_tradnl"/>
        </w:rPr>
        <w:t xml:space="preserve"> Tasas de acontecimientos basadas en estimaciones de Kaplan</w:t>
      </w:r>
      <w:r w:rsidRPr="004F4CD0">
        <w:rPr>
          <w:sz w:val="20"/>
          <w:lang w:val="es-ES_tradnl"/>
        </w:rPr>
        <w:noBreakHyphen/>
        <w:t>Meier a los 3 años.</w:t>
      </w:r>
    </w:p>
    <w:p w14:paraId="27F3D1B6" w14:textId="77777777" w:rsidR="008011D6" w:rsidRPr="004F4CD0" w:rsidRDefault="008011D6" w:rsidP="00B97FC6">
      <w:pPr>
        <w:rPr>
          <w:sz w:val="20"/>
          <w:szCs w:val="20"/>
          <w:lang w:val="es-ES_tradnl"/>
        </w:rPr>
      </w:pPr>
      <w:r w:rsidRPr="004F4CD0">
        <w:rPr>
          <w:sz w:val="20"/>
          <w:vertAlign w:val="superscript"/>
          <w:lang w:val="es-ES_tradnl"/>
        </w:rPr>
        <w:t>1</w:t>
      </w:r>
      <w:r w:rsidRPr="004F4CD0">
        <w:rPr>
          <w:sz w:val="20"/>
          <w:lang w:val="es-ES_tradnl"/>
        </w:rPr>
        <w:t xml:space="preserve"> Incluye fracturas vertebrales y fracturas no vertebrales clínicas.</w:t>
      </w:r>
    </w:p>
    <w:p w14:paraId="4FC103D0" w14:textId="77777777" w:rsidR="008011D6" w:rsidRPr="004F4CD0" w:rsidRDefault="008011D6" w:rsidP="00B97FC6">
      <w:pPr>
        <w:rPr>
          <w:sz w:val="20"/>
          <w:szCs w:val="20"/>
          <w:lang w:val="es-ES_tradnl"/>
        </w:rPr>
      </w:pPr>
      <w:r w:rsidRPr="004F4CD0">
        <w:rPr>
          <w:sz w:val="20"/>
          <w:vertAlign w:val="superscript"/>
          <w:lang w:val="es-ES_tradnl"/>
        </w:rPr>
        <w:t>2</w:t>
      </w:r>
      <w:r w:rsidRPr="004F4CD0">
        <w:rPr>
          <w:sz w:val="20"/>
          <w:lang w:val="es-ES_tradnl"/>
        </w:rPr>
        <w:t xml:space="preserve"> Excluye las vertebrales, de cráneo, cara, mandíbula, metacarpo y falanges de manos y pies.</w:t>
      </w:r>
    </w:p>
    <w:p w14:paraId="3ABC3474" w14:textId="77777777" w:rsidR="008011D6" w:rsidRPr="004F4CD0" w:rsidRDefault="008011D6" w:rsidP="00B97FC6">
      <w:pPr>
        <w:rPr>
          <w:sz w:val="20"/>
          <w:szCs w:val="20"/>
          <w:lang w:val="es-ES_tradnl"/>
        </w:rPr>
      </w:pPr>
      <w:r w:rsidRPr="004F4CD0">
        <w:rPr>
          <w:sz w:val="20"/>
          <w:vertAlign w:val="superscript"/>
          <w:lang w:val="es-ES_tradnl"/>
        </w:rPr>
        <w:t>3</w:t>
      </w:r>
      <w:r w:rsidRPr="004F4CD0">
        <w:rPr>
          <w:sz w:val="20"/>
          <w:lang w:val="es-ES_tradnl"/>
        </w:rPr>
        <w:t xml:space="preserve"> Incluye pelvis, fémur distal, tibia proximal, costillas, húmero proximal, antebrazo y cadera.</w:t>
      </w:r>
    </w:p>
    <w:p w14:paraId="61352393" w14:textId="77777777" w:rsidR="008011D6" w:rsidRPr="004F4CD0" w:rsidRDefault="008011D6" w:rsidP="00C345B1">
      <w:pPr>
        <w:rPr>
          <w:sz w:val="20"/>
          <w:szCs w:val="20"/>
          <w:lang w:val="es-ES_tradnl"/>
        </w:rPr>
      </w:pPr>
      <w:r w:rsidRPr="004F4CD0">
        <w:rPr>
          <w:sz w:val="20"/>
          <w:vertAlign w:val="superscript"/>
          <w:lang w:val="es-ES_tradnl"/>
        </w:rPr>
        <w:t>4</w:t>
      </w:r>
      <w:r w:rsidRPr="004F4CD0">
        <w:rPr>
          <w:sz w:val="20"/>
          <w:lang w:val="es-ES_tradnl"/>
        </w:rPr>
        <w:t xml:space="preserve"> Incluye fracturas vertebrales clínicas, de cadera, de antebrazo y de húmero, según la definición de la OMS.</w:t>
      </w:r>
    </w:p>
    <w:p w14:paraId="4EA2ABA6" w14:textId="77777777" w:rsidR="008011D6" w:rsidRPr="004F4CD0" w:rsidRDefault="008011D6" w:rsidP="008B4ED7">
      <w:pPr>
        <w:rPr>
          <w:lang w:val="es-ES_tradnl"/>
        </w:rPr>
      </w:pPr>
    </w:p>
    <w:p w14:paraId="519FD2B3" w14:textId="531A141E" w:rsidR="008603DE" w:rsidRPr="004F4CD0" w:rsidRDefault="008011D6" w:rsidP="008B4ED7">
      <w:pPr>
        <w:rPr>
          <w:lang w:val="es-ES_tradnl"/>
        </w:rPr>
      </w:pPr>
      <w:r w:rsidRPr="004F4CD0">
        <w:rPr>
          <w:lang w:val="es-ES_tradnl"/>
        </w:rPr>
        <w:t>En mujeres con DMO basal en el cuello femoral de ≤ </w:t>
      </w:r>
      <w:r w:rsidRPr="004F4CD0">
        <w:rPr>
          <w:lang w:val="es-ES_tradnl"/>
        </w:rPr>
        <w:noBreakHyphen/>
        <w:t xml:space="preserve">2,5, </w:t>
      </w:r>
      <w:r w:rsidR="008716D8" w:rsidRPr="004F4CD0">
        <w:rPr>
          <w:lang w:val="es-ES_tradnl"/>
        </w:rPr>
        <w:t xml:space="preserve">denosumab </w:t>
      </w:r>
      <w:r w:rsidRPr="004F4CD0">
        <w:rPr>
          <w:lang w:val="es-ES_tradnl"/>
        </w:rPr>
        <w:t>redujo el riesgo de fracturas no vertebrales (reducción del riesgo relativo del 35%, reducción del riesgo absoluto del 4,1%, p &lt; 0,001, análisis exploratorio).</w:t>
      </w:r>
    </w:p>
    <w:p w14:paraId="7B62FD3B" w14:textId="77777777" w:rsidR="008011D6" w:rsidRPr="004F4CD0" w:rsidRDefault="008011D6" w:rsidP="008B4ED7">
      <w:pPr>
        <w:rPr>
          <w:lang w:val="es-ES_tradnl"/>
        </w:rPr>
      </w:pPr>
    </w:p>
    <w:p w14:paraId="1F99C954" w14:textId="2A82ADAC" w:rsidR="008603DE" w:rsidRPr="004F4CD0" w:rsidRDefault="008011D6" w:rsidP="008B4ED7">
      <w:pPr>
        <w:rPr>
          <w:lang w:val="es-ES_tradnl"/>
        </w:rPr>
      </w:pPr>
      <w:r w:rsidRPr="004F4CD0">
        <w:rPr>
          <w:lang w:val="es-ES_tradnl"/>
        </w:rPr>
        <w:t xml:space="preserve">La reducción de la incidencia de nuevas fracturas vertebrales, fracturas de cadera y fracturas no vertebrales con </w:t>
      </w:r>
      <w:r w:rsidR="008716D8" w:rsidRPr="004F4CD0">
        <w:rPr>
          <w:lang w:val="es-ES_tradnl"/>
        </w:rPr>
        <w:t xml:space="preserve">denosumab </w:t>
      </w:r>
      <w:r w:rsidRPr="004F4CD0">
        <w:rPr>
          <w:lang w:val="es-ES_tradnl"/>
        </w:rPr>
        <w:t>durante 3 años fue constante, independientemente del riesgo de fractura basal a los 10 años.</w:t>
      </w:r>
    </w:p>
    <w:p w14:paraId="69CD6FF5" w14:textId="77777777" w:rsidR="008011D6" w:rsidRPr="004F4CD0" w:rsidRDefault="008011D6" w:rsidP="008B4ED7">
      <w:pPr>
        <w:rPr>
          <w:lang w:val="es-ES_tradnl"/>
        </w:rPr>
      </w:pPr>
    </w:p>
    <w:p w14:paraId="094CFF0C" w14:textId="77777777" w:rsidR="008011D6" w:rsidRPr="004F4CD0" w:rsidRDefault="008011D6" w:rsidP="008B4ED7">
      <w:pPr>
        <w:keepNext/>
        <w:tabs>
          <w:tab w:val="clear" w:pos="567"/>
        </w:tabs>
        <w:rPr>
          <w:i/>
          <w:iCs/>
          <w:lang w:val="es-ES_tradnl"/>
        </w:rPr>
      </w:pPr>
      <w:r w:rsidRPr="004F4CD0">
        <w:rPr>
          <w:i/>
          <w:lang w:val="es-ES_tradnl"/>
        </w:rPr>
        <w:t>Efecto sobre la densidad mineral ósea</w:t>
      </w:r>
    </w:p>
    <w:p w14:paraId="69E11831" w14:textId="2045A18F" w:rsidR="008603DE" w:rsidRPr="004F4CD0" w:rsidRDefault="008716D8" w:rsidP="008B4ED7">
      <w:pPr>
        <w:rPr>
          <w:lang w:val="es-ES_tradnl"/>
        </w:rPr>
      </w:pPr>
      <w:r w:rsidRPr="004F4CD0">
        <w:rPr>
          <w:lang w:val="es-ES_tradnl"/>
        </w:rPr>
        <w:t xml:space="preserve">Denosumab </w:t>
      </w:r>
      <w:r w:rsidR="008011D6" w:rsidRPr="004F4CD0">
        <w:rPr>
          <w:lang w:val="es-ES_tradnl"/>
        </w:rPr>
        <w:t xml:space="preserve">aumentó la DMO de forma significativa en todas las localizaciones clínicas evaluadas al cabo de 1, 2 y 3 años, en comparación con placebo. </w:t>
      </w:r>
      <w:r w:rsidRPr="004F4CD0">
        <w:rPr>
          <w:lang w:val="es-ES_tradnl"/>
        </w:rPr>
        <w:t xml:space="preserve">Denosumab </w:t>
      </w:r>
      <w:r w:rsidR="008011D6" w:rsidRPr="004F4CD0">
        <w:rPr>
          <w:lang w:val="es-ES_tradnl"/>
        </w:rPr>
        <w:t>aumentó la DMO en un 9,2% en la columna lumbar, un 6,0% en la cadera total, un 4,8% en el cuello femoral, un 7,9% en el trocánter, un 3,5% en el tercio distal del radio y un 4,1% en todo el cuerpo durante 3 años (en todos los casos p &lt; 0,0001).</w:t>
      </w:r>
    </w:p>
    <w:p w14:paraId="7B6A0FC6" w14:textId="77777777" w:rsidR="008011D6" w:rsidRPr="004F4CD0" w:rsidRDefault="008011D6" w:rsidP="008B4ED7">
      <w:pPr>
        <w:rPr>
          <w:lang w:val="es-ES_tradnl"/>
        </w:rPr>
      </w:pPr>
    </w:p>
    <w:p w14:paraId="2EEC286D" w14:textId="27BCD9D1" w:rsidR="008011D6" w:rsidRPr="004F4CD0" w:rsidRDefault="008011D6" w:rsidP="008B4ED7">
      <w:pPr>
        <w:rPr>
          <w:lang w:val="es-ES_tradnl"/>
        </w:rPr>
      </w:pPr>
      <w:r w:rsidRPr="004F4CD0">
        <w:rPr>
          <w:lang w:val="es-ES_tradnl"/>
        </w:rPr>
        <w:t xml:space="preserve">En ensayos clínicos que investigaron los efectos de la interrupción del tratamiento con </w:t>
      </w:r>
      <w:r w:rsidR="008716D8" w:rsidRPr="004F4CD0">
        <w:rPr>
          <w:lang w:val="es-ES_tradnl"/>
        </w:rPr>
        <w:t xml:space="preserve">denosumab </w:t>
      </w:r>
      <w:r w:rsidRPr="004F4CD0">
        <w:rPr>
          <w:lang w:val="es-ES_tradnl"/>
        </w:rPr>
        <w:t xml:space="preserve">, la DMO volvió a unos niveles similares a los anteriores al tratamiento y se mantuvo por encima del grupo placebo en los 18 meses posteriores a la última dosis. Estos datos indican que es necesario el tratamiento continuo con </w:t>
      </w:r>
      <w:r w:rsidR="00733A39" w:rsidRPr="004F4CD0">
        <w:rPr>
          <w:lang w:val="es-ES_tradnl"/>
        </w:rPr>
        <w:t xml:space="preserve">denosumab </w:t>
      </w:r>
      <w:r w:rsidRPr="004F4CD0">
        <w:rPr>
          <w:lang w:val="es-ES_tradnl"/>
        </w:rPr>
        <w:t xml:space="preserve">para mantener el efecto del medicamento. El reinicio de la administración de </w:t>
      </w:r>
      <w:r w:rsidR="00733A39" w:rsidRPr="004F4CD0">
        <w:rPr>
          <w:lang w:val="es-ES_tradnl"/>
        </w:rPr>
        <w:t xml:space="preserve">denosumab </w:t>
      </w:r>
      <w:r w:rsidRPr="004F4CD0">
        <w:rPr>
          <w:lang w:val="es-ES_tradnl"/>
        </w:rPr>
        <w:t xml:space="preserve">dio lugar a aumentos en la DMO similares a los obtenidos con la primera administración de </w:t>
      </w:r>
      <w:r w:rsidR="00733A39" w:rsidRPr="004F4CD0">
        <w:rPr>
          <w:lang w:val="es-ES_tradnl"/>
        </w:rPr>
        <w:t>denosumab</w:t>
      </w:r>
      <w:r w:rsidRPr="004F4CD0">
        <w:rPr>
          <w:lang w:val="es-ES_tradnl"/>
        </w:rPr>
        <w:t>.</w:t>
      </w:r>
    </w:p>
    <w:p w14:paraId="34D79D10" w14:textId="77777777" w:rsidR="00D475CF" w:rsidRPr="004F4CD0" w:rsidRDefault="00D475CF" w:rsidP="008B4ED7">
      <w:pPr>
        <w:rPr>
          <w:lang w:val="es-ES_tradnl"/>
        </w:rPr>
      </w:pPr>
    </w:p>
    <w:p w14:paraId="4EB142E2" w14:textId="77777777" w:rsidR="00D475CF" w:rsidRPr="004F4CD0" w:rsidRDefault="00D475CF" w:rsidP="008B4ED7">
      <w:pPr>
        <w:keepNext/>
        <w:tabs>
          <w:tab w:val="clear" w:pos="567"/>
        </w:tabs>
        <w:rPr>
          <w:i/>
          <w:iCs/>
          <w:lang w:val="es-ES_tradnl"/>
        </w:rPr>
      </w:pPr>
      <w:r w:rsidRPr="004F4CD0">
        <w:rPr>
          <w:i/>
          <w:lang w:val="es-ES_tradnl"/>
        </w:rPr>
        <w:t>Estudio de extensión abierto en el tratamiento de la osteoporosis posmenopáusica</w:t>
      </w:r>
    </w:p>
    <w:p w14:paraId="015FAA4D" w14:textId="00AC94B6" w:rsidR="00C2322D" w:rsidRPr="004F4CD0" w:rsidRDefault="009214A2" w:rsidP="008B4ED7">
      <w:pPr>
        <w:rPr>
          <w:lang w:val="es-ES_tradnl"/>
        </w:rPr>
      </w:pPr>
      <w:r w:rsidRPr="004F4CD0">
        <w:rPr>
          <w:lang w:val="es-ES_tradnl"/>
        </w:rPr>
        <w:t xml:space="preserve">Un total de 4.550 mujeres (2.343 con </w:t>
      </w:r>
      <w:r w:rsidR="00733A39" w:rsidRPr="004F4CD0">
        <w:rPr>
          <w:lang w:val="es-ES_tradnl"/>
        </w:rPr>
        <w:t xml:space="preserve">denosumab </w:t>
      </w:r>
      <w:r w:rsidRPr="004F4CD0">
        <w:rPr>
          <w:lang w:val="es-ES_tradnl"/>
        </w:rPr>
        <w:t xml:space="preserve">y 2.207 con placebo) que perdieron no más de una dosis de producto en investigación en el estudio pivotal anteriormente descrito y que completaron la visita del mes 36 del estudio, accedieron a ser incluidas en un estudio de extensión, abierto, de un solo grupo, multinacional, multicéntrico y de 7 años de duración para evaluar la seguridad y la eficacia de </w:t>
      </w:r>
      <w:r w:rsidR="00733A39" w:rsidRPr="004F4CD0">
        <w:rPr>
          <w:lang w:val="es-ES_tradnl"/>
        </w:rPr>
        <w:t xml:space="preserve">denosumab </w:t>
      </w:r>
      <w:r w:rsidRPr="004F4CD0">
        <w:rPr>
          <w:lang w:val="es-ES_tradnl"/>
        </w:rPr>
        <w:t xml:space="preserve">a largo plazo. Todas las mujeres incluidas en el estudio de extensión estaban recibiendo 60 mg de </w:t>
      </w:r>
      <w:r w:rsidR="00733A39" w:rsidRPr="004F4CD0">
        <w:rPr>
          <w:lang w:val="es-ES_tradnl"/>
        </w:rPr>
        <w:t xml:space="preserve">denosumab </w:t>
      </w:r>
      <w:r w:rsidRPr="004F4CD0">
        <w:rPr>
          <w:lang w:val="es-ES_tradnl"/>
        </w:rPr>
        <w:t>cada 6 meses, así como calcio (al menos 1 g) y vitamina D (al menos 400 UI) diariamente. Un total de 2.626 sujetos (58% de las mujeres incluidas en el estudio de extensión, es decir, el 34% de las mujeres incluidas en el estudio pivotal) completaron el estudio de extensión.</w:t>
      </w:r>
    </w:p>
    <w:p w14:paraId="4E15096A" w14:textId="77777777" w:rsidR="00EF4A9D" w:rsidRPr="004F4CD0" w:rsidRDefault="00EF4A9D" w:rsidP="008B4ED7">
      <w:pPr>
        <w:rPr>
          <w:lang w:val="es-ES_tradnl"/>
        </w:rPr>
      </w:pPr>
    </w:p>
    <w:p w14:paraId="1816FF41" w14:textId="77D1B9E2" w:rsidR="00CB6286" w:rsidRPr="004F4CD0" w:rsidRDefault="00EF4A9D" w:rsidP="00BF0C34">
      <w:pPr>
        <w:rPr>
          <w:lang w:val="es-ES_tradnl"/>
        </w:rPr>
      </w:pPr>
      <w:r w:rsidRPr="004F4CD0">
        <w:rPr>
          <w:lang w:val="es-ES_tradnl"/>
        </w:rPr>
        <w:t xml:space="preserve">En los pacientes tratados con </w:t>
      </w:r>
      <w:r w:rsidR="00733A39" w:rsidRPr="004F4CD0">
        <w:rPr>
          <w:lang w:val="es-ES_tradnl"/>
        </w:rPr>
        <w:t xml:space="preserve">denosumab </w:t>
      </w:r>
      <w:r w:rsidRPr="004F4CD0">
        <w:rPr>
          <w:lang w:val="es-ES_tradnl"/>
        </w:rPr>
        <w:t>durante 10 años, la DMO aumentó respecto al valor basal del estudio pivotal un 21,7% en la columna lumbar, 9,2% en la cadera total, 9,0% en el cuello femoral, 13,0% en el trocánter y 2,8% en el tercio distal del radio. La media de la puntuación T de DMO en columna lumbar al finalizar el estudio fue -1,3 en pacientes tratados durante 10 años.</w:t>
      </w:r>
    </w:p>
    <w:p w14:paraId="454B1417" w14:textId="77777777" w:rsidR="00EF4A9D" w:rsidRPr="004F4CD0" w:rsidRDefault="00EF4A9D" w:rsidP="008B4ED7">
      <w:pPr>
        <w:rPr>
          <w:lang w:val="es-ES_tradnl"/>
        </w:rPr>
      </w:pPr>
    </w:p>
    <w:p w14:paraId="6C4E8806" w14:textId="513DECA3" w:rsidR="00243D11" w:rsidRPr="004F4CD0" w:rsidRDefault="009214A2" w:rsidP="008B4ED7">
      <w:pPr>
        <w:rPr>
          <w:lang w:val="es-ES_tradnl"/>
        </w:rPr>
      </w:pPr>
      <w:r w:rsidRPr="004F4CD0">
        <w:rPr>
          <w:lang w:val="es-ES_tradnl"/>
        </w:rPr>
        <w:t>La incidencia de fracturas se evaluó como variable de seguridad</w:t>
      </w:r>
      <w:r w:rsidR="00843AA5" w:rsidRPr="004F4CD0">
        <w:rPr>
          <w:lang w:val="es-ES_tradnl"/>
        </w:rPr>
        <w:t>,</w:t>
      </w:r>
      <w:r w:rsidRPr="004F4CD0">
        <w:rPr>
          <w:lang w:val="es-ES_tradnl"/>
        </w:rPr>
        <w:t xml:space="preserve"> pero la eficacia en la prevención de fracturas no pudo ser estimada debido al elevado número de interrupciones y al diseño abierto del estudio. En pacientes que permanecieron en tratamiento con denosumab durante 10 años (n = 1.278), la incidencia acumulada de nuevas fracturas vertebrales y no vertebrales fue aproximadamente del 6,8% y del 13,1% respectivamente. Los pacientes que no completaron el estudio por cualquier motivo presentaron tasas superiores de fracturas durante el tratamiento.</w:t>
      </w:r>
    </w:p>
    <w:p w14:paraId="1BC54DEF" w14:textId="77777777" w:rsidR="009214A2" w:rsidRPr="004F4CD0" w:rsidRDefault="009214A2" w:rsidP="008B4ED7">
      <w:pPr>
        <w:rPr>
          <w:lang w:val="es-ES_tradnl"/>
        </w:rPr>
      </w:pPr>
    </w:p>
    <w:p w14:paraId="7B4B981F" w14:textId="77777777" w:rsidR="008603DE" w:rsidRPr="004F4CD0" w:rsidRDefault="00EF4A9D" w:rsidP="008B4ED7">
      <w:pPr>
        <w:rPr>
          <w:lang w:val="es-ES_tradnl"/>
        </w:rPr>
      </w:pPr>
      <w:r w:rsidRPr="004F4CD0">
        <w:rPr>
          <w:lang w:val="es-ES_tradnl"/>
        </w:rPr>
        <w:t>Durante el estudio de extensión ocurrieron trece casos adjudicados de osteonecrosis mandibular (ONM) y dos casos adjudicados de fracturas atípicas de fémur.</w:t>
      </w:r>
    </w:p>
    <w:p w14:paraId="1E17D659" w14:textId="77777777" w:rsidR="009214A2" w:rsidRPr="004F4CD0" w:rsidRDefault="009214A2" w:rsidP="008B4ED7">
      <w:pPr>
        <w:rPr>
          <w:lang w:val="es-ES_tradnl"/>
        </w:rPr>
      </w:pPr>
    </w:p>
    <w:p w14:paraId="1386DC31" w14:textId="77777777" w:rsidR="002C7BCD" w:rsidRPr="004F4CD0" w:rsidRDefault="002C7BCD" w:rsidP="008B4ED7">
      <w:pPr>
        <w:keepNext/>
        <w:rPr>
          <w:u w:val="single"/>
          <w:lang w:val="es-ES_tradnl"/>
        </w:rPr>
      </w:pPr>
      <w:r w:rsidRPr="004F4CD0">
        <w:rPr>
          <w:u w:val="single"/>
          <w:lang w:val="es-ES_tradnl"/>
        </w:rPr>
        <w:t>Eficacia clínica y seguridad en varones con osteoporosis</w:t>
      </w:r>
    </w:p>
    <w:p w14:paraId="37B9FEB2" w14:textId="77777777" w:rsidR="00233FFD" w:rsidRPr="004F4CD0" w:rsidRDefault="00233FFD" w:rsidP="008B4ED7">
      <w:pPr>
        <w:keepNext/>
        <w:rPr>
          <w:lang w:val="es-ES_tradnl"/>
        </w:rPr>
      </w:pPr>
    </w:p>
    <w:p w14:paraId="756CC3A9" w14:textId="43D4F84B" w:rsidR="008603DE" w:rsidRPr="004F4CD0" w:rsidRDefault="00233FFD" w:rsidP="008B4ED7">
      <w:pPr>
        <w:rPr>
          <w:lang w:val="es-ES_tradnl"/>
        </w:rPr>
      </w:pPr>
      <w:r w:rsidRPr="004F4CD0">
        <w:rPr>
          <w:lang w:val="es-ES_tradnl"/>
        </w:rPr>
        <w:t xml:space="preserve">Se ha investigado la eficacia y seguridad de </w:t>
      </w:r>
      <w:r w:rsidR="00733A39" w:rsidRPr="004F4CD0">
        <w:rPr>
          <w:lang w:val="es-ES_tradnl"/>
        </w:rPr>
        <w:t xml:space="preserve">denosumab </w:t>
      </w:r>
      <w:r w:rsidRPr="004F4CD0">
        <w:rPr>
          <w:lang w:val="es-ES_tradnl"/>
        </w:rPr>
        <w:t>administrado una vez cada 6 meses durante 1 año en 242 hombres de entre 31</w:t>
      </w:r>
      <w:r w:rsidRPr="004F4CD0">
        <w:rPr>
          <w:lang w:val="es-ES_tradnl"/>
        </w:rPr>
        <w:noBreakHyphen/>
        <w:t>84 años. Los sujetos con eGFR &lt; 30 ml/min/1,73 m</w:t>
      </w:r>
      <w:r w:rsidRPr="004F4CD0">
        <w:rPr>
          <w:vertAlign w:val="superscript"/>
          <w:lang w:val="es-ES_tradnl"/>
        </w:rPr>
        <w:t>2</w:t>
      </w:r>
      <w:r w:rsidRPr="004F4CD0">
        <w:rPr>
          <w:lang w:val="es-ES_tradnl"/>
        </w:rPr>
        <w:t xml:space="preserve"> fueron excluidos del estudio. Todos los varones recibieron suplementos diarios de calcio (al menos 1.000 mg) y vitamina D (al menos 800 UI).</w:t>
      </w:r>
    </w:p>
    <w:p w14:paraId="689B11CB" w14:textId="77777777" w:rsidR="00233FFD" w:rsidRPr="004F4CD0" w:rsidRDefault="00233FFD" w:rsidP="008B4ED7">
      <w:pPr>
        <w:rPr>
          <w:lang w:val="es-ES_tradnl"/>
        </w:rPr>
      </w:pPr>
    </w:p>
    <w:p w14:paraId="20068C10" w14:textId="0C2469AF" w:rsidR="008603DE" w:rsidRPr="004F4CD0" w:rsidRDefault="00233FFD" w:rsidP="008B4ED7">
      <w:pPr>
        <w:rPr>
          <w:lang w:val="es-ES_tradnl"/>
        </w:rPr>
      </w:pPr>
      <w:r w:rsidRPr="004F4CD0">
        <w:rPr>
          <w:lang w:val="es-ES_tradnl"/>
        </w:rPr>
        <w:t xml:space="preserve">La variable primaria de eficacia fue el porcentaje de cambio de la DMO en la columna lumbar, la eficacia en fracturas no fue evaluada. </w:t>
      </w:r>
      <w:r w:rsidR="00733A39" w:rsidRPr="004F4CD0">
        <w:rPr>
          <w:lang w:val="es-ES_tradnl"/>
        </w:rPr>
        <w:t xml:space="preserve">Denosumab </w:t>
      </w:r>
      <w:r w:rsidRPr="004F4CD0">
        <w:rPr>
          <w:lang w:val="es-ES_tradnl"/>
        </w:rPr>
        <w:t xml:space="preserve">aumentó significativamente la DMO en todas las localizaciones medidas respecto a placebo a los 12 meses: 4,8% en la columna lumbar, 2,0% en la cadera total, 2,2% en el cuello femoral, 2,3% en el trocánter y 0,9% en el tercio distal del radio (en todos los casos p &lt; 0,05). </w:t>
      </w:r>
      <w:r w:rsidR="00733A39" w:rsidRPr="004F4CD0">
        <w:rPr>
          <w:lang w:val="es-ES_tradnl"/>
        </w:rPr>
        <w:t xml:space="preserve">Denosumab </w:t>
      </w:r>
      <w:r w:rsidRPr="004F4CD0">
        <w:rPr>
          <w:lang w:val="es-ES_tradnl"/>
        </w:rPr>
        <w:t>aumentó la DMO en la columna lumbar desde el valor basal en el 94,7% de los varones al cabo de 1 año. Se observaron aumentos significativos de la DMO en la columna lumbar, cadera total, cuello femoral y trocánter (p &lt; 0,0001) alrededor de los 6 meses.</w:t>
      </w:r>
    </w:p>
    <w:p w14:paraId="36380A32" w14:textId="77777777" w:rsidR="00233FFD" w:rsidRPr="004F4CD0" w:rsidRDefault="00233FFD" w:rsidP="008B4ED7">
      <w:pPr>
        <w:rPr>
          <w:lang w:val="es-ES_tradnl"/>
        </w:rPr>
      </w:pPr>
    </w:p>
    <w:p w14:paraId="1EEBE57A" w14:textId="77777777" w:rsidR="002C7BCD" w:rsidRPr="004F4CD0" w:rsidRDefault="00233FFD" w:rsidP="008B4ED7">
      <w:pPr>
        <w:keepNext/>
        <w:rPr>
          <w:u w:val="single"/>
          <w:lang w:val="es-ES_tradnl"/>
        </w:rPr>
      </w:pPr>
      <w:r w:rsidRPr="004F4CD0">
        <w:rPr>
          <w:u w:val="single"/>
          <w:lang w:val="es-ES_tradnl"/>
        </w:rPr>
        <w:t>Histología ósea en mujeres posmenopáusicas y en varones con osteoporosis</w:t>
      </w:r>
    </w:p>
    <w:p w14:paraId="5ACF2D78" w14:textId="77777777" w:rsidR="00233FFD" w:rsidRPr="004F4CD0" w:rsidRDefault="00233FFD" w:rsidP="008B4ED7">
      <w:pPr>
        <w:keepNext/>
        <w:rPr>
          <w:lang w:val="es-ES_tradnl"/>
        </w:rPr>
      </w:pPr>
    </w:p>
    <w:p w14:paraId="59103E9E" w14:textId="164007BD" w:rsidR="008603DE" w:rsidRPr="004F4CD0" w:rsidRDefault="009214A2" w:rsidP="008B4ED7">
      <w:pPr>
        <w:rPr>
          <w:lang w:val="es-ES_tradnl"/>
        </w:rPr>
      </w:pPr>
      <w:r w:rsidRPr="004F4CD0">
        <w:rPr>
          <w:lang w:val="es-ES_tradnl"/>
        </w:rPr>
        <w:t>La histología ósea se evaluó tras 1</w:t>
      </w:r>
      <w:r w:rsidRPr="004F4CD0">
        <w:rPr>
          <w:lang w:val="es-ES_tradnl"/>
        </w:rPr>
        <w:noBreakHyphen/>
        <w:t xml:space="preserve">3 años de tratamiento con </w:t>
      </w:r>
      <w:r w:rsidR="00733A39" w:rsidRPr="004F4CD0">
        <w:rPr>
          <w:lang w:val="es-ES_tradnl"/>
        </w:rPr>
        <w:t xml:space="preserve">denosumab </w:t>
      </w:r>
      <w:r w:rsidRPr="004F4CD0">
        <w:rPr>
          <w:lang w:val="es-ES_tradnl"/>
        </w:rPr>
        <w:t xml:space="preserve">en 62 mujeres posmenopáusicas con osteoporosis o con una masa ósea baja que eran naïve a tratamientos para la osteoporosis o que habían sido previamente tratadas con alendronato. Cincuenta y nueve mujeres participaron en el subestudio de biopsias óseas en el mes 24 (n = 41) y/o en el mes 84 (n = 22) del estudio de extensión en mujeres posmenopáusicas con osteoporosis. La histología ósea también se evaluó en 17 varones con osteoporosis tras 1 año de tratamiento con </w:t>
      </w:r>
      <w:r w:rsidR="00733A39" w:rsidRPr="004F4CD0">
        <w:rPr>
          <w:lang w:val="es-ES_tradnl"/>
        </w:rPr>
        <w:t>denosumab</w:t>
      </w:r>
      <w:r w:rsidRPr="004F4CD0">
        <w:rPr>
          <w:lang w:val="es-ES_tradnl"/>
        </w:rPr>
        <w:t>. Los resultados de la biopsia ósea mostraron unos huesos de calidad y estructura normales sin indicios de defectos de mineralización, hueso amorfo o fibrosis medular. Los hallazgos histomorfométricos en el estudio de extensión en mujeres posmenopáusicas con osteoporosis mostraron que el efecto anti</w:t>
      </w:r>
      <w:r w:rsidR="002E692F" w:rsidRPr="004F4CD0">
        <w:rPr>
          <w:lang w:val="es-ES_tradnl"/>
        </w:rPr>
        <w:t>r</w:t>
      </w:r>
      <w:r w:rsidRPr="004F4CD0">
        <w:rPr>
          <w:lang w:val="es-ES_tradnl"/>
        </w:rPr>
        <w:t xml:space="preserve">esortivo de </w:t>
      </w:r>
      <w:r w:rsidR="00733A39" w:rsidRPr="004F4CD0">
        <w:rPr>
          <w:lang w:val="es-ES_tradnl"/>
        </w:rPr>
        <w:t>denosumab</w:t>
      </w:r>
      <w:r w:rsidRPr="004F4CD0">
        <w:rPr>
          <w:lang w:val="es-ES_tradnl"/>
        </w:rPr>
        <w:t>, medido por la frecuencia de activación y la tasa de formación ósea, se mantuvieron con el tiempo.</w:t>
      </w:r>
    </w:p>
    <w:p w14:paraId="5F3F0E0F" w14:textId="77777777" w:rsidR="00233FFD" w:rsidRPr="004F4CD0" w:rsidRDefault="00233FFD" w:rsidP="008B4ED7">
      <w:pPr>
        <w:rPr>
          <w:lang w:val="es-ES_tradnl"/>
        </w:rPr>
      </w:pPr>
    </w:p>
    <w:p w14:paraId="110B4D6A" w14:textId="77777777" w:rsidR="00992A6A" w:rsidRPr="004F4CD0" w:rsidRDefault="002C7BCD" w:rsidP="008B4ED7">
      <w:pPr>
        <w:keepNext/>
        <w:rPr>
          <w:u w:val="single"/>
          <w:lang w:val="es-ES_tradnl"/>
        </w:rPr>
      </w:pPr>
      <w:r w:rsidRPr="004F4CD0">
        <w:rPr>
          <w:u w:val="single"/>
          <w:lang w:val="es-ES_tradnl"/>
        </w:rPr>
        <w:t>Eficacia clínica y seguridad en pacientes con pérdida ósea asociada a la deprivación androgénica</w:t>
      </w:r>
    </w:p>
    <w:p w14:paraId="79A58790" w14:textId="77777777" w:rsidR="002C7BCD" w:rsidRPr="004F4CD0" w:rsidRDefault="002C7BCD" w:rsidP="008B4ED7">
      <w:pPr>
        <w:keepNext/>
        <w:rPr>
          <w:lang w:val="es-ES_tradnl"/>
        </w:rPr>
      </w:pPr>
    </w:p>
    <w:p w14:paraId="5E4E9805" w14:textId="31759110" w:rsidR="008603DE" w:rsidRPr="004F4CD0" w:rsidRDefault="00992A6A" w:rsidP="008B4ED7">
      <w:pPr>
        <w:rPr>
          <w:lang w:val="es-ES_tradnl"/>
        </w:rPr>
      </w:pPr>
      <w:r w:rsidRPr="004F4CD0">
        <w:rPr>
          <w:lang w:val="es-ES_tradnl"/>
        </w:rPr>
        <w:t xml:space="preserve">Se ha investigado la eficacia y seguridad de </w:t>
      </w:r>
      <w:r w:rsidR="00733A39" w:rsidRPr="004F4CD0">
        <w:rPr>
          <w:lang w:val="es-ES_tradnl"/>
        </w:rPr>
        <w:t xml:space="preserve">denosumab </w:t>
      </w:r>
      <w:r w:rsidRPr="004F4CD0">
        <w:rPr>
          <w:lang w:val="es-ES_tradnl"/>
        </w:rPr>
        <w:t>administrado una vez cada 6 meses durante 3 años en varones con cáncer de próstata no metastásico confirmado histológicamente, que recibían tratamiento de deprivación androgénica (1.468 hombres de entre 48 y 97 años) y que presentaban un riesgo incrementado de fractura (definido como &gt; 70 años, o &lt; 70 años con puntuaciones T de la DMO en columna lumbar, cadera total o cuello femoral &lt; </w:t>
      </w:r>
      <w:r w:rsidRPr="004F4CD0">
        <w:rPr>
          <w:lang w:val="es-ES_tradnl"/>
        </w:rPr>
        <w:noBreakHyphen/>
        <w:t>1,0 o antecedentes de fractura osteoporótica). Todos recibieron suplementos diarios de calcio (como mínimo 1.000 mg) y vitamina D (como mínimo 400 UI).</w:t>
      </w:r>
    </w:p>
    <w:p w14:paraId="082AE9A3" w14:textId="77777777" w:rsidR="00992A6A" w:rsidRPr="004F4CD0" w:rsidRDefault="00992A6A" w:rsidP="008B4ED7">
      <w:pPr>
        <w:rPr>
          <w:lang w:val="es-ES_tradnl"/>
        </w:rPr>
      </w:pPr>
    </w:p>
    <w:p w14:paraId="7151C251" w14:textId="064AE905" w:rsidR="00992A6A" w:rsidRPr="004F4CD0" w:rsidRDefault="00733A39" w:rsidP="008B4ED7">
      <w:pPr>
        <w:rPr>
          <w:lang w:val="es-ES_tradnl"/>
        </w:rPr>
      </w:pPr>
      <w:r w:rsidRPr="004F4CD0">
        <w:rPr>
          <w:lang w:val="es-ES_tradnl"/>
        </w:rPr>
        <w:t xml:space="preserve">Denosumab </w:t>
      </w:r>
      <w:r w:rsidR="00992A6A" w:rsidRPr="004F4CD0">
        <w:rPr>
          <w:lang w:val="es-ES_tradnl"/>
        </w:rPr>
        <w:t xml:space="preserve">aumentó significativamente la DMO en todas las localizaciones clínicas evaluadas al cabo de 3 años en comparación con el tratamiento con placebo: un 7,9% en la columna lumbar, un 5,7% en </w:t>
      </w:r>
      <w:r w:rsidR="00992A6A" w:rsidRPr="004F4CD0">
        <w:rPr>
          <w:lang w:val="es-ES_tradnl"/>
        </w:rPr>
        <w:lastRenderedPageBreak/>
        <w:t>la cadera total, un 4,9% en el cuello femoral, un 6,9% en el trocánter, un 6,9% en el tercio distal del radio y un 4,7% en cuerpo total (en todos los casos p &lt; 0,0001). En un análisis prospectivo exploratorio, se observaron aumentos significativos en la DMO en la columna lumbar, la cadera total, el cuello femoral y el trocánter 1 mes después de la dosis inicial.</w:t>
      </w:r>
    </w:p>
    <w:p w14:paraId="68988ECA" w14:textId="77777777" w:rsidR="00992A6A" w:rsidRPr="004F4CD0" w:rsidRDefault="00992A6A" w:rsidP="008B4ED7">
      <w:pPr>
        <w:rPr>
          <w:lang w:val="es-ES_tradnl"/>
        </w:rPr>
      </w:pPr>
    </w:p>
    <w:p w14:paraId="3FAAD4D8" w14:textId="02DA2A9E" w:rsidR="008603DE" w:rsidRPr="004F4CD0" w:rsidRDefault="00733A39" w:rsidP="008B4ED7">
      <w:pPr>
        <w:rPr>
          <w:lang w:val="es-ES_tradnl"/>
        </w:rPr>
      </w:pPr>
      <w:r w:rsidRPr="004F4CD0">
        <w:rPr>
          <w:lang w:val="es-ES_tradnl"/>
        </w:rPr>
        <w:t xml:space="preserve">Denosumab </w:t>
      </w:r>
      <w:r w:rsidR="00D475CF" w:rsidRPr="004F4CD0">
        <w:rPr>
          <w:lang w:val="es-ES_tradnl"/>
        </w:rPr>
        <w:t>demostró una reducción significativa del riesgo relativo de nuevas fracturas vertebrales: un 85% (reducción del riesgo absoluto del 1,6%) al año, un 69% (reducción del riesgo absoluto del 2,2%) a los 2 años y un 62% (reducción del riesgo absoluto del 2,4%) a los 3 años (en todos los casos p &lt; 0,01).</w:t>
      </w:r>
    </w:p>
    <w:p w14:paraId="17B426CE" w14:textId="77777777" w:rsidR="00992A6A" w:rsidRPr="004F4CD0" w:rsidRDefault="00992A6A" w:rsidP="008B4ED7">
      <w:pPr>
        <w:rPr>
          <w:lang w:val="es-ES_tradnl"/>
        </w:rPr>
      </w:pPr>
    </w:p>
    <w:p w14:paraId="7541797C" w14:textId="77777777" w:rsidR="00992A6A" w:rsidRPr="004F4CD0" w:rsidRDefault="000239F8" w:rsidP="008B4ED7">
      <w:pPr>
        <w:keepNext/>
        <w:rPr>
          <w:u w:val="single"/>
          <w:lang w:val="es-ES_tradnl"/>
        </w:rPr>
      </w:pPr>
      <w:r w:rsidRPr="004F4CD0">
        <w:rPr>
          <w:u w:val="single"/>
          <w:lang w:val="es-ES_tradnl"/>
        </w:rPr>
        <w:t>Eficacia clínica y seguridad en pacientes con pérdida ósea asociada al tratamiento adyuvante con inhibidores de la aromatasa</w:t>
      </w:r>
    </w:p>
    <w:p w14:paraId="6BDE8347" w14:textId="77777777" w:rsidR="000239F8" w:rsidRPr="004F4CD0" w:rsidRDefault="000239F8" w:rsidP="008B4ED7">
      <w:pPr>
        <w:keepNext/>
        <w:rPr>
          <w:lang w:val="es-ES_tradnl"/>
        </w:rPr>
      </w:pPr>
    </w:p>
    <w:p w14:paraId="525F3719" w14:textId="06A1974D" w:rsidR="008603DE" w:rsidRPr="004F4CD0" w:rsidRDefault="00992A6A" w:rsidP="008B4ED7">
      <w:pPr>
        <w:rPr>
          <w:lang w:val="es-ES_tradnl"/>
        </w:rPr>
      </w:pPr>
      <w:r w:rsidRPr="004F4CD0">
        <w:rPr>
          <w:lang w:val="es-ES_tradnl"/>
        </w:rPr>
        <w:t xml:space="preserve">Se han investigado la eficacia y seguridad de </w:t>
      </w:r>
      <w:r w:rsidR="00733A39" w:rsidRPr="004F4CD0">
        <w:rPr>
          <w:lang w:val="es-ES_tradnl"/>
        </w:rPr>
        <w:t xml:space="preserve">denosumab </w:t>
      </w:r>
      <w:r w:rsidRPr="004F4CD0">
        <w:rPr>
          <w:lang w:val="es-ES_tradnl"/>
        </w:rPr>
        <w:t>administrado una vez cada 6 meses durante 2 años, en mujeres con cáncer de mama no metastásico (252 mujeres de entre 35 y 84 años) y con puntuaciones T basales de la DMO entre -1,0 y -2,5 en la columna lumbar, la cadera total o el cuello femoral. Todas recibieron suplementos diarios de calcio (como mínimo 1.000 mg) y vitamina D (como mínimo 400 UI).</w:t>
      </w:r>
    </w:p>
    <w:p w14:paraId="29D1A11C" w14:textId="77777777" w:rsidR="00992A6A" w:rsidRPr="004F4CD0" w:rsidRDefault="00992A6A" w:rsidP="008B4ED7">
      <w:pPr>
        <w:rPr>
          <w:lang w:val="es-ES_tradnl"/>
        </w:rPr>
      </w:pPr>
    </w:p>
    <w:p w14:paraId="6A1E7FA5" w14:textId="00362109" w:rsidR="008603DE" w:rsidRPr="004F4CD0" w:rsidRDefault="00992A6A" w:rsidP="008B4ED7">
      <w:pPr>
        <w:rPr>
          <w:lang w:val="es-ES_tradnl"/>
        </w:rPr>
      </w:pPr>
      <w:r w:rsidRPr="004F4CD0">
        <w:rPr>
          <w:lang w:val="es-ES_tradnl"/>
        </w:rPr>
        <w:t xml:space="preserve">La variable primaria de eficacia fue el cambio porcentual en la DMO de la columna lumbar, no se evaluó la eficacia en la prevención de fracturas. </w:t>
      </w:r>
      <w:r w:rsidR="00733A39" w:rsidRPr="004F4CD0">
        <w:rPr>
          <w:lang w:val="es-ES_tradnl"/>
        </w:rPr>
        <w:t xml:space="preserve">Denosumab </w:t>
      </w:r>
      <w:r w:rsidRPr="004F4CD0">
        <w:rPr>
          <w:lang w:val="es-ES_tradnl"/>
        </w:rPr>
        <w:t>aumentó la DMO de forma significativa en todas las localizaciones clínicas evaluadas al cabo de 2 años en comparación con el tratamiento con placebo: un 7,6% en columna lumbar, un 4,7% en cadera total, un 3,6% en cuello femoral, un 5,9% en el trocánter, un 6,1% en el tercio distal del radio y un 4,2% en cuerpo total (en todos los casos p &lt; 0,0001).</w:t>
      </w:r>
    </w:p>
    <w:p w14:paraId="2F13B9EE" w14:textId="77777777" w:rsidR="0081033D" w:rsidRPr="004F4CD0" w:rsidRDefault="0081033D" w:rsidP="008B4ED7">
      <w:pPr>
        <w:rPr>
          <w:lang w:val="es-ES_tradnl"/>
        </w:rPr>
      </w:pPr>
    </w:p>
    <w:p w14:paraId="22D0A2E6" w14:textId="77777777" w:rsidR="0081033D" w:rsidRPr="004F4CD0" w:rsidRDefault="0081033D" w:rsidP="008B4ED7">
      <w:pPr>
        <w:keepNext/>
        <w:rPr>
          <w:u w:val="single"/>
          <w:lang w:val="es-ES_tradnl"/>
        </w:rPr>
      </w:pPr>
      <w:r w:rsidRPr="004F4CD0">
        <w:rPr>
          <w:u w:val="single"/>
          <w:lang w:val="es-ES_tradnl"/>
        </w:rPr>
        <w:t>Tratamiento de la pérdida ósea asociada con el tratamiento sistémico con glucocorticoides</w:t>
      </w:r>
    </w:p>
    <w:p w14:paraId="39061750" w14:textId="77777777" w:rsidR="0081033D" w:rsidRPr="004F4CD0" w:rsidRDefault="0081033D" w:rsidP="008B4ED7">
      <w:pPr>
        <w:keepNext/>
        <w:rPr>
          <w:lang w:val="es-ES_tradnl"/>
        </w:rPr>
      </w:pPr>
    </w:p>
    <w:p w14:paraId="39B93606" w14:textId="379DFDA3" w:rsidR="008603DE" w:rsidRPr="004F4CD0" w:rsidRDefault="0081033D" w:rsidP="008B4ED7">
      <w:pPr>
        <w:rPr>
          <w:lang w:val="es-ES_tradnl"/>
        </w:rPr>
      </w:pPr>
      <w:r w:rsidRPr="004F4CD0">
        <w:rPr>
          <w:lang w:val="es-ES_tradnl"/>
        </w:rPr>
        <w:t xml:space="preserve">Se han investigado la eficacia y seguridad de </w:t>
      </w:r>
      <w:r w:rsidR="00733A39" w:rsidRPr="004F4CD0">
        <w:rPr>
          <w:lang w:val="es-ES_tradnl"/>
        </w:rPr>
        <w:t xml:space="preserve">denosumab </w:t>
      </w:r>
      <w:r w:rsidRPr="004F4CD0">
        <w:rPr>
          <w:lang w:val="es-ES_tradnl"/>
        </w:rPr>
        <w:t>en 795 pacientes (70% mujeres y 30% hombres) de entre 20 y 94 años tratados con ≥ 7,5 mg diarios de prednisona (o equivalente) por vía oral.</w:t>
      </w:r>
    </w:p>
    <w:p w14:paraId="115A557B" w14:textId="77777777" w:rsidR="0081033D" w:rsidRPr="004F4CD0" w:rsidRDefault="0081033D" w:rsidP="008B4ED7">
      <w:pPr>
        <w:rPr>
          <w:lang w:val="es-ES_tradnl"/>
        </w:rPr>
      </w:pPr>
    </w:p>
    <w:p w14:paraId="518E063B" w14:textId="43181EF6" w:rsidR="008603DE" w:rsidRPr="004F4CD0" w:rsidRDefault="0081033D" w:rsidP="008B4ED7">
      <w:pPr>
        <w:rPr>
          <w:lang w:val="es-ES_tradnl"/>
        </w:rPr>
      </w:pPr>
      <w:r w:rsidRPr="004F4CD0">
        <w:rPr>
          <w:lang w:val="es-ES_tradnl"/>
        </w:rPr>
        <w:t xml:space="preserve">Se estudiaron dos subpoblaciones: pacientes que continuaban el tratamiento con glucocorticoides (≥ 7,5 mg diarios de prednisona o su equivalente durante ≥ 3 meses antes de su inclusión en el estudio; n = 505) y pacientes que iniciaban el tratamiento con glucocorticoides (≥ 7,5 mg diarios de prednisona o su equivalente durante &lt; 3 meses antes de su inclusión en el estudio; n = 290). Los pacientes se aleatorizaron (1:1) para recibir </w:t>
      </w:r>
      <w:r w:rsidR="00733A39" w:rsidRPr="004F4CD0">
        <w:rPr>
          <w:lang w:val="es-ES_tradnl"/>
        </w:rPr>
        <w:t xml:space="preserve">denosumab </w:t>
      </w:r>
      <w:r w:rsidRPr="004F4CD0">
        <w:rPr>
          <w:lang w:val="es-ES_tradnl"/>
        </w:rPr>
        <w:t>60 mg por vía subcutánea una vez cada 6 meses o 5 mg de risedronato por vía oral una vez al día (control activo) durante 2 años. Los pacientes recibieron suplementos diarios de calcio (como mínimo 1.000 mg) y vitamina D (como mínimo 800 UI).</w:t>
      </w:r>
    </w:p>
    <w:p w14:paraId="5091E843" w14:textId="77777777" w:rsidR="0081033D" w:rsidRPr="004F4CD0" w:rsidRDefault="0081033D" w:rsidP="008B4ED7">
      <w:pPr>
        <w:rPr>
          <w:lang w:val="es-ES_tradnl"/>
        </w:rPr>
      </w:pPr>
    </w:p>
    <w:p w14:paraId="08884296" w14:textId="77777777" w:rsidR="008603DE" w:rsidRPr="004F4CD0" w:rsidRDefault="0081033D" w:rsidP="008B4ED7">
      <w:pPr>
        <w:keepNext/>
        <w:tabs>
          <w:tab w:val="clear" w:pos="567"/>
        </w:tabs>
        <w:rPr>
          <w:i/>
          <w:iCs/>
          <w:lang w:val="es-ES_tradnl"/>
        </w:rPr>
      </w:pPr>
      <w:r w:rsidRPr="004F4CD0">
        <w:rPr>
          <w:i/>
          <w:lang w:val="es-ES_tradnl"/>
        </w:rPr>
        <w:t>Efecto sobre la densidad mineral ósea (DMO)</w:t>
      </w:r>
    </w:p>
    <w:p w14:paraId="6E6F2BB6" w14:textId="632F3352" w:rsidR="0081033D" w:rsidRPr="004F4CD0" w:rsidRDefault="0081033D" w:rsidP="008B4ED7">
      <w:pPr>
        <w:rPr>
          <w:lang w:val="es-ES_tradnl"/>
        </w:rPr>
      </w:pPr>
      <w:r w:rsidRPr="004F4CD0">
        <w:rPr>
          <w:lang w:val="es-ES_tradnl"/>
        </w:rPr>
        <w:t xml:space="preserve">En la subpoblación que continuaba el tratamiento con glucocorticoides, </w:t>
      </w:r>
      <w:r w:rsidR="00733A39" w:rsidRPr="004F4CD0">
        <w:rPr>
          <w:lang w:val="es-ES_tradnl"/>
        </w:rPr>
        <w:t xml:space="preserve">denosumab </w:t>
      </w:r>
      <w:r w:rsidRPr="004F4CD0">
        <w:rPr>
          <w:lang w:val="es-ES_tradnl"/>
        </w:rPr>
        <w:t>demostró un aumento mayor de la DMO en la columna lumbar comparado con risedronato al año (</w:t>
      </w:r>
      <w:r w:rsidR="00733A39" w:rsidRPr="004F4CD0">
        <w:rPr>
          <w:lang w:val="es-ES_tradnl"/>
        </w:rPr>
        <w:t xml:space="preserve">denosumab </w:t>
      </w:r>
      <w:r w:rsidRPr="004F4CD0">
        <w:rPr>
          <w:lang w:val="es-ES_tradnl"/>
        </w:rPr>
        <w:t>3,6%, risedronato 2,0%; p &lt; 0,001) y a los 2 años (</w:t>
      </w:r>
      <w:r w:rsidR="00733A39" w:rsidRPr="004F4CD0">
        <w:rPr>
          <w:lang w:val="es-ES_tradnl"/>
        </w:rPr>
        <w:t xml:space="preserve">denosumab </w:t>
      </w:r>
      <w:r w:rsidRPr="004F4CD0">
        <w:rPr>
          <w:lang w:val="es-ES_tradnl"/>
        </w:rPr>
        <w:t xml:space="preserve">4,5%, risedronato 2,2%; p &lt; 0,001). En la subpoblación que iniciaba el tratamiento con glucocorticoides, </w:t>
      </w:r>
      <w:r w:rsidR="00733A39" w:rsidRPr="004F4CD0">
        <w:rPr>
          <w:lang w:val="es-ES_tradnl"/>
        </w:rPr>
        <w:t xml:space="preserve">denosumab </w:t>
      </w:r>
      <w:r w:rsidRPr="004F4CD0">
        <w:rPr>
          <w:lang w:val="es-ES_tradnl"/>
        </w:rPr>
        <w:t>demostró un aumento mayor de la DMO en la columna lumbar comparado con risedronato al año (</w:t>
      </w:r>
      <w:r w:rsidR="00733A39" w:rsidRPr="004F4CD0">
        <w:rPr>
          <w:lang w:val="es-ES_tradnl"/>
        </w:rPr>
        <w:t xml:space="preserve">denosumab </w:t>
      </w:r>
      <w:r w:rsidRPr="004F4CD0">
        <w:rPr>
          <w:lang w:val="es-ES_tradnl"/>
        </w:rPr>
        <w:t>3,1%, risedronato 0,8%; p &lt; 0,001) y a los 2 años (</w:t>
      </w:r>
      <w:r w:rsidR="00733A39" w:rsidRPr="004F4CD0">
        <w:rPr>
          <w:lang w:val="es-ES_tradnl"/>
        </w:rPr>
        <w:t xml:space="preserve">denosumab </w:t>
      </w:r>
      <w:r w:rsidRPr="004F4CD0">
        <w:rPr>
          <w:lang w:val="es-ES_tradnl"/>
        </w:rPr>
        <w:t>4,6%, risedronato 1,5%; p &lt; 0,001).</w:t>
      </w:r>
    </w:p>
    <w:p w14:paraId="39ECE04D" w14:textId="77777777" w:rsidR="0081033D" w:rsidRPr="004F4CD0" w:rsidRDefault="0081033D" w:rsidP="008B4ED7">
      <w:pPr>
        <w:rPr>
          <w:lang w:val="es-ES_tradnl"/>
        </w:rPr>
      </w:pPr>
    </w:p>
    <w:p w14:paraId="4F65B520" w14:textId="24D0CE12" w:rsidR="008603DE" w:rsidRPr="004F4CD0" w:rsidRDefault="0081033D" w:rsidP="008B4ED7">
      <w:pPr>
        <w:rPr>
          <w:lang w:val="es-ES_tradnl"/>
        </w:rPr>
      </w:pPr>
      <w:r w:rsidRPr="004F4CD0">
        <w:rPr>
          <w:lang w:val="es-ES_tradnl"/>
        </w:rPr>
        <w:t xml:space="preserve">Además, </w:t>
      </w:r>
      <w:r w:rsidR="00733A39" w:rsidRPr="004F4CD0">
        <w:rPr>
          <w:lang w:val="es-ES_tradnl"/>
        </w:rPr>
        <w:t xml:space="preserve">denosumab </w:t>
      </w:r>
      <w:r w:rsidRPr="004F4CD0">
        <w:rPr>
          <w:lang w:val="es-ES_tradnl"/>
        </w:rPr>
        <w:t>demostró un aumento porcentual medio significativamente superior en la DMO desde el inicio comparado con risedronato en la cadera total, el cuello femoral y el trocánter de la cadera.</w:t>
      </w:r>
    </w:p>
    <w:p w14:paraId="0BE26D96" w14:textId="77777777" w:rsidR="0081033D" w:rsidRPr="004F4CD0" w:rsidRDefault="0081033D" w:rsidP="008B4ED7">
      <w:pPr>
        <w:rPr>
          <w:lang w:val="es-ES_tradnl"/>
        </w:rPr>
      </w:pPr>
    </w:p>
    <w:p w14:paraId="0892C89F" w14:textId="77777777" w:rsidR="0081033D" w:rsidRPr="004F4CD0" w:rsidRDefault="0081033D" w:rsidP="008B4ED7">
      <w:pPr>
        <w:rPr>
          <w:lang w:val="es-ES_tradnl"/>
        </w:rPr>
      </w:pPr>
      <w:r w:rsidRPr="004F4CD0">
        <w:rPr>
          <w:lang w:val="es-ES_tradnl"/>
        </w:rPr>
        <w:t xml:space="preserve">El estudio no fue diseñado para demostrar una diferencia en las fracturas. Al año, la incidencia de nuevas fracturas vertebrales por paciente fue del 2,7% (denosumab) comparado con el 3,2% (risedronato). La incidencia de fracturas no vertebrales por paciente fue del 4,3% (denosumab) frente al 2,5% (risedronato). A los 2 años, las cifras correspondientes fueron del 4,1% frente al 5,8% en cuanto a nuevas fracturas vertebrales y del 5,3% frente al 3,8% en cuanto a fracturas no vertebrales. La </w:t>
      </w:r>
      <w:r w:rsidRPr="004F4CD0">
        <w:rPr>
          <w:lang w:val="es-ES_tradnl"/>
        </w:rPr>
        <w:lastRenderedPageBreak/>
        <w:t>mayoría de las fracturas se produjeron en la subpoblación que continuaba el tratamiento con glucocorticoides.</w:t>
      </w:r>
    </w:p>
    <w:p w14:paraId="022726ED" w14:textId="77777777" w:rsidR="00D475CF" w:rsidRPr="004F4CD0" w:rsidRDefault="00D475CF" w:rsidP="008B4ED7">
      <w:pPr>
        <w:rPr>
          <w:lang w:val="es-ES_tradnl"/>
        </w:rPr>
      </w:pPr>
    </w:p>
    <w:p w14:paraId="330CF730" w14:textId="77777777" w:rsidR="00D475CF" w:rsidRPr="004F4CD0" w:rsidRDefault="00D475CF" w:rsidP="008B4ED7">
      <w:pPr>
        <w:keepNext/>
        <w:rPr>
          <w:u w:val="single"/>
          <w:lang w:val="es-ES_tradnl"/>
        </w:rPr>
      </w:pPr>
      <w:r w:rsidRPr="004F4CD0">
        <w:rPr>
          <w:u w:val="single"/>
          <w:lang w:val="es-ES_tradnl"/>
        </w:rPr>
        <w:t>Población pediátrica</w:t>
      </w:r>
    </w:p>
    <w:p w14:paraId="1373C2E9" w14:textId="77777777" w:rsidR="00DD1080" w:rsidRPr="004F4CD0" w:rsidRDefault="00DD1080" w:rsidP="008B4ED7">
      <w:pPr>
        <w:keepNext/>
        <w:rPr>
          <w:lang w:val="es-ES_tradnl"/>
        </w:rPr>
      </w:pPr>
    </w:p>
    <w:p w14:paraId="548E4930" w14:textId="68C8FB78" w:rsidR="00A6401A" w:rsidRPr="004F4CD0" w:rsidRDefault="00A6401A" w:rsidP="00A6401A">
      <w:pPr>
        <w:rPr>
          <w:lang w:val="es-ES_tradnl"/>
        </w:rPr>
      </w:pPr>
      <w:r w:rsidRPr="004F4CD0">
        <w:rPr>
          <w:lang w:val="es-ES_tradnl"/>
        </w:rPr>
        <w:t>Se realizó un estudio fase III de un solo grupo para evaluar la eficacia, seguridad y farmacocinética en niños con osteogénesis imperfecta de entre 2 y 17 años de edad, de los cuales el 52,3% eran varones y el 88,2% eran caucásicos. Un total de 153 sujetos recibieron una dosis subcutánea (s.c.) inicial de 1 mg/kg de denosumab, hasta un máximo de 60 mg, cada 6 meses durante 36 meses. Sesenta sujetos pasaron a recibir la dosis cada 3 meses.</w:t>
      </w:r>
    </w:p>
    <w:p w14:paraId="1D1B765E" w14:textId="77777777" w:rsidR="00A47BFC" w:rsidRPr="004F4CD0" w:rsidRDefault="00A47BFC" w:rsidP="00A6401A">
      <w:pPr>
        <w:rPr>
          <w:lang w:val="es-ES_tradnl"/>
        </w:rPr>
      </w:pPr>
    </w:p>
    <w:p w14:paraId="719A89FB" w14:textId="252CF124" w:rsidR="00A6401A" w:rsidRPr="004F4CD0" w:rsidRDefault="00A6401A" w:rsidP="00A6401A">
      <w:pPr>
        <w:rPr>
          <w:lang w:val="es-ES_tradnl"/>
        </w:rPr>
      </w:pPr>
      <w:r w:rsidRPr="004F4CD0">
        <w:rPr>
          <w:lang w:val="es-ES_tradnl"/>
        </w:rPr>
        <w:t>Cuando se administró la dosis cada 3 meses, el cambio en la media de mínimos cuadrados (MMC) (error estándar, SE) desde el valor inicial en la puntuación Z de la DMO en la columna lumbar en el mes 12 fue de 1,01 (0,12).</w:t>
      </w:r>
    </w:p>
    <w:p w14:paraId="09A73E60" w14:textId="77777777" w:rsidR="00A47BFC" w:rsidRPr="004F4CD0" w:rsidRDefault="00A47BFC" w:rsidP="00A6401A">
      <w:pPr>
        <w:rPr>
          <w:lang w:val="es-ES_tradnl"/>
        </w:rPr>
      </w:pPr>
    </w:p>
    <w:p w14:paraId="50AC5054" w14:textId="25396736" w:rsidR="00A6401A" w:rsidRPr="004F4CD0" w:rsidRDefault="000B1429" w:rsidP="00A6401A">
      <w:pPr>
        <w:rPr>
          <w:lang w:val="es-ES_tradnl"/>
        </w:rPr>
      </w:pPr>
      <w:r w:rsidRPr="004F4CD0">
        <w:rPr>
          <w:lang w:val="es-ES_tradnl"/>
        </w:rPr>
        <w:t>Las reacciones adversas más frecuentes notificadas durante la administración de la dosis cada 6 meses fueron artralgia (45,8%), dolor en las extremidades (37,9%), dolor de espalda (32,7%) e hipercalciuria (32,0%). Se notificó hipercalcemia durante la administración de la dosis cada 6 meses (19%) y cada 3 meses (36,7%). Se notificaron acontecimientos adversos graves de hipercalcemia (13,3%) durante la administración de la dosis cada 3 meses.</w:t>
      </w:r>
    </w:p>
    <w:p w14:paraId="044D64D3" w14:textId="77777777" w:rsidR="00A47BFC" w:rsidRPr="004F4CD0" w:rsidRDefault="00A47BFC" w:rsidP="00A6401A">
      <w:pPr>
        <w:rPr>
          <w:lang w:val="es-ES_tradnl"/>
        </w:rPr>
      </w:pPr>
    </w:p>
    <w:p w14:paraId="7D9280F3" w14:textId="2B5254C1" w:rsidR="00A6401A" w:rsidRPr="004F4CD0" w:rsidRDefault="00A6401A" w:rsidP="00A6401A">
      <w:pPr>
        <w:rPr>
          <w:lang w:val="es-ES_tradnl"/>
        </w:rPr>
      </w:pPr>
      <w:r w:rsidRPr="004F4CD0">
        <w:rPr>
          <w:lang w:val="es-ES_tradnl"/>
        </w:rPr>
        <w:t>En un estudio de extensión (N = 75), se observaron acontecimientos adversos graves de hipercalcemia (18,5%) durante la administración de la dosis cada 3 meses.</w:t>
      </w:r>
    </w:p>
    <w:p w14:paraId="1EB16075" w14:textId="77777777" w:rsidR="00A47BFC" w:rsidRPr="004F4CD0" w:rsidRDefault="00A47BFC" w:rsidP="00A6401A">
      <w:pPr>
        <w:rPr>
          <w:lang w:val="es-ES_tradnl"/>
        </w:rPr>
      </w:pPr>
    </w:p>
    <w:p w14:paraId="190EFC94" w14:textId="511CBEEA" w:rsidR="00A6401A" w:rsidRPr="004F4CD0" w:rsidRDefault="00A6401A" w:rsidP="00A6401A">
      <w:pPr>
        <w:rPr>
          <w:lang w:val="es-ES_tradnl"/>
        </w:rPr>
      </w:pPr>
      <w:r w:rsidRPr="004F4CD0">
        <w:rPr>
          <w:lang w:val="es-ES_tradnl"/>
        </w:rPr>
        <w:t>Los estudios finalizaron de forma anticipada debido a la aparición de acontecimientos potencialmente mortales y a hospitalizaciones por hipercalcemia (ver sección 4.2).</w:t>
      </w:r>
    </w:p>
    <w:p w14:paraId="5DAEDA58" w14:textId="77777777" w:rsidR="006C15EE" w:rsidRPr="004F4CD0" w:rsidRDefault="006C15EE" w:rsidP="008B4ED7">
      <w:pPr>
        <w:rPr>
          <w:lang w:val="es-ES_tradnl"/>
        </w:rPr>
      </w:pPr>
    </w:p>
    <w:p w14:paraId="5B092049" w14:textId="797E56FC" w:rsidR="00D475CF" w:rsidRPr="004F4CD0" w:rsidRDefault="00D475CF" w:rsidP="008B4ED7">
      <w:pPr>
        <w:rPr>
          <w:lang w:val="es-ES_tradnl"/>
        </w:rPr>
      </w:pPr>
      <w:r w:rsidRPr="004F4CD0">
        <w:rPr>
          <w:lang w:val="es-ES_tradnl"/>
        </w:rPr>
        <w:t xml:space="preserve">La Agencia Europea de Medicamentos ha eximido al titular de la obligación de presentar los resultados de los ensayos realizados con </w:t>
      </w:r>
      <w:r w:rsidR="00733A39" w:rsidRPr="004F4CD0">
        <w:rPr>
          <w:lang w:val="es-ES_tradnl"/>
        </w:rPr>
        <w:t xml:space="preserve">denosumab </w:t>
      </w:r>
      <w:r w:rsidRPr="004F4CD0">
        <w:rPr>
          <w:lang w:val="es-ES_tradnl"/>
        </w:rPr>
        <w:t>en los diferentes grupos de la población pediátrica en el tratamiento de la pérdida ósea asociada con el tratamiento ablativo de las hormonas sexuales, y en los grupos de la población pediátrica por debajo de 2 años en el tratamiento de la osteoporosis. Ver sección 4.2 para consultar la información sobre el uso en población pediátrica.</w:t>
      </w:r>
    </w:p>
    <w:p w14:paraId="082880D7" w14:textId="77777777" w:rsidR="00992A6A" w:rsidRPr="004F4CD0" w:rsidRDefault="00992A6A" w:rsidP="008B4ED7">
      <w:pPr>
        <w:rPr>
          <w:lang w:val="es-ES_tradnl"/>
        </w:rPr>
      </w:pPr>
    </w:p>
    <w:p w14:paraId="14E3764D" w14:textId="77777777" w:rsidR="00992A6A" w:rsidRPr="004F4CD0" w:rsidRDefault="00A77D74" w:rsidP="008B4ED7">
      <w:pPr>
        <w:keepNext/>
        <w:ind w:left="567" w:hanging="567"/>
        <w:rPr>
          <w:b/>
          <w:lang w:val="es-ES_tradnl"/>
        </w:rPr>
      </w:pPr>
      <w:r w:rsidRPr="004F4CD0">
        <w:rPr>
          <w:b/>
          <w:lang w:val="es-ES_tradnl"/>
        </w:rPr>
        <w:t>5.2</w:t>
      </w:r>
      <w:r w:rsidRPr="004F4CD0">
        <w:rPr>
          <w:b/>
          <w:lang w:val="es-ES_tradnl"/>
        </w:rPr>
        <w:tab/>
        <w:t>Propiedades farmacocinéticas</w:t>
      </w:r>
    </w:p>
    <w:p w14:paraId="753E124E" w14:textId="77777777" w:rsidR="00992A6A" w:rsidRPr="004F4CD0" w:rsidRDefault="00992A6A" w:rsidP="008B4ED7">
      <w:pPr>
        <w:keepNext/>
        <w:rPr>
          <w:lang w:val="es-ES_tradnl"/>
        </w:rPr>
      </w:pPr>
    </w:p>
    <w:p w14:paraId="69512C3A" w14:textId="77777777" w:rsidR="00992A6A" w:rsidRPr="004F4CD0" w:rsidRDefault="00992A6A" w:rsidP="008B4ED7">
      <w:pPr>
        <w:keepNext/>
        <w:rPr>
          <w:u w:val="single"/>
          <w:lang w:val="es-ES_tradnl"/>
        </w:rPr>
      </w:pPr>
      <w:r w:rsidRPr="004F4CD0">
        <w:rPr>
          <w:u w:val="single"/>
          <w:lang w:val="es-ES_tradnl"/>
        </w:rPr>
        <w:t>Absorción</w:t>
      </w:r>
    </w:p>
    <w:p w14:paraId="6A1A8A81" w14:textId="77777777" w:rsidR="00DD1080" w:rsidRPr="004F4CD0" w:rsidRDefault="00DD1080" w:rsidP="008B4ED7">
      <w:pPr>
        <w:keepNext/>
        <w:rPr>
          <w:lang w:val="es-ES_tradnl"/>
        </w:rPr>
      </w:pPr>
    </w:p>
    <w:p w14:paraId="1740641D" w14:textId="022CC4EB" w:rsidR="00992A6A" w:rsidRPr="004F4CD0" w:rsidRDefault="00992A6A" w:rsidP="008B4ED7">
      <w:pPr>
        <w:rPr>
          <w:lang w:val="es-ES_tradnl"/>
        </w:rPr>
      </w:pPr>
      <w:r w:rsidRPr="004F4CD0">
        <w:rPr>
          <w:lang w:val="es-ES_tradnl"/>
        </w:rPr>
        <w:t>Después de la administración subcutánea de una dosis de 1,0 mg/kg, que se aproxima a la dosis aprobada de 60 mg, la exposición basada en el área bajo la curva (AUC) fue del 78% en comparación con la administración intravenosa de la misma dosis. Con una dosis subcutánea de 60 mg, las concentraciones séricas máximas de denosumab (C</w:t>
      </w:r>
      <w:r w:rsidRPr="004F4CD0">
        <w:rPr>
          <w:vertAlign w:val="subscript"/>
          <w:lang w:val="es-ES_tradnl"/>
        </w:rPr>
        <w:t>máx</w:t>
      </w:r>
      <w:r w:rsidRPr="004F4CD0">
        <w:rPr>
          <w:lang w:val="es-ES_tradnl"/>
        </w:rPr>
        <w:t>) de 6 μg/ml (intervalo 1</w:t>
      </w:r>
      <w:r w:rsidRPr="004F4CD0">
        <w:rPr>
          <w:lang w:val="es-ES_tradnl"/>
        </w:rPr>
        <w:noBreakHyphen/>
        <w:t>17 μg/ml) se produjeron a los 10 días (intervalo 2</w:t>
      </w:r>
      <w:r w:rsidRPr="004F4CD0">
        <w:rPr>
          <w:lang w:val="es-ES_tradnl"/>
        </w:rPr>
        <w:noBreakHyphen/>
        <w:t>28 días).</w:t>
      </w:r>
    </w:p>
    <w:p w14:paraId="1C4D5992" w14:textId="77777777" w:rsidR="00992A6A" w:rsidRPr="004F4CD0" w:rsidRDefault="00992A6A" w:rsidP="008B4ED7">
      <w:pPr>
        <w:rPr>
          <w:lang w:val="es-ES_tradnl"/>
        </w:rPr>
      </w:pPr>
    </w:p>
    <w:p w14:paraId="5E71EFE2" w14:textId="77777777" w:rsidR="00992A6A" w:rsidRPr="004F4CD0" w:rsidRDefault="00992A6A" w:rsidP="008B4ED7">
      <w:pPr>
        <w:keepNext/>
        <w:rPr>
          <w:u w:val="single"/>
          <w:lang w:val="es-ES_tradnl"/>
        </w:rPr>
      </w:pPr>
      <w:r w:rsidRPr="004F4CD0">
        <w:rPr>
          <w:u w:val="single"/>
          <w:lang w:val="es-ES_tradnl"/>
        </w:rPr>
        <w:t>Biotransformación</w:t>
      </w:r>
    </w:p>
    <w:p w14:paraId="540C93A2" w14:textId="77777777" w:rsidR="00DD1080" w:rsidRPr="004F4CD0" w:rsidRDefault="00DD1080" w:rsidP="008B4ED7">
      <w:pPr>
        <w:keepNext/>
        <w:rPr>
          <w:lang w:val="es-ES_tradnl"/>
        </w:rPr>
      </w:pPr>
    </w:p>
    <w:p w14:paraId="0188823A" w14:textId="77777777" w:rsidR="00992A6A" w:rsidRPr="004F4CD0" w:rsidRDefault="00992A6A" w:rsidP="008B4ED7">
      <w:pPr>
        <w:rPr>
          <w:lang w:val="es-ES_tradnl"/>
        </w:rPr>
      </w:pPr>
      <w:r w:rsidRPr="004F4CD0">
        <w:rPr>
          <w:lang w:val="es-ES_tradnl"/>
        </w:rPr>
        <w:t>Denosumab está compuesto únicamente de aminoácidos y carbohidratos como las inmunoglobulinas naturales y es improbable que se elimine por metabolismo hepático. Se prevé que su metabolismo y eliminación sigan las vías de aclaramiento de las inmunoglobulinas, que se degradan en pequeños péptidos y aminoácidos simples.</w:t>
      </w:r>
    </w:p>
    <w:p w14:paraId="6CF88C69" w14:textId="77777777" w:rsidR="00992A6A" w:rsidRPr="004F4CD0" w:rsidRDefault="00992A6A" w:rsidP="008B4ED7">
      <w:pPr>
        <w:rPr>
          <w:lang w:val="es-ES_tradnl"/>
        </w:rPr>
      </w:pPr>
    </w:p>
    <w:p w14:paraId="162F91D5" w14:textId="77777777" w:rsidR="00992A6A" w:rsidRPr="004F4CD0" w:rsidRDefault="00992A6A" w:rsidP="008B4ED7">
      <w:pPr>
        <w:keepNext/>
        <w:rPr>
          <w:u w:val="single"/>
          <w:lang w:val="es-ES_tradnl"/>
        </w:rPr>
      </w:pPr>
      <w:r w:rsidRPr="004F4CD0">
        <w:rPr>
          <w:u w:val="single"/>
          <w:lang w:val="es-ES_tradnl"/>
        </w:rPr>
        <w:t>Eliminación</w:t>
      </w:r>
    </w:p>
    <w:p w14:paraId="39FA56CB" w14:textId="77777777" w:rsidR="00DD1080" w:rsidRPr="004F4CD0" w:rsidRDefault="00DD1080" w:rsidP="008B4ED7">
      <w:pPr>
        <w:keepNext/>
        <w:rPr>
          <w:lang w:val="es-ES_tradnl"/>
        </w:rPr>
      </w:pPr>
    </w:p>
    <w:p w14:paraId="53E08F59" w14:textId="77777777" w:rsidR="00992A6A" w:rsidRPr="004F4CD0" w:rsidRDefault="00992A6A" w:rsidP="008B4ED7">
      <w:pPr>
        <w:rPr>
          <w:lang w:val="es-ES_tradnl"/>
        </w:rPr>
      </w:pPr>
      <w:r w:rsidRPr="004F4CD0">
        <w:rPr>
          <w:lang w:val="es-ES_tradnl"/>
        </w:rPr>
        <w:t>Después de la C</w:t>
      </w:r>
      <w:r w:rsidRPr="004F4CD0">
        <w:rPr>
          <w:vertAlign w:val="subscript"/>
          <w:lang w:val="es-ES_tradnl"/>
        </w:rPr>
        <w:t>máx</w:t>
      </w:r>
      <w:r w:rsidRPr="004F4CD0">
        <w:rPr>
          <w:lang w:val="es-ES_tradnl"/>
        </w:rPr>
        <w:t>, los niveles séricos disminuyeron con una semivida de eliminación de 26 días (intervalo 6</w:t>
      </w:r>
      <w:r w:rsidRPr="004F4CD0">
        <w:rPr>
          <w:lang w:val="es-ES_tradnl"/>
        </w:rPr>
        <w:noBreakHyphen/>
        <w:t>52 días) durante un periodo de 3 meses (intervalo 1,5</w:t>
      </w:r>
      <w:r w:rsidRPr="004F4CD0">
        <w:rPr>
          <w:lang w:val="es-ES_tradnl"/>
        </w:rPr>
        <w:noBreakHyphen/>
        <w:t>4,5 meses). En el 53% de los pacientes no se detectaron cantidades evaluables de denosumab al cabo de 6 meses después de la dosis.</w:t>
      </w:r>
    </w:p>
    <w:p w14:paraId="68E82EDC" w14:textId="77777777" w:rsidR="00992A6A" w:rsidRPr="004F4CD0" w:rsidRDefault="00992A6A" w:rsidP="008B4ED7">
      <w:pPr>
        <w:rPr>
          <w:lang w:val="es-ES_tradnl"/>
        </w:rPr>
      </w:pPr>
    </w:p>
    <w:p w14:paraId="2E5A8C7C" w14:textId="77777777" w:rsidR="00992A6A" w:rsidRPr="004F4CD0" w:rsidRDefault="00992A6A" w:rsidP="008B4ED7">
      <w:pPr>
        <w:rPr>
          <w:lang w:val="es-ES_tradnl"/>
        </w:rPr>
      </w:pPr>
      <w:r w:rsidRPr="004F4CD0">
        <w:rPr>
          <w:lang w:val="es-ES_tradnl"/>
        </w:rPr>
        <w:lastRenderedPageBreak/>
        <w:t>No se observó acumulación o cambio en la farmacocinética de denosumab en el tiempo después de la administración múltiple de 60 mg por vía subcutánea una vez cada 6 meses. La farmacocinética de denosumab no se vio afectada por la formación de anticuerpos de unión a denosumab y fue similar en hombres y mujeres. La edad (28</w:t>
      </w:r>
      <w:r w:rsidRPr="004F4CD0">
        <w:rPr>
          <w:lang w:val="es-ES_tradnl"/>
        </w:rPr>
        <w:noBreakHyphen/>
        <w:t>87 años), la raza y el tipo de enfermedad (masa ósea baja u osteoporosis; cáncer de próstata o mama) no parece que afecten de forma significativa a la farmacocinética de denosumab.</w:t>
      </w:r>
    </w:p>
    <w:p w14:paraId="62CC2D5D" w14:textId="77777777" w:rsidR="00992A6A" w:rsidRPr="004F4CD0" w:rsidRDefault="00992A6A" w:rsidP="008B4ED7">
      <w:pPr>
        <w:rPr>
          <w:lang w:val="es-ES_tradnl"/>
        </w:rPr>
      </w:pPr>
    </w:p>
    <w:p w14:paraId="4DF52B17" w14:textId="77777777" w:rsidR="008603DE" w:rsidRPr="004F4CD0" w:rsidRDefault="00992A6A" w:rsidP="008B4ED7">
      <w:pPr>
        <w:rPr>
          <w:lang w:val="es-ES_tradnl"/>
        </w:rPr>
      </w:pPr>
      <w:r w:rsidRPr="004F4CD0">
        <w:rPr>
          <w:lang w:val="es-ES_tradnl"/>
        </w:rPr>
        <w:t>Se observó una tendencia entre un mayor peso corporal y una menor exposición en base al AUC y la C</w:t>
      </w:r>
      <w:r w:rsidRPr="004F4CD0">
        <w:rPr>
          <w:vertAlign w:val="subscript"/>
          <w:lang w:val="es-ES_tradnl"/>
        </w:rPr>
        <w:t>máx</w:t>
      </w:r>
      <w:r w:rsidRPr="004F4CD0">
        <w:rPr>
          <w:lang w:val="es-ES_tradnl"/>
        </w:rPr>
        <w:t>. No obstante, esta tendencia no se consideró clínicamente importante, ya que los efectos farmacodinámicos basados en los marcadores de remodelado óseo y los aumentos de la DMO fueron constantes en un amplio intervalo de pesos corporales.</w:t>
      </w:r>
    </w:p>
    <w:p w14:paraId="5182F72F" w14:textId="77777777" w:rsidR="00992A6A" w:rsidRPr="004F4CD0" w:rsidRDefault="00992A6A" w:rsidP="008B4ED7">
      <w:pPr>
        <w:rPr>
          <w:lang w:val="es-ES_tradnl"/>
        </w:rPr>
      </w:pPr>
    </w:p>
    <w:p w14:paraId="28519A25" w14:textId="77777777" w:rsidR="00992A6A" w:rsidRPr="004F4CD0" w:rsidRDefault="00992A6A" w:rsidP="008B4ED7">
      <w:pPr>
        <w:keepNext/>
        <w:rPr>
          <w:u w:val="single"/>
          <w:lang w:val="es-ES_tradnl"/>
        </w:rPr>
      </w:pPr>
      <w:r w:rsidRPr="004F4CD0">
        <w:rPr>
          <w:u w:val="single"/>
          <w:lang w:val="es-ES_tradnl"/>
        </w:rPr>
        <w:t>Linealidad/No linealidad</w:t>
      </w:r>
    </w:p>
    <w:p w14:paraId="5D934FA3" w14:textId="77777777" w:rsidR="00DD1080" w:rsidRPr="004F4CD0" w:rsidRDefault="00DD1080" w:rsidP="008B4ED7">
      <w:pPr>
        <w:keepNext/>
        <w:rPr>
          <w:lang w:val="es-ES_tradnl"/>
        </w:rPr>
      </w:pPr>
    </w:p>
    <w:p w14:paraId="77630404" w14:textId="77777777" w:rsidR="00992A6A" w:rsidRPr="004F4CD0" w:rsidRDefault="00992A6A" w:rsidP="008B4ED7">
      <w:pPr>
        <w:rPr>
          <w:lang w:val="es-ES_tradnl"/>
        </w:rPr>
      </w:pPr>
      <w:r w:rsidRPr="004F4CD0">
        <w:rPr>
          <w:lang w:val="es-ES_tradnl"/>
        </w:rPr>
        <w:t>En estudios de búsqueda de dosis, denosumab presentó una farmacocinética no lineal y dependiente de la dosis, con un aclaramiento menor a concentraciones o dosis más altas, aunque con aumentos aproximadamente proporcionales a la dosis en exposiciones a dosis de 60 mg y mayores.</w:t>
      </w:r>
    </w:p>
    <w:p w14:paraId="2C9E0B8F" w14:textId="77777777" w:rsidR="00992A6A" w:rsidRPr="004F4CD0" w:rsidRDefault="00992A6A" w:rsidP="008B4ED7">
      <w:pPr>
        <w:rPr>
          <w:lang w:val="es-ES_tradnl"/>
        </w:rPr>
      </w:pPr>
    </w:p>
    <w:p w14:paraId="462E3B66" w14:textId="77777777" w:rsidR="00992A6A" w:rsidRPr="004F4CD0" w:rsidRDefault="00992A6A" w:rsidP="008B4ED7">
      <w:pPr>
        <w:keepNext/>
        <w:rPr>
          <w:u w:val="single"/>
          <w:lang w:val="es-ES_tradnl"/>
        </w:rPr>
      </w:pPr>
      <w:r w:rsidRPr="004F4CD0">
        <w:rPr>
          <w:u w:val="single"/>
          <w:lang w:val="es-ES_tradnl"/>
        </w:rPr>
        <w:t>Insuficiencia renal</w:t>
      </w:r>
    </w:p>
    <w:p w14:paraId="76A998B6" w14:textId="77777777" w:rsidR="00DD1080" w:rsidRPr="004F4CD0" w:rsidRDefault="00DD1080" w:rsidP="008B4ED7">
      <w:pPr>
        <w:keepNext/>
        <w:rPr>
          <w:lang w:val="es-ES_tradnl"/>
        </w:rPr>
      </w:pPr>
    </w:p>
    <w:p w14:paraId="63546418" w14:textId="77777777" w:rsidR="00992A6A" w:rsidRPr="004F4CD0" w:rsidRDefault="00992A6A" w:rsidP="008B4ED7">
      <w:pPr>
        <w:rPr>
          <w:lang w:val="es-ES_tradnl"/>
        </w:rPr>
      </w:pPr>
      <w:r w:rsidRPr="004F4CD0">
        <w:rPr>
          <w:lang w:val="es-ES_tradnl"/>
        </w:rPr>
        <w:t>En un estudio realizado en 55 pacientes con distintos grados de función renal, incluidos los pacientes en diálisis, el grado de insuficiencia renal no tuvo ningún efecto sobre la farmacocinética de denosumab.</w:t>
      </w:r>
    </w:p>
    <w:p w14:paraId="3790CECD" w14:textId="77777777" w:rsidR="00992A6A" w:rsidRPr="004F4CD0" w:rsidRDefault="00992A6A" w:rsidP="008B4ED7">
      <w:pPr>
        <w:rPr>
          <w:lang w:val="es-ES_tradnl"/>
        </w:rPr>
      </w:pPr>
    </w:p>
    <w:p w14:paraId="495A5F65" w14:textId="77777777" w:rsidR="00992A6A" w:rsidRPr="004F4CD0" w:rsidRDefault="00992A6A" w:rsidP="008B4ED7">
      <w:pPr>
        <w:keepNext/>
        <w:rPr>
          <w:u w:val="single"/>
          <w:lang w:val="es-ES_tradnl"/>
        </w:rPr>
      </w:pPr>
      <w:r w:rsidRPr="004F4CD0">
        <w:rPr>
          <w:u w:val="single"/>
          <w:lang w:val="es-ES_tradnl"/>
        </w:rPr>
        <w:t>Insuficiencia hepática</w:t>
      </w:r>
    </w:p>
    <w:p w14:paraId="2B0A8620" w14:textId="77777777" w:rsidR="00DD1080" w:rsidRPr="004F4CD0" w:rsidRDefault="00DD1080" w:rsidP="008B4ED7">
      <w:pPr>
        <w:keepNext/>
        <w:rPr>
          <w:lang w:val="es-ES_tradnl"/>
        </w:rPr>
      </w:pPr>
    </w:p>
    <w:p w14:paraId="4DC84AB2" w14:textId="77777777" w:rsidR="00992A6A" w:rsidRPr="004F4CD0" w:rsidRDefault="00992A6A" w:rsidP="008B4ED7">
      <w:pPr>
        <w:rPr>
          <w:lang w:val="es-ES_tradnl"/>
        </w:rPr>
      </w:pPr>
      <w:r w:rsidRPr="004F4CD0">
        <w:rPr>
          <w:lang w:val="es-ES_tradnl"/>
        </w:rPr>
        <w:t>No se realizó ningún estudio específico en pacientes con insuficiencia hepática. En general, los anticuerpos monoclonales no se eliminan por metabolismo hepático. No se espera que la insuficiencia hepática afecte a la farmacocinética de denosumab.</w:t>
      </w:r>
    </w:p>
    <w:p w14:paraId="17E67D09" w14:textId="77777777" w:rsidR="00992A6A" w:rsidRPr="004F4CD0" w:rsidRDefault="00992A6A" w:rsidP="008B4ED7">
      <w:pPr>
        <w:rPr>
          <w:lang w:val="es-ES_tradnl"/>
        </w:rPr>
      </w:pPr>
    </w:p>
    <w:p w14:paraId="00578B1B" w14:textId="77777777" w:rsidR="00992A6A" w:rsidRPr="004F4CD0" w:rsidRDefault="00992A6A" w:rsidP="008B4ED7">
      <w:pPr>
        <w:keepNext/>
        <w:rPr>
          <w:u w:val="single"/>
          <w:lang w:val="es-ES_tradnl"/>
        </w:rPr>
      </w:pPr>
      <w:r w:rsidRPr="004F4CD0">
        <w:rPr>
          <w:u w:val="single"/>
          <w:lang w:val="es-ES_tradnl"/>
        </w:rPr>
        <w:t>Población pediátrica</w:t>
      </w:r>
    </w:p>
    <w:p w14:paraId="0552E5AF" w14:textId="2CE804F8" w:rsidR="00992A6A" w:rsidRPr="004F4CD0" w:rsidRDefault="00992A6A" w:rsidP="008B4ED7">
      <w:pPr>
        <w:rPr>
          <w:lang w:val="es-ES_tradnl"/>
        </w:rPr>
      </w:pPr>
    </w:p>
    <w:p w14:paraId="5F8CF38B" w14:textId="7EDC0890" w:rsidR="00A6401A" w:rsidRPr="004F4CD0" w:rsidRDefault="00733A39" w:rsidP="00A6401A">
      <w:pPr>
        <w:rPr>
          <w:lang w:val="es-ES_tradnl"/>
        </w:rPr>
      </w:pPr>
      <w:r w:rsidRPr="004F4CD0">
        <w:rPr>
          <w:lang w:val="es-ES_tradnl"/>
        </w:rPr>
        <w:t xml:space="preserve">Denosumab </w:t>
      </w:r>
      <w:r w:rsidR="00A6401A" w:rsidRPr="004F4CD0">
        <w:rPr>
          <w:lang w:val="es-ES_tradnl"/>
        </w:rPr>
        <w:t>no se debe utilizar en poblaciones pediátricas (ver secciones 4.2 y 5.1).</w:t>
      </w:r>
    </w:p>
    <w:p w14:paraId="1BFA9E52" w14:textId="77777777" w:rsidR="00A47BFC" w:rsidRPr="004F4CD0" w:rsidRDefault="00A47BFC" w:rsidP="00A6401A">
      <w:pPr>
        <w:rPr>
          <w:lang w:val="es-ES_tradnl"/>
        </w:rPr>
      </w:pPr>
    </w:p>
    <w:p w14:paraId="2C832B51" w14:textId="76AAF450" w:rsidR="00A6401A" w:rsidRPr="004F4CD0" w:rsidRDefault="00A6401A" w:rsidP="00A6401A">
      <w:pPr>
        <w:rPr>
          <w:lang w:val="es-ES_tradnl"/>
        </w:rPr>
      </w:pPr>
      <w:r w:rsidRPr="004F4CD0">
        <w:rPr>
          <w:lang w:val="es-ES_tradnl"/>
        </w:rPr>
        <w:t>En un estudio fase III en pacientes pediátricos con osteogénesis imperfecta (N = 153), se observaron concentraciones séricas máximas de denosumab en el día 10 en todos los grupos de edad. En la administración de la dosis cada 3 meses y cada 6 meses, se observó que las concentraciones séricas mínimas medias de denosumab fueron superiores en niños de entre 11 y 17 años de edad, mientras que los niños de entre 2 y 6 años de edad presentaron las concentraciones mínimas medias más bajas.</w:t>
      </w:r>
    </w:p>
    <w:p w14:paraId="58421881" w14:textId="200723C6" w:rsidR="00992A6A" w:rsidRPr="004F4CD0" w:rsidRDefault="00992A6A" w:rsidP="008B4ED7">
      <w:pPr>
        <w:rPr>
          <w:lang w:val="es-ES_tradnl"/>
        </w:rPr>
      </w:pPr>
    </w:p>
    <w:p w14:paraId="7AB2F3F6" w14:textId="77777777" w:rsidR="00053CE5" w:rsidRPr="004F4CD0" w:rsidRDefault="00A77D74" w:rsidP="008B4ED7">
      <w:pPr>
        <w:keepNext/>
        <w:ind w:left="567" w:hanging="567"/>
        <w:rPr>
          <w:b/>
          <w:lang w:val="es-ES_tradnl"/>
        </w:rPr>
      </w:pPr>
      <w:r w:rsidRPr="004F4CD0">
        <w:rPr>
          <w:b/>
          <w:lang w:val="es-ES_tradnl"/>
        </w:rPr>
        <w:t>5.3</w:t>
      </w:r>
      <w:r w:rsidRPr="004F4CD0">
        <w:rPr>
          <w:b/>
          <w:lang w:val="es-ES_tradnl"/>
        </w:rPr>
        <w:tab/>
        <w:t>Datos preclínicos sobre seguridad</w:t>
      </w:r>
    </w:p>
    <w:p w14:paraId="3E46222C" w14:textId="77777777" w:rsidR="00053CE5" w:rsidRPr="004F4CD0" w:rsidRDefault="00053CE5" w:rsidP="008B4ED7">
      <w:pPr>
        <w:keepNext/>
        <w:rPr>
          <w:lang w:val="es-ES_tradnl"/>
        </w:rPr>
      </w:pPr>
    </w:p>
    <w:p w14:paraId="2399CAED" w14:textId="77777777" w:rsidR="008603DE" w:rsidRPr="004F4CD0" w:rsidRDefault="00053CE5" w:rsidP="008B4ED7">
      <w:pPr>
        <w:rPr>
          <w:lang w:val="es-ES_tradnl"/>
        </w:rPr>
      </w:pPr>
      <w:r w:rsidRPr="004F4CD0">
        <w:rPr>
          <w:lang w:val="es-ES_tradnl"/>
        </w:rPr>
        <w:t>En estudios de toxicidad en macacos con dosis únicas y repetidas, las dosis de denosumab que provocaron una exposición sistémica de 100 a 150 veces mayor que la dosis recomendada en humanos, no afectaron la fisiología cardiovascular, la fertilidad masculina o femenina, ni produjeron toxicidad en órganos diana específicos.</w:t>
      </w:r>
    </w:p>
    <w:p w14:paraId="5E0AB0E0" w14:textId="77777777" w:rsidR="00053CE5" w:rsidRPr="004F4CD0" w:rsidRDefault="00053CE5" w:rsidP="008B4ED7">
      <w:pPr>
        <w:rPr>
          <w:lang w:val="es-ES_tradnl"/>
        </w:rPr>
      </w:pPr>
    </w:p>
    <w:p w14:paraId="5B3065DA" w14:textId="77777777" w:rsidR="008603DE" w:rsidRPr="004F4CD0" w:rsidRDefault="00053CE5" w:rsidP="008B4ED7">
      <w:pPr>
        <w:rPr>
          <w:lang w:val="es-ES_tradnl"/>
        </w:rPr>
      </w:pPr>
      <w:r w:rsidRPr="004F4CD0">
        <w:rPr>
          <w:lang w:val="es-ES_tradnl"/>
        </w:rPr>
        <w:t>No se han evaluado las pruebas estándar para investigar el potencial genotóxico de denosumab, ya que estas pruebas no son relevantes para esta molécula. Sin embargo, por su naturaleza, es poco probable que denosumab tenga potencial genotóxico.</w:t>
      </w:r>
    </w:p>
    <w:p w14:paraId="6AC04C49" w14:textId="77777777" w:rsidR="00053CE5" w:rsidRPr="004F4CD0" w:rsidRDefault="00053CE5" w:rsidP="008B4ED7">
      <w:pPr>
        <w:rPr>
          <w:lang w:val="es-ES_tradnl"/>
        </w:rPr>
      </w:pPr>
    </w:p>
    <w:p w14:paraId="6E3B8287" w14:textId="77777777" w:rsidR="008603DE" w:rsidRPr="004F4CD0" w:rsidRDefault="00053CE5" w:rsidP="008B4ED7">
      <w:pPr>
        <w:rPr>
          <w:lang w:val="es-ES_tradnl"/>
        </w:rPr>
      </w:pPr>
      <w:r w:rsidRPr="004F4CD0">
        <w:rPr>
          <w:lang w:val="es-ES_tradnl"/>
        </w:rPr>
        <w:t>El potencial carcinogénico de denosumab no se ha evaluado en estudios a largo plazo con animales.</w:t>
      </w:r>
    </w:p>
    <w:p w14:paraId="7C0B7877" w14:textId="77777777" w:rsidR="00053CE5" w:rsidRPr="004F4CD0" w:rsidRDefault="00053CE5" w:rsidP="008B4ED7">
      <w:pPr>
        <w:rPr>
          <w:lang w:val="es-ES_tradnl"/>
        </w:rPr>
      </w:pPr>
    </w:p>
    <w:p w14:paraId="5F195E25" w14:textId="77777777" w:rsidR="00053CE5" w:rsidRPr="004F4CD0" w:rsidRDefault="00053CE5" w:rsidP="008B4ED7">
      <w:pPr>
        <w:rPr>
          <w:lang w:val="es-ES_tradnl"/>
        </w:rPr>
      </w:pPr>
      <w:r w:rsidRPr="004F4CD0">
        <w:rPr>
          <w:lang w:val="es-ES_tradnl"/>
        </w:rPr>
        <w:t>En estudios preclínicos realizados en ratones knockout carentes de RANK o RANKL, se observó una alteración en la formación de los ganglios linfáticos en el feto. Además, en dichos ratones también se observó la ausencia de lactancia causada por la inhibición de la maduración de las glándulas mamarias (desarrollo de la glándula lóbulo</w:t>
      </w:r>
      <w:r w:rsidRPr="004F4CD0">
        <w:rPr>
          <w:lang w:val="es-ES_tradnl"/>
        </w:rPr>
        <w:noBreakHyphen/>
        <w:t>alveolar durante el embarazo).</w:t>
      </w:r>
    </w:p>
    <w:p w14:paraId="6B3DA773" w14:textId="77777777" w:rsidR="00053CE5" w:rsidRPr="004F4CD0" w:rsidRDefault="00053CE5" w:rsidP="008B4ED7">
      <w:pPr>
        <w:rPr>
          <w:lang w:val="es-ES_tradnl"/>
        </w:rPr>
      </w:pPr>
    </w:p>
    <w:p w14:paraId="374DEA34" w14:textId="77777777" w:rsidR="008603DE" w:rsidRPr="004F4CD0" w:rsidRDefault="00053CE5" w:rsidP="008B4ED7">
      <w:pPr>
        <w:rPr>
          <w:lang w:val="es-ES_tradnl"/>
        </w:rPr>
      </w:pPr>
      <w:r w:rsidRPr="004F4CD0">
        <w:rPr>
          <w:lang w:val="es-ES_tradnl"/>
        </w:rPr>
        <w:t>En un estudio en macacos que recibieron dosis de denosumab durante un periodo equivalente al primer trimestre del embarazo, que provocaron una exposición sistémica (AUC) hasta 99 veces superior a la dosis en humanos (60 mg cada 6 meses), no hubo evidencia de daño en la madre o el feto. En este estudio no se examinaron los ganglios linfáticos fetales.</w:t>
      </w:r>
    </w:p>
    <w:p w14:paraId="431E9772" w14:textId="77777777" w:rsidR="00053CE5" w:rsidRPr="004F4CD0" w:rsidRDefault="00053CE5" w:rsidP="008B4ED7">
      <w:pPr>
        <w:rPr>
          <w:lang w:val="es-ES_tradnl"/>
        </w:rPr>
      </w:pPr>
    </w:p>
    <w:p w14:paraId="07A4BFFE" w14:textId="77777777" w:rsidR="008603DE" w:rsidRPr="004F4CD0" w:rsidRDefault="00053CE5" w:rsidP="008B4ED7">
      <w:pPr>
        <w:rPr>
          <w:lang w:val="es-ES_tradnl"/>
        </w:rPr>
      </w:pPr>
      <w:r w:rsidRPr="004F4CD0">
        <w:rPr>
          <w:lang w:val="es-ES_tradnl"/>
        </w:rPr>
        <w:t>En otro estudio en macacos, que recibieron dosis de denosumab durante el embarazo, con exposiciones sistémicas 119 veces superiores a la dosis en humanos (60 mg cada 6 meses), se observó un incremento de nacimientos de fetos muertos y de mortalidad postnatal; crecimiento anormal del hueso, que dio lugar a una resistencia ósea disminuida, reducción de la hematopoyesis, y mala alineación dental; ausencia de los ganglios linfáticos periféricos; y disminución del crecimiento del recién nacido. No se ha establecido una dosis sin efecto adverso en la reproducción. Tras un período de 6 meses después del nacimiento, los cambios relacionados con el hueso, mostraron recuperación y no hubo ningún efecto en la dentición. Sin embargo, los efectos en los ganglios linfáticos y la mala alineación dental persistieron, y en un animal se observó una mineralización de mínima a moderada en múltiples tejidos (relación incierta con el tratamiento). No hubo evidencia de daño materno antes del parto; los efectos adversos maternos fueron poco frecuentes durante el parto. El desarrollo de la glándula mamaria materna fue normal.</w:t>
      </w:r>
    </w:p>
    <w:p w14:paraId="56662300" w14:textId="77777777" w:rsidR="00053CE5" w:rsidRPr="004F4CD0" w:rsidRDefault="00053CE5" w:rsidP="008B4ED7">
      <w:pPr>
        <w:rPr>
          <w:lang w:val="es-ES_tradnl"/>
        </w:rPr>
      </w:pPr>
    </w:p>
    <w:p w14:paraId="2759ABE4" w14:textId="77777777" w:rsidR="00053CE5" w:rsidRPr="004F4CD0" w:rsidRDefault="00053CE5" w:rsidP="008B4ED7">
      <w:pPr>
        <w:rPr>
          <w:lang w:val="es-ES_tradnl"/>
        </w:rPr>
      </w:pPr>
      <w:r w:rsidRPr="004F4CD0">
        <w:rPr>
          <w:lang w:val="es-ES_tradnl"/>
        </w:rPr>
        <w:t>En estudios preclínicos de calidad ósea realizados en monos tratados con denosumab a largo plazo, la disminución del remodelado óseo se asoció con la mejora de la resistencia ósea y de la histología ósea normal. Los niveles de calcio disminuyeron temporalmente y los niveles de hormona paratiroidea aumentaron temporalmente en monas ovariectomizadas tratadas con denosumab.</w:t>
      </w:r>
    </w:p>
    <w:p w14:paraId="36240B17" w14:textId="77777777" w:rsidR="00053CE5" w:rsidRPr="004F4CD0" w:rsidRDefault="00053CE5" w:rsidP="008B4ED7">
      <w:pPr>
        <w:rPr>
          <w:lang w:val="es-ES_tradnl"/>
        </w:rPr>
      </w:pPr>
    </w:p>
    <w:p w14:paraId="1FCA5337" w14:textId="77777777" w:rsidR="008603DE" w:rsidRPr="004F4CD0" w:rsidRDefault="00053CE5" w:rsidP="008B4ED7">
      <w:pPr>
        <w:rPr>
          <w:lang w:val="es-ES_tradnl"/>
        </w:rPr>
      </w:pPr>
      <w:r w:rsidRPr="004F4CD0">
        <w:rPr>
          <w:lang w:val="es-ES_tradnl"/>
        </w:rPr>
        <w:t>En ratones macho modificados genéticamente para expresar huRANKL (ratones con activación genética) sometidos a una fractura transcortical, denosumab retrasó la eliminación de cartílago y la remodelación del callo de la fractura en comparación con el grupo control, aunque no afectó negativamente a la fuerza biomecánica.</w:t>
      </w:r>
    </w:p>
    <w:p w14:paraId="2FE72100" w14:textId="77777777" w:rsidR="00053CE5" w:rsidRPr="004F4CD0" w:rsidRDefault="00053CE5" w:rsidP="008B4ED7">
      <w:pPr>
        <w:rPr>
          <w:lang w:val="es-ES_tradnl"/>
        </w:rPr>
      </w:pPr>
    </w:p>
    <w:p w14:paraId="50E9C36F" w14:textId="77777777" w:rsidR="008603DE" w:rsidRPr="004F4CD0" w:rsidRDefault="00053CE5" w:rsidP="008B4ED7">
      <w:pPr>
        <w:rPr>
          <w:lang w:val="es-ES_tradnl"/>
        </w:rPr>
      </w:pPr>
      <w:r w:rsidRPr="004F4CD0">
        <w:rPr>
          <w:lang w:val="es-ES_tradnl"/>
        </w:rPr>
        <w:t>Los ratones knockout (ver sección 4.6) sin RANK o RANKL mostraron una reducción del peso corporal, del crecimiento óseo y ausencia de dentición. En ratas recién nacidas, la inhibición del RANKL (diana del tratamiento con denosumab) con dosis altas de un compuesto de osteoprotegerina unida a Fc (OPG</w:t>
      </w:r>
      <w:r w:rsidRPr="004F4CD0">
        <w:rPr>
          <w:lang w:val="es-ES_tradnl"/>
        </w:rPr>
        <w:noBreakHyphen/>
        <w:t>Fc), se asoció a la inhibición del crecimiento óseo y de la dentición. Estos cambios fueron parcialmente reversibles en este modelo cuando se suspendió la dosis con inhibidores del RANKL. En primates adolescentes que recibieron dosis de denosumab entre 27 y 150 veces superiores a la exposición clínica (dosis de 10 y 50 mg/kg), se observaron placas de crecimiento anómalas. Por lo tanto, el tratamiento con denosumab puede deteriorar el crecimiento óseo en niños con placas de crecimiento abiertas e inhibir la dentición.</w:t>
      </w:r>
    </w:p>
    <w:p w14:paraId="32FB4946" w14:textId="77777777" w:rsidR="008011D6" w:rsidRPr="004F4CD0" w:rsidRDefault="008011D6" w:rsidP="008B4ED7">
      <w:pPr>
        <w:rPr>
          <w:lang w:val="es-ES_tradnl"/>
        </w:rPr>
      </w:pPr>
    </w:p>
    <w:p w14:paraId="6D36D500" w14:textId="77777777" w:rsidR="008011D6" w:rsidRPr="004F4CD0" w:rsidRDefault="008011D6" w:rsidP="008B4ED7">
      <w:pPr>
        <w:rPr>
          <w:lang w:val="es-ES_tradnl"/>
        </w:rPr>
      </w:pPr>
    </w:p>
    <w:p w14:paraId="6B964148" w14:textId="77777777" w:rsidR="008011D6" w:rsidRPr="004F4CD0" w:rsidRDefault="008011D6" w:rsidP="008B4ED7">
      <w:pPr>
        <w:keepNext/>
        <w:ind w:left="567" w:hanging="567"/>
        <w:rPr>
          <w:b/>
          <w:lang w:val="es-ES_tradnl"/>
        </w:rPr>
      </w:pPr>
      <w:r w:rsidRPr="004F4CD0">
        <w:rPr>
          <w:b/>
          <w:lang w:val="es-ES_tradnl"/>
        </w:rPr>
        <w:t>6.</w:t>
      </w:r>
      <w:r w:rsidRPr="004F4CD0">
        <w:rPr>
          <w:b/>
          <w:lang w:val="es-ES_tradnl"/>
        </w:rPr>
        <w:tab/>
        <w:t>DATOS FARMACÉUTICOS</w:t>
      </w:r>
    </w:p>
    <w:p w14:paraId="7E5350BA" w14:textId="77777777" w:rsidR="008011D6" w:rsidRPr="004F4CD0" w:rsidRDefault="008011D6" w:rsidP="008B4ED7">
      <w:pPr>
        <w:keepNext/>
        <w:rPr>
          <w:lang w:val="es-ES_tradnl"/>
        </w:rPr>
      </w:pPr>
    </w:p>
    <w:p w14:paraId="5D4CED39" w14:textId="77777777" w:rsidR="008011D6" w:rsidRPr="004F4CD0" w:rsidRDefault="00A77D74" w:rsidP="008B4ED7">
      <w:pPr>
        <w:keepNext/>
        <w:ind w:left="567" w:hanging="567"/>
        <w:rPr>
          <w:b/>
          <w:lang w:val="es-ES_tradnl"/>
        </w:rPr>
      </w:pPr>
      <w:r w:rsidRPr="004F4CD0">
        <w:rPr>
          <w:b/>
          <w:lang w:val="es-ES_tradnl"/>
        </w:rPr>
        <w:t>6.1</w:t>
      </w:r>
      <w:r w:rsidRPr="004F4CD0">
        <w:rPr>
          <w:b/>
          <w:lang w:val="es-ES_tradnl"/>
        </w:rPr>
        <w:tab/>
        <w:t>Lista de excipientes</w:t>
      </w:r>
    </w:p>
    <w:p w14:paraId="6B359512" w14:textId="77777777" w:rsidR="008011D6" w:rsidRPr="004F4CD0" w:rsidRDefault="008011D6" w:rsidP="008B4ED7">
      <w:pPr>
        <w:keepNext/>
        <w:rPr>
          <w:lang w:val="es-ES_tradnl"/>
        </w:rPr>
      </w:pPr>
    </w:p>
    <w:p w14:paraId="01A4CCED" w14:textId="5A4188CD" w:rsidR="00992A6A" w:rsidRPr="004F4CD0" w:rsidRDefault="00992A6A" w:rsidP="008B4ED7">
      <w:pPr>
        <w:keepNext/>
        <w:rPr>
          <w:lang w:val="es-ES_tradnl"/>
        </w:rPr>
      </w:pPr>
      <w:r w:rsidRPr="004F4CD0">
        <w:rPr>
          <w:lang w:val="es-ES_tradnl"/>
        </w:rPr>
        <w:t>Ácido acético*</w:t>
      </w:r>
    </w:p>
    <w:p w14:paraId="2A565D77" w14:textId="1F2A107E" w:rsidR="008011D6" w:rsidRPr="004F4CD0" w:rsidRDefault="00733A39" w:rsidP="008B4ED7">
      <w:pPr>
        <w:keepNext/>
        <w:rPr>
          <w:lang w:val="es-ES_tradnl"/>
        </w:rPr>
      </w:pPr>
      <w:r w:rsidRPr="004F4CD0">
        <w:rPr>
          <w:lang w:val="es-ES_tradnl"/>
        </w:rPr>
        <w:t>Acetato de sodio trihidrat</w:t>
      </w:r>
      <w:r w:rsidR="00F30FFD" w:rsidRPr="004F4CD0">
        <w:rPr>
          <w:lang w:val="es-ES_tradnl"/>
        </w:rPr>
        <w:t>o</w:t>
      </w:r>
      <w:r w:rsidRPr="004F4CD0">
        <w:rPr>
          <w:lang w:val="es-ES_tradnl"/>
        </w:rPr>
        <w:t xml:space="preserve"> </w:t>
      </w:r>
      <w:r w:rsidR="008011D6" w:rsidRPr="004F4CD0">
        <w:rPr>
          <w:lang w:val="es-ES_tradnl"/>
        </w:rPr>
        <w:t>(para ajuste del pH)*</w:t>
      </w:r>
    </w:p>
    <w:p w14:paraId="4E4C6F01" w14:textId="77777777" w:rsidR="008603DE" w:rsidRPr="004F4CD0" w:rsidRDefault="008011D6" w:rsidP="008B4ED7">
      <w:pPr>
        <w:keepNext/>
        <w:rPr>
          <w:lang w:val="es-ES_tradnl"/>
        </w:rPr>
      </w:pPr>
      <w:r w:rsidRPr="004F4CD0">
        <w:rPr>
          <w:lang w:val="es-ES_tradnl"/>
        </w:rPr>
        <w:t>Sorbitol (E420)</w:t>
      </w:r>
    </w:p>
    <w:p w14:paraId="654B575C" w14:textId="1DBA5B2F" w:rsidR="008011D6" w:rsidRPr="004F4CD0" w:rsidRDefault="008011D6" w:rsidP="000D0706">
      <w:pPr>
        <w:rPr>
          <w:lang w:val="es-ES_tradnl"/>
        </w:rPr>
      </w:pPr>
      <w:r w:rsidRPr="004F4CD0">
        <w:rPr>
          <w:lang w:val="es-ES_tradnl"/>
        </w:rPr>
        <w:t>Polisorbato 20</w:t>
      </w:r>
      <w:r w:rsidR="00733A39" w:rsidRPr="004F4CD0">
        <w:rPr>
          <w:lang w:val="es-ES_tradnl"/>
        </w:rPr>
        <w:t xml:space="preserve"> (E432)</w:t>
      </w:r>
    </w:p>
    <w:p w14:paraId="16634C6D" w14:textId="77777777" w:rsidR="008011D6" w:rsidRPr="004F4CD0" w:rsidRDefault="008011D6" w:rsidP="008B4ED7">
      <w:pPr>
        <w:keepNext/>
        <w:rPr>
          <w:lang w:val="es-ES_tradnl"/>
        </w:rPr>
      </w:pPr>
      <w:r w:rsidRPr="004F4CD0">
        <w:rPr>
          <w:lang w:val="es-ES_tradnl"/>
        </w:rPr>
        <w:t>Agua para preparaciones inyectables</w:t>
      </w:r>
    </w:p>
    <w:p w14:paraId="7A77A991" w14:textId="33A8CD60" w:rsidR="008603DE" w:rsidRPr="004F4CD0" w:rsidRDefault="008011D6" w:rsidP="008B4ED7">
      <w:pPr>
        <w:rPr>
          <w:lang w:val="es-ES_tradnl"/>
        </w:rPr>
      </w:pPr>
      <w:r w:rsidRPr="004F4CD0">
        <w:rPr>
          <w:lang w:val="es-ES_tradnl"/>
        </w:rPr>
        <w:t xml:space="preserve">* La solución tampón de acetato se forma mezclando ácido acético con </w:t>
      </w:r>
      <w:r w:rsidR="00733A39" w:rsidRPr="004F4CD0">
        <w:rPr>
          <w:lang w:val="es-ES_tradnl"/>
        </w:rPr>
        <w:t>acetato de sodio trihidrat</w:t>
      </w:r>
      <w:r w:rsidR="00726599" w:rsidRPr="004F4CD0">
        <w:rPr>
          <w:lang w:val="es-ES_tradnl"/>
        </w:rPr>
        <w:t>o</w:t>
      </w:r>
    </w:p>
    <w:p w14:paraId="5BB113D0" w14:textId="77777777" w:rsidR="00456592" w:rsidRPr="004F4CD0" w:rsidRDefault="00456592" w:rsidP="008B4ED7">
      <w:pPr>
        <w:rPr>
          <w:lang w:val="es-ES_tradnl"/>
        </w:rPr>
      </w:pPr>
    </w:p>
    <w:p w14:paraId="33520162" w14:textId="77777777" w:rsidR="008011D6" w:rsidRPr="004F4CD0" w:rsidRDefault="00A77D74" w:rsidP="008B4ED7">
      <w:pPr>
        <w:keepNext/>
        <w:ind w:left="567" w:hanging="567"/>
        <w:rPr>
          <w:b/>
          <w:lang w:val="es-ES_tradnl"/>
        </w:rPr>
      </w:pPr>
      <w:r w:rsidRPr="004F4CD0">
        <w:rPr>
          <w:b/>
          <w:lang w:val="es-ES_tradnl"/>
        </w:rPr>
        <w:t>6.2</w:t>
      </w:r>
      <w:r w:rsidRPr="004F4CD0">
        <w:rPr>
          <w:b/>
          <w:lang w:val="es-ES_tradnl"/>
        </w:rPr>
        <w:tab/>
        <w:t>Incompatibilidades</w:t>
      </w:r>
    </w:p>
    <w:p w14:paraId="6C0BD8E0" w14:textId="77777777" w:rsidR="008011D6" w:rsidRPr="004F4CD0" w:rsidRDefault="008011D6" w:rsidP="008B4ED7">
      <w:pPr>
        <w:keepNext/>
        <w:rPr>
          <w:lang w:val="es-ES_tradnl"/>
        </w:rPr>
      </w:pPr>
    </w:p>
    <w:p w14:paraId="1D8C0622" w14:textId="77777777" w:rsidR="00992A6A" w:rsidRPr="004F4CD0" w:rsidRDefault="00992A6A" w:rsidP="008B4ED7">
      <w:pPr>
        <w:rPr>
          <w:lang w:val="es-ES_tradnl"/>
        </w:rPr>
      </w:pPr>
      <w:r w:rsidRPr="004F4CD0">
        <w:rPr>
          <w:lang w:val="es-ES_tradnl"/>
        </w:rPr>
        <w:t>En ausencia de estudios de compatibilidad, este medicamento no debe mezclarse con otros.</w:t>
      </w:r>
    </w:p>
    <w:p w14:paraId="1FD40A77" w14:textId="77777777" w:rsidR="008011D6" w:rsidRPr="004F4CD0" w:rsidRDefault="008011D6" w:rsidP="008B4ED7">
      <w:pPr>
        <w:rPr>
          <w:lang w:val="es-ES_tradnl"/>
        </w:rPr>
      </w:pPr>
    </w:p>
    <w:p w14:paraId="24A22EFB" w14:textId="77777777" w:rsidR="008011D6" w:rsidRPr="004F4CD0" w:rsidRDefault="00A77D74" w:rsidP="008B4ED7">
      <w:pPr>
        <w:keepNext/>
        <w:ind w:left="567" w:hanging="567"/>
        <w:rPr>
          <w:b/>
          <w:lang w:val="es-ES_tradnl"/>
        </w:rPr>
      </w:pPr>
      <w:r w:rsidRPr="004F4CD0">
        <w:rPr>
          <w:b/>
          <w:lang w:val="es-ES_tradnl"/>
        </w:rPr>
        <w:lastRenderedPageBreak/>
        <w:t>6.3</w:t>
      </w:r>
      <w:r w:rsidRPr="004F4CD0">
        <w:rPr>
          <w:b/>
          <w:lang w:val="es-ES_tradnl"/>
        </w:rPr>
        <w:tab/>
        <w:t>Periodo de validez</w:t>
      </w:r>
    </w:p>
    <w:p w14:paraId="7CF10C0D" w14:textId="77777777" w:rsidR="008011D6" w:rsidRPr="004F4CD0" w:rsidRDefault="008011D6" w:rsidP="008B4ED7">
      <w:pPr>
        <w:keepNext/>
        <w:rPr>
          <w:lang w:val="es-ES_tradnl"/>
        </w:rPr>
      </w:pPr>
    </w:p>
    <w:p w14:paraId="466849C1" w14:textId="6DDBA7C6" w:rsidR="008011D6" w:rsidRPr="004F4CD0" w:rsidRDefault="00733A39" w:rsidP="008B4ED7">
      <w:pPr>
        <w:rPr>
          <w:lang w:val="es-ES_tradnl"/>
        </w:rPr>
      </w:pPr>
      <w:r w:rsidRPr="004F4CD0">
        <w:rPr>
          <w:lang w:val="es-ES_tradnl"/>
        </w:rPr>
        <w:t>4</w:t>
      </w:r>
      <w:r w:rsidR="003C6C78" w:rsidRPr="004F4CD0">
        <w:rPr>
          <w:lang w:val="es-ES_tradnl"/>
        </w:rPr>
        <w:t> años.</w:t>
      </w:r>
    </w:p>
    <w:p w14:paraId="29E254D8" w14:textId="77777777" w:rsidR="008011D6" w:rsidRPr="004F4CD0" w:rsidRDefault="008011D6" w:rsidP="008B4ED7">
      <w:pPr>
        <w:rPr>
          <w:lang w:val="es-ES_tradnl"/>
        </w:rPr>
      </w:pPr>
    </w:p>
    <w:p w14:paraId="6ADDB33D" w14:textId="53DE64E5" w:rsidR="008011D6" w:rsidRPr="004F4CD0" w:rsidRDefault="003F5BA9" w:rsidP="008B4ED7">
      <w:pPr>
        <w:rPr>
          <w:lang w:val="es-ES_tradnl"/>
        </w:rPr>
      </w:pPr>
      <w:r w:rsidRPr="004F4CD0">
        <w:rPr>
          <w:lang w:val="es-ES_tradnl"/>
        </w:rPr>
        <w:t xml:space="preserve">Una vez fuera de la nevera, </w:t>
      </w:r>
      <w:r w:rsidR="00733A39" w:rsidRPr="004F4CD0">
        <w:rPr>
          <w:lang w:val="es-ES_tradnl"/>
        </w:rPr>
        <w:t xml:space="preserve">Stoboclo </w:t>
      </w:r>
      <w:r w:rsidRPr="004F4CD0">
        <w:rPr>
          <w:lang w:val="es-ES_tradnl"/>
        </w:rPr>
        <w:t>se puede conservar a temperatura ambiente (hasta 25 °C) durante un máximo de 30 días en el embalaje original. Debe utilizarse dentro del plazo de</w:t>
      </w:r>
      <w:r w:rsidR="00733A39" w:rsidRPr="004F4CD0">
        <w:rPr>
          <w:lang w:val="es-ES_tradnl"/>
        </w:rPr>
        <w:t xml:space="preserve"> 1 mes</w:t>
      </w:r>
      <w:r w:rsidRPr="004F4CD0">
        <w:rPr>
          <w:lang w:val="es-ES_tradnl"/>
        </w:rPr>
        <w:t>.</w:t>
      </w:r>
    </w:p>
    <w:p w14:paraId="56322405" w14:textId="77777777" w:rsidR="008011D6" w:rsidRPr="004F4CD0" w:rsidRDefault="008011D6" w:rsidP="008B4ED7">
      <w:pPr>
        <w:rPr>
          <w:lang w:val="es-ES_tradnl"/>
        </w:rPr>
      </w:pPr>
    </w:p>
    <w:p w14:paraId="5C9CAD34" w14:textId="77777777" w:rsidR="008011D6" w:rsidRPr="004F4CD0" w:rsidRDefault="00A77D74" w:rsidP="008B4ED7">
      <w:pPr>
        <w:keepNext/>
        <w:ind w:left="567" w:hanging="567"/>
        <w:rPr>
          <w:b/>
          <w:lang w:val="es-ES_tradnl"/>
        </w:rPr>
      </w:pPr>
      <w:r w:rsidRPr="004F4CD0">
        <w:rPr>
          <w:b/>
          <w:lang w:val="es-ES_tradnl"/>
        </w:rPr>
        <w:t>6.4</w:t>
      </w:r>
      <w:r w:rsidRPr="004F4CD0">
        <w:rPr>
          <w:b/>
          <w:lang w:val="es-ES_tradnl"/>
        </w:rPr>
        <w:tab/>
        <w:t>Precauciones especiales de conservación</w:t>
      </w:r>
    </w:p>
    <w:p w14:paraId="01AD987C" w14:textId="77777777" w:rsidR="008011D6" w:rsidRPr="004F4CD0" w:rsidRDefault="008011D6" w:rsidP="008B4ED7">
      <w:pPr>
        <w:keepNext/>
        <w:rPr>
          <w:lang w:val="es-ES_tradnl"/>
        </w:rPr>
      </w:pPr>
    </w:p>
    <w:p w14:paraId="7BBF726F" w14:textId="77777777" w:rsidR="008011D6" w:rsidRPr="004F4CD0" w:rsidRDefault="008011D6" w:rsidP="008B4ED7">
      <w:pPr>
        <w:rPr>
          <w:lang w:val="es-ES_tradnl"/>
        </w:rPr>
      </w:pPr>
      <w:r w:rsidRPr="004F4CD0">
        <w:rPr>
          <w:lang w:val="es-ES_tradnl"/>
        </w:rPr>
        <w:t>Conservar en nevera (entre 2 °C y 8 °C).</w:t>
      </w:r>
    </w:p>
    <w:p w14:paraId="7A95FEAA" w14:textId="77777777" w:rsidR="008011D6" w:rsidRPr="004F4CD0" w:rsidRDefault="008011D6" w:rsidP="008B4ED7">
      <w:pPr>
        <w:rPr>
          <w:lang w:val="es-ES_tradnl"/>
        </w:rPr>
      </w:pPr>
      <w:r w:rsidRPr="004F4CD0">
        <w:rPr>
          <w:lang w:val="es-ES_tradnl"/>
        </w:rPr>
        <w:t>No congelar.</w:t>
      </w:r>
    </w:p>
    <w:p w14:paraId="6757B7B7" w14:textId="187EB801" w:rsidR="008011D6" w:rsidRPr="004F4CD0" w:rsidRDefault="008011D6" w:rsidP="008B4ED7">
      <w:pPr>
        <w:rPr>
          <w:lang w:val="es-ES_tradnl"/>
        </w:rPr>
      </w:pPr>
      <w:r w:rsidRPr="004F4CD0">
        <w:rPr>
          <w:lang w:val="es-ES_tradnl"/>
        </w:rPr>
        <w:t>Conservar la jeringa precargada en el embalaje exterior para protegerla de la luz.</w:t>
      </w:r>
    </w:p>
    <w:p w14:paraId="2B2FE057" w14:textId="77777777" w:rsidR="008011D6" w:rsidRPr="004F4CD0" w:rsidRDefault="008011D6" w:rsidP="008B4ED7">
      <w:pPr>
        <w:rPr>
          <w:lang w:val="es-ES_tradnl"/>
        </w:rPr>
      </w:pPr>
    </w:p>
    <w:p w14:paraId="66BE42EB" w14:textId="77777777" w:rsidR="008011D6" w:rsidRPr="004F4CD0" w:rsidRDefault="00A77D74" w:rsidP="008B4ED7">
      <w:pPr>
        <w:keepNext/>
        <w:ind w:left="567" w:hanging="567"/>
        <w:rPr>
          <w:b/>
          <w:lang w:val="es-ES_tradnl"/>
        </w:rPr>
      </w:pPr>
      <w:r w:rsidRPr="004F4CD0">
        <w:rPr>
          <w:b/>
          <w:lang w:val="es-ES_tradnl"/>
        </w:rPr>
        <w:t>6.5</w:t>
      </w:r>
      <w:r w:rsidRPr="004F4CD0">
        <w:rPr>
          <w:b/>
          <w:lang w:val="es-ES_tradnl"/>
        </w:rPr>
        <w:tab/>
        <w:t>Naturaleza y contenido del envase</w:t>
      </w:r>
    </w:p>
    <w:p w14:paraId="2C1A1EFE" w14:textId="77777777" w:rsidR="008011D6" w:rsidRPr="004F4CD0" w:rsidRDefault="008011D6" w:rsidP="008B4ED7">
      <w:pPr>
        <w:keepNext/>
        <w:rPr>
          <w:lang w:val="es-ES_tradnl"/>
        </w:rPr>
      </w:pPr>
    </w:p>
    <w:p w14:paraId="0123C627" w14:textId="38EBDA63" w:rsidR="008011D6" w:rsidRPr="004F4CD0" w:rsidRDefault="008011D6" w:rsidP="008B4ED7">
      <w:pPr>
        <w:rPr>
          <w:lang w:val="es-ES_tradnl"/>
        </w:rPr>
      </w:pPr>
      <w:r w:rsidRPr="004F4CD0">
        <w:rPr>
          <w:lang w:val="es-ES_tradnl"/>
        </w:rPr>
        <w:t xml:space="preserve">Solución de 1 ml en una jeringa precargada de un solo uso de vidrio de </w:t>
      </w:r>
      <w:r w:rsidR="00854AB9" w:rsidRPr="004F4CD0">
        <w:rPr>
          <w:lang w:val="es-ES_tradnl"/>
        </w:rPr>
        <w:t xml:space="preserve">borosilicato de </w:t>
      </w:r>
      <w:r w:rsidRPr="004F4CD0">
        <w:rPr>
          <w:lang w:val="es-ES_tradnl"/>
        </w:rPr>
        <w:t>tipo I</w:t>
      </w:r>
      <w:r w:rsidR="00854AB9" w:rsidRPr="004F4CD0">
        <w:rPr>
          <w:lang w:val="es-ES_tradnl"/>
        </w:rPr>
        <w:t>, tapón de caucho (bromobutilo) y</w:t>
      </w:r>
      <w:r w:rsidRPr="004F4CD0">
        <w:rPr>
          <w:lang w:val="es-ES_tradnl"/>
        </w:rPr>
        <w:t xml:space="preserve"> con una aguja de acero inoxidable de calibre 27 G con protector de</w:t>
      </w:r>
      <w:r w:rsidR="00854AB9" w:rsidRPr="004F4CD0">
        <w:rPr>
          <w:lang w:val="es-ES_tradnl"/>
        </w:rPr>
        <w:t xml:space="preserve"> seguridad</w:t>
      </w:r>
      <w:r w:rsidRPr="004F4CD0">
        <w:rPr>
          <w:lang w:val="es-ES_tradnl"/>
        </w:rPr>
        <w:t>.</w:t>
      </w:r>
    </w:p>
    <w:p w14:paraId="03B854AB" w14:textId="77777777" w:rsidR="008011D6" w:rsidRPr="004F4CD0" w:rsidRDefault="008011D6" w:rsidP="008B4ED7">
      <w:pPr>
        <w:rPr>
          <w:lang w:val="es-ES_tradnl"/>
        </w:rPr>
      </w:pPr>
    </w:p>
    <w:p w14:paraId="5194C982" w14:textId="08AA7E1F" w:rsidR="008011D6" w:rsidRPr="004F4CD0" w:rsidRDefault="008011D6" w:rsidP="008B4ED7">
      <w:pPr>
        <w:rPr>
          <w:lang w:val="es-ES_tradnl"/>
        </w:rPr>
      </w:pPr>
      <w:r w:rsidRPr="004F4CD0">
        <w:rPr>
          <w:lang w:val="es-ES_tradnl"/>
        </w:rPr>
        <w:t>Envase con una jeringa precargada</w:t>
      </w:r>
      <w:r w:rsidR="000B4740" w:rsidRPr="004F4CD0">
        <w:rPr>
          <w:lang w:val="es-ES_tradnl"/>
        </w:rPr>
        <w:t xml:space="preserve"> con </w:t>
      </w:r>
      <w:r w:rsidRPr="004F4CD0">
        <w:rPr>
          <w:lang w:val="es-ES_tradnl"/>
        </w:rPr>
        <w:t xml:space="preserve">protector de </w:t>
      </w:r>
      <w:r w:rsidR="000B4740" w:rsidRPr="004F4CD0">
        <w:rPr>
          <w:lang w:val="es-ES_tradnl"/>
        </w:rPr>
        <w:t>seguridad</w:t>
      </w:r>
      <w:r w:rsidRPr="004F4CD0">
        <w:rPr>
          <w:lang w:val="es-ES_tradnl"/>
        </w:rPr>
        <w:t>.</w:t>
      </w:r>
    </w:p>
    <w:p w14:paraId="29951378" w14:textId="77777777" w:rsidR="00456592" w:rsidRPr="004F4CD0" w:rsidRDefault="00456592" w:rsidP="008B4ED7">
      <w:pPr>
        <w:rPr>
          <w:lang w:val="es-ES_tradnl"/>
        </w:rPr>
      </w:pPr>
    </w:p>
    <w:p w14:paraId="5718B83C" w14:textId="77777777" w:rsidR="00456592" w:rsidRPr="004F4CD0" w:rsidRDefault="00A77D74" w:rsidP="008B4ED7">
      <w:pPr>
        <w:keepNext/>
        <w:ind w:left="567" w:hanging="567"/>
        <w:rPr>
          <w:b/>
          <w:lang w:val="es-ES_tradnl"/>
        </w:rPr>
      </w:pPr>
      <w:r w:rsidRPr="004F4CD0">
        <w:rPr>
          <w:b/>
          <w:lang w:val="es-ES_tradnl"/>
        </w:rPr>
        <w:t>6.6</w:t>
      </w:r>
      <w:r w:rsidRPr="004F4CD0">
        <w:rPr>
          <w:b/>
          <w:lang w:val="es-ES_tradnl"/>
        </w:rPr>
        <w:tab/>
        <w:t>Precauciones especiales de eliminación y otras manipulaciones</w:t>
      </w:r>
    </w:p>
    <w:p w14:paraId="6A60C73C" w14:textId="77777777" w:rsidR="00456592" w:rsidRPr="004F4CD0" w:rsidRDefault="00456592" w:rsidP="008B4ED7">
      <w:pPr>
        <w:keepNext/>
        <w:rPr>
          <w:lang w:val="es-ES_tradnl"/>
        </w:rPr>
      </w:pPr>
    </w:p>
    <w:p w14:paraId="1DC84927" w14:textId="290CACF9" w:rsidR="008603DE" w:rsidRPr="004F4CD0" w:rsidRDefault="008011D6" w:rsidP="008B4ED7">
      <w:pPr>
        <w:numPr>
          <w:ilvl w:val="0"/>
          <w:numId w:val="54"/>
        </w:numPr>
        <w:tabs>
          <w:tab w:val="clear" w:pos="567"/>
        </w:tabs>
        <w:ind w:left="567" w:hanging="567"/>
        <w:rPr>
          <w:lang w:val="es-ES_tradnl"/>
        </w:rPr>
      </w:pPr>
      <w:r w:rsidRPr="004F4CD0">
        <w:rPr>
          <w:lang w:val="es-ES_tradnl"/>
        </w:rPr>
        <w:t>La solución debe examinarse antes de su administración. No inyecte la solución si contiene partículas</w:t>
      </w:r>
      <w:r w:rsidR="000B4740" w:rsidRPr="004F4CD0">
        <w:rPr>
          <w:lang w:val="es-ES_tradnl"/>
        </w:rPr>
        <w:t xml:space="preserve"> visibles</w:t>
      </w:r>
      <w:r w:rsidRPr="004F4CD0">
        <w:rPr>
          <w:lang w:val="es-ES_tradnl"/>
        </w:rPr>
        <w:t>, si está turbia o descolorida.</w:t>
      </w:r>
    </w:p>
    <w:p w14:paraId="27AB166A" w14:textId="77777777" w:rsidR="008603DE" w:rsidRPr="004F4CD0" w:rsidRDefault="008011D6" w:rsidP="008B4ED7">
      <w:pPr>
        <w:numPr>
          <w:ilvl w:val="0"/>
          <w:numId w:val="54"/>
        </w:numPr>
        <w:tabs>
          <w:tab w:val="clear" w:pos="567"/>
        </w:tabs>
        <w:ind w:left="567" w:hanging="567"/>
        <w:rPr>
          <w:lang w:val="es-ES_tradnl"/>
        </w:rPr>
      </w:pPr>
      <w:r w:rsidRPr="004F4CD0">
        <w:rPr>
          <w:lang w:val="es-ES_tradnl"/>
        </w:rPr>
        <w:t>No agitar.</w:t>
      </w:r>
    </w:p>
    <w:p w14:paraId="6987B1A7" w14:textId="77777777" w:rsidR="008603DE" w:rsidRPr="004F4CD0" w:rsidRDefault="008011D6" w:rsidP="008B4ED7">
      <w:pPr>
        <w:numPr>
          <w:ilvl w:val="0"/>
          <w:numId w:val="54"/>
        </w:numPr>
        <w:tabs>
          <w:tab w:val="clear" w:pos="567"/>
        </w:tabs>
        <w:ind w:left="567" w:hanging="567"/>
        <w:rPr>
          <w:lang w:val="es-ES_tradnl"/>
        </w:rPr>
      </w:pPr>
      <w:r w:rsidRPr="004F4CD0">
        <w:rPr>
          <w:lang w:val="es-ES_tradnl"/>
        </w:rPr>
        <w:t>Para evitar molestias en la zona de inyección, deje que la jeringa precargada alcance la temperatura ambiente (hasta 25 ºC) antes de inyectarla y realice la inyección lentamente.</w:t>
      </w:r>
    </w:p>
    <w:p w14:paraId="15B74902" w14:textId="77777777" w:rsidR="008603DE" w:rsidRPr="004F4CD0" w:rsidRDefault="008011D6" w:rsidP="008B4ED7">
      <w:pPr>
        <w:numPr>
          <w:ilvl w:val="0"/>
          <w:numId w:val="54"/>
        </w:numPr>
        <w:tabs>
          <w:tab w:val="clear" w:pos="567"/>
        </w:tabs>
        <w:ind w:left="567" w:hanging="567"/>
        <w:rPr>
          <w:lang w:val="es-ES_tradnl"/>
        </w:rPr>
      </w:pPr>
      <w:r w:rsidRPr="004F4CD0">
        <w:rPr>
          <w:lang w:val="es-ES_tradnl"/>
        </w:rPr>
        <w:t>Inyecte todo el contenido de la jeringa precargada.</w:t>
      </w:r>
    </w:p>
    <w:p w14:paraId="0AB9123F" w14:textId="712EA74A" w:rsidR="00271F9A" w:rsidRPr="004F4CD0" w:rsidRDefault="00271F9A" w:rsidP="008B4ED7">
      <w:pPr>
        <w:numPr>
          <w:ilvl w:val="0"/>
          <w:numId w:val="54"/>
        </w:numPr>
        <w:tabs>
          <w:tab w:val="clear" w:pos="567"/>
        </w:tabs>
        <w:ind w:left="567" w:hanging="567"/>
        <w:rPr>
          <w:lang w:val="es-ES_tradnl"/>
        </w:rPr>
      </w:pPr>
      <w:r w:rsidRPr="004F4CD0">
        <w:rPr>
          <w:lang w:val="es-ES_tradnl"/>
        </w:rPr>
        <w:t>El envase incluye instrucciones detalladas para la preparación y administración de Stoboclo.</w:t>
      </w:r>
    </w:p>
    <w:p w14:paraId="33789670" w14:textId="77777777" w:rsidR="008011D6" w:rsidRPr="004F4CD0" w:rsidRDefault="008011D6" w:rsidP="008B4ED7">
      <w:pPr>
        <w:rPr>
          <w:lang w:val="es-ES_tradnl"/>
        </w:rPr>
      </w:pPr>
    </w:p>
    <w:p w14:paraId="0B5265CC" w14:textId="7538D2C7" w:rsidR="004736CC" w:rsidRPr="004F4CD0" w:rsidRDefault="00992A6A" w:rsidP="008B4ED7">
      <w:pPr>
        <w:rPr>
          <w:lang w:val="es-ES_tradnl"/>
        </w:rPr>
      </w:pPr>
      <w:r w:rsidRPr="004F4CD0">
        <w:rPr>
          <w:lang w:val="es-ES_tradnl"/>
        </w:rPr>
        <w:t>La eliminación del medicamento no utilizado y de todos los materiales que hayan estado en contacto con él se realizará de acuerdo con la normativa local.</w:t>
      </w:r>
    </w:p>
    <w:p w14:paraId="32DBA98E" w14:textId="77777777" w:rsidR="008011D6" w:rsidRPr="004F4CD0" w:rsidRDefault="008011D6" w:rsidP="008B4ED7">
      <w:pPr>
        <w:rPr>
          <w:lang w:val="es-ES_tradnl"/>
        </w:rPr>
      </w:pPr>
    </w:p>
    <w:p w14:paraId="30048441" w14:textId="77777777" w:rsidR="008011D6" w:rsidRPr="004F4CD0" w:rsidRDefault="008011D6" w:rsidP="008B4ED7">
      <w:pPr>
        <w:rPr>
          <w:lang w:val="es-ES_tradnl"/>
        </w:rPr>
      </w:pPr>
    </w:p>
    <w:p w14:paraId="38527905" w14:textId="77777777" w:rsidR="008011D6" w:rsidRPr="004F4CD0" w:rsidRDefault="008011D6" w:rsidP="008B4ED7">
      <w:pPr>
        <w:keepNext/>
        <w:ind w:left="567" w:hanging="567"/>
        <w:rPr>
          <w:b/>
          <w:lang w:val="es-ES_tradnl"/>
        </w:rPr>
      </w:pPr>
      <w:r w:rsidRPr="004F4CD0">
        <w:rPr>
          <w:b/>
          <w:lang w:val="es-ES_tradnl"/>
        </w:rPr>
        <w:t>7.</w:t>
      </w:r>
      <w:r w:rsidRPr="004F4CD0">
        <w:rPr>
          <w:b/>
          <w:lang w:val="es-ES_tradnl"/>
        </w:rPr>
        <w:tab/>
        <w:t>TITULAR DE LA AUTORIZACIÓN DE COMERCIALIZACIÓN</w:t>
      </w:r>
    </w:p>
    <w:p w14:paraId="0B88B3A3" w14:textId="77777777" w:rsidR="00271F9A" w:rsidRPr="004F4CD0" w:rsidRDefault="00271F9A" w:rsidP="00271F9A">
      <w:pPr>
        <w:rPr>
          <w:lang w:val="es-ES_tradnl"/>
        </w:rPr>
      </w:pPr>
    </w:p>
    <w:p w14:paraId="70342061" w14:textId="77777777" w:rsidR="00271F9A" w:rsidRPr="004F4CD0" w:rsidRDefault="00271F9A" w:rsidP="00271F9A">
      <w:pPr>
        <w:keepNext/>
        <w:rPr>
          <w:lang w:val="es-ES_tradnl"/>
        </w:rPr>
      </w:pPr>
      <w:r w:rsidRPr="004F4CD0">
        <w:rPr>
          <w:lang w:val="es-ES_tradnl"/>
        </w:rPr>
        <w:t>Celltrion Healthcare Hungary Kft.</w:t>
      </w:r>
    </w:p>
    <w:p w14:paraId="1ACB28FE" w14:textId="77777777" w:rsidR="00271F9A" w:rsidRPr="004F4CD0" w:rsidRDefault="00271F9A" w:rsidP="00271F9A">
      <w:pPr>
        <w:keepNext/>
        <w:rPr>
          <w:lang w:val="es-ES_tradnl"/>
        </w:rPr>
      </w:pPr>
      <w:r w:rsidRPr="004F4CD0">
        <w:rPr>
          <w:lang w:val="es-ES_tradnl"/>
        </w:rPr>
        <w:t>1062 Budapest</w:t>
      </w:r>
    </w:p>
    <w:p w14:paraId="7EF06692" w14:textId="77777777" w:rsidR="00271F9A" w:rsidRPr="004F4CD0" w:rsidRDefault="00271F9A" w:rsidP="00271F9A">
      <w:pPr>
        <w:keepNext/>
        <w:rPr>
          <w:lang w:val="es-ES_tradnl"/>
        </w:rPr>
      </w:pPr>
      <w:r w:rsidRPr="004F4CD0">
        <w:rPr>
          <w:lang w:val="es-ES_tradnl"/>
        </w:rPr>
        <w:t>Váci út 1-3. WestEnd Office Building B torony</w:t>
      </w:r>
    </w:p>
    <w:p w14:paraId="1546783B" w14:textId="2D13C00F" w:rsidR="00271F9A" w:rsidRPr="004F4CD0" w:rsidRDefault="00271F9A" w:rsidP="008B4ED7">
      <w:pPr>
        <w:rPr>
          <w:lang w:val="es-ES_tradnl"/>
        </w:rPr>
      </w:pPr>
      <w:r w:rsidRPr="004F4CD0">
        <w:rPr>
          <w:lang w:val="es-ES_tradnl"/>
        </w:rPr>
        <w:t>Hungría</w:t>
      </w:r>
    </w:p>
    <w:p w14:paraId="5A844093" w14:textId="77777777" w:rsidR="008011D6" w:rsidRPr="004F4CD0" w:rsidRDefault="008011D6" w:rsidP="008B4ED7">
      <w:pPr>
        <w:rPr>
          <w:lang w:val="es-ES_tradnl"/>
        </w:rPr>
      </w:pPr>
    </w:p>
    <w:p w14:paraId="1EAE3ED7" w14:textId="77777777" w:rsidR="008011D6" w:rsidRPr="004F4CD0" w:rsidRDefault="008011D6" w:rsidP="008B4ED7">
      <w:pPr>
        <w:rPr>
          <w:lang w:val="es-ES_tradnl"/>
        </w:rPr>
      </w:pPr>
    </w:p>
    <w:p w14:paraId="1DAD861D" w14:textId="77777777" w:rsidR="008603DE" w:rsidRPr="004F4CD0" w:rsidRDefault="008011D6" w:rsidP="008B4ED7">
      <w:pPr>
        <w:keepNext/>
        <w:ind w:left="567" w:hanging="567"/>
        <w:rPr>
          <w:b/>
          <w:lang w:val="es-ES_tradnl"/>
        </w:rPr>
      </w:pPr>
      <w:r w:rsidRPr="004F4CD0">
        <w:rPr>
          <w:b/>
          <w:lang w:val="es-ES_tradnl"/>
        </w:rPr>
        <w:t>8.</w:t>
      </w:r>
      <w:r w:rsidRPr="004F4CD0">
        <w:rPr>
          <w:b/>
          <w:lang w:val="es-ES_tradnl"/>
        </w:rPr>
        <w:tab/>
        <w:t>NÚMERO(S) DE AUTORIZACIÓN DE COMERCIALIZACIÓN</w:t>
      </w:r>
    </w:p>
    <w:p w14:paraId="24FECF5E" w14:textId="77777777" w:rsidR="008011D6" w:rsidRPr="004F4CD0" w:rsidRDefault="008011D6" w:rsidP="008B4ED7">
      <w:pPr>
        <w:keepNext/>
        <w:rPr>
          <w:lang w:val="es-ES_tradnl"/>
        </w:rPr>
      </w:pPr>
    </w:p>
    <w:p w14:paraId="084237B0" w14:textId="7D1C4D1E" w:rsidR="00271F9A" w:rsidRPr="004F4CD0" w:rsidRDefault="00CB1032" w:rsidP="00271F9A">
      <w:pPr>
        <w:rPr>
          <w:lang w:val="es-ES_tradnl"/>
        </w:rPr>
      </w:pPr>
      <w:r w:rsidRPr="00CB1032">
        <w:rPr>
          <w:lang w:val="es-ES_tradnl"/>
        </w:rPr>
        <w:t>EU/1/24/1905/001</w:t>
      </w:r>
    </w:p>
    <w:p w14:paraId="3C112450" w14:textId="77777777" w:rsidR="00456592" w:rsidRPr="004F4CD0" w:rsidRDefault="00456592" w:rsidP="008B4ED7">
      <w:pPr>
        <w:tabs>
          <w:tab w:val="clear" w:pos="567"/>
        </w:tabs>
        <w:rPr>
          <w:lang w:val="es-ES_tradnl"/>
        </w:rPr>
      </w:pPr>
    </w:p>
    <w:p w14:paraId="78AADA1D" w14:textId="77777777" w:rsidR="008011D6" w:rsidRPr="004F4CD0" w:rsidRDefault="008011D6" w:rsidP="008B4ED7">
      <w:pPr>
        <w:tabs>
          <w:tab w:val="clear" w:pos="567"/>
        </w:tabs>
        <w:rPr>
          <w:lang w:val="es-ES_tradnl"/>
        </w:rPr>
      </w:pPr>
    </w:p>
    <w:p w14:paraId="4D7E8E8F" w14:textId="77777777" w:rsidR="008011D6" w:rsidRPr="004F4CD0" w:rsidRDefault="008011D6" w:rsidP="008B4ED7">
      <w:pPr>
        <w:keepNext/>
        <w:ind w:left="567" w:hanging="567"/>
        <w:rPr>
          <w:b/>
          <w:lang w:val="es-ES_tradnl"/>
        </w:rPr>
      </w:pPr>
      <w:r w:rsidRPr="004F4CD0">
        <w:rPr>
          <w:b/>
          <w:lang w:val="es-ES_tradnl"/>
        </w:rPr>
        <w:t>9.</w:t>
      </w:r>
      <w:r w:rsidRPr="004F4CD0">
        <w:rPr>
          <w:b/>
          <w:lang w:val="es-ES_tradnl"/>
        </w:rPr>
        <w:tab/>
        <w:t>FECHA DE LA PRIMERA AUTORIZACIÓN/RENOVACIÓN DE LA AUTORIZACIÓN</w:t>
      </w:r>
    </w:p>
    <w:p w14:paraId="0B2FDFE4" w14:textId="77777777" w:rsidR="008011D6" w:rsidRPr="004F4CD0" w:rsidRDefault="008011D6" w:rsidP="008B4ED7">
      <w:pPr>
        <w:keepNext/>
        <w:rPr>
          <w:lang w:val="es-ES_tradnl"/>
        </w:rPr>
      </w:pPr>
    </w:p>
    <w:p w14:paraId="70916769" w14:textId="023B02C8" w:rsidR="00C36B40" w:rsidRPr="00AD1A88" w:rsidRDefault="00C36B40" w:rsidP="000D0706">
      <w:pPr>
        <w:keepNext/>
        <w:tabs>
          <w:tab w:val="clear" w:pos="567"/>
        </w:tabs>
        <w:rPr>
          <w:rFonts w:eastAsia="맑은 고딕" w:hint="eastAsia"/>
          <w:lang w:val="es-ES_tradnl" w:eastAsia="ko-KR"/>
          <w:rPrChange w:id="0" w:author="만든 이">
            <w:rPr>
              <w:lang w:val="es-ES_tradnl"/>
            </w:rPr>
          </w:rPrChange>
        </w:rPr>
      </w:pPr>
      <w:r w:rsidRPr="004F4CD0">
        <w:rPr>
          <w:lang w:val="es-ES_tradnl"/>
        </w:rPr>
        <w:t>Fecha de la primera autorización:</w:t>
      </w:r>
      <w:ins w:id="1" w:author="만든 이">
        <w:r w:rsidR="00AD1A88">
          <w:rPr>
            <w:rFonts w:eastAsia="맑은 고딕" w:hint="eastAsia"/>
            <w:lang w:val="es-ES_tradnl" w:eastAsia="ko-KR"/>
          </w:rPr>
          <w:t xml:space="preserve"> </w:t>
        </w:r>
        <w:r w:rsidR="00AD1A88" w:rsidRPr="00AD1A88">
          <w:rPr>
            <w:rFonts w:eastAsia="맑은 고딕"/>
            <w:lang w:val="es-ES_tradnl" w:eastAsia="ko-KR"/>
          </w:rPr>
          <w:t>14 febrero 2025</w:t>
        </w:r>
      </w:ins>
    </w:p>
    <w:p w14:paraId="1539263A" w14:textId="77777777" w:rsidR="00022A78" w:rsidRPr="004F4CD0" w:rsidRDefault="00022A78" w:rsidP="008B4ED7">
      <w:pPr>
        <w:tabs>
          <w:tab w:val="clear" w:pos="567"/>
        </w:tabs>
        <w:rPr>
          <w:lang w:val="es-ES_tradnl"/>
        </w:rPr>
      </w:pPr>
    </w:p>
    <w:p w14:paraId="4C7C34F1" w14:textId="77777777" w:rsidR="008011D6" w:rsidRPr="004F4CD0" w:rsidRDefault="008011D6" w:rsidP="008B4ED7">
      <w:pPr>
        <w:tabs>
          <w:tab w:val="clear" w:pos="567"/>
        </w:tabs>
        <w:rPr>
          <w:lang w:val="es-ES_tradnl"/>
        </w:rPr>
      </w:pPr>
    </w:p>
    <w:p w14:paraId="5407F264" w14:textId="77777777" w:rsidR="008011D6" w:rsidRPr="004F4CD0" w:rsidRDefault="008011D6" w:rsidP="008B4ED7">
      <w:pPr>
        <w:keepNext/>
        <w:ind w:left="567" w:hanging="567"/>
        <w:rPr>
          <w:b/>
          <w:lang w:val="es-ES_tradnl"/>
        </w:rPr>
      </w:pPr>
      <w:r w:rsidRPr="004F4CD0">
        <w:rPr>
          <w:b/>
          <w:lang w:val="es-ES_tradnl"/>
        </w:rPr>
        <w:lastRenderedPageBreak/>
        <w:t>10.</w:t>
      </w:r>
      <w:r w:rsidRPr="004F4CD0">
        <w:rPr>
          <w:b/>
          <w:lang w:val="es-ES_tradnl"/>
        </w:rPr>
        <w:tab/>
        <w:t>FECHA DE LA REVISIÓN DEL TEXTO</w:t>
      </w:r>
    </w:p>
    <w:p w14:paraId="15AAD2CE" w14:textId="77777777" w:rsidR="00A1208F" w:rsidRPr="004F4CD0" w:rsidRDefault="00A1208F" w:rsidP="00C345B1">
      <w:pPr>
        <w:keepNext/>
        <w:tabs>
          <w:tab w:val="clear" w:pos="567"/>
        </w:tabs>
        <w:rPr>
          <w:lang w:val="es-ES_tradnl"/>
        </w:rPr>
      </w:pPr>
    </w:p>
    <w:p w14:paraId="5565EDB2" w14:textId="3B13341E" w:rsidR="008011D6" w:rsidRPr="004F4CD0" w:rsidRDefault="008011D6" w:rsidP="00C345B1">
      <w:pPr>
        <w:keepNext/>
        <w:tabs>
          <w:tab w:val="clear" w:pos="567"/>
        </w:tabs>
        <w:rPr>
          <w:lang w:val="es-ES_tradnl"/>
        </w:rPr>
      </w:pPr>
      <w:r w:rsidRPr="004F4CD0">
        <w:rPr>
          <w:lang w:val="es-ES_tradnl"/>
        </w:rPr>
        <w:t xml:space="preserve">La información detallada de este medicamento está disponible en la página web de la Agencia Europea de Medicamentos </w:t>
      </w:r>
      <w:hyperlink r:id="rId17" w:history="1">
        <w:r w:rsidR="004736CC">
          <w:rPr>
            <w:rStyle w:val="ab"/>
            <w:lang w:val="es-ES_tradnl"/>
          </w:rPr>
          <w:t>https://www.ema.europa.eu</w:t>
        </w:r>
      </w:hyperlink>
      <w:r w:rsidR="00CE7B99" w:rsidRPr="004F4CD0">
        <w:rPr>
          <w:rStyle w:val="ab"/>
          <w:color w:val="auto"/>
          <w:u w:val="none"/>
          <w:lang w:val="es-ES_tradnl"/>
        </w:rPr>
        <w:t>.</w:t>
      </w:r>
    </w:p>
    <w:p w14:paraId="425C9CBB" w14:textId="77777777" w:rsidR="0050635E" w:rsidRPr="004F4CD0" w:rsidRDefault="0050635E" w:rsidP="008B4ED7">
      <w:pPr>
        <w:tabs>
          <w:tab w:val="clear" w:pos="567"/>
        </w:tabs>
        <w:rPr>
          <w:lang w:val="es-ES_tradnl"/>
        </w:rPr>
      </w:pPr>
    </w:p>
    <w:p w14:paraId="75F58E51" w14:textId="77777777" w:rsidR="00C5731C" w:rsidRPr="004F4CD0" w:rsidRDefault="00C5731C" w:rsidP="008B4ED7">
      <w:pPr>
        <w:jc w:val="center"/>
        <w:rPr>
          <w:lang w:val="es-ES_tradnl"/>
        </w:rPr>
      </w:pPr>
      <w:r w:rsidRPr="004F4CD0">
        <w:rPr>
          <w:lang w:val="es-ES_tradnl"/>
        </w:rPr>
        <w:br w:type="page"/>
      </w:r>
    </w:p>
    <w:p w14:paraId="6861B834" w14:textId="77777777" w:rsidR="00C5731C" w:rsidRPr="004F4CD0" w:rsidRDefault="00C5731C" w:rsidP="008B4ED7">
      <w:pPr>
        <w:jc w:val="center"/>
        <w:rPr>
          <w:lang w:val="es-ES_tradnl"/>
        </w:rPr>
      </w:pPr>
    </w:p>
    <w:p w14:paraId="07E4899F" w14:textId="77777777" w:rsidR="00C5731C" w:rsidRPr="004F4CD0" w:rsidRDefault="00C5731C" w:rsidP="008B4ED7">
      <w:pPr>
        <w:jc w:val="center"/>
        <w:rPr>
          <w:lang w:val="es-ES_tradnl"/>
        </w:rPr>
      </w:pPr>
    </w:p>
    <w:p w14:paraId="65804D5C" w14:textId="77777777" w:rsidR="00C5731C" w:rsidRPr="004F4CD0" w:rsidRDefault="00C5731C" w:rsidP="008B4ED7">
      <w:pPr>
        <w:jc w:val="center"/>
        <w:rPr>
          <w:lang w:val="es-ES_tradnl"/>
        </w:rPr>
      </w:pPr>
    </w:p>
    <w:p w14:paraId="0624AFE5" w14:textId="77777777" w:rsidR="00C5731C" w:rsidRPr="004F4CD0" w:rsidRDefault="00C5731C" w:rsidP="008B4ED7">
      <w:pPr>
        <w:jc w:val="center"/>
        <w:rPr>
          <w:lang w:val="es-ES_tradnl"/>
        </w:rPr>
      </w:pPr>
    </w:p>
    <w:p w14:paraId="487CA621" w14:textId="77777777" w:rsidR="00C5731C" w:rsidRPr="004F4CD0" w:rsidRDefault="00C5731C" w:rsidP="008B4ED7">
      <w:pPr>
        <w:jc w:val="center"/>
        <w:rPr>
          <w:lang w:val="es-ES_tradnl"/>
        </w:rPr>
      </w:pPr>
    </w:p>
    <w:p w14:paraId="70FE13D5" w14:textId="77777777" w:rsidR="00C5731C" w:rsidRPr="004F4CD0" w:rsidRDefault="00C5731C" w:rsidP="008B4ED7">
      <w:pPr>
        <w:jc w:val="center"/>
        <w:rPr>
          <w:lang w:val="es-ES_tradnl"/>
        </w:rPr>
      </w:pPr>
    </w:p>
    <w:p w14:paraId="5E4BB608" w14:textId="77777777" w:rsidR="00C5731C" w:rsidRPr="004F4CD0" w:rsidRDefault="00C5731C" w:rsidP="008B4ED7">
      <w:pPr>
        <w:jc w:val="center"/>
        <w:rPr>
          <w:lang w:val="es-ES_tradnl"/>
        </w:rPr>
      </w:pPr>
    </w:p>
    <w:p w14:paraId="1993413A" w14:textId="77777777" w:rsidR="00C5731C" w:rsidRPr="004F4CD0" w:rsidRDefault="00C5731C" w:rsidP="008B4ED7">
      <w:pPr>
        <w:jc w:val="center"/>
        <w:rPr>
          <w:lang w:val="es-ES_tradnl"/>
        </w:rPr>
      </w:pPr>
    </w:p>
    <w:p w14:paraId="413A0C43" w14:textId="77777777" w:rsidR="00C5731C" w:rsidRPr="004F4CD0" w:rsidRDefault="00C5731C" w:rsidP="008B4ED7">
      <w:pPr>
        <w:jc w:val="center"/>
        <w:rPr>
          <w:lang w:val="es-ES_tradnl"/>
        </w:rPr>
      </w:pPr>
    </w:p>
    <w:p w14:paraId="6AF53709" w14:textId="77777777" w:rsidR="00C5731C" w:rsidRPr="004F4CD0" w:rsidRDefault="00C5731C" w:rsidP="008B4ED7">
      <w:pPr>
        <w:jc w:val="center"/>
        <w:rPr>
          <w:lang w:val="es-ES_tradnl"/>
        </w:rPr>
      </w:pPr>
    </w:p>
    <w:p w14:paraId="5C4D4629" w14:textId="77777777" w:rsidR="00C5731C" w:rsidRPr="004F4CD0" w:rsidRDefault="00C5731C" w:rsidP="008B4ED7">
      <w:pPr>
        <w:jc w:val="center"/>
        <w:rPr>
          <w:lang w:val="es-ES_tradnl"/>
        </w:rPr>
      </w:pPr>
    </w:p>
    <w:p w14:paraId="1B897055" w14:textId="77777777" w:rsidR="00C5731C" w:rsidRPr="004F4CD0" w:rsidRDefault="00C5731C" w:rsidP="008B4ED7">
      <w:pPr>
        <w:jc w:val="center"/>
        <w:rPr>
          <w:lang w:val="es-ES_tradnl"/>
        </w:rPr>
      </w:pPr>
    </w:p>
    <w:p w14:paraId="02A733C4" w14:textId="77777777" w:rsidR="00C5731C" w:rsidRPr="004F4CD0" w:rsidRDefault="00C5731C" w:rsidP="008B4ED7">
      <w:pPr>
        <w:jc w:val="center"/>
        <w:rPr>
          <w:lang w:val="es-ES_tradnl"/>
        </w:rPr>
      </w:pPr>
    </w:p>
    <w:p w14:paraId="6379933C" w14:textId="77777777" w:rsidR="00C5731C" w:rsidRPr="004F4CD0" w:rsidRDefault="00C5731C" w:rsidP="008B4ED7">
      <w:pPr>
        <w:jc w:val="center"/>
        <w:rPr>
          <w:lang w:val="es-ES_tradnl"/>
        </w:rPr>
      </w:pPr>
    </w:p>
    <w:p w14:paraId="4A124502" w14:textId="77777777" w:rsidR="00C5731C" w:rsidRPr="004F4CD0" w:rsidRDefault="00C5731C" w:rsidP="008B4ED7">
      <w:pPr>
        <w:jc w:val="center"/>
        <w:rPr>
          <w:lang w:val="es-ES_tradnl"/>
        </w:rPr>
      </w:pPr>
    </w:p>
    <w:p w14:paraId="39EE30E6" w14:textId="77777777" w:rsidR="00C5731C" w:rsidRPr="004F4CD0" w:rsidRDefault="00C5731C" w:rsidP="008B4ED7">
      <w:pPr>
        <w:jc w:val="center"/>
        <w:rPr>
          <w:lang w:val="es-ES_tradnl"/>
        </w:rPr>
      </w:pPr>
    </w:p>
    <w:p w14:paraId="01D6B2DD" w14:textId="77777777" w:rsidR="00C5731C" w:rsidRPr="004F4CD0" w:rsidRDefault="00C5731C" w:rsidP="008B4ED7">
      <w:pPr>
        <w:jc w:val="center"/>
        <w:rPr>
          <w:lang w:val="es-ES_tradnl"/>
        </w:rPr>
      </w:pPr>
    </w:p>
    <w:p w14:paraId="24986A74" w14:textId="77777777" w:rsidR="00C5731C" w:rsidRPr="004F4CD0" w:rsidRDefault="00C5731C" w:rsidP="008B4ED7">
      <w:pPr>
        <w:jc w:val="center"/>
        <w:rPr>
          <w:lang w:val="es-ES_tradnl"/>
        </w:rPr>
      </w:pPr>
    </w:p>
    <w:p w14:paraId="0638B764" w14:textId="77777777" w:rsidR="00C5731C" w:rsidRPr="004F4CD0" w:rsidRDefault="00C5731C" w:rsidP="008B4ED7">
      <w:pPr>
        <w:jc w:val="center"/>
        <w:rPr>
          <w:lang w:val="es-ES_tradnl"/>
        </w:rPr>
      </w:pPr>
    </w:p>
    <w:p w14:paraId="48E03A3D" w14:textId="77777777" w:rsidR="00C5731C" w:rsidRPr="004F4CD0" w:rsidRDefault="00C5731C" w:rsidP="008B4ED7">
      <w:pPr>
        <w:jc w:val="center"/>
        <w:rPr>
          <w:lang w:val="es-ES_tradnl"/>
        </w:rPr>
      </w:pPr>
    </w:p>
    <w:p w14:paraId="5D2717DD" w14:textId="77777777" w:rsidR="00C5731C" w:rsidRPr="004F4CD0" w:rsidRDefault="00C5731C" w:rsidP="008B4ED7">
      <w:pPr>
        <w:jc w:val="center"/>
        <w:rPr>
          <w:lang w:val="es-ES_tradnl"/>
        </w:rPr>
      </w:pPr>
    </w:p>
    <w:p w14:paraId="3FCB7418" w14:textId="77777777" w:rsidR="001A371B" w:rsidRPr="004F4CD0" w:rsidRDefault="001A371B" w:rsidP="008B4ED7">
      <w:pPr>
        <w:jc w:val="center"/>
        <w:rPr>
          <w:lang w:val="es-ES_tradnl"/>
        </w:rPr>
      </w:pPr>
    </w:p>
    <w:p w14:paraId="7B318B64" w14:textId="77777777" w:rsidR="00C5731C" w:rsidRPr="004F4CD0" w:rsidRDefault="00C5731C" w:rsidP="008B4ED7">
      <w:pPr>
        <w:jc w:val="center"/>
        <w:rPr>
          <w:b/>
          <w:bCs/>
          <w:lang w:val="es-ES_tradnl"/>
        </w:rPr>
      </w:pPr>
      <w:r w:rsidRPr="004F4CD0">
        <w:rPr>
          <w:b/>
          <w:lang w:val="es-ES_tradnl"/>
        </w:rPr>
        <w:t>ANEXO II</w:t>
      </w:r>
    </w:p>
    <w:p w14:paraId="36BD70E4" w14:textId="77777777" w:rsidR="00C5731C" w:rsidRPr="004F4CD0" w:rsidRDefault="00C5731C" w:rsidP="00EA44AD">
      <w:pPr>
        <w:jc w:val="center"/>
        <w:rPr>
          <w:lang w:val="es-ES_tradnl"/>
        </w:rPr>
      </w:pPr>
    </w:p>
    <w:p w14:paraId="1CA0B485" w14:textId="3F5B9FBB" w:rsidR="00C5731C" w:rsidRPr="004F4CD0" w:rsidRDefault="00C5731C" w:rsidP="00447E6B">
      <w:pPr>
        <w:pStyle w:val="TitleB"/>
        <w:ind w:left="1701" w:right="1418" w:hanging="709"/>
        <w:rPr>
          <w:lang w:val="es-ES_tradnl"/>
        </w:rPr>
      </w:pPr>
      <w:r w:rsidRPr="004F4CD0">
        <w:rPr>
          <w:lang w:val="es-ES_tradnl"/>
        </w:rPr>
        <w:t>A.</w:t>
      </w:r>
      <w:r w:rsidRPr="004F4CD0">
        <w:rPr>
          <w:lang w:val="es-ES_tradnl"/>
        </w:rPr>
        <w:tab/>
        <w:t>FABRICANTES DEL PRINCIPIO ACTIVO BIOLÓGICO Y FABRICANTES RESPONSABLES DE LA LIBERACIÓN DE LOS LOTES</w:t>
      </w:r>
    </w:p>
    <w:p w14:paraId="5C3A160D" w14:textId="77777777" w:rsidR="00C5731C" w:rsidRPr="004F4CD0" w:rsidRDefault="00C5731C" w:rsidP="00EA44AD">
      <w:pPr>
        <w:jc w:val="center"/>
        <w:rPr>
          <w:lang w:val="es-ES_tradnl"/>
        </w:rPr>
      </w:pPr>
    </w:p>
    <w:p w14:paraId="3B6CD25B" w14:textId="77777777" w:rsidR="00C5731C" w:rsidRPr="004F4CD0" w:rsidRDefault="00C5731C" w:rsidP="00447E6B">
      <w:pPr>
        <w:pStyle w:val="TitleB"/>
        <w:ind w:left="1701" w:right="1418" w:hanging="709"/>
        <w:rPr>
          <w:lang w:val="es-ES_tradnl"/>
        </w:rPr>
      </w:pPr>
      <w:r w:rsidRPr="004F4CD0">
        <w:rPr>
          <w:lang w:val="es-ES_tradnl"/>
        </w:rPr>
        <w:t>B.</w:t>
      </w:r>
      <w:r w:rsidRPr="004F4CD0">
        <w:rPr>
          <w:lang w:val="es-ES_tradnl"/>
        </w:rPr>
        <w:tab/>
        <w:t>CONDICIONES O RESTRICCIONES DE SUMINISTRO Y USO</w:t>
      </w:r>
    </w:p>
    <w:p w14:paraId="58CEBA89" w14:textId="77777777" w:rsidR="00C5731C" w:rsidRPr="004F4CD0" w:rsidRDefault="00C5731C" w:rsidP="00EA44AD">
      <w:pPr>
        <w:jc w:val="center"/>
        <w:rPr>
          <w:lang w:val="es-ES_tradnl"/>
        </w:rPr>
      </w:pPr>
    </w:p>
    <w:p w14:paraId="0DD6EC92" w14:textId="77777777" w:rsidR="00C5731C" w:rsidRPr="004F4CD0" w:rsidRDefault="00C5731C" w:rsidP="00447E6B">
      <w:pPr>
        <w:pStyle w:val="TitleB"/>
        <w:ind w:left="1701" w:right="1418" w:hanging="709"/>
        <w:rPr>
          <w:lang w:val="es-ES_tradnl"/>
        </w:rPr>
      </w:pPr>
      <w:r w:rsidRPr="004F4CD0">
        <w:rPr>
          <w:lang w:val="es-ES_tradnl"/>
        </w:rPr>
        <w:t>C.</w:t>
      </w:r>
      <w:r w:rsidRPr="004F4CD0">
        <w:rPr>
          <w:lang w:val="es-ES_tradnl"/>
        </w:rPr>
        <w:tab/>
        <w:t>OTRAS CONDICIONES Y REQUISITOS DE LA AUTORIZACIÓN DE COMERCIALIZACIÓN</w:t>
      </w:r>
    </w:p>
    <w:p w14:paraId="093E4581" w14:textId="77777777" w:rsidR="00C5731C" w:rsidRPr="004F4CD0" w:rsidRDefault="00C5731C" w:rsidP="00EA44AD">
      <w:pPr>
        <w:jc w:val="center"/>
        <w:rPr>
          <w:lang w:val="es-ES_tradnl"/>
        </w:rPr>
      </w:pPr>
    </w:p>
    <w:p w14:paraId="34FD1CA3" w14:textId="77777777" w:rsidR="008603DE" w:rsidRPr="004F4CD0" w:rsidRDefault="00C5731C" w:rsidP="00447E6B">
      <w:pPr>
        <w:pStyle w:val="TitleB"/>
        <w:ind w:left="1701" w:right="1418" w:hanging="709"/>
        <w:rPr>
          <w:lang w:val="es-ES_tradnl"/>
        </w:rPr>
      </w:pPr>
      <w:r w:rsidRPr="004F4CD0">
        <w:rPr>
          <w:lang w:val="es-ES_tradnl"/>
        </w:rPr>
        <w:t>D.</w:t>
      </w:r>
      <w:r w:rsidRPr="004F4CD0">
        <w:rPr>
          <w:lang w:val="es-ES_tradnl"/>
        </w:rPr>
        <w:tab/>
        <w:t>CONDICIONES O RESTRICCIONES EN RELACIÓN CON LA UTILIZACIÓN SEGURA Y EFICAZ DEL MEDICAMENTO</w:t>
      </w:r>
    </w:p>
    <w:p w14:paraId="6D406A96" w14:textId="77777777" w:rsidR="00C5731C" w:rsidRPr="004F4CD0" w:rsidRDefault="00C5731C" w:rsidP="008B4ED7">
      <w:pPr>
        <w:jc w:val="center"/>
        <w:rPr>
          <w:lang w:val="es-ES_tradnl"/>
        </w:rPr>
      </w:pPr>
    </w:p>
    <w:p w14:paraId="5B45E05F" w14:textId="77777777" w:rsidR="00C5731C" w:rsidRPr="004F4CD0" w:rsidRDefault="00C5731C" w:rsidP="008B4ED7">
      <w:pPr>
        <w:jc w:val="center"/>
        <w:rPr>
          <w:lang w:val="es-ES_tradnl"/>
        </w:rPr>
      </w:pPr>
    </w:p>
    <w:p w14:paraId="22BD7B4C" w14:textId="150152BF" w:rsidR="00C5731C" w:rsidRPr="004F4CD0" w:rsidRDefault="00C5731C" w:rsidP="00BF5188">
      <w:pPr>
        <w:pStyle w:val="TitleB"/>
        <w:rPr>
          <w:lang w:val="es-ES_tradnl"/>
        </w:rPr>
      </w:pPr>
      <w:r w:rsidRPr="004F4CD0">
        <w:rPr>
          <w:lang w:val="es-ES_tradnl"/>
        </w:rPr>
        <w:br w:type="page"/>
      </w:r>
      <w:r w:rsidRPr="004F4CD0">
        <w:rPr>
          <w:lang w:val="es-ES_tradnl"/>
        </w:rPr>
        <w:lastRenderedPageBreak/>
        <w:t>A.</w:t>
      </w:r>
      <w:r w:rsidRPr="004F4CD0">
        <w:rPr>
          <w:lang w:val="es-ES_tradnl"/>
        </w:rPr>
        <w:tab/>
        <w:t>FABRICANTES DEL PRINCIPIO ACTIVO BIOLÓGICO Y FABRICANTES RESPONSABLES DE LA LIBERACIÓN DE LOS LOTES</w:t>
      </w:r>
    </w:p>
    <w:p w14:paraId="5A2FE3D5" w14:textId="77777777" w:rsidR="00C5731C" w:rsidRPr="004F4CD0" w:rsidRDefault="00C5731C" w:rsidP="008B4ED7">
      <w:pPr>
        <w:keepNext/>
        <w:rPr>
          <w:lang w:val="es-ES_tradnl"/>
        </w:rPr>
      </w:pPr>
    </w:p>
    <w:p w14:paraId="7A443852" w14:textId="5E517817" w:rsidR="00C5731C" w:rsidRPr="004F4CD0" w:rsidRDefault="00C5731C" w:rsidP="008B4ED7">
      <w:pPr>
        <w:keepNext/>
        <w:rPr>
          <w:u w:val="single"/>
          <w:lang w:val="es-ES_tradnl"/>
        </w:rPr>
      </w:pPr>
      <w:r w:rsidRPr="004F4CD0">
        <w:rPr>
          <w:u w:val="single"/>
          <w:lang w:val="es-ES_tradnl"/>
        </w:rPr>
        <w:t>Nombre y dirección de</w:t>
      </w:r>
      <w:r w:rsidR="00271F9A" w:rsidRPr="004F4CD0">
        <w:rPr>
          <w:u w:val="single"/>
          <w:lang w:val="es-ES_tradnl"/>
        </w:rPr>
        <w:t xml:space="preserve">l </w:t>
      </w:r>
      <w:r w:rsidRPr="004F4CD0">
        <w:rPr>
          <w:u w:val="single"/>
          <w:lang w:val="es-ES_tradnl"/>
        </w:rPr>
        <w:t>fabricante del principio activo biológico</w:t>
      </w:r>
    </w:p>
    <w:p w14:paraId="263188BE" w14:textId="77777777" w:rsidR="00C5731C" w:rsidRPr="004F4CD0" w:rsidRDefault="00C5731C" w:rsidP="008B4ED7">
      <w:pPr>
        <w:keepNext/>
        <w:rPr>
          <w:lang w:val="es-ES_tradnl"/>
        </w:rPr>
      </w:pPr>
    </w:p>
    <w:p w14:paraId="021168D3" w14:textId="77777777" w:rsidR="00271F9A" w:rsidRPr="004F4CD0" w:rsidRDefault="00271F9A" w:rsidP="00271F9A">
      <w:pPr>
        <w:keepNext/>
        <w:rPr>
          <w:lang w:val="es-ES_tradnl"/>
        </w:rPr>
      </w:pPr>
      <w:r w:rsidRPr="004F4CD0">
        <w:rPr>
          <w:lang w:val="es-ES_tradnl"/>
        </w:rPr>
        <w:t xml:space="preserve">CELLTRION, Inc. </w:t>
      </w:r>
    </w:p>
    <w:p w14:paraId="70EF2211" w14:textId="77777777" w:rsidR="00271F9A" w:rsidRPr="004F4CD0" w:rsidRDefault="00271F9A" w:rsidP="00271F9A">
      <w:pPr>
        <w:keepNext/>
        <w:rPr>
          <w:lang w:val="es-ES_tradnl"/>
        </w:rPr>
      </w:pPr>
      <w:r w:rsidRPr="004F4CD0">
        <w:rPr>
          <w:lang w:val="es-ES_tradnl"/>
        </w:rPr>
        <w:t>20, Academy-ro 51 beon-gil,</w:t>
      </w:r>
    </w:p>
    <w:p w14:paraId="20FAE7F5" w14:textId="77777777" w:rsidR="00271F9A" w:rsidRPr="004F4CD0" w:rsidRDefault="00271F9A" w:rsidP="00271F9A">
      <w:pPr>
        <w:keepNext/>
        <w:rPr>
          <w:lang w:val="es-ES_tradnl"/>
        </w:rPr>
      </w:pPr>
      <w:r w:rsidRPr="004F4CD0">
        <w:rPr>
          <w:lang w:val="es-ES_tradnl"/>
        </w:rPr>
        <w:t>Yeonsu-gu, Incheon, 22014</w:t>
      </w:r>
    </w:p>
    <w:p w14:paraId="54A15D45" w14:textId="45B0D7CB" w:rsidR="00271F9A" w:rsidRPr="004F4CD0" w:rsidRDefault="00271F9A" w:rsidP="00271F9A">
      <w:pPr>
        <w:rPr>
          <w:lang w:val="es-ES_tradnl"/>
        </w:rPr>
      </w:pPr>
      <w:r w:rsidRPr="004F4CD0">
        <w:rPr>
          <w:lang w:val="es-ES_tradnl"/>
        </w:rPr>
        <w:t>República de Corea</w:t>
      </w:r>
    </w:p>
    <w:p w14:paraId="22A3DE1F" w14:textId="77777777" w:rsidR="001D1E25" w:rsidRPr="004F4CD0" w:rsidRDefault="001D1E25" w:rsidP="008B4ED7">
      <w:pPr>
        <w:tabs>
          <w:tab w:val="clear" w:pos="567"/>
        </w:tabs>
        <w:rPr>
          <w:lang w:val="es-ES_tradnl"/>
        </w:rPr>
      </w:pPr>
    </w:p>
    <w:p w14:paraId="038D106D" w14:textId="77777777" w:rsidR="00C5731C" w:rsidRPr="004F4CD0" w:rsidRDefault="00C5731C" w:rsidP="008B4ED7">
      <w:pPr>
        <w:keepNext/>
        <w:rPr>
          <w:u w:val="single"/>
          <w:lang w:val="es-ES_tradnl"/>
        </w:rPr>
      </w:pPr>
      <w:r w:rsidRPr="004F4CD0">
        <w:rPr>
          <w:u w:val="single"/>
          <w:lang w:val="es-ES_tradnl"/>
        </w:rPr>
        <w:t>Nombre y dirección de los fabricantes responsables de la liberación de los lotes</w:t>
      </w:r>
    </w:p>
    <w:p w14:paraId="55BBCBCF" w14:textId="77777777" w:rsidR="00C5731C" w:rsidRPr="004F4CD0" w:rsidRDefault="00C5731C" w:rsidP="008B4ED7">
      <w:pPr>
        <w:keepNext/>
        <w:rPr>
          <w:lang w:val="es-ES_tradnl"/>
        </w:rPr>
      </w:pPr>
    </w:p>
    <w:p w14:paraId="57BF28A4" w14:textId="77777777" w:rsidR="00271F9A" w:rsidRPr="004F4CD0" w:rsidRDefault="00271F9A" w:rsidP="00271F9A">
      <w:pPr>
        <w:keepNext/>
        <w:rPr>
          <w:lang w:val="es-ES_tradnl"/>
        </w:rPr>
      </w:pPr>
      <w:r w:rsidRPr="004F4CD0">
        <w:rPr>
          <w:lang w:val="es-ES_tradnl"/>
        </w:rPr>
        <w:t>Nuvisan France S.A.R.L</w:t>
      </w:r>
    </w:p>
    <w:p w14:paraId="5B870467" w14:textId="77777777" w:rsidR="00271F9A" w:rsidRPr="004F4CD0" w:rsidRDefault="00271F9A" w:rsidP="00271F9A">
      <w:pPr>
        <w:keepNext/>
        <w:rPr>
          <w:lang w:val="es-ES_tradnl"/>
        </w:rPr>
      </w:pPr>
      <w:r w:rsidRPr="004F4CD0">
        <w:rPr>
          <w:lang w:val="es-ES_tradnl"/>
        </w:rPr>
        <w:t>2400 Route des Colles,</w:t>
      </w:r>
    </w:p>
    <w:p w14:paraId="65C0C1AD" w14:textId="77777777" w:rsidR="00271F9A" w:rsidRPr="004F4CD0" w:rsidRDefault="00271F9A" w:rsidP="00271F9A">
      <w:pPr>
        <w:keepNext/>
        <w:rPr>
          <w:lang w:val="es-ES_tradnl"/>
        </w:rPr>
      </w:pPr>
      <w:r w:rsidRPr="004F4CD0">
        <w:rPr>
          <w:lang w:val="es-ES_tradnl"/>
        </w:rPr>
        <w:t>Biot, 06410</w:t>
      </w:r>
    </w:p>
    <w:p w14:paraId="2ED2F705" w14:textId="58367E0C" w:rsidR="00271F9A" w:rsidRPr="004F4CD0" w:rsidRDefault="00271F9A" w:rsidP="00271F9A">
      <w:pPr>
        <w:rPr>
          <w:lang w:val="es-ES_tradnl"/>
        </w:rPr>
      </w:pPr>
      <w:r w:rsidRPr="004F4CD0">
        <w:rPr>
          <w:lang w:val="es-ES_tradnl"/>
        </w:rPr>
        <w:t>Francia</w:t>
      </w:r>
    </w:p>
    <w:p w14:paraId="6E5B473E" w14:textId="77777777" w:rsidR="00271F9A" w:rsidRPr="004F4CD0" w:rsidRDefault="00271F9A" w:rsidP="00271F9A">
      <w:pPr>
        <w:rPr>
          <w:lang w:val="es-ES_tradnl"/>
        </w:rPr>
      </w:pPr>
    </w:p>
    <w:p w14:paraId="3EC8F9DA" w14:textId="77777777" w:rsidR="00271F9A" w:rsidRPr="004F4CD0" w:rsidRDefault="00271F9A" w:rsidP="00271F9A">
      <w:pPr>
        <w:keepNext/>
        <w:rPr>
          <w:lang w:val="es-ES_tradnl"/>
        </w:rPr>
      </w:pPr>
      <w:r w:rsidRPr="004F4CD0">
        <w:rPr>
          <w:lang w:val="es-ES_tradnl"/>
        </w:rPr>
        <w:t>Midas Pharma GmbH</w:t>
      </w:r>
    </w:p>
    <w:p w14:paraId="3F26026D" w14:textId="77777777" w:rsidR="00271F9A" w:rsidRPr="004F4CD0" w:rsidRDefault="00271F9A" w:rsidP="00271F9A">
      <w:pPr>
        <w:keepNext/>
        <w:rPr>
          <w:lang w:val="es-ES_tradnl"/>
        </w:rPr>
      </w:pPr>
      <w:r w:rsidRPr="004F4CD0">
        <w:rPr>
          <w:lang w:val="es-ES_tradnl"/>
        </w:rPr>
        <w:t>Rheinstrasse 49, West,</w:t>
      </w:r>
    </w:p>
    <w:p w14:paraId="3037EE75" w14:textId="77777777" w:rsidR="00271F9A" w:rsidRPr="004F4CD0" w:rsidRDefault="00271F9A" w:rsidP="00271F9A">
      <w:pPr>
        <w:keepNext/>
        <w:rPr>
          <w:lang w:val="es-ES_tradnl"/>
        </w:rPr>
      </w:pPr>
      <w:r w:rsidRPr="004F4CD0">
        <w:rPr>
          <w:lang w:val="es-ES_tradnl"/>
        </w:rPr>
        <w:t>Ingelheim Am Rhein,</w:t>
      </w:r>
    </w:p>
    <w:p w14:paraId="6CC3D6B1" w14:textId="77777777" w:rsidR="00271F9A" w:rsidRPr="004F4CD0" w:rsidRDefault="00271F9A" w:rsidP="00271F9A">
      <w:pPr>
        <w:keepNext/>
        <w:rPr>
          <w:lang w:val="es-ES_tradnl"/>
        </w:rPr>
      </w:pPr>
      <w:r w:rsidRPr="004F4CD0">
        <w:rPr>
          <w:lang w:val="es-ES_tradnl"/>
        </w:rPr>
        <w:t>Rhineland-Palatinate, 55218</w:t>
      </w:r>
    </w:p>
    <w:p w14:paraId="30103C7D" w14:textId="1129C35F" w:rsidR="00271F9A" w:rsidRPr="004F4CD0" w:rsidRDefault="00271F9A" w:rsidP="00271F9A">
      <w:pPr>
        <w:rPr>
          <w:lang w:val="es-ES_tradnl"/>
        </w:rPr>
      </w:pPr>
      <w:r w:rsidRPr="004F4CD0">
        <w:rPr>
          <w:lang w:val="es-ES_tradnl"/>
        </w:rPr>
        <w:t>Alemania</w:t>
      </w:r>
    </w:p>
    <w:p w14:paraId="79ED485F" w14:textId="77777777" w:rsidR="00271F9A" w:rsidRPr="004F4CD0" w:rsidRDefault="00271F9A" w:rsidP="00271F9A">
      <w:pPr>
        <w:rPr>
          <w:lang w:val="es-ES_tradnl"/>
        </w:rPr>
      </w:pPr>
    </w:p>
    <w:p w14:paraId="1EFE50DC" w14:textId="77777777" w:rsidR="00271F9A" w:rsidRPr="004F4CD0" w:rsidRDefault="00271F9A" w:rsidP="00271F9A">
      <w:pPr>
        <w:keepNext/>
        <w:rPr>
          <w:lang w:val="es-ES_tradnl"/>
        </w:rPr>
      </w:pPr>
      <w:r w:rsidRPr="004F4CD0">
        <w:rPr>
          <w:lang w:val="es-ES_tradnl"/>
        </w:rPr>
        <w:t>Kymos S.L.</w:t>
      </w:r>
    </w:p>
    <w:p w14:paraId="1D70D493" w14:textId="77777777" w:rsidR="00271F9A" w:rsidRPr="004F4CD0" w:rsidRDefault="00271F9A" w:rsidP="00271F9A">
      <w:pPr>
        <w:keepNext/>
        <w:rPr>
          <w:lang w:val="es-ES_tradnl"/>
        </w:rPr>
      </w:pPr>
      <w:r w:rsidRPr="004F4CD0">
        <w:rPr>
          <w:lang w:val="es-ES_tradnl"/>
        </w:rPr>
        <w:t>Ronda de Can Fatjó, 7B</w:t>
      </w:r>
    </w:p>
    <w:p w14:paraId="0C97DE47" w14:textId="77777777" w:rsidR="00271F9A" w:rsidRPr="004F4CD0" w:rsidRDefault="00271F9A" w:rsidP="00271F9A">
      <w:pPr>
        <w:keepNext/>
        <w:rPr>
          <w:lang w:val="es-ES_tradnl"/>
        </w:rPr>
      </w:pPr>
      <w:r w:rsidRPr="004F4CD0">
        <w:rPr>
          <w:lang w:val="es-ES_tradnl"/>
        </w:rPr>
        <w:t>Parc Tecnològic del Vallès,</w:t>
      </w:r>
    </w:p>
    <w:p w14:paraId="3936F939" w14:textId="77777777" w:rsidR="00271F9A" w:rsidRPr="004F4CD0" w:rsidRDefault="00271F9A" w:rsidP="00271F9A">
      <w:pPr>
        <w:keepNext/>
        <w:rPr>
          <w:lang w:val="es-ES_tradnl"/>
        </w:rPr>
      </w:pPr>
      <w:r w:rsidRPr="004F4CD0">
        <w:rPr>
          <w:lang w:val="es-ES_tradnl"/>
        </w:rPr>
        <w:t xml:space="preserve">Cerdanyola del Vallès, </w:t>
      </w:r>
    </w:p>
    <w:p w14:paraId="0D03D8BA" w14:textId="77777777" w:rsidR="00271F9A" w:rsidRPr="004F4CD0" w:rsidRDefault="00271F9A" w:rsidP="00271F9A">
      <w:pPr>
        <w:keepNext/>
        <w:rPr>
          <w:lang w:val="es-ES_tradnl"/>
        </w:rPr>
      </w:pPr>
      <w:r w:rsidRPr="004F4CD0">
        <w:rPr>
          <w:lang w:val="es-ES_tradnl"/>
        </w:rPr>
        <w:t>Barcelona, 08290</w:t>
      </w:r>
    </w:p>
    <w:p w14:paraId="679E02F4" w14:textId="5223AA4E" w:rsidR="00271F9A" w:rsidRPr="004F4CD0" w:rsidRDefault="00271F9A" w:rsidP="00271F9A">
      <w:pPr>
        <w:rPr>
          <w:lang w:val="es-ES_tradnl"/>
        </w:rPr>
      </w:pPr>
      <w:r w:rsidRPr="004F4CD0">
        <w:rPr>
          <w:lang w:val="es-ES_tradnl"/>
        </w:rPr>
        <w:t>España</w:t>
      </w:r>
    </w:p>
    <w:p w14:paraId="480ABE86" w14:textId="77777777" w:rsidR="007E53D0" w:rsidRPr="004F4CD0" w:rsidRDefault="007E53D0" w:rsidP="008B4ED7">
      <w:pPr>
        <w:tabs>
          <w:tab w:val="clear" w:pos="567"/>
        </w:tabs>
        <w:rPr>
          <w:lang w:val="es-ES_tradnl"/>
        </w:rPr>
      </w:pPr>
    </w:p>
    <w:p w14:paraId="5F3BFA10" w14:textId="77777777" w:rsidR="00C5731C" w:rsidRPr="004F4CD0" w:rsidRDefault="00C5731C" w:rsidP="008B4ED7">
      <w:pPr>
        <w:tabs>
          <w:tab w:val="clear" w:pos="567"/>
        </w:tabs>
        <w:rPr>
          <w:lang w:val="es-ES_tradnl"/>
        </w:rPr>
      </w:pPr>
      <w:r w:rsidRPr="004F4CD0">
        <w:rPr>
          <w:lang w:val="es-ES_tradnl"/>
        </w:rPr>
        <w:t>El prospecto impreso del medicamento debe especificar el nombre y dirección del fabricante responsable de la liberación del lote en cuestión.</w:t>
      </w:r>
    </w:p>
    <w:p w14:paraId="1AF51A6C" w14:textId="77777777" w:rsidR="00C5731C" w:rsidRPr="004F4CD0" w:rsidRDefault="00C5731C" w:rsidP="008B4ED7">
      <w:pPr>
        <w:tabs>
          <w:tab w:val="clear" w:pos="567"/>
        </w:tabs>
        <w:rPr>
          <w:lang w:val="es-ES_tradnl"/>
        </w:rPr>
      </w:pPr>
    </w:p>
    <w:p w14:paraId="48035635" w14:textId="77777777" w:rsidR="00C5731C" w:rsidRPr="004F4CD0" w:rsidRDefault="00C5731C" w:rsidP="008B4ED7">
      <w:pPr>
        <w:tabs>
          <w:tab w:val="clear" w:pos="567"/>
        </w:tabs>
        <w:rPr>
          <w:lang w:val="es-ES_tradnl"/>
        </w:rPr>
      </w:pPr>
    </w:p>
    <w:p w14:paraId="430F1934" w14:textId="77777777" w:rsidR="00C5731C" w:rsidRPr="004F4CD0" w:rsidRDefault="00C5731C" w:rsidP="00BF5188">
      <w:pPr>
        <w:pStyle w:val="TitleB"/>
        <w:rPr>
          <w:lang w:val="es-ES_tradnl"/>
        </w:rPr>
      </w:pPr>
      <w:r w:rsidRPr="004F4CD0">
        <w:rPr>
          <w:lang w:val="es-ES_tradnl"/>
        </w:rPr>
        <w:t>B.</w:t>
      </w:r>
      <w:r w:rsidRPr="004F4CD0">
        <w:rPr>
          <w:lang w:val="es-ES_tradnl"/>
        </w:rPr>
        <w:tab/>
        <w:t>CONDICIONES O RESTRICCIONES DE SUMINISTRO Y USO</w:t>
      </w:r>
    </w:p>
    <w:p w14:paraId="3546B396" w14:textId="77777777" w:rsidR="00C5731C" w:rsidRPr="004F4CD0" w:rsidRDefault="00C5731C" w:rsidP="008B4ED7">
      <w:pPr>
        <w:keepNext/>
        <w:rPr>
          <w:lang w:val="es-ES_tradnl"/>
        </w:rPr>
      </w:pPr>
    </w:p>
    <w:p w14:paraId="74645735" w14:textId="77777777" w:rsidR="00C5731C" w:rsidRPr="004F4CD0" w:rsidRDefault="00C5731C" w:rsidP="008B4ED7">
      <w:pPr>
        <w:tabs>
          <w:tab w:val="clear" w:pos="567"/>
        </w:tabs>
        <w:rPr>
          <w:lang w:val="es-ES_tradnl"/>
        </w:rPr>
      </w:pPr>
      <w:r w:rsidRPr="004F4CD0">
        <w:rPr>
          <w:lang w:val="es-ES_tradnl"/>
        </w:rPr>
        <w:t>Medicamento sujeto a prescripción médica.</w:t>
      </w:r>
    </w:p>
    <w:p w14:paraId="487284AA" w14:textId="77777777" w:rsidR="00BE114A" w:rsidRPr="004F4CD0" w:rsidRDefault="00BE114A" w:rsidP="008B4ED7">
      <w:pPr>
        <w:tabs>
          <w:tab w:val="clear" w:pos="567"/>
        </w:tabs>
        <w:rPr>
          <w:lang w:val="es-ES_tradnl"/>
        </w:rPr>
      </w:pPr>
    </w:p>
    <w:p w14:paraId="6C5843B3" w14:textId="77777777" w:rsidR="00C5731C" w:rsidRPr="004F4CD0" w:rsidRDefault="00C5731C" w:rsidP="008B4ED7">
      <w:pPr>
        <w:tabs>
          <w:tab w:val="clear" w:pos="567"/>
        </w:tabs>
        <w:rPr>
          <w:lang w:val="es-ES_tradnl"/>
        </w:rPr>
      </w:pPr>
    </w:p>
    <w:p w14:paraId="112A10FB" w14:textId="77777777" w:rsidR="00C5731C" w:rsidRPr="004F4CD0" w:rsidRDefault="00C5731C" w:rsidP="00BF5188">
      <w:pPr>
        <w:pStyle w:val="TitleB"/>
        <w:rPr>
          <w:lang w:val="es-ES_tradnl"/>
        </w:rPr>
      </w:pPr>
      <w:r w:rsidRPr="004F4CD0">
        <w:rPr>
          <w:lang w:val="es-ES_tradnl"/>
        </w:rPr>
        <w:t>C.</w:t>
      </w:r>
      <w:r w:rsidRPr="004F4CD0">
        <w:rPr>
          <w:lang w:val="es-ES_tradnl"/>
        </w:rPr>
        <w:tab/>
        <w:t>OTRAS CONDICIONES Y REQUISITOS DE LA AUTORIZACIÓN DE COMERCIALIZACIÓN</w:t>
      </w:r>
    </w:p>
    <w:p w14:paraId="15DA36D7" w14:textId="77777777" w:rsidR="00C5731C" w:rsidRPr="004F4CD0" w:rsidRDefault="00C5731C" w:rsidP="008B4ED7">
      <w:pPr>
        <w:keepNext/>
        <w:rPr>
          <w:lang w:val="es-ES_tradnl"/>
        </w:rPr>
      </w:pPr>
    </w:p>
    <w:p w14:paraId="6F769EC9" w14:textId="09D51D75" w:rsidR="00C5731C" w:rsidRPr="004F4CD0" w:rsidRDefault="00C5731C" w:rsidP="00C345B1">
      <w:pPr>
        <w:keepNext/>
        <w:numPr>
          <w:ilvl w:val="0"/>
          <w:numId w:val="55"/>
        </w:numPr>
        <w:ind w:left="567" w:hanging="567"/>
        <w:rPr>
          <w:b/>
          <w:bCs/>
          <w:lang w:val="es-ES_tradnl"/>
        </w:rPr>
      </w:pPr>
      <w:r w:rsidRPr="004F4CD0">
        <w:rPr>
          <w:b/>
          <w:lang w:val="es-ES_tradnl"/>
        </w:rPr>
        <w:t>Informes periódicos de seguridad (IPSs)</w:t>
      </w:r>
    </w:p>
    <w:p w14:paraId="34B66634" w14:textId="77777777" w:rsidR="00C5731C" w:rsidRPr="004F4CD0" w:rsidRDefault="00C5731C" w:rsidP="008B4ED7">
      <w:pPr>
        <w:keepNext/>
        <w:rPr>
          <w:lang w:val="es-ES_tradnl"/>
        </w:rPr>
      </w:pPr>
    </w:p>
    <w:p w14:paraId="547BA2FE" w14:textId="18A08BAA" w:rsidR="006A1E6E" w:rsidRPr="004F4CD0" w:rsidRDefault="006A1E6E" w:rsidP="008B4ED7">
      <w:pPr>
        <w:tabs>
          <w:tab w:val="clear" w:pos="567"/>
        </w:tabs>
        <w:rPr>
          <w:lang w:val="es-ES_tradnl"/>
        </w:rPr>
      </w:pPr>
      <w:r w:rsidRPr="004F4CD0">
        <w:rPr>
          <w:lang w:val="es-ES_tradnl"/>
        </w:rPr>
        <w:t>Los requerimientos para la presentación de los IPSs para este medicamento se establecen en la lista de fechas de referencia de la Unión (lista EURD) prevista en el artículo 107quater, apartado 7, de la Directiva 2001/83/CE y cualquier actualización posterior publicada en el portal web europeo sobre medicamentos.</w:t>
      </w:r>
    </w:p>
    <w:p w14:paraId="2628DCC4" w14:textId="77777777" w:rsidR="00C5731C" w:rsidRPr="004F4CD0" w:rsidRDefault="00C5731C" w:rsidP="008B4ED7">
      <w:pPr>
        <w:tabs>
          <w:tab w:val="clear" w:pos="567"/>
        </w:tabs>
        <w:rPr>
          <w:lang w:val="es-ES_tradnl"/>
        </w:rPr>
      </w:pPr>
    </w:p>
    <w:p w14:paraId="08AA13AA" w14:textId="77777777" w:rsidR="00C5731C" w:rsidRPr="004F4CD0" w:rsidRDefault="00C5731C" w:rsidP="008B4ED7">
      <w:pPr>
        <w:tabs>
          <w:tab w:val="clear" w:pos="567"/>
        </w:tabs>
        <w:rPr>
          <w:lang w:val="es-ES_tradnl"/>
        </w:rPr>
      </w:pPr>
    </w:p>
    <w:p w14:paraId="7FC106AB" w14:textId="77777777" w:rsidR="008603DE" w:rsidRPr="004F4CD0" w:rsidRDefault="00C5731C" w:rsidP="00BF5188">
      <w:pPr>
        <w:pStyle w:val="TitleB"/>
        <w:rPr>
          <w:lang w:val="es-ES_tradnl"/>
        </w:rPr>
      </w:pPr>
      <w:r w:rsidRPr="004F4CD0">
        <w:rPr>
          <w:lang w:val="es-ES_tradnl"/>
        </w:rPr>
        <w:t>D.</w:t>
      </w:r>
      <w:r w:rsidRPr="004F4CD0">
        <w:rPr>
          <w:lang w:val="es-ES_tradnl"/>
        </w:rPr>
        <w:tab/>
        <w:t>CONDICIONES O RESTRICCIONES EN RELACIÓN CON LA UTILIZACIÓN SEGURA Y EFICAZ DEL MEDICAMENTO</w:t>
      </w:r>
    </w:p>
    <w:p w14:paraId="2B29CAE1" w14:textId="77777777" w:rsidR="00022F7A" w:rsidRPr="004F4CD0" w:rsidRDefault="00022F7A" w:rsidP="008B4ED7">
      <w:pPr>
        <w:keepNext/>
        <w:rPr>
          <w:lang w:val="es-ES_tradnl"/>
        </w:rPr>
      </w:pPr>
    </w:p>
    <w:p w14:paraId="7D58DDD8" w14:textId="3B2DA7E9" w:rsidR="00C5731C" w:rsidRPr="004F4CD0" w:rsidRDefault="00C5731C" w:rsidP="00C345B1">
      <w:pPr>
        <w:keepNext/>
        <w:numPr>
          <w:ilvl w:val="0"/>
          <w:numId w:val="55"/>
        </w:numPr>
        <w:ind w:left="567" w:hanging="567"/>
        <w:rPr>
          <w:b/>
          <w:bCs/>
          <w:lang w:val="es-ES_tradnl"/>
        </w:rPr>
      </w:pPr>
      <w:r w:rsidRPr="004F4CD0">
        <w:rPr>
          <w:b/>
          <w:lang w:val="es-ES_tradnl"/>
        </w:rPr>
        <w:t>Plan de gestión de riesgos (PGR)</w:t>
      </w:r>
    </w:p>
    <w:p w14:paraId="5543ABF1" w14:textId="77777777" w:rsidR="00C5731C" w:rsidRPr="004F4CD0" w:rsidRDefault="00C5731C" w:rsidP="008B4ED7">
      <w:pPr>
        <w:keepNext/>
        <w:rPr>
          <w:lang w:val="es-ES_tradnl"/>
        </w:rPr>
      </w:pPr>
    </w:p>
    <w:p w14:paraId="20281BC9" w14:textId="54AC7120" w:rsidR="00C5731C" w:rsidRPr="004F4CD0" w:rsidRDefault="00C5731C" w:rsidP="008B4ED7">
      <w:pPr>
        <w:tabs>
          <w:tab w:val="clear" w:pos="567"/>
        </w:tabs>
        <w:rPr>
          <w:lang w:val="es-ES_tradnl"/>
        </w:rPr>
      </w:pPr>
      <w:r w:rsidRPr="004F4CD0">
        <w:rPr>
          <w:lang w:val="es-ES_tradnl"/>
        </w:rPr>
        <w:t xml:space="preserve">El titular de la autorización de comercialización (TAC) realizará las actividades e intervenciones de farmacovigilancia necesarias según lo acordado en la versión del PGR incluido en el Módulo 1.8.2. de </w:t>
      </w:r>
      <w:r w:rsidRPr="004F4CD0">
        <w:rPr>
          <w:lang w:val="es-ES_tradnl"/>
        </w:rPr>
        <w:lastRenderedPageBreak/>
        <w:t>la autorización de comercialización y en cualquier actualización del PGR que se acuerde posteriormente.</w:t>
      </w:r>
    </w:p>
    <w:p w14:paraId="3DBEC2B0" w14:textId="77777777" w:rsidR="00C5731C" w:rsidRPr="004F4CD0" w:rsidRDefault="00C5731C" w:rsidP="008B4ED7">
      <w:pPr>
        <w:tabs>
          <w:tab w:val="clear" w:pos="567"/>
        </w:tabs>
        <w:rPr>
          <w:lang w:val="es-ES_tradnl"/>
        </w:rPr>
      </w:pPr>
    </w:p>
    <w:p w14:paraId="5A3FBD84" w14:textId="77777777" w:rsidR="00C5731C" w:rsidRPr="004F4CD0" w:rsidRDefault="00C5731C" w:rsidP="00C345B1">
      <w:pPr>
        <w:keepNext/>
        <w:tabs>
          <w:tab w:val="clear" w:pos="567"/>
        </w:tabs>
        <w:rPr>
          <w:lang w:val="es-ES_tradnl"/>
        </w:rPr>
      </w:pPr>
      <w:r w:rsidRPr="004F4CD0">
        <w:rPr>
          <w:lang w:val="es-ES_tradnl"/>
        </w:rPr>
        <w:t>Se debe presentar un PGR actualizado:</w:t>
      </w:r>
    </w:p>
    <w:p w14:paraId="5A565A27" w14:textId="77777777" w:rsidR="00C5731C" w:rsidRPr="004F4CD0" w:rsidRDefault="00C5731C" w:rsidP="00447E6B">
      <w:pPr>
        <w:keepNext/>
        <w:numPr>
          <w:ilvl w:val="0"/>
          <w:numId w:val="54"/>
        </w:numPr>
        <w:tabs>
          <w:tab w:val="clear" w:pos="567"/>
        </w:tabs>
        <w:ind w:left="567" w:hanging="567"/>
        <w:rPr>
          <w:lang w:val="es-ES_tradnl"/>
        </w:rPr>
      </w:pPr>
      <w:r w:rsidRPr="004F4CD0">
        <w:rPr>
          <w:lang w:val="es-ES_tradnl"/>
        </w:rPr>
        <w:t>A petición de la Agencia Europea de Medicamentos;</w:t>
      </w:r>
    </w:p>
    <w:p w14:paraId="3DCD64E8" w14:textId="77777777" w:rsidR="00C5731C" w:rsidRPr="004F4CD0" w:rsidRDefault="00C5731C" w:rsidP="008B4ED7">
      <w:pPr>
        <w:numPr>
          <w:ilvl w:val="0"/>
          <w:numId w:val="54"/>
        </w:numPr>
        <w:tabs>
          <w:tab w:val="clear" w:pos="567"/>
        </w:tabs>
        <w:ind w:left="567" w:hanging="567"/>
        <w:rPr>
          <w:lang w:val="es-ES_tradnl"/>
        </w:rPr>
      </w:pPr>
      <w:r w:rsidRPr="004F4CD0">
        <w:rPr>
          <w:lang w:val="es-ES_tradnl"/>
        </w:rPr>
        <w:t>Cuando se modifique el sistema de gestión de riesgos, especialmente como resultado de nueva información disponible que pueda conllevar cambios relevantes en el perfil beneficio/riesgo, o como resultado de la consecución de un hito importante (farmacovigilancia o minimización de riesgos).</w:t>
      </w:r>
    </w:p>
    <w:p w14:paraId="0BA4F0DA" w14:textId="77777777" w:rsidR="00C5731C" w:rsidRPr="004F4CD0" w:rsidRDefault="00C5731C" w:rsidP="008B4ED7">
      <w:pPr>
        <w:pStyle w:val="Default"/>
        <w:rPr>
          <w:iCs/>
          <w:color w:val="auto"/>
          <w:sz w:val="22"/>
          <w:szCs w:val="22"/>
          <w:lang w:val="es-ES_tradnl"/>
        </w:rPr>
      </w:pPr>
    </w:p>
    <w:p w14:paraId="51B88322" w14:textId="77777777" w:rsidR="008603DE" w:rsidRPr="004F4CD0" w:rsidRDefault="00043BA2" w:rsidP="00C345B1">
      <w:pPr>
        <w:keepNext/>
        <w:numPr>
          <w:ilvl w:val="0"/>
          <w:numId w:val="55"/>
        </w:numPr>
        <w:ind w:left="567" w:hanging="567"/>
        <w:rPr>
          <w:b/>
          <w:bCs/>
          <w:lang w:val="es-ES_tradnl"/>
        </w:rPr>
      </w:pPr>
      <w:r w:rsidRPr="004F4CD0">
        <w:rPr>
          <w:b/>
          <w:lang w:val="es-ES_tradnl"/>
        </w:rPr>
        <w:t>Medidas adicionales de minimización de riesgos</w:t>
      </w:r>
    </w:p>
    <w:p w14:paraId="2E8B8213" w14:textId="77777777" w:rsidR="00043BA2" w:rsidRPr="004F4CD0" w:rsidRDefault="00043BA2" w:rsidP="008B4ED7">
      <w:pPr>
        <w:keepNext/>
        <w:rPr>
          <w:lang w:val="es-ES_tradnl"/>
        </w:rPr>
      </w:pPr>
    </w:p>
    <w:p w14:paraId="3909DAC2" w14:textId="77777777" w:rsidR="00043BA2" w:rsidRPr="004F4CD0" w:rsidRDefault="00043BA2" w:rsidP="008B4ED7">
      <w:pPr>
        <w:tabs>
          <w:tab w:val="clear" w:pos="567"/>
        </w:tabs>
        <w:rPr>
          <w:lang w:val="es-ES_tradnl"/>
        </w:rPr>
      </w:pPr>
      <w:r w:rsidRPr="004F4CD0">
        <w:rPr>
          <w:lang w:val="es-ES_tradnl"/>
        </w:rPr>
        <w:t>El TAC asegurará la implementación de la tarjeta recordatorio para el paciente sobre osteonecrosis mandibular.</w:t>
      </w:r>
    </w:p>
    <w:p w14:paraId="4A1A25BC" w14:textId="77777777" w:rsidR="00C5731C" w:rsidRPr="004F4CD0" w:rsidRDefault="00C5731C" w:rsidP="00C345B1">
      <w:pPr>
        <w:jc w:val="center"/>
        <w:rPr>
          <w:lang w:val="es-ES_tradnl"/>
        </w:rPr>
      </w:pPr>
      <w:r w:rsidRPr="004F4CD0">
        <w:rPr>
          <w:lang w:val="es-ES_tradnl"/>
        </w:rPr>
        <w:br w:type="page"/>
      </w:r>
    </w:p>
    <w:p w14:paraId="68266E4B" w14:textId="77777777" w:rsidR="00C5731C" w:rsidRPr="004F4CD0" w:rsidRDefault="00C5731C" w:rsidP="008B4ED7">
      <w:pPr>
        <w:jc w:val="center"/>
        <w:rPr>
          <w:lang w:val="es-ES_tradnl"/>
        </w:rPr>
      </w:pPr>
    </w:p>
    <w:p w14:paraId="25621AA6" w14:textId="77777777" w:rsidR="00C5731C" w:rsidRPr="004F4CD0" w:rsidRDefault="00C5731C" w:rsidP="008B4ED7">
      <w:pPr>
        <w:jc w:val="center"/>
        <w:rPr>
          <w:lang w:val="es-ES_tradnl"/>
        </w:rPr>
      </w:pPr>
    </w:p>
    <w:p w14:paraId="3FA51F42" w14:textId="77777777" w:rsidR="00C5731C" w:rsidRPr="004F4CD0" w:rsidRDefault="00C5731C" w:rsidP="008B4ED7">
      <w:pPr>
        <w:jc w:val="center"/>
        <w:rPr>
          <w:lang w:val="es-ES_tradnl"/>
        </w:rPr>
      </w:pPr>
    </w:p>
    <w:p w14:paraId="3CACEF5C" w14:textId="77777777" w:rsidR="00C5731C" w:rsidRPr="004F4CD0" w:rsidRDefault="00C5731C" w:rsidP="008B4ED7">
      <w:pPr>
        <w:jc w:val="center"/>
        <w:rPr>
          <w:lang w:val="es-ES_tradnl"/>
        </w:rPr>
      </w:pPr>
    </w:p>
    <w:p w14:paraId="516761BB" w14:textId="77777777" w:rsidR="00C5731C" w:rsidRPr="004F4CD0" w:rsidRDefault="00C5731C" w:rsidP="008B4ED7">
      <w:pPr>
        <w:jc w:val="center"/>
        <w:rPr>
          <w:lang w:val="es-ES_tradnl"/>
        </w:rPr>
      </w:pPr>
    </w:p>
    <w:p w14:paraId="061D1D73" w14:textId="77777777" w:rsidR="00C5731C" w:rsidRPr="004F4CD0" w:rsidRDefault="00C5731C" w:rsidP="008B4ED7">
      <w:pPr>
        <w:jc w:val="center"/>
        <w:rPr>
          <w:lang w:val="es-ES_tradnl"/>
        </w:rPr>
      </w:pPr>
    </w:p>
    <w:p w14:paraId="25FF8871" w14:textId="77777777" w:rsidR="00C5731C" w:rsidRPr="004F4CD0" w:rsidRDefault="00C5731C" w:rsidP="008B4ED7">
      <w:pPr>
        <w:jc w:val="center"/>
        <w:rPr>
          <w:lang w:val="es-ES_tradnl"/>
        </w:rPr>
      </w:pPr>
    </w:p>
    <w:p w14:paraId="57220B5A" w14:textId="77777777" w:rsidR="00C5731C" w:rsidRPr="004F4CD0" w:rsidRDefault="00C5731C" w:rsidP="008B4ED7">
      <w:pPr>
        <w:jc w:val="center"/>
        <w:rPr>
          <w:lang w:val="es-ES_tradnl"/>
        </w:rPr>
      </w:pPr>
    </w:p>
    <w:p w14:paraId="501A4D4B" w14:textId="77777777" w:rsidR="00C5731C" w:rsidRPr="004F4CD0" w:rsidRDefault="00C5731C" w:rsidP="008B4ED7">
      <w:pPr>
        <w:jc w:val="center"/>
        <w:rPr>
          <w:lang w:val="es-ES_tradnl"/>
        </w:rPr>
      </w:pPr>
    </w:p>
    <w:p w14:paraId="1C1408AB" w14:textId="77777777" w:rsidR="00C5731C" w:rsidRPr="004F4CD0" w:rsidRDefault="00C5731C" w:rsidP="008B4ED7">
      <w:pPr>
        <w:jc w:val="center"/>
        <w:rPr>
          <w:lang w:val="es-ES_tradnl"/>
        </w:rPr>
      </w:pPr>
    </w:p>
    <w:p w14:paraId="479D5A78" w14:textId="77777777" w:rsidR="00C5731C" w:rsidRPr="004F4CD0" w:rsidRDefault="00C5731C" w:rsidP="008B4ED7">
      <w:pPr>
        <w:jc w:val="center"/>
        <w:rPr>
          <w:lang w:val="es-ES_tradnl"/>
        </w:rPr>
      </w:pPr>
    </w:p>
    <w:p w14:paraId="7AA478F8" w14:textId="77777777" w:rsidR="00C5731C" w:rsidRPr="004F4CD0" w:rsidRDefault="00C5731C" w:rsidP="008B4ED7">
      <w:pPr>
        <w:jc w:val="center"/>
        <w:rPr>
          <w:lang w:val="es-ES_tradnl"/>
        </w:rPr>
      </w:pPr>
    </w:p>
    <w:p w14:paraId="12C1B7F6" w14:textId="77777777" w:rsidR="00C5731C" w:rsidRPr="004F4CD0" w:rsidRDefault="00C5731C" w:rsidP="008B4ED7">
      <w:pPr>
        <w:jc w:val="center"/>
        <w:rPr>
          <w:lang w:val="es-ES_tradnl"/>
        </w:rPr>
      </w:pPr>
    </w:p>
    <w:p w14:paraId="2CBB0134" w14:textId="77777777" w:rsidR="00C5731C" w:rsidRPr="004F4CD0" w:rsidRDefault="00C5731C" w:rsidP="008B4ED7">
      <w:pPr>
        <w:jc w:val="center"/>
        <w:rPr>
          <w:lang w:val="es-ES_tradnl"/>
        </w:rPr>
      </w:pPr>
    </w:p>
    <w:p w14:paraId="1D2A0182" w14:textId="77777777" w:rsidR="00C5731C" w:rsidRPr="004F4CD0" w:rsidRDefault="00C5731C" w:rsidP="008B4ED7">
      <w:pPr>
        <w:jc w:val="center"/>
        <w:rPr>
          <w:lang w:val="es-ES_tradnl"/>
        </w:rPr>
      </w:pPr>
    </w:p>
    <w:p w14:paraId="6F8894FE" w14:textId="77777777" w:rsidR="00C5731C" w:rsidRPr="004F4CD0" w:rsidRDefault="00C5731C" w:rsidP="008B4ED7">
      <w:pPr>
        <w:jc w:val="center"/>
        <w:rPr>
          <w:lang w:val="es-ES_tradnl"/>
        </w:rPr>
      </w:pPr>
    </w:p>
    <w:p w14:paraId="65C8BA06" w14:textId="77777777" w:rsidR="00C5731C" w:rsidRPr="004F4CD0" w:rsidRDefault="00C5731C" w:rsidP="008B4ED7">
      <w:pPr>
        <w:jc w:val="center"/>
        <w:rPr>
          <w:lang w:val="es-ES_tradnl"/>
        </w:rPr>
      </w:pPr>
    </w:p>
    <w:p w14:paraId="60956BCB" w14:textId="77777777" w:rsidR="00C5731C" w:rsidRPr="004F4CD0" w:rsidRDefault="00C5731C" w:rsidP="008B4ED7">
      <w:pPr>
        <w:jc w:val="center"/>
        <w:rPr>
          <w:lang w:val="es-ES_tradnl"/>
        </w:rPr>
      </w:pPr>
    </w:p>
    <w:p w14:paraId="5F552F00" w14:textId="77777777" w:rsidR="00C5731C" w:rsidRPr="004F4CD0" w:rsidRDefault="00C5731C" w:rsidP="008B4ED7">
      <w:pPr>
        <w:jc w:val="center"/>
        <w:rPr>
          <w:lang w:val="es-ES_tradnl"/>
        </w:rPr>
      </w:pPr>
    </w:p>
    <w:p w14:paraId="61F8EE30" w14:textId="77777777" w:rsidR="00C5731C" w:rsidRPr="004F4CD0" w:rsidRDefault="00C5731C" w:rsidP="008B4ED7">
      <w:pPr>
        <w:jc w:val="center"/>
        <w:rPr>
          <w:lang w:val="es-ES_tradnl"/>
        </w:rPr>
      </w:pPr>
    </w:p>
    <w:p w14:paraId="25D68374" w14:textId="77777777" w:rsidR="00C5731C" w:rsidRPr="004F4CD0" w:rsidRDefault="00C5731C" w:rsidP="008B4ED7">
      <w:pPr>
        <w:jc w:val="center"/>
        <w:rPr>
          <w:lang w:val="es-ES_tradnl"/>
        </w:rPr>
      </w:pPr>
    </w:p>
    <w:p w14:paraId="317DAEB7" w14:textId="77777777" w:rsidR="00C5731C" w:rsidRPr="004F4CD0" w:rsidRDefault="00C5731C" w:rsidP="008B4ED7">
      <w:pPr>
        <w:jc w:val="center"/>
        <w:rPr>
          <w:lang w:val="es-ES_tradnl"/>
        </w:rPr>
      </w:pPr>
    </w:p>
    <w:p w14:paraId="3DA47773" w14:textId="77777777" w:rsidR="008603DE" w:rsidRPr="004F4CD0" w:rsidRDefault="00C5731C" w:rsidP="008B4ED7">
      <w:pPr>
        <w:jc w:val="center"/>
        <w:rPr>
          <w:b/>
          <w:bCs/>
          <w:lang w:val="es-ES_tradnl"/>
        </w:rPr>
      </w:pPr>
      <w:r w:rsidRPr="004F4CD0">
        <w:rPr>
          <w:b/>
          <w:lang w:val="es-ES_tradnl"/>
        </w:rPr>
        <w:t>ANEXO III</w:t>
      </w:r>
    </w:p>
    <w:p w14:paraId="69874FDD" w14:textId="77777777" w:rsidR="00C5731C" w:rsidRPr="004F4CD0" w:rsidRDefault="00C5731C" w:rsidP="008B4ED7">
      <w:pPr>
        <w:jc w:val="center"/>
        <w:rPr>
          <w:lang w:val="es-ES_tradnl"/>
        </w:rPr>
      </w:pPr>
    </w:p>
    <w:p w14:paraId="070FD05E" w14:textId="77777777" w:rsidR="008603DE" w:rsidRPr="004F4CD0" w:rsidRDefault="00C5731C" w:rsidP="008B4ED7">
      <w:pPr>
        <w:jc w:val="center"/>
        <w:rPr>
          <w:b/>
          <w:bCs/>
          <w:lang w:val="es-ES_tradnl"/>
        </w:rPr>
      </w:pPr>
      <w:r w:rsidRPr="004F4CD0">
        <w:rPr>
          <w:b/>
          <w:lang w:val="es-ES_tradnl"/>
        </w:rPr>
        <w:t>ETIQUETADO Y PROSPECTO</w:t>
      </w:r>
    </w:p>
    <w:p w14:paraId="04B95C07" w14:textId="77777777" w:rsidR="00C5731C" w:rsidRPr="004F4CD0" w:rsidRDefault="00C5731C" w:rsidP="008B4ED7">
      <w:pPr>
        <w:jc w:val="center"/>
        <w:rPr>
          <w:lang w:val="es-ES_tradnl"/>
        </w:rPr>
      </w:pPr>
      <w:r w:rsidRPr="004F4CD0">
        <w:rPr>
          <w:lang w:val="es-ES_tradnl"/>
        </w:rPr>
        <w:br w:type="page"/>
      </w:r>
    </w:p>
    <w:p w14:paraId="560C1CA8" w14:textId="77777777" w:rsidR="00C5731C" w:rsidRPr="004F4CD0" w:rsidRDefault="00C5731C" w:rsidP="008B4ED7">
      <w:pPr>
        <w:jc w:val="center"/>
        <w:rPr>
          <w:lang w:val="es-ES_tradnl"/>
        </w:rPr>
      </w:pPr>
    </w:p>
    <w:p w14:paraId="29B44800" w14:textId="77777777" w:rsidR="00C5731C" w:rsidRPr="004F4CD0" w:rsidRDefault="00C5731C" w:rsidP="008B4ED7">
      <w:pPr>
        <w:jc w:val="center"/>
        <w:rPr>
          <w:lang w:val="es-ES_tradnl"/>
        </w:rPr>
      </w:pPr>
    </w:p>
    <w:p w14:paraId="043B0238" w14:textId="77777777" w:rsidR="00C5731C" w:rsidRPr="004F4CD0" w:rsidRDefault="00C5731C" w:rsidP="008B4ED7">
      <w:pPr>
        <w:jc w:val="center"/>
        <w:rPr>
          <w:lang w:val="es-ES_tradnl"/>
        </w:rPr>
      </w:pPr>
    </w:p>
    <w:p w14:paraId="66D0C621" w14:textId="77777777" w:rsidR="00C5731C" w:rsidRPr="004F4CD0" w:rsidRDefault="00C5731C" w:rsidP="008B4ED7">
      <w:pPr>
        <w:jc w:val="center"/>
        <w:rPr>
          <w:lang w:val="es-ES_tradnl"/>
        </w:rPr>
      </w:pPr>
    </w:p>
    <w:p w14:paraId="724DCB22" w14:textId="77777777" w:rsidR="00C5731C" w:rsidRPr="004F4CD0" w:rsidRDefault="00C5731C" w:rsidP="008B4ED7">
      <w:pPr>
        <w:jc w:val="center"/>
        <w:rPr>
          <w:lang w:val="es-ES_tradnl"/>
        </w:rPr>
      </w:pPr>
    </w:p>
    <w:p w14:paraId="2D76CDD1" w14:textId="77777777" w:rsidR="00C5731C" w:rsidRPr="004F4CD0" w:rsidRDefault="00C5731C" w:rsidP="008B4ED7">
      <w:pPr>
        <w:jc w:val="center"/>
        <w:rPr>
          <w:lang w:val="es-ES_tradnl"/>
        </w:rPr>
      </w:pPr>
    </w:p>
    <w:p w14:paraId="41C28525" w14:textId="77777777" w:rsidR="00C5731C" w:rsidRPr="004F4CD0" w:rsidRDefault="00C5731C" w:rsidP="008B4ED7">
      <w:pPr>
        <w:jc w:val="center"/>
        <w:rPr>
          <w:lang w:val="es-ES_tradnl"/>
        </w:rPr>
      </w:pPr>
    </w:p>
    <w:p w14:paraId="5E7ABB73" w14:textId="77777777" w:rsidR="00C5731C" w:rsidRPr="004F4CD0" w:rsidRDefault="00C5731C" w:rsidP="008B4ED7">
      <w:pPr>
        <w:jc w:val="center"/>
        <w:rPr>
          <w:lang w:val="es-ES_tradnl"/>
        </w:rPr>
      </w:pPr>
    </w:p>
    <w:p w14:paraId="257610E8" w14:textId="77777777" w:rsidR="00C5731C" w:rsidRPr="004F4CD0" w:rsidRDefault="00C5731C" w:rsidP="008B4ED7">
      <w:pPr>
        <w:jc w:val="center"/>
        <w:rPr>
          <w:lang w:val="es-ES_tradnl"/>
        </w:rPr>
      </w:pPr>
    </w:p>
    <w:p w14:paraId="3D735DDC" w14:textId="77777777" w:rsidR="00C5731C" w:rsidRPr="004F4CD0" w:rsidRDefault="00C5731C" w:rsidP="008B4ED7">
      <w:pPr>
        <w:jc w:val="center"/>
        <w:rPr>
          <w:lang w:val="es-ES_tradnl"/>
        </w:rPr>
      </w:pPr>
    </w:p>
    <w:p w14:paraId="0DE4A900" w14:textId="77777777" w:rsidR="00C5731C" w:rsidRPr="004F4CD0" w:rsidRDefault="00C5731C" w:rsidP="008B4ED7">
      <w:pPr>
        <w:jc w:val="center"/>
        <w:rPr>
          <w:lang w:val="es-ES_tradnl"/>
        </w:rPr>
      </w:pPr>
    </w:p>
    <w:p w14:paraId="183423F1" w14:textId="77777777" w:rsidR="00C5731C" w:rsidRPr="004F4CD0" w:rsidRDefault="00C5731C" w:rsidP="008B4ED7">
      <w:pPr>
        <w:jc w:val="center"/>
        <w:rPr>
          <w:lang w:val="es-ES_tradnl"/>
        </w:rPr>
      </w:pPr>
    </w:p>
    <w:p w14:paraId="23539E35" w14:textId="77777777" w:rsidR="00C5731C" w:rsidRPr="004F4CD0" w:rsidRDefault="00C5731C" w:rsidP="008B4ED7">
      <w:pPr>
        <w:jc w:val="center"/>
        <w:rPr>
          <w:lang w:val="es-ES_tradnl"/>
        </w:rPr>
      </w:pPr>
    </w:p>
    <w:p w14:paraId="59E91FEF" w14:textId="77777777" w:rsidR="00C5731C" w:rsidRPr="004F4CD0" w:rsidRDefault="00C5731C" w:rsidP="008B4ED7">
      <w:pPr>
        <w:jc w:val="center"/>
        <w:rPr>
          <w:lang w:val="es-ES_tradnl"/>
        </w:rPr>
      </w:pPr>
    </w:p>
    <w:p w14:paraId="5F7AF501" w14:textId="77777777" w:rsidR="00C5731C" w:rsidRPr="004F4CD0" w:rsidRDefault="00C5731C" w:rsidP="008B4ED7">
      <w:pPr>
        <w:jc w:val="center"/>
        <w:rPr>
          <w:lang w:val="es-ES_tradnl"/>
        </w:rPr>
      </w:pPr>
    </w:p>
    <w:p w14:paraId="0B1617C2" w14:textId="77777777" w:rsidR="00C5731C" w:rsidRPr="004F4CD0" w:rsidRDefault="00C5731C" w:rsidP="008B4ED7">
      <w:pPr>
        <w:jc w:val="center"/>
        <w:rPr>
          <w:lang w:val="es-ES_tradnl"/>
        </w:rPr>
      </w:pPr>
    </w:p>
    <w:p w14:paraId="699A32A2" w14:textId="77777777" w:rsidR="00C5731C" w:rsidRPr="004F4CD0" w:rsidRDefault="00C5731C" w:rsidP="008B4ED7">
      <w:pPr>
        <w:jc w:val="center"/>
        <w:rPr>
          <w:lang w:val="es-ES_tradnl"/>
        </w:rPr>
      </w:pPr>
    </w:p>
    <w:p w14:paraId="5B9563CA" w14:textId="77777777" w:rsidR="00C5731C" w:rsidRPr="004F4CD0" w:rsidRDefault="00C5731C" w:rsidP="008B4ED7">
      <w:pPr>
        <w:jc w:val="center"/>
        <w:rPr>
          <w:lang w:val="es-ES_tradnl"/>
        </w:rPr>
      </w:pPr>
    </w:p>
    <w:p w14:paraId="0D222EA7" w14:textId="77777777" w:rsidR="00C5731C" w:rsidRPr="004F4CD0" w:rsidRDefault="00C5731C" w:rsidP="008B4ED7">
      <w:pPr>
        <w:jc w:val="center"/>
        <w:rPr>
          <w:lang w:val="es-ES_tradnl"/>
        </w:rPr>
      </w:pPr>
    </w:p>
    <w:p w14:paraId="73647037" w14:textId="77777777" w:rsidR="00C5731C" w:rsidRPr="004F4CD0" w:rsidRDefault="00C5731C" w:rsidP="008B4ED7">
      <w:pPr>
        <w:jc w:val="center"/>
        <w:rPr>
          <w:lang w:val="es-ES_tradnl"/>
        </w:rPr>
      </w:pPr>
    </w:p>
    <w:p w14:paraId="6F31ECFB" w14:textId="77777777" w:rsidR="00C5731C" w:rsidRPr="004F4CD0" w:rsidRDefault="00C5731C" w:rsidP="008B4ED7">
      <w:pPr>
        <w:jc w:val="center"/>
        <w:rPr>
          <w:lang w:val="es-ES_tradnl"/>
        </w:rPr>
      </w:pPr>
    </w:p>
    <w:p w14:paraId="695D54E3" w14:textId="77777777" w:rsidR="00C5731C" w:rsidRPr="004F4CD0" w:rsidRDefault="00C5731C" w:rsidP="008B4ED7">
      <w:pPr>
        <w:jc w:val="center"/>
        <w:rPr>
          <w:lang w:val="es-ES_tradnl"/>
        </w:rPr>
      </w:pPr>
    </w:p>
    <w:p w14:paraId="3C8E8479" w14:textId="77777777" w:rsidR="00C5731C" w:rsidRPr="004F4CD0" w:rsidRDefault="00C5731C" w:rsidP="00BF5188">
      <w:pPr>
        <w:pStyle w:val="TitleA"/>
        <w:rPr>
          <w:lang w:val="es-ES_tradnl"/>
        </w:rPr>
      </w:pPr>
      <w:r w:rsidRPr="004F4CD0">
        <w:rPr>
          <w:lang w:val="es-ES_tradnl"/>
        </w:rPr>
        <w:t>A. ETIQUETADO</w:t>
      </w:r>
    </w:p>
    <w:p w14:paraId="427CE109" w14:textId="77777777" w:rsidR="00C5731C" w:rsidRPr="004F4CD0" w:rsidRDefault="00C5731C" w:rsidP="008B4ED7">
      <w:pPr>
        <w:jc w:val="center"/>
        <w:rPr>
          <w:lang w:val="es-ES_tradnl"/>
        </w:rPr>
      </w:pPr>
    </w:p>
    <w:p w14:paraId="4FFAF396" w14:textId="5848DF0E" w:rsidR="00C5731C" w:rsidRPr="004F4CD0" w:rsidRDefault="00670C68" w:rsidP="00670C68">
      <w:pPr>
        <w:keepNext/>
        <w:pBdr>
          <w:top w:val="single" w:sz="4" w:space="1" w:color="auto"/>
          <w:left w:val="single" w:sz="4" w:space="4" w:color="auto"/>
          <w:bottom w:val="single" w:sz="4" w:space="1" w:color="auto"/>
          <w:right w:val="single" w:sz="4" w:space="4" w:color="auto"/>
        </w:pBdr>
        <w:rPr>
          <w:b/>
          <w:lang w:val="es-ES_tradnl"/>
        </w:rPr>
      </w:pPr>
      <w:r w:rsidRPr="004F4CD0">
        <w:rPr>
          <w:lang w:val="es-ES_tradnl"/>
        </w:rPr>
        <w:br w:type="page"/>
      </w:r>
      <w:r w:rsidRPr="004F4CD0">
        <w:rPr>
          <w:b/>
          <w:lang w:val="es-ES_tradnl"/>
        </w:rPr>
        <w:lastRenderedPageBreak/>
        <w:t>INFORMACIÓN QUE DEBE FIGURAR EN EL EMBALAJE EXTERIOR</w:t>
      </w:r>
    </w:p>
    <w:p w14:paraId="695F92A3" w14:textId="77777777" w:rsidR="00C5731C" w:rsidRPr="004F4CD0" w:rsidRDefault="00C5731C" w:rsidP="00670C68">
      <w:pPr>
        <w:keepNext/>
        <w:pBdr>
          <w:top w:val="single" w:sz="4" w:space="1" w:color="auto"/>
          <w:left w:val="single" w:sz="4" w:space="4" w:color="auto"/>
          <w:bottom w:val="single" w:sz="4" w:space="1" w:color="auto"/>
          <w:right w:val="single" w:sz="4" w:space="4" w:color="auto"/>
        </w:pBdr>
        <w:tabs>
          <w:tab w:val="clear" w:pos="567"/>
        </w:tabs>
        <w:rPr>
          <w:bCs/>
          <w:lang w:val="es-ES_tradnl"/>
        </w:rPr>
      </w:pPr>
    </w:p>
    <w:p w14:paraId="12896C8E" w14:textId="78B87EA8" w:rsidR="00C5731C" w:rsidRPr="004F4CD0" w:rsidRDefault="00C5731C" w:rsidP="00670C68">
      <w:pPr>
        <w:keepNext/>
        <w:pBdr>
          <w:top w:val="single" w:sz="4" w:space="1" w:color="auto"/>
          <w:left w:val="single" w:sz="4" w:space="4" w:color="auto"/>
          <w:bottom w:val="single" w:sz="4" w:space="1" w:color="auto"/>
          <w:right w:val="single" w:sz="4" w:space="4" w:color="auto"/>
        </w:pBdr>
        <w:rPr>
          <w:b/>
          <w:lang w:val="es-ES_tradnl"/>
        </w:rPr>
      </w:pPr>
      <w:r w:rsidRPr="004F4CD0">
        <w:rPr>
          <w:b/>
          <w:lang w:val="es-ES_tradnl"/>
        </w:rPr>
        <w:t xml:space="preserve">CAJA </w:t>
      </w:r>
      <w:r w:rsidR="004B3107" w:rsidRPr="004F4CD0">
        <w:rPr>
          <w:b/>
          <w:lang w:val="es-ES_tradnl"/>
        </w:rPr>
        <w:t xml:space="preserve">EXTERIOR </w:t>
      </w:r>
      <w:r w:rsidR="00B02863" w:rsidRPr="004F4CD0">
        <w:rPr>
          <w:b/>
          <w:lang w:val="es-ES_tradnl"/>
        </w:rPr>
        <w:t xml:space="preserve">PARA </w:t>
      </w:r>
      <w:r w:rsidRPr="004F4CD0">
        <w:rPr>
          <w:b/>
          <w:lang w:val="es-ES_tradnl"/>
        </w:rPr>
        <w:t>LA JERINGA PRECARGADA</w:t>
      </w:r>
      <w:r w:rsidR="004B3107" w:rsidRPr="004F4CD0">
        <w:rPr>
          <w:b/>
          <w:lang w:val="es-ES_tradnl"/>
        </w:rPr>
        <w:t xml:space="preserve"> CON PROTECTOR DE SEGURIDAD</w:t>
      </w:r>
    </w:p>
    <w:p w14:paraId="3D16484C" w14:textId="77777777" w:rsidR="00C5731C" w:rsidRPr="004F4CD0" w:rsidRDefault="00C5731C" w:rsidP="008B4ED7">
      <w:pPr>
        <w:tabs>
          <w:tab w:val="clear" w:pos="567"/>
        </w:tabs>
        <w:rPr>
          <w:lang w:val="es-ES_tradnl"/>
        </w:rPr>
      </w:pPr>
    </w:p>
    <w:p w14:paraId="1AE054BE" w14:textId="77777777" w:rsidR="00C5731C" w:rsidRPr="004F4CD0" w:rsidRDefault="00C5731C" w:rsidP="008B4ED7">
      <w:pPr>
        <w:tabs>
          <w:tab w:val="clear" w:pos="567"/>
        </w:tabs>
        <w:rPr>
          <w:lang w:val="es-ES_tradnl"/>
        </w:rPr>
      </w:pPr>
    </w:p>
    <w:p w14:paraId="2B1FBB4A"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w:t>
      </w:r>
      <w:r w:rsidRPr="004F4CD0">
        <w:rPr>
          <w:b/>
          <w:lang w:val="es-ES_tradnl"/>
        </w:rPr>
        <w:tab/>
        <w:t>NOMBRE DEL MEDICAMENTO</w:t>
      </w:r>
    </w:p>
    <w:p w14:paraId="7B60DD8C" w14:textId="77777777" w:rsidR="00C5731C" w:rsidRPr="004F4CD0" w:rsidRDefault="00C5731C" w:rsidP="008B4ED7">
      <w:pPr>
        <w:keepNext/>
        <w:rPr>
          <w:lang w:val="es-ES_tradnl"/>
        </w:rPr>
      </w:pPr>
    </w:p>
    <w:p w14:paraId="4E2031A1" w14:textId="58DFFC73" w:rsidR="00C5731C" w:rsidRPr="004F4CD0" w:rsidRDefault="004B3107" w:rsidP="00C345B1">
      <w:pPr>
        <w:keepNext/>
        <w:tabs>
          <w:tab w:val="clear" w:pos="567"/>
        </w:tabs>
        <w:rPr>
          <w:lang w:val="es-ES_tradnl"/>
        </w:rPr>
      </w:pPr>
      <w:r w:rsidRPr="004F4CD0">
        <w:rPr>
          <w:lang w:val="es-ES_tradnl"/>
        </w:rPr>
        <w:t xml:space="preserve">Stoboclo </w:t>
      </w:r>
      <w:r w:rsidR="00C5731C" w:rsidRPr="004F4CD0">
        <w:rPr>
          <w:lang w:val="es-ES_tradnl"/>
        </w:rPr>
        <w:t>60 mg solución inyectable en jeringa precargada</w:t>
      </w:r>
    </w:p>
    <w:p w14:paraId="441CCB60" w14:textId="77777777" w:rsidR="00C5731C" w:rsidRPr="004F4CD0" w:rsidRDefault="00C5731C" w:rsidP="008B4ED7">
      <w:pPr>
        <w:tabs>
          <w:tab w:val="clear" w:pos="567"/>
        </w:tabs>
        <w:rPr>
          <w:lang w:val="es-ES_tradnl"/>
        </w:rPr>
      </w:pPr>
      <w:r w:rsidRPr="004F4CD0">
        <w:rPr>
          <w:lang w:val="es-ES_tradnl"/>
        </w:rPr>
        <w:t>denosumab</w:t>
      </w:r>
    </w:p>
    <w:p w14:paraId="1FB2EC35" w14:textId="77777777" w:rsidR="00C5731C" w:rsidRPr="004F4CD0" w:rsidRDefault="00C5731C" w:rsidP="008B4ED7">
      <w:pPr>
        <w:tabs>
          <w:tab w:val="clear" w:pos="567"/>
        </w:tabs>
        <w:rPr>
          <w:lang w:val="es-ES_tradnl"/>
        </w:rPr>
      </w:pPr>
    </w:p>
    <w:p w14:paraId="2E1C67ED" w14:textId="77777777" w:rsidR="00C5731C" w:rsidRPr="004F4CD0" w:rsidRDefault="00C5731C" w:rsidP="008B4ED7">
      <w:pPr>
        <w:tabs>
          <w:tab w:val="clear" w:pos="567"/>
        </w:tabs>
        <w:rPr>
          <w:lang w:val="es-ES_tradnl"/>
        </w:rPr>
      </w:pPr>
    </w:p>
    <w:p w14:paraId="12CBAB31"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2.</w:t>
      </w:r>
      <w:r w:rsidRPr="004F4CD0">
        <w:rPr>
          <w:b/>
          <w:lang w:val="es-ES_tradnl"/>
        </w:rPr>
        <w:tab/>
        <w:t>PRINCIPIO(S) ACTIVO(S)</w:t>
      </w:r>
    </w:p>
    <w:p w14:paraId="2A734434" w14:textId="77777777" w:rsidR="00C5731C" w:rsidRPr="004F4CD0" w:rsidRDefault="00C5731C" w:rsidP="008B4ED7">
      <w:pPr>
        <w:keepNext/>
        <w:rPr>
          <w:lang w:val="es-ES_tradnl"/>
        </w:rPr>
      </w:pPr>
    </w:p>
    <w:p w14:paraId="230C4AB8" w14:textId="77777777" w:rsidR="00C5731C" w:rsidRPr="004F4CD0" w:rsidRDefault="00C5731C" w:rsidP="008B4ED7">
      <w:pPr>
        <w:tabs>
          <w:tab w:val="clear" w:pos="567"/>
        </w:tabs>
        <w:rPr>
          <w:lang w:val="es-ES_tradnl"/>
        </w:rPr>
      </w:pPr>
      <w:r w:rsidRPr="004F4CD0">
        <w:rPr>
          <w:lang w:val="es-ES_tradnl"/>
        </w:rPr>
        <w:t>Jeringa precargada de 1 ml que contiene 60 mg de denosumab (60 mg/ml).</w:t>
      </w:r>
    </w:p>
    <w:p w14:paraId="299B47CB" w14:textId="77777777" w:rsidR="00C5731C" w:rsidRPr="004F4CD0" w:rsidRDefault="00C5731C" w:rsidP="008B4ED7">
      <w:pPr>
        <w:tabs>
          <w:tab w:val="clear" w:pos="567"/>
        </w:tabs>
        <w:rPr>
          <w:lang w:val="es-ES_tradnl"/>
        </w:rPr>
      </w:pPr>
    </w:p>
    <w:p w14:paraId="451DED25" w14:textId="77777777" w:rsidR="00C5731C" w:rsidRPr="004F4CD0" w:rsidRDefault="00C5731C" w:rsidP="008B4ED7">
      <w:pPr>
        <w:tabs>
          <w:tab w:val="clear" w:pos="567"/>
        </w:tabs>
        <w:rPr>
          <w:lang w:val="es-ES_tradnl"/>
        </w:rPr>
      </w:pPr>
    </w:p>
    <w:p w14:paraId="281F795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lang w:val="es-ES_tradnl"/>
        </w:rPr>
      </w:pPr>
      <w:r w:rsidRPr="004F4CD0">
        <w:rPr>
          <w:b/>
          <w:lang w:val="es-ES_tradnl"/>
        </w:rPr>
        <w:t>3.</w:t>
      </w:r>
      <w:r w:rsidRPr="004F4CD0">
        <w:rPr>
          <w:b/>
          <w:lang w:val="es-ES_tradnl"/>
        </w:rPr>
        <w:tab/>
        <w:t>LISTA DE EXCIPIENTES</w:t>
      </w:r>
    </w:p>
    <w:p w14:paraId="5A7EAA5D" w14:textId="77777777" w:rsidR="00C5731C" w:rsidRPr="004F4CD0" w:rsidRDefault="00C5731C" w:rsidP="008B4ED7">
      <w:pPr>
        <w:keepNext/>
        <w:rPr>
          <w:lang w:val="es-ES_tradnl"/>
        </w:rPr>
      </w:pPr>
    </w:p>
    <w:p w14:paraId="485A8E9F" w14:textId="15DC7347" w:rsidR="00C5731C" w:rsidRPr="004F4CD0" w:rsidRDefault="004B3107" w:rsidP="008B4ED7">
      <w:pPr>
        <w:tabs>
          <w:tab w:val="clear" w:pos="567"/>
        </w:tabs>
        <w:rPr>
          <w:lang w:val="es-ES_tradnl"/>
        </w:rPr>
      </w:pPr>
      <w:r w:rsidRPr="004F4CD0">
        <w:rPr>
          <w:lang w:val="es-ES_tradnl"/>
        </w:rPr>
        <w:t xml:space="preserve">Excipientes: </w:t>
      </w:r>
      <w:r w:rsidR="00C5731C" w:rsidRPr="004F4CD0">
        <w:rPr>
          <w:lang w:val="es-ES_tradnl"/>
        </w:rPr>
        <w:t xml:space="preserve">Ácido acético, </w:t>
      </w:r>
      <w:r w:rsidRPr="004F4CD0">
        <w:rPr>
          <w:lang w:val="es-ES_tradnl"/>
        </w:rPr>
        <w:t>acetato de sodio trihidrato</w:t>
      </w:r>
      <w:r w:rsidR="00C5731C" w:rsidRPr="004F4CD0">
        <w:rPr>
          <w:lang w:val="es-ES_tradnl"/>
        </w:rPr>
        <w:t>, sorbitol (E420), polisorbato 20</w:t>
      </w:r>
      <w:r w:rsidRPr="004F4CD0">
        <w:rPr>
          <w:lang w:val="es-ES_tradnl"/>
        </w:rPr>
        <w:t xml:space="preserve"> (E432)</w:t>
      </w:r>
      <w:r w:rsidR="00C5731C" w:rsidRPr="004F4CD0">
        <w:rPr>
          <w:lang w:val="es-ES_tradnl"/>
        </w:rPr>
        <w:t>, agua para preparaciones inyectables.</w:t>
      </w:r>
    </w:p>
    <w:p w14:paraId="551E459F" w14:textId="040F1960" w:rsidR="00C5731C" w:rsidRPr="004F4CD0" w:rsidRDefault="00346142" w:rsidP="008B4ED7">
      <w:pPr>
        <w:tabs>
          <w:tab w:val="clear" w:pos="567"/>
        </w:tabs>
        <w:rPr>
          <w:lang w:val="es-ES_tradnl"/>
        </w:rPr>
      </w:pPr>
      <w:r>
        <w:rPr>
          <w:highlight w:val="lightGray"/>
        </w:rPr>
        <w:t>Para mayor información</w:t>
      </w:r>
      <w:r>
        <w:rPr>
          <w:highlight w:val="lightGray"/>
          <w:lang w:val="es-ES_tradnl"/>
        </w:rPr>
        <w:t xml:space="preserve"> </w:t>
      </w:r>
      <w:r>
        <w:rPr>
          <w:rFonts w:eastAsia="맑은 고딕" w:hint="eastAsia"/>
          <w:highlight w:val="lightGray"/>
          <w:lang w:val="es-ES_tradnl" w:eastAsia="ko-KR"/>
        </w:rPr>
        <w:t>c</w:t>
      </w:r>
      <w:r w:rsidR="004B3107">
        <w:rPr>
          <w:highlight w:val="lightGray"/>
          <w:lang w:val="es-ES_tradnl"/>
        </w:rPr>
        <w:t>onsult</w:t>
      </w:r>
      <w:r>
        <w:rPr>
          <w:rFonts w:eastAsia="맑은 고딕" w:hint="eastAsia"/>
          <w:highlight w:val="lightGray"/>
          <w:lang w:val="es-ES_tradnl" w:eastAsia="ko-KR"/>
        </w:rPr>
        <w:t>ar</w:t>
      </w:r>
      <w:r w:rsidR="004B3107">
        <w:rPr>
          <w:highlight w:val="lightGray"/>
          <w:lang w:val="es-ES_tradnl"/>
        </w:rPr>
        <w:t xml:space="preserve"> el prospecto.</w:t>
      </w:r>
    </w:p>
    <w:p w14:paraId="0561D921" w14:textId="77777777" w:rsidR="00C5731C" w:rsidRPr="004F4CD0" w:rsidRDefault="00C5731C" w:rsidP="008B4ED7">
      <w:pPr>
        <w:tabs>
          <w:tab w:val="clear" w:pos="567"/>
        </w:tabs>
        <w:rPr>
          <w:lang w:val="es-ES_tradnl"/>
        </w:rPr>
      </w:pPr>
    </w:p>
    <w:p w14:paraId="364C2047" w14:textId="77777777" w:rsidR="00B02863" w:rsidRPr="004F4CD0" w:rsidRDefault="00B02863" w:rsidP="008B4ED7">
      <w:pPr>
        <w:tabs>
          <w:tab w:val="clear" w:pos="567"/>
        </w:tabs>
        <w:rPr>
          <w:lang w:val="es-ES_tradnl"/>
        </w:rPr>
      </w:pPr>
    </w:p>
    <w:p w14:paraId="15D37DD7"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4.</w:t>
      </w:r>
      <w:r w:rsidRPr="004F4CD0">
        <w:rPr>
          <w:b/>
          <w:lang w:val="es-ES_tradnl"/>
        </w:rPr>
        <w:tab/>
        <w:t>FORMA FARMACÉUTICA Y CONTENIDO DEL ENVASE</w:t>
      </w:r>
    </w:p>
    <w:p w14:paraId="6D8F5315" w14:textId="77777777" w:rsidR="00C5731C" w:rsidRPr="004F4CD0" w:rsidRDefault="00C5731C" w:rsidP="008B4ED7">
      <w:pPr>
        <w:keepNext/>
        <w:rPr>
          <w:lang w:val="es-ES_tradnl"/>
        </w:rPr>
      </w:pPr>
    </w:p>
    <w:p w14:paraId="2E732C64" w14:textId="77777777" w:rsidR="008603DE" w:rsidRDefault="00C5731C" w:rsidP="00C345B1">
      <w:pPr>
        <w:keepNext/>
        <w:rPr>
          <w:highlight w:val="lightGray"/>
          <w:lang w:val="es-ES_tradnl"/>
        </w:rPr>
      </w:pPr>
      <w:r>
        <w:rPr>
          <w:highlight w:val="lightGray"/>
          <w:lang w:val="es-ES_tradnl"/>
        </w:rPr>
        <w:t>Solución inyectable</w:t>
      </w:r>
    </w:p>
    <w:p w14:paraId="64ECC632" w14:textId="5EBF4476" w:rsidR="00C5731C" w:rsidRPr="004F4CD0" w:rsidRDefault="004B3107" w:rsidP="000D0706">
      <w:pPr>
        <w:keepNext/>
        <w:tabs>
          <w:tab w:val="clear" w:pos="567"/>
        </w:tabs>
        <w:rPr>
          <w:lang w:val="es-ES_tradnl"/>
        </w:rPr>
      </w:pPr>
      <w:r w:rsidRPr="004F4CD0">
        <w:rPr>
          <w:lang w:val="es-ES_tradnl"/>
        </w:rPr>
        <w:t>1 </w:t>
      </w:r>
      <w:r w:rsidR="00C5731C" w:rsidRPr="004F4CD0">
        <w:rPr>
          <w:lang w:val="es-ES_tradnl"/>
        </w:rPr>
        <w:t xml:space="preserve">jeringa precargada con protector </w:t>
      </w:r>
      <w:r w:rsidRPr="004F4CD0">
        <w:rPr>
          <w:lang w:val="es-ES_tradnl"/>
        </w:rPr>
        <w:t>de seguridad</w:t>
      </w:r>
      <w:r w:rsidR="00C5731C" w:rsidRPr="004F4CD0">
        <w:rPr>
          <w:lang w:val="es-ES_tradnl"/>
        </w:rPr>
        <w:t>.</w:t>
      </w:r>
    </w:p>
    <w:p w14:paraId="0DA10938" w14:textId="0FE28AD0" w:rsidR="004B3107" w:rsidRPr="004F4CD0" w:rsidRDefault="004B3107" w:rsidP="004B3107">
      <w:pPr>
        <w:rPr>
          <w:lang w:val="es-ES_tradnl" w:eastAsia="ko-KR"/>
        </w:rPr>
      </w:pPr>
      <w:r w:rsidRPr="004F4CD0">
        <w:rPr>
          <w:lang w:val="es-ES_tradnl" w:eastAsia="ko-KR"/>
        </w:rPr>
        <w:t>60 mg/1 ml</w:t>
      </w:r>
    </w:p>
    <w:p w14:paraId="6A7C4FBE" w14:textId="77777777" w:rsidR="00C5731C" w:rsidRPr="004F4CD0" w:rsidRDefault="00C5731C" w:rsidP="008B4ED7">
      <w:pPr>
        <w:tabs>
          <w:tab w:val="clear" w:pos="567"/>
        </w:tabs>
        <w:rPr>
          <w:lang w:val="es-ES_tradnl"/>
        </w:rPr>
      </w:pPr>
    </w:p>
    <w:p w14:paraId="3E0C1539" w14:textId="77777777" w:rsidR="00C5731C" w:rsidRPr="004F4CD0" w:rsidRDefault="00C5731C" w:rsidP="008B4ED7">
      <w:pPr>
        <w:tabs>
          <w:tab w:val="clear" w:pos="567"/>
        </w:tabs>
        <w:rPr>
          <w:lang w:val="es-ES_tradnl"/>
        </w:rPr>
      </w:pPr>
    </w:p>
    <w:p w14:paraId="70970671" w14:textId="77777777" w:rsidR="00C5731C" w:rsidRDefault="00C5731C" w:rsidP="008B4ED7">
      <w:pPr>
        <w:keepNext/>
        <w:pBdr>
          <w:top w:val="single" w:sz="4" w:space="2" w:color="auto"/>
          <w:left w:val="single" w:sz="4" w:space="4" w:color="auto"/>
          <w:bottom w:val="single" w:sz="4" w:space="1" w:color="auto"/>
          <w:right w:val="single" w:sz="4" w:space="4" w:color="auto"/>
        </w:pBdr>
        <w:ind w:left="567" w:hanging="567"/>
        <w:outlineLvl w:val="0"/>
        <w:rPr>
          <w:highlight w:val="lightGray"/>
          <w:lang w:val="es-ES_tradnl"/>
        </w:rPr>
      </w:pPr>
      <w:r w:rsidRPr="004F4CD0">
        <w:rPr>
          <w:b/>
          <w:lang w:val="es-ES_tradnl"/>
        </w:rPr>
        <w:t>5.</w:t>
      </w:r>
      <w:r w:rsidRPr="004F4CD0">
        <w:rPr>
          <w:b/>
          <w:lang w:val="es-ES_tradnl"/>
        </w:rPr>
        <w:tab/>
        <w:t>FORMA Y VÍA(S) DE ADMINISTRACIÓN</w:t>
      </w:r>
    </w:p>
    <w:p w14:paraId="6CDF1BFA" w14:textId="77777777" w:rsidR="00C5731C" w:rsidRPr="004F4CD0" w:rsidRDefault="00C5731C" w:rsidP="008B4ED7">
      <w:pPr>
        <w:keepNext/>
        <w:rPr>
          <w:lang w:val="es-ES_tradnl"/>
        </w:rPr>
      </w:pPr>
    </w:p>
    <w:p w14:paraId="46413AA2" w14:textId="77777777" w:rsidR="00C5731C" w:rsidRPr="004F4CD0" w:rsidRDefault="00C5731C" w:rsidP="00C345B1">
      <w:pPr>
        <w:keepNext/>
        <w:tabs>
          <w:tab w:val="clear" w:pos="567"/>
        </w:tabs>
        <w:rPr>
          <w:lang w:val="es-ES_tradnl"/>
        </w:rPr>
      </w:pPr>
      <w:r w:rsidRPr="004F4CD0">
        <w:rPr>
          <w:lang w:val="es-ES_tradnl"/>
        </w:rPr>
        <w:t>Vía subcutánea.</w:t>
      </w:r>
    </w:p>
    <w:p w14:paraId="4F733995" w14:textId="77777777" w:rsidR="00597CB3" w:rsidRPr="004F4CD0" w:rsidRDefault="00597CB3" w:rsidP="00C345B1">
      <w:pPr>
        <w:keepNext/>
        <w:tabs>
          <w:tab w:val="clear" w:pos="567"/>
        </w:tabs>
        <w:rPr>
          <w:lang w:val="es-ES_tradnl"/>
        </w:rPr>
      </w:pPr>
      <w:r w:rsidRPr="004F4CD0">
        <w:rPr>
          <w:b/>
          <w:lang w:val="es-ES_tradnl"/>
        </w:rPr>
        <w:t>Importante:</w:t>
      </w:r>
      <w:r w:rsidRPr="004F4CD0">
        <w:rPr>
          <w:lang w:val="es-ES_tradnl"/>
        </w:rPr>
        <w:t xml:space="preserve"> leer el prospecto antes de manipular la jeringa precargada.</w:t>
      </w:r>
    </w:p>
    <w:p w14:paraId="1274F614" w14:textId="77777777" w:rsidR="008E112C" w:rsidRPr="004F4CD0" w:rsidRDefault="008E112C" w:rsidP="00C345B1">
      <w:pPr>
        <w:keepNext/>
        <w:tabs>
          <w:tab w:val="clear" w:pos="567"/>
        </w:tabs>
        <w:rPr>
          <w:lang w:val="es-ES_tradnl"/>
        </w:rPr>
      </w:pPr>
      <w:r w:rsidRPr="004F4CD0">
        <w:rPr>
          <w:lang w:val="es-ES_tradnl"/>
        </w:rPr>
        <w:t>No agitar.</w:t>
      </w:r>
    </w:p>
    <w:p w14:paraId="2C1114CA" w14:textId="77777777" w:rsidR="00C5731C" w:rsidRDefault="00C5731C" w:rsidP="008B4ED7">
      <w:pPr>
        <w:rPr>
          <w:highlight w:val="lightGray"/>
          <w:lang w:val="es-ES_tradnl"/>
        </w:rPr>
      </w:pPr>
      <w:r>
        <w:rPr>
          <w:highlight w:val="lightGray"/>
          <w:lang w:val="es-ES_tradnl"/>
        </w:rPr>
        <w:t>Leer el prospecto antes de utilizar este medicamento.</w:t>
      </w:r>
    </w:p>
    <w:p w14:paraId="265753B7" w14:textId="77777777" w:rsidR="00C5731C" w:rsidRPr="004F4CD0" w:rsidRDefault="00C5731C" w:rsidP="008B4ED7">
      <w:pPr>
        <w:tabs>
          <w:tab w:val="clear" w:pos="567"/>
        </w:tabs>
        <w:rPr>
          <w:lang w:val="es-ES_tradnl"/>
        </w:rPr>
      </w:pPr>
    </w:p>
    <w:p w14:paraId="7F334E25" w14:textId="77777777" w:rsidR="004B39BB" w:rsidRPr="004F4CD0" w:rsidRDefault="004B39BB" w:rsidP="008B4ED7">
      <w:pPr>
        <w:tabs>
          <w:tab w:val="clear" w:pos="567"/>
        </w:tabs>
        <w:rPr>
          <w:lang w:val="es-ES_tradnl"/>
        </w:rPr>
      </w:pPr>
    </w:p>
    <w:p w14:paraId="6E49EA42"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6.</w:t>
      </w:r>
      <w:r w:rsidRPr="004F4CD0">
        <w:rPr>
          <w:b/>
          <w:lang w:val="es-ES_tradnl"/>
        </w:rPr>
        <w:tab/>
        <w:t>ADVERTENCIA ESPECIAL DE QUE EL MEDICAMENTO DEBE MANTENERSE FUERA DE LA VISTA Y DEL ALCANCE DE LOS NIÑOS</w:t>
      </w:r>
    </w:p>
    <w:p w14:paraId="24ACD9E5" w14:textId="77777777" w:rsidR="00C5731C" w:rsidRPr="004F4CD0" w:rsidRDefault="00C5731C" w:rsidP="008B4ED7">
      <w:pPr>
        <w:keepNext/>
        <w:rPr>
          <w:lang w:val="es-ES_tradnl"/>
        </w:rPr>
      </w:pPr>
    </w:p>
    <w:p w14:paraId="162FD9AC" w14:textId="77777777" w:rsidR="00C5731C" w:rsidRPr="004F4CD0" w:rsidRDefault="00C5731C" w:rsidP="008B4ED7">
      <w:pPr>
        <w:tabs>
          <w:tab w:val="clear" w:pos="567"/>
        </w:tabs>
        <w:rPr>
          <w:lang w:val="es-ES_tradnl"/>
        </w:rPr>
      </w:pPr>
      <w:r w:rsidRPr="004F4CD0">
        <w:rPr>
          <w:lang w:val="es-ES_tradnl"/>
        </w:rPr>
        <w:t>Mantener fuera de la vista y del alcance de los niños.</w:t>
      </w:r>
    </w:p>
    <w:p w14:paraId="44BE46CB" w14:textId="77777777" w:rsidR="00C5731C" w:rsidRPr="004F4CD0" w:rsidRDefault="00C5731C" w:rsidP="008B4ED7">
      <w:pPr>
        <w:tabs>
          <w:tab w:val="clear" w:pos="567"/>
        </w:tabs>
        <w:rPr>
          <w:lang w:val="es-ES_tradnl"/>
        </w:rPr>
      </w:pPr>
    </w:p>
    <w:p w14:paraId="52AEB322" w14:textId="77777777" w:rsidR="00C5731C" w:rsidRPr="004F4CD0" w:rsidRDefault="00C5731C" w:rsidP="008B4ED7">
      <w:pPr>
        <w:tabs>
          <w:tab w:val="clear" w:pos="567"/>
        </w:tabs>
        <w:rPr>
          <w:lang w:val="es-ES_tradnl"/>
        </w:rPr>
      </w:pPr>
    </w:p>
    <w:p w14:paraId="131B13F1"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lang w:val="es-ES_tradnl"/>
        </w:rPr>
      </w:pPr>
      <w:r w:rsidRPr="004F4CD0">
        <w:rPr>
          <w:b/>
          <w:lang w:val="es-ES_tradnl"/>
        </w:rPr>
        <w:t>7.</w:t>
      </w:r>
      <w:r w:rsidRPr="004F4CD0">
        <w:rPr>
          <w:b/>
          <w:lang w:val="es-ES_tradnl"/>
        </w:rPr>
        <w:tab/>
        <w:t>OTRA(S) ADVERTENCIA(S) ESPECIAL(ES), SI ES NECESARIO</w:t>
      </w:r>
    </w:p>
    <w:p w14:paraId="10D8D04E" w14:textId="77777777" w:rsidR="00C5731C" w:rsidRPr="004F4CD0" w:rsidRDefault="00C5731C" w:rsidP="008B4ED7">
      <w:pPr>
        <w:keepNext/>
        <w:rPr>
          <w:lang w:val="es-ES_tradnl"/>
        </w:rPr>
      </w:pPr>
    </w:p>
    <w:p w14:paraId="68BC0C50" w14:textId="77777777" w:rsidR="00C5731C" w:rsidRPr="004F4CD0" w:rsidRDefault="00C5731C" w:rsidP="008B4ED7">
      <w:pPr>
        <w:tabs>
          <w:tab w:val="clear" w:pos="567"/>
        </w:tabs>
        <w:rPr>
          <w:lang w:val="es-ES_tradnl"/>
        </w:rPr>
      </w:pPr>
    </w:p>
    <w:p w14:paraId="113139F3"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highlight w:val="lightGray"/>
          <w:lang w:val="es-ES_tradnl"/>
        </w:rPr>
      </w:pPr>
      <w:r w:rsidRPr="004F4CD0">
        <w:rPr>
          <w:b/>
          <w:lang w:val="es-ES_tradnl"/>
        </w:rPr>
        <w:t>8.</w:t>
      </w:r>
      <w:r w:rsidRPr="004F4CD0">
        <w:rPr>
          <w:b/>
          <w:lang w:val="es-ES_tradnl"/>
        </w:rPr>
        <w:tab/>
        <w:t>FECHA DE CADUCIDAD</w:t>
      </w:r>
    </w:p>
    <w:p w14:paraId="2888CD6F" w14:textId="77777777" w:rsidR="00C5731C" w:rsidRPr="004F4CD0" w:rsidRDefault="00C5731C" w:rsidP="008B4ED7">
      <w:pPr>
        <w:keepNext/>
        <w:rPr>
          <w:lang w:val="es-ES_tradnl"/>
        </w:rPr>
      </w:pPr>
    </w:p>
    <w:p w14:paraId="233DF0F8" w14:textId="77777777" w:rsidR="00C5731C" w:rsidRPr="004F4CD0" w:rsidRDefault="00C5731C" w:rsidP="008B4ED7">
      <w:pPr>
        <w:tabs>
          <w:tab w:val="clear" w:pos="567"/>
        </w:tabs>
        <w:rPr>
          <w:lang w:val="es-ES_tradnl"/>
        </w:rPr>
      </w:pPr>
      <w:r w:rsidRPr="004F4CD0">
        <w:rPr>
          <w:lang w:val="es-ES_tradnl"/>
        </w:rPr>
        <w:t>CAD</w:t>
      </w:r>
    </w:p>
    <w:p w14:paraId="1A52252D" w14:textId="77777777" w:rsidR="00C5731C" w:rsidRPr="004F4CD0" w:rsidRDefault="00C5731C" w:rsidP="008B4ED7">
      <w:pPr>
        <w:tabs>
          <w:tab w:val="clear" w:pos="567"/>
        </w:tabs>
        <w:rPr>
          <w:lang w:val="es-ES_tradnl"/>
        </w:rPr>
      </w:pPr>
    </w:p>
    <w:p w14:paraId="5C68E2F9" w14:textId="77777777" w:rsidR="00C5731C" w:rsidRPr="004F4CD0" w:rsidRDefault="00C5731C" w:rsidP="008B4ED7">
      <w:pPr>
        <w:tabs>
          <w:tab w:val="clear" w:pos="567"/>
        </w:tabs>
        <w:rPr>
          <w:lang w:val="es-ES_tradnl"/>
        </w:rPr>
      </w:pPr>
    </w:p>
    <w:p w14:paraId="3ED84A11"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lastRenderedPageBreak/>
        <w:t>9.</w:t>
      </w:r>
      <w:r w:rsidRPr="004F4CD0">
        <w:rPr>
          <w:b/>
          <w:lang w:val="es-ES_tradnl"/>
        </w:rPr>
        <w:tab/>
        <w:t>CONDICIONES ESPECIALES DE CONSERVACIÓN</w:t>
      </w:r>
    </w:p>
    <w:p w14:paraId="0A9E3F54" w14:textId="77777777" w:rsidR="00C5731C" w:rsidRPr="004F4CD0" w:rsidRDefault="00C5731C" w:rsidP="008B4ED7">
      <w:pPr>
        <w:keepNext/>
        <w:rPr>
          <w:lang w:val="es-ES_tradnl"/>
        </w:rPr>
      </w:pPr>
    </w:p>
    <w:p w14:paraId="73F02220" w14:textId="77777777" w:rsidR="00C5731C" w:rsidRPr="004F4CD0" w:rsidRDefault="00C5731C" w:rsidP="00C345B1">
      <w:pPr>
        <w:keepNext/>
        <w:tabs>
          <w:tab w:val="clear" w:pos="567"/>
        </w:tabs>
        <w:rPr>
          <w:lang w:val="es-ES_tradnl"/>
        </w:rPr>
      </w:pPr>
      <w:r w:rsidRPr="004F4CD0">
        <w:rPr>
          <w:lang w:val="es-ES_tradnl"/>
        </w:rPr>
        <w:t>Conservar en nevera.</w:t>
      </w:r>
    </w:p>
    <w:p w14:paraId="5E5A10B2" w14:textId="77777777" w:rsidR="008603DE" w:rsidRPr="004F4CD0" w:rsidRDefault="00C5731C" w:rsidP="00C345B1">
      <w:pPr>
        <w:keepNext/>
        <w:tabs>
          <w:tab w:val="clear" w:pos="567"/>
        </w:tabs>
        <w:rPr>
          <w:lang w:val="es-ES_tradnl"/>
        </w:rPr>
      </w:pPr>
      <w:r w:rsidRPr="004F4CD0">
        <w:rPr>
          <w:lang w:val="es-ES_tradnl"/>
        </w:rPr>
        <w:t>No congelar.</w:t>
      </w:r>
    </w:p>
    <w:p w14:paraId="403F6C3C" w14:textId="6B6F53BA" w:rsidR="008E112C" w:rsidRPr="004F4CD0" w:rsidRDefault="008E112C" w:rsidP="008B4ED7">
      <w:pPr>
        <w:tabs>
          <w:tab w:val="clear" w:pos="567"/>
        </w:tabs>
        <w:rPr>
          <w:lang w:val="es-ES_tradnl"/>
        </w:rPr>
      </w:pPr>
      <w:r w:rsidRPr="004F4CD0">
        <w:rPr>
          <w:lang w:val="es-ES_tradnl"/>
        </w:rPr>
        <w:t>Mantener la jeringa precargada en el embalaje exterior para protegerla de la luz.</w:t>
      </w:r>
    </w:p>
    <w:p w14:paraId="5C27FF07" w14:textId="77777777" w:rsidR="00C5731C" w:rsidRPr="004F4CD0" w:rsidRDefault="00C5731C" w:rsidP="008B4ED7">
      <w:pPr>
        <w:tabs>
          <w:tab w:val="clear" w:pos="567"/>
        </w:tabs>
        <w:rPr>
          <w:lang w:val="es-ES_tradnl"/>
        </w:rPr>
      </w:pPr>
    </w:p>
    <w:p w14:paraId="056FA975" w14:textId="77777777" w:rsidR="00C5731C" w:rsidRPr="004F4CD0" w:rsidRDefault="00C5731C" w:rsidP="008B4ED7">
      <w:pPr>
        <w:tabs>
          <w:tab w:val="clear" w:pos="567"/>
        </w:tabs>
        <w:rPr>
          <w:lang w:val="es-ES_tradnl"/>
        </w:rPr>
      </w:pPr>
    </w:p>
    <w:p w14:paraId="27C48EEC"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10.</w:t>
      </w:r>
      <w:r w:rsidRPr="004F4CD0">
        <w:rPr>
          <w:b/>
          <w:lang w:val="es-ES_tradnl"/>
        </w:rPr>
        <w:tab/>
        <w:t>PRECAUCIONES ESPECIALES DE ELIMINACIÓN DEL MEDICAMENTO NO UTILIZADO Y DE LOS MATERIALES DERIVADOS DE SU USO (CUANDO CORRESPONDA)</w:t>
      </w:r>
    </w:p>
    <w:p w14:paraId="3AABCE06" w14:textId="77777777" w:rsidR="00C5731C" w:rsidRPr="004F4CD0" w:rsidRDefault="00C5731C" w:rsidP="008B4ED7">
      <w:pPr>
        <w:keepNext/>
        <w:rPr>
          <w:lang w:val="es-ES_tradnl"/>
        </w:rPr>
      </w:pPr>
    </w:p>
    <w:p w14:paraId="6C0B914C" w14:textId="77777777" w:rsidR="00C5731C" w:rsidRPr="004F4CD0" w:rsidRDefault="00C5731C" w:rsidP="008B4ED7">
      <w:pPr>
        <w:tabs>
          <w:tab w:val="clear" w:pos="567"/>
        </w:tabs>
        <w:rPr>
          <w:lang w:val="es-ES_tradnl"/>
        </w:rPr>
      </w:pPr>
    </w:p>
    <w:p w14:paraId="12D1F7A4"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11.</w:t>
      </w:r>
      <w:r w:rsidRPr="004F4CD0">
        <w:rPr>
          <w:b/>
          <w:lang w:val="es-ES_tradnl"/>
        </w:rPr>
        <w:tab/>
        <w:t>NOMBRE Y DIRECCIÓN DEL TITULAR DE LA AUTORIZACIÓN DE COMERCIALIZACIÓN</w:t>
      </w:r>
    </w:p>
    <w:p w14:paraId="1C15F8C4" w14:textId="77777777" w:rsidR="00C5731C" w:rsidRPr="004F4CD0" w:rsidRDefault="00C5731C" w:rsidP="008B4ED7">
      <w:pPr>
        <w:keepNext/>
        <w:rPr>
          <w:lang w:val="es-ES_tradnl"/>
        </w:rPr>
      </w:pPr>
    </w:p>
    <w:p w14:paraId="6EC083A3" w14:textId="77777777" w:rsidR="004B3107" w:rsidRPr="004F4CD0" w:rsidRDefault="004B3107" w:rsidP="004B3107">
      <w:pPr>
        <w:keepNext/>
        <w:rPr>
          <w:lang w:val="es-ES_tradnl"/>
        </w:rPr>
      </w:pPr>
      <w:r w:rsidRPr="004F4CD0">
        <w:rPr>
          <w:lang w:val="es-ES_tradnl"/>
        </w:rPr>
        <w:t>Celltrion Healthcare Hungary Kft.</w:t>
      </w:r>
    </w:p>
    <w:p w14:paraId="6A86E984" w14:textId="77777777" w:rsidR="004B3107" w:rsidRPr="004F4CD0" w:rsidRDefault="004B3107" w:rsidP="004B3107">
      <w:pPr>
        <w:keepNext/>
        <w:rPr>
          <w:lang w:val="es-ES_tradnl"/>
        </w:rPr>
      </w:pPr>
      <w:r w:rsidRPr="004F4CD0">
        <w:rPr>
          <w:lang w:val="es-ES_tradnl"/>
        </w:rPr>
        <w:t>1062 Budapest</w:t>
      </w:r>
    </w:p>
    <w:p w14:paraId="54B95CF8" w14:textId="77777777" w:rsidR="004B3107" w:rsidRPr="004F4CD0" w:rsidRDefault="004B3107" w:rsidP="004B3107">
      <w:pPr>
        <w:keepNext/>
        <w:rPr>
          <w:lang w:val="es-ES_tradnl"/>
        </w:rPr>
      </w:pPr>
      <w:r w:rsidRPr="004F4CD0">
        <w:rPr>
          <w:lang w:val="es-ES_tradnl"/>
        </w:rPr>
        <w:t>Váci út 1-3. WestEnd Office Building B torony</w:t>
      </w:r>
    </w:p>
    <w:p w14:paraId="66308523" w14:textId="55DE575B" w:rsidR="004B3107" w:rsidRPr="004F4CD0" w:rsidRDefault="004B3107" w:rsidP="004B3107">
      <w:pPr>
        <w:rPr>
          <w:lang w:val="es-ES_tradnl"/>
        </w:rPr>
      </w:pPr>
      <w:r w:rsidRPr="004F4CD0">
        <w:rPr>
          <w:lang w:val="es-ES_tradnl"/>
        </w:rPr>
        <w:t>Hungría</w:t>
      </w:r>
    </w:p>
    <w:p w14:paraId="6939BB91" w14:textId="77777777" w:rsidR="00C5731C" w:rsidRPr="004F4CD0" w:rsidRDefault="00C5731C" w:rsidP="008B4ED7">
      <w:pPr>
        <w:tabs>
          <w:tab w:val="clear" w:pos="567"/>
        </w:tabs>
        <w:rPr>
          <w:lang w:val="es-ES_tradnl"/>
        </w:rPr>
      </w:pPr>
    </w:p>
    <w:p w14:paraId="66DD8875" w14:textId="77777777" w:rsidR="00C5731C" w:rsidRPr="004F4CD0" w:rsidRDefault="00C5731C" w:rsidP="008B4ED7">
      <w:pPr>
        <w:tabs>
          <w:tab w:val="clear" w:pos="567"/>
        </w:tabs>
        <w:rPr>
          <w:lang w:val="es-ES_tradnl"/>
        </w:rPr>
      </w:pPr>
    </w:p>
    <w:p w14:paraId="5BC8E817" w14:textId="77777777" w:rsidR="008603DE"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12.</w:t>
      </w:r>
      <w:r w:rsidRPr="004F4CD0">
        <w:rPr>
          <w:b/>
          <w:lang w:val="es-ES_tradnl"/>
        </w:rPr>
        <w:tab/>
        <w:t>NÚMERO(S) DE AUTORIZACIÓN DE COMERCIALIZACIÓN</w:t>
      </w:r>
    </w:p>
    <w:p w14:paraId="457C904C" w14:textId="77777777" w:rsidR="00C5731C" w:rsidRPr="004F4CD0" w:rsidRDefault="00C5731C" w:rsidP="008B4ED7">
      <w:pPr>
        <w:keepNext/>
        <w:rPr>
          <w:lang w:val="es-ES_tradnl"/>
        </w:rPr>
      </w:pPr>
    </w:p>
    <w:p w14:paraId="4B921C9A" w14:textId="3FB14AE8" w:rsidR="004B3107" w:rsidRPr="000D0706" w:rsidRDefault="00CB1032" w:rsidP="004B3107">
      <w:pPr>
        <w:rPr>
          <w:rFonts w:eastAsia="맑은 고딕"/>
          <w:lang w:val="es-ES_tradnl" w:eastAsia="ko-KR"/>
        </w:rPr>
      </w:pPr>
      <w:r w:rsidRPr="000E30C5">
        <w:rPr>
          <w:rFonts w:cs="Verdana"/>
          <w:color w:val="000000"/>
        </w:rPr>
        <w:t>EU/1/24/1905/001</w:t>
      </w:r>
      <w:r w:rsidR="000D0706">
        <w:rPr>
          <w:rFonts w:eastAsia="맑은 고딕" w:cs="Verdana" w:hint="eastAsia"/>
          <w:color w:val="000000"/>
          <w:lang w:eastAsia="ko-KR"/>
        </w:rPr>
        <w:t xml:space="preserve"> </w:t>
      </w:r>
      <w:r w:rsidR="000D0706">
        <w:rPr>
          <w:rFonts w:eastAsia="맑은 고딕" w:cs="Verdana"/>
          <w:color w:val="000000"/>
          <w:highlight w:val="lightGray"/>
          <w:lang w:eastAsia="ko-KR"/>
        </w:rPr>
        <w:t>1 jeringa precargada</w:t>
      </w:r>
    </w:p>
    <w:p w14:paraId="713DAA54" w14:textId="77777777" w:rsidR="00C5731C" w:rsidRPr="004F4CD0" w:rsidRDefault="00C5731C" w:rsidP="008B4ED7">
      <w:pPr>
        <w:tabs>
          <w:tab w:val="clear" w:pos="567"/>
        </w:tabs>
        <w:rPr>
          <w:lang w:val="es-ES_tradnl"/>
        </w:rPr>
      </w:pPr>
    </w:p>
    <w:p w14:paraId="65BC5F29" w14:textId="77777777" w:rsidR="00C5731C" w:rsidRPr="004F4CD0" w:rsidRDefault="00C5731C" w:rsidP="008B4ED7">
      <w:pPr>
        <w:tabs>
          <w:tab w:val="clear" w:pos="567"/>
        </w:tabs>
        <w:rPr>
          <w:lang w:val="es-ES_tradnl"/>
        </w:rPr>
      </w:pPr>
    </w:p>
    <w:p w14:paraId="069B9179"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13.</w:t>
      </w:r>
      <w:r w:rsidRPr="004F4CD0">
        <w:rPr>
          <w:b/>
          <w:lang w:val="es-ES_tradnl"/>
        </w:rPr>
        <w:tab/>
        <w:t>NÚMERO DE LOTE</w:t>
      </w:r>
    </w:p>
    <w:p w14:paraId="19287FD0" w14:textId="77777777" w:rsidR="00C5731C" w:rsidRPr="004F4CD0" w:rsidRDefault="00C5731C" w:rsidP="008B4ED7">
      <w:pPr>
        <w:keepNext/>
        <w:rPr>
          <w:lang w:val="es-ES_tradnl"/>
        </w:rPr>
      </w:pPr>
    </w:p>
    <w:p w14:paraId="41BC1286" w14:textId="77777777" w:rsidR="00C5731C" w:rsidRPr="004F4CD0" w:rsidRDefault="00C5731C" w:rsidP="008B4ED7">
      <w:pPr>
        <w:tabs>
          <w:tab w:val="clear" w:pos="567"/>
        </w:tabs>
        <w:rPr>
          <w:lang w:val="es-ES_tradnl"/>
        </w:rPr>
      </w:pPr>
      <w:r w:rsidRPr="004F4CD0">
        <w:rPr>
          <w:lang w:val="es-ES_tradnl"/>
        </w:rPr>
        <w:t>Lote</w:t>
      </w:r>
    </w:p>
    <w:p w14:paraId="671F6EDA" w14:textId="77777777" w:rsidR="00C5731C" w:rsidRPr="004F4CD0" w:rsidRDefault="00C5731C" w:rsidP="008B4ED7">
      <w:pPr>
        <w:tabs>
          <w:tab w:val="clear" w:pos="567"/>
        </w:tabs>
        <w:rPr>
          <w:lang w:val="es-ES_tradnl"/>
        </w:rPr>
      </w:pPr>
    </w:p>
    <w:p w14:paraId="3BEC88AC" w14:textId="77777777" w:rsidR="00C5731C" w:rsidRPr="004F4CD0" w:rsidRDefault="00C5731C" w:rsidP="008B4ED7">
      <w:pPr>
        <w:tabs>
          <w:tab w:val="clear" w:pos="567"/>
        </w:tabs>
        <w:rPr>
          <w:lang w:val="es-ES_tradnl"/>
        </w:rPr>
      </w:pPr>
    </w:p>
    <w:p w14:paraId="7C440267"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14.</w:t>
      </w:r>
      <w:r w:rsidRPr="004F4CD0">
        <w:rPr>
          <w:b/>
          <w:lang w:val="es-ES_tradnl"/>
        </w:rPr>
        <w:tab/>
        <w:t>CONDICIONES GENERALES DE DISPENSACIÓN</w:t>
      </w:r>
    </w:p>
    <w:p w14:paraId="581D140A" w14:textId="77777777" w:rsidR="00C5731C" w:rsidRPr="004F4CD0" w:rsidRDefault="00C5731C" w:rsidP="008B4ED7">
      <w:pPr>
        <w:keepNext/>
        <w:rPr>
          <w:lang w:val="es-ES_tradnl"/>
        </w:rPr>
      </w:pPr>
    </w:p>
    <w:p w14:paraId="6E96AFC0" w14:textId="77777777" w:rsidR="00C5731C" w:rsidRPr="004F4CD0" w:rsidRDefault="00C5731C" w:rsidP="008B4ED7">
      <w:pPr>
        <w:tabs>
          <w:tab w:val="clear" w:pos="567"/>
        </w:tabs>
        <w:rPr>
          <w:lang w:val="es-ES_tradnl"/>
        </w:rPr>
      </w:pPr>
    </w:p>
    <w:p w14:paraId="25E15D13"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15.</w:t>
      </w:r>
      <w:r w:rsidRPr="004F4CD0">
        <w:rPr>
          <w:b/>
          <w:lang w:val="es-ES_tradnl"/>
        </w:rPr>
        <w:tab/>
        <w:t>INSTRUCCIONES DE USO</w:t>
      </w:r>
    </w:p>
    <w:p w14:paraId="51BC7359" w14:textId="77777777" w:rsidR="00C5731C" w:rsidRPr="004F4CD0" w:rsidRDefault="00C5731C" w:rsidP="008B4ED7">
      <w:pPr>
        <w:keepNext/>
        <w:rPr>
          <w:lang w:val="es-ES_tradnl"/>
        </w:rPr>
      </w:pPr>
    </w:p>
    <w:p w14:paraId="45A2082E" w14:textId="77777777" w:rsidR="00C5731C" w:rsidRPr="004F4CD0" w:rsidRDefault="00C5731C" w:rsidP="008B4ED7">
      <w:pPr>
        <w:tabs>
          <w:tab w:val="clear" w:pos="567"/>
        </w:tabs>
        <w:rPr>
          <w:lang w:val="es-ES_tradnl"/>
        </w:rPr>
      </w:pPr>
    </w:p>
    <w:p w14:paraId="7420A74C"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lang w:val="es-ES_tradnl"/>
        </w:rPr>
      </w:pPr>
      <w:r w:rsidRPr="004F4CD0">
        <w:rPr>
          <w:b/>
          <w:lang w:val="es-ES_tradnl"/>
        </w:rPr>
        <w:t>16.</w:t>
      </w:r>
      <w:r w:rsidRPr="004F4CD0">
        <w:rPr>
          <w:b/>
          <w:lang w:val="es-ES_tradnl"/>
        </w:rPr>
        <w:tab/>
        <w:t>INFORMACIÓN EN BRAILLE</w:t>
      </w:r>
    </w:p>
    <w:p w14:paraId="23BEFF9A" w14:textId="77777777" w:rsidR="00C5731C" w:rsidRPr="004F4CD0" w:rsidRDefault="00C5731C" w:rsidP="008B4ED7">
      <w:pPr>
        <w:keepNext/>
        <w:rPr>
          <w:lang w:val="es-ES_tradnl"/>
        </w:rPr>
      </w:pPr>
    </w:p>
    <w:p w14:paraId="5EAA1F8A" w14:textId="7041CD52" w:rsidR="004B3107" w:rsidRPr="004F4CD0" w:rsidRDefault="004B3107" w:rsidP="004B3107">
      <w:pPr>
        <w:rPr>
          <w:lang w:val="es-ES_tradnl"/>
        </w:rPr>
      </w:pPr>
      <w:r w:rsidRPr="004F4CD0">
        <w:rPr>
          <w:lang w:val="es-ES_tradnl"/>
        </w:rPr>
        <w:t>Stoboclo 60 mg</w:t>
      </w:r>
    </w:p>
    <w:p w14:paraId="2020C662" w14:textId="77777777" w:rsidR="00C5731C" w:rsidRPr="004F4CD0" w:rsidRDefault="00C5731C" w:rsidP="008B4ED7">
      <w:pPr>
        <w:tabs>
          <w:tab w:val="clear" w:pos="567"/>
        </w:tabs>
        <w:rPr>
          <w:lang w:val="es-ES_tradnl"/>
        </w:rPr>
      </w:pPr>
    </w:p>
    <w:p w14:paraId="24676CA7" w14:textId="77777777" w:rsidR="001D1E25" w:rsidRPr="004F4CD0" w:rsidRDefault="001D1E25" w:rsidP="008B4ED7">
      <w:pPr>
        <w:tabs>
          <w:tab w:val="clear" w:pos="567"/>
        </w:tabs>
        <w:rPr>
          <w:lang w:val="es-ES_tradnl"/>
        </w:rPr>
      </w:pPr>
    </w:p>
    <w:p w14:paraId="2EC00E59" w14:textId="77777777" w:rsidR="001D1E25" w:rsidRPr="004F4CD0"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lang w:val="es-ES_tradnl"/>
        </w:rPr>
      </w:pPr>
      <w:r w:rsidRPr="004F4CD0">
        <w:rPr>
          <w:b/>
          <w:lang w:val="es-ES_tradnl"/>
        </w:rPr>
        <w:t>17.</w:t>
      </w:r>
      <w:r w:rsidRPr="004F4CD0">
        <w:rPr>
          <w:b/>
          <w:lang w:val="es-ES_tradnl"/>
        </w:rPr>
        <w:tab/>
        <w:t>IDENTIFICADOR ÚNICO – CÓDIGO DE BARRAS 2D</w:t>
      </w:r>
    </w:p>
    <w:p w14:paraId="18F33158" w14:textId="77777777" w:rsidR="001D1E25" w:rsidRPr="004F4CD0" w:rsidRDefault="001D1E25" w:rsidP="008B4ED7">
      <w:pPr>
        <w:keepNext/>
        <w:rPr>
          <w:lang w:val="es-ES_tradnl"/>
        </w:rPr>
      </w:pPr>
    </w:p>
    <w:p w14:paraId="44B8BB9C" w14:textId="77777777" w:rsidR="001D1E25" w:rsidRDefault="001D1E25" w:rsidP="008B4ED7">
      <w:pPr>
        <w:rPr>
          <w:highlight w:val="lightGray"/>
          <w:lang w:val="es-ES_tradnl"/>
        </w:rPr>
      </w:pPr>
      <w:r>
        <w:rPr>
          <w:highlight w:val="lightGray"/>
          <w:lang w:val="es-ES_tradnl"/>
        </w:rPr>
        <w:t>Incluido el código de barras 2D que lleva el identificador único.</w:t>
      </w:r>
    </w:p>
    <w:p w14:paraId="7E0223D0" w14:textId="77777777" w:rsidR="001D1E25" w:rsidRPr="004F4CD0" w:rsidRDefault="001D1E25" w:rsidP="008B4ED7">
      <w:pPr>
        <w:tabs>
          <w:tab w:val="clear" w:pos="567"/>
        </w:tabs>
        <w:rPr>
          <w:lang w:val="es-ES_tradnl"/>
        </w:rPr>
      </w:pPr>
    </w:p>
    <w:p w14:paraId="3324E217" w14:textId="77777777" w:rsidR="00C5731C" w:rsidRPr="004F4CD0" w:rsidRDefault="00C5731C" w:rsidP="008B4ED7">
      <w:pPr>
        <w:tabs>
          <w:tab w:val="clear" w:pos="567"/>
        </w:tabs>
        <w:rPr>
          <w:lang w:val="es-ES_tradnl"/>
        </w:rPr>
      </w:pPr>
    </w:p>
    <w:p w14:paraId="29026C31" w14:textId="77777777" w:rsidR="001D1E25" w:rsidRPr="004F4CD0" w:rsidRDefault="001D1E25" w:rsidP="008B4ED7">
      <w:pPr>
        <w:keepNext/>
        <w:pBdr>
          <w:top w:val="single" w:sz="4" w:space="1" w:color="auto"/>
          <w:left w:val="single" w:sz="4" w:space="4" w:color="auto"/>
          <w:bottom w:val="single" w:sz="4" w:space="0" w:color="auto"/>
          <w:right w:val="single" w:sz="4" w:space="4" w:color="auto"/>
        </w:pBdr>
        <w:tabs>
          <w:tab w:val="clear" w:pos="567"/>
        </w:tabs>
        <w:ind w:left="567" w:hanging="567"/>
        <w:rPr>
          <w:i/>
          <w:lang w:val="es-ES_tradnl"/>
        </w:rPr>
      </w:pPr>
      <w:r w:rsidRPr="004F4CD0">
        <w:rPr>
          <w:b/>
          <w:lang w:val="es-ES_tradnl"/>
        </w:rPr>
        <w:t>18.</w:t>
      </w:r>
      <w:r w:rsidRPr="004F4CD0">
        <w:rPr>
          <w:b/>
          <w:lang w:val="es-ES_tradnl"/>
        </w:rPr>
        <w:tab/>
        <w:t>IDENTIFICADOR ÚNICO – INFORMACIÓN EN CARACTERES VISUALES</w:t>
      </w:r>
    </w:p>
    <w:p w14:paraId="5CFD537D" w14:textId="77777777" w:rsidR="001D1E25" w:rsidRPr="004F4CD0" w:rsidRDefault="001D1E25" w:rsidP="008B4ED7">
      <w:pPr>
        <w:keepNext/>
        <w:rPr>
          <w:lang w:val="es-ES_tradnl"/>
        </w:rPr>
      </w:pPr>
    </w:p>
    <w:p w14:paraId="7D78CB62" w14:textId="77777777" w:rsidR="001D1E25" w:rsidRPr="004F4CD0" w:rsidRDefault="001D1E25" w:rsidP="00C345B1">
      <w:pPr>
        <w:keepNext/>
        <w:tabs>
          <w:tab w:val="clear" w:pos="567"/>
        </w:tabs>
        <w:rPr>
          <w:lang w:val="es-ES_tradnl"/>
        </w:rPr>
      </w:pPr>
      <w:r w:rsidRPr="004F4CD0">
        <w:rPr>
          <w:lang w:val="es-ES_tradnl"/>
        </w:rPr>
        <w:t>PC</w:t>
      </w:r>
    </w:p>
    <w:p w14:paraId="1E1F5ACD" w14:textId="77777777" w:rsidR="001D1E25" w:rsidRPr="004F4CD0" w:rsidRDefault="001D1E25" w:rsidP="00C345B1">
      <w:pPr>
        <w:keepNext/>
        <w:tabs>
          <w:tab w:val="clear" w:pos="567"/>
        </w:tabs>
        <w:rPr>
          <w:lang w:val="es-ES_tradnl"/>
        </w:rPr>
      </w:pPr>
      <w:r w:rsidRPr="004F4CD0">
        <w:rPr>
          <w:lang w:val="es-ES_tradnl"/>
        </w:rPr>
        <w:t>SN</w:t>
      </w:r>
    </w:p>
    <w:p w14:paraId="33EB290A" w14:textId="77777777" w:rsidR="001D1E25" w:rsidRDefault="001D1E25" w:rsidP="00C345B1">
      <w:pPr>
        <w:keepNext/>
        <w:rPr>
          <w:highlight w:val="lightGray"/>
          <w:lang w:val="es-ES_tradnl"/>
        </w:rPr>
      </w:pPr>
      <w:r>
        <w:rPr>
          <w:highlight w:val="lightGray"/>
          <w:lang w:val="es-ES_tradnl"/>
        </w:rPr>
        <w:t>NN</w:t>
      </w:r>
    </w:p>
    <w:p w14:paraId="2A1237E0" w14:textId="7F83B620" w:rsidR="00B02863" w:rsidRDefault="00B02863" w:rsidP="00C345B1">
      <w:pPr>
        <w:keepNext/>
        <w:rPr>
          <w:highlight w:val="lightGray"/>
          <w:lang w:val="es-ES_tradnl"/>
        </w:rPr>
      </w:pPr>
      <w:r>
        <w:rPr>
          <w:highlight w:val="lightGray"/>
          <w:lang w:val="es-ES_tradnl"/>
        </w:rPr>
        <w:br w:type="page"/>
      </w:r>
    </w:p>
    <w:p w14:paraId="670C19E7" w14:textId="17DD02DC" w:rsidR="00C5731C" w:rsidRPr="004F4CD0" w:rsidRDefault="007241CA" w:rsidP="007241CA">
      <w:pPr>
        <w:keepNext/>
        <w:pBdr>
          <w:top w:val="single" w:sz="4" w:space="1" w:color="auto"/>
          <w:left w:val="single" w:sz="4" w:space="4" w:color="auto"/>
          <w:bottom w:val="single" w:sz="4" w:space="1" w:color="auto"/>
          <w:right w:val="single" w:sz="4" w:space="4" w:color="auto"/>
        </w:pBdr>
        <w:rPr>
          <w:b/>
          <w:lang w:val="es-ES_tradnl"/>
        </w:rPr>
      </w:pPr>
      <w:r w:rsidRPr="004F4CD0">
        <w:rPr>
          <w:b/>
          <w:lang w:val="es-ES_tradnl"/>
        </w:rPr>
        <w:t>INFORMACIÓN MÍNIMA QUE DEBE INCLUIRSE EN PEQUEÑOS ACONDICIONAMIENTOS PRIMARIOS</w:t>
      </w:r>
    </w:p>
    <w:p w14:paraId="564AA868"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rPr>
          <w:b/>
          <w:lang w:val="es-ES_tradnl"/>
        </w:rPr>
      </w:pPr>
    </w:p>
    <w:p w14:paraId="092B706E" w14:textId="1D97B7EC" w:rsidR="00C5731C" w:rsidRDefault="00C5731C" w:rsidP="008B4ED7">
      <w:pPr>
        <w:keepNext/>
        <w:pBdr>
          <w:top w:val="single" w:sz="4" w:space="1" w:color="auto"/>
          <w:left w:val="single" w:sz="4" w:space="4" w:color="auto"/>
          <w:bottom w:val="single" w:sz="4" w:space="1" w:color="auto"/>
          <w:right w:val="single" w:sz="4" w:space="4" w:color="auto"/>
        </w:pBdr>
        <w:rPr>
          <w:b/>
          <w:highlight w:val="lightGray"/>
          <w:lang w:val="es-ES_tradnl"/>
        </w:rPr>
      </w:pPr>
      <w:r w:rsidRPr="004F4CD0">
        <w:rPr>
          <w:b/>
          <w:lang w:val="es-ES_tradnl"/>
        </w:rPr>
        <w:t xml:space="preserve">ETIQUETA </w:t>
      </w:r>
      <w:r w:rsidR="00B02863" w:rsidRPr="004F4CD0">
        <w:rPr>
          <w:b/>
          <w:lang w:val="es-ES_tradnl"/>
        </w:rPr>
        <w:t xml:space="preserve">PARA </w:t>
      </w:r>
      <w:r w:rsidRPr="004F4CD0">
        <w:rPr>
          <w:b/>
          <w:lang w:val="es-ES_tradnl"/>
        </w:rPr>
        <w:t xml:space="preserve">LA JERINGA PRECARGADA </w:t>
      </w:r>
      <w:r w:rsidR="004B3107" w:rsidRPr="004F4CD0">
        <w:rPr>
          <w:b/>
          <w:lang w:val="es-ES_tradnl"/>
        </w:rPr>
        <w:t>CON PROTECTOR DE SEGURIDAD</w:t>
      </w:r>
    </w:p>
    <w:p w14:paraId="6284ECD9" w14:textId="77777777" w:rsidR="00C5731C" w:rsidRPr="004F4CD0" w:rsidRDefault="00C5731C" w:rsidP="008B4ED7">
      <w:pPr>
        <w:keepNext/>
        <w:rPr>
          <w:lang w:val="es-ES_tradnl"/>
        </w:rPr>
      </w:pPr>
    </w:p>
    <w:p w14:paraId="207F2636" w14:textId="77777777" w:rsidR="00145F24" w:rsidRPr="004F4CD0" w:rsidRDefault="00145F24" w:rsidP="008B4ED7">
      <w:pPr>
        <w:tabs>
          <w:tab w:val="clear" w:pos="567"/>
        </w:tabs>
        <w:rPr>
          <w:lang w:val="es-ES_tradnl"/>
        </w:rPr>
      </w:pPr>
    </w:p>
    <w:p w14:paraId="48E9B63D"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lang w:val="es-ES_tradnl"/>
        </w:rPr>
      </w:pPr>
      <w:r w:rsidRPr="004F4CD0">
        <w:rPr>
          <w:b/>
          <w:lang w:val="es-ES_tradnl"/>
        </w:rPr>
        <w:t>1.</w:t>
      </w:r>
      <w:r w:rsidRPr="004F4CD0">
        <w:rPr>
          <w:b/>
          <w:lang w:val="es-ES_tradnl"/>
        </w:rPr>
        <w:tab/>
        <w:t>NOMBRE DEL MEDICAMENTO Y VÍA(S) DE ADMINISTRACIÓN</w:t>
      </w:r>
    </w:p>
    <w:p w14:paraId="49012D15" w14:textId="77777777" w:rsidR="00C5731C" w:rsidRPr="004F4CD0" w:rsidRDefault="00C5731C" w:rsidP="008B4ED7">
      <w:pPr>
        <w:keepNext/>
        <w:rPr>
          <w:lang w:val="es-ES_tradnl"/>
        </w:rPr>
      </w:pPr>
    </w:p>
    <w:p w14:paraId="4D2B602F" w14:textId="6077980C" w:rsidR="00C5731C" w:rsidRPr="004F4CD0" w:rsidRDefault="004B3107" w:rsidP="00C345B1">
      <w:pPr>
        <w:keepNext/>
        <w:tabs>
          <w:tab w:val="clear" w:pos="567"/>
        </w:tabs>
        <w:rPr>
          <w:lang w:val="es-ES_tradnl"/>
        </w:rPr>
      </w:pPr>
      <w:r w:rsidRPr="004F4CD0">
        <w:rPr>
          <w:lang w:val="es-ES_tradnl" w:eastAsia="ko-KR"/>
        </w:rPr>
        <w:t xml:space="preserve">Stoboclo </w:t>
      </w:r>
      <w:r w:rsidR="00C5731C" w:rsidRPr="004F4CD0">
        <w:rPr>
          <w:lang w:val="es-ES_tradnl"/>
        </w:rPr>
        <w:t>60 mg inyectable</w:t>
      </w:r>
    </w:p>
    <w:p w14:paraId="1415D7F3" w14:textId="77777777" w:rsidR="00C5731C" w:rsidRPr="004F4CD0" w:rsidRDefault="00C5731C" w:rsidP="00C345B1">
      <w:pPr>
        <w:keepNext/>
        <w:tabs>
          <w:tab w:val="clear" w:pos="567"/>
        </w:tabs>
        <w:rPr>
          <w:lang w:val="es-ES_tradnl"/>
        </w:rPr>
      </w:pPr>
      <w:r w:rsidRPr="004F4CD0">
        <w:rPr>
          <w:lang w:val="es-ES_tradnl"/>
        </w:rPr>
        <w:t>denosumab</w:t>
      </w:r>
    </w:p>
    <w:p w14:paraId="250A35D5" w14:textId="77777777" w:rsidR="00C5731C" w:rsidRPr="004F4CD0" w:rsidRDefault="00C5731C" w:rsidP="008B4ED7">
      <w:pPr>
        <w:tabs>
          <w:tab w:val="clear" w:pos="567"/>
        </w:tabs>
        <w:rPr>
          <w:lang w:val="es-ES_tradnl"/>
        </w:rPr>
      </w:pPr>
      <w:r w:rsidRPr="004F4CD0">
        <w:rPr>
          <w:lang w:val="es-ES_tradnl"/>
        </w:rPr>
        <w:t>SC</w:t>
      </w:r>
    </w:p>
    <w:p w14:paraId="13BFFAD5" w14:textId="77777777" w:rsidR="00C5731C" w:rsidRPr="004F4CD0" w:rsidRDefault="00C5731C" w:rsidP="008B4ED7">
      <w:pPr>
        <w:tabs>
          <w:tab w:val="clear" w:pos="567"/>
        </w:tabs>
        <w:rPr>
          <w:lang w:val="es-ES_tradnl"/>
        </w:rPr>
      </w:pPr>
    </w:p>
    <w:p w14:paraId="470677AC" w14:textId="77777777" w:rsidR="00C5731C" w:rsidRPr="004F4CD0" w:rsidRDefault="00C5731C" w:rsidP="008B4ED7">
      <w:pPr>
        <w:tabs>
          <w:tab w:val="clear" w:pos="567"/>
        </w:tabs>
        <w:rPr>
          <w:lang w:val="es-ES_tradnl"/>
        </w:rPr>
      </w:pPr>
    </w:p>
    <w:p w14:paraId="5E29E77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lang w:val="es-ES_tradnl"/>
        </w:rPr>
      </w:pPr>
      <w:r w:rsidRPr="004F4CD0">
        <w:rPr>
          <w:b/>
          <w:lang w:val="es-ES_tradnl"/>
        </w:rPr>
        <w:t>2.</w:t>
      </w:r>
      <w:r w:rsidRPr="004F4CD0">
        <w:rPr>
          <w:b/>
          <w:lang w:val="es-ES_tradnl"/>
        </w:rPr>
        <w:tab/>
        <w:t>FORMA DE ADMINISTRACIÓN</w:t>
      </w:r>
    </w:p>
    <w:p w14:paraId="08A17BE1" w14:textId="77777777" w:rsidR="00C5731C" w:rsidRPr="004F4CD0" w:rsidRDefault="00C5731C" w:rsidP="008B4ED7">
      <w:pPr>
        <w:keepNext/>
        <w:rPr>
          <w:lang w:val="es-ES_tradnl"/>
        </w:rPr>
      </w:pPr>
    </w:p>
    <w:p w14:paraId="361A0A55" w14:textId="77777777" w:rsidR="00C5731C" w:rsidRPr="004F4CD0" w:rsidRDefault="00C5731C" w:rsidP="008B4ED7">
      <w:pPr>
        <w:tabs>
          <w:tab w:val="clear" w:pos="567"/>
        </w:tabs>
        <w:rPr>
          <w:lang w:val="es-ES_tradnl"/>
        </w:rPr>
      </w:pPr>
    </w:p>
    <w:p w14:paraId="200B1D12"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lang w:val="es-ES_tradnl"/>
        </w:rPr>
      </w:pPr>
      <w:r w:rsidRPr="004F4CD0">
        <w:rPr>
          <w:caps w:val="0"/>
          <w:lang w:val="es-ES_tradnl"/>
        </w:rPr>
        <w:t>3.</w:t>
      </w:r>
      <w:r w:rsidRPr="004F4CD0">
        <w:rPr>
          <w:caps w:val="0"/>
          <w:lang w:val="es-ES_tradnl"/>
        </w:rPr>
        <w:tab/>
        <w:t>FECHA DE CADUCIDAD</w:t>
      </w:r>
    </w:p>
    <w:p w14:paraId="65670C3C" w14:textId="77777777" w:rsidR="00C5731C" w:rsidRPr="004F4CD0" w:rsidRDefault="00C5731C" w:rsidP="008B4ED7">
      <w:pPr>
        <w:keepNext/>
        <w:rPr>
          <w:lang w:val="es-ES_tradnl"/>
        </w:rPr>
      </w:pPr>
    </w:p>
    <w:p w14:paraId="3D4D4BB0" w14:textId="77777777" w:rsidR="00C5731C" w:rsidRPr="004F4CD0" w:rsidRDefault="00C5731C" w:rsidP="008B4ED7">
      <w:pPr>
        <w:tabs>
          <w:tab w:val="clear" w:pos="567"/>
        </w:tabs>
        <w:rPr>
          <w:lang w:val="es-ES_tradnl"/>
        </w:rPr>
      </w:pPr>
      <w:r w:rsidRPr="004F4CD0">
        <w:rPr>
          <w:lang w:val="es-ES_tradnl"/>
        </w:rPr>
        <w:t>EXP</w:t>
      </w:r>
    </w:p>
    <w:p w14:paraId="595D7C5F" w14:textId="77777777" w:rsidR="00C5731C" w:rsidRPr="004F4CD0" w:rsidRDefault="00C5731C" w:rsidP="008B4ED7">
      <w:pPr>
        <w:tabs>
          <w:tab w:val="clear" w:pos="567"/>
        </w:tabs>
        <w:rPr>
          <w:lang w:val="es-ES_tradnl"/>
        </w:rPr>
      </w:pPr>
    </w:p>
    <w:p w14:paraId="727935C1" w14:textId="77777777" w:rsidR="00C5731C" w:rsidRPr="004F4CD0" w:rsidRDefault="00C5731C" w:rsidP="008B4ED7">
      <w:pPr>
        <w:tabs>
          <w:tab w:val="clear" w:pos="567"/>
        </w:tabs>
        <w:rPr>
          <w:lang w:val="es-ES_tradnl"/>
        </w:rPr>
      </w:pPr>
    </w:p>
    <w:p w14:paraId="2F1026E0" w14:textId="77777777" w:rsidR="00C5731C" w:rsidRDefault="00C5731C" w:rsidP="008B4ED7">
      <w:pPr>
        <w:pStyle w:val="lblhead1"/>
        <w:pBdr>
          <w:top w:val="single" w:sz="4" w:space="1" w:color="auto"/>
          <w:left w:val="single" w:sz="4" w:space="4" w:color="auto"/>
          <w:bottom w:val="single" w:sz="4" w:space="1" w:color="auto"/>
          <w:right w:val="single" w:sz="4" w:space="4" w:color="auto"/>
        </w:pBdr>
        <w:rPr>
          <w:caps w:val="0"/>
          <w:noProof w:val="0"/>
          <w:highlight w:val="lightGray"/>
          <w:lang w:val="es-ES_tradnl"/>
        </w:rPr>
      </w:pPr>
      <w:r w:rsidRPr="004F4CD0">
        <w:rPr>
          <w:caps w:val="0"/>
          <w:lang w:val="es-ES_tradnl"/>
        </w:rPr>
        <w:t>4.</w:t>
      </w:r>
      <w:r w:rsidRPr="004F4CD0">
        <w:rPr>
          <w:caps w:val="0"/>
          <w:lang w:val="es-ES_tradnl"/>
        </w:rPr>
        <w:tab/>
        <w:t>NÚMERO DE LOTE</w:t>
      </w:r>
    </w:p>
    <w:p w14:paraId="19B0194C" w14:textId="77777777" w:rsidR="00C5731C" w:rsidRPr="004F4CD0" w:rsidRDefault="00C5731C" w:rsidP="008B4ED7">
      <w:pPr>
        <w:keepNext/>
        <w:rPr>
          <w:lang w:val="es-ES_tradnl"/>
        </w:rPr>
      </w:pPr>
    </w:p>
    <w:p w14:paraId="13C73BC0" w14:textId="77777777" w:rsidR="00C5731C" w:rsidRPr="004F4CD0" w:rsidRDefault="00C5731C" w:rsidP="008B4ED7">
      <w:pPr>
        <w:tabs>
          <w:tab w:val="clear" w:pos="567"/>
        </w:tabs>
        <w:rPr>
          <w:lang w:val="es-ES_tradnl"/>
        </w:rPr>
      </w:pPr>
      <w:r w:rsidRPr="004F4CD0">
        <w:rPr>
          <w:lang w:val="es-ES_tradnl"/>
        </w:rPr>
        <w:t>Lot</w:t>
      </w:r>
    </w:p>
    <w:p w14:paraId="5D4BDEA2" w14:textId="77777777" w:rsidR="00C5731C" w:rsidRPr="004F4CD0" w:rsidRDefault="00C5731C" w:rsidP="008B4ED7">
      <w:pPr>
        <w:tabs>
          <w:tab w:val="clear" w:pos="567"/>
        </w:tabs>
        <w:rPr>
          <w:lang w:val="es-ES_tradnl"/>
        </w:rPr>
      </w:pPr>
    </w:p>
    <w:p w14:paraId="42A8DB4C" w14:textId="77777777" w:rsidR="00C5731C" w:rsidRPr="004F4CD0" w:rsidRDefault="00C5731C" w:rsidP="008B4ED7">
      <w:pPr>
        <w:tabs>
          <w:tab w:val="clear" w:pos="567"/>
        </w:tabs>
        <w:rPr>
          <w:lang w:val="es-ES_tradnl"/>
        </w:rPr>
      </w:pPr>
    </w:p>
    <w:p w14:paraId="62F1C268"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lang w:val="es-ES_tradnl"/>
        </w:rPr>
      </w:pPr>
      <w:r w:rsidRPr="004F4CD0">
        <w:rPr>
          <w:b/>
          <w:lang w:val="es-ES_tradnl"/>
        </w:rPr>
        <w:t>5.</w:t>
      </w:r>
      <w:r w:rsidRPr="004F4CD0">
        <w:rPr>
          <w:b/>
          <w:lang w:val="es-ES_tradnl"/>
        </w:rPr>
        <w:tab/>
        <w:t>CONTENIDO EN PESO, EN VOLUMEN O EN UNIDADES</w:t>
      </w:r>
    </w:p>
    <w:p w14:paraId="6FBBFAC7" w14:textId="77777777" w:rsidR="00C5731C" w:rsidRPr="004F4CD0" w:rsidRDefault="00C5731C" w:rsidP="008B4ED7">
      <w:pPr>
        <w:keepNext/>
        <w:rPr>
          <w:lang w:val="es-ES_tradnl"/>
        </w:rPr>
      </w:pPr>
    </w:p>
    <w:p w14:paraId="19908CD2" w14:textId="6710F0DA" w:rsidR="00C5731C" w:rsidRPr="004F4CD0" w:rsidRDefault="004B3107" w:rsidP="00BF0C34">
      <w:pPr>
        <w:tabs>
          <w:tab w:val="clear" w:pos="567"/>
        </w:tabs>
        <w:rPr>
          <w:lang w:val="es-ES_tradnl"/>
        </w:rPr>
      </w:pPr>
      <w:r w:rsidRPr="004F4CD0">
        <w:rPr>
          <w:lang w:val="es-ES_tradnl" w:eastAsia="ko-KR"/>
        </w:rPr>
        <w:t>60 mg/1 ml</w:t>
      </w:r>
      <w:r w:rsidRPr="004F4CD0" w:rsidDel="004B3107">
        <w:rPr>
          <w:lang w:val="es-ES_tradnl"/>
        </w:rPr>
        <w:t xml:space="preserve"> </w:t>
      </w:r>
    </w:p>
    <w:p w14:paraId="597716C0" w14:textId="77777777" w:rsidR="00C5731C" w:rsidRPr="004F4CD0" w:rsidRDefault="00C5731C" w:rsidP="008B4ED7">
      <w:pPr>
        <w:tabs>
          <w:tab w:val="clear" w:pos="567"/>
        </w:tabs>
        <w:rPr>
          <w:lang w:val="es-ES_tradnl"/>
        </w:rPr>
      </w:pPr>
    </w:p>
    <w:p w14:paraId="48B0A202" w14:textId="77777777" w:rsidR="00C5731C" w:rsidRPr="004F4CD0" w:rsidRDefault="00C5731C" w:rsidP="008B4ED7">
      <w:pPr>
        <w:tabs>
          <w:tab w:val="clear" w:pos="567"/>
        </w:tabs>
        <w:rPr>
          <w:lang w:val="es-ES_tradnl"/>
        </w:rPr>
      </w:pPr>
    </w:p>
    <w:p w14:paraId="3B4413E6" w14:textId="77777777" w:rsidR="00C5731C" w:rsidRDefault="00C5731C" w:rsidP="008B4ED7">
      <w:pPr>
        <w:keepNext/>
        <w:pBdr>
          <w:top w:val="single" w:sz="4" w:space="1" w:color="auto"/>
          <w:left w:val="single" w:sz="4" w:space="4" w:color="auto"/>
          <w:bottom w:val="single" w:sz="4" w:space="1" w:color="auto"/>
          <w:right w:val="single" w:sz="4" w:space="4" w:color="auto"/>
        </w:pBdr>
        <w:ind w:left="567" w:hanging="567"/>
        <w:outlineLvl w:val="0"/>
        <w:rPr>
          <w:b/>
          <w:highlight w:val="lightGray"/>
          <w:lang w:val="es-ES_tradnl"/>
        </w:rPr>
      </w:pPr>
      <w:r w:rsidRPr="004F4CD0">
        <w:rPr>
          <w:b/>
          <w:lang w:val="es-ES_tradnl"/>
        </w:rPr>
        <w:t>6.</w:t>
      </w:r>
      <w:r w:rsidRPr="004F4CD0">
        <w:rPr>
          <w:b/>
          <w:lang w:val="es-ES_tradnl"/>
        </w:rPr>
        <w:tab/>
        <w:t>OTROS</w:t>
      </w:r>
    </w:p>
    <w:p w14:paraId="5A516A32" w14:textId="77777777" w:rsidR="00D364A0" w:rsidRPr="004F4CD0" w:rsidRDefault="00D364A0" w:rsidP="008B4ED7">
      <w:pPr>
        <w:tabs>
          <w:tab w:val="clear" w:pos="567"/>
        </w:tabs>
        <w:rPr>
          <w:lang w:val="es-ES_tradnl"/>
        </w:rPr>
      </w:pPr>
    </w:p>
    <w:p w14:paraId="5D0E4CA0" w14:textId="77329729" w:rsidR="00C5731C" w:rsidRPr="004F4CD0" w:rsidRDefault="007241CA" w:rsidP="004B3107">
      <w:pPr>
        <w:keepNext/>
        <w:pBdr>
          <w:top w:val="single" w:sz="4" w:space="1" w:color="auto"/>
          <w:left w:val="single" w:sz="4" w:space="4" w:color="auto"/>
          <w:bottom w:val="single" w:sz="4" w:space="1" w:color="auto"/>
          <w:right w:val="single" w:sz="4" w:space="4" w:color="auto"/>
        </w:pBdr>
        <w:rPr>
          <w:b/>
          <w:lang w:val="es-ES_tradnl"/>
        </w:rPr>
      </w:pPr>
      <w:r w:rsidRPr="004F4CD0">
        <w:rPr>
          <w:lang w:val="es-ES_tradnl"/>
        </w:rPr>
        <w:br w:type="page"/>
      </w:r>
      <w:r w:rsidRPr="004F4CD0">
        <w:rPr>
          <w:b/>
          <w:lang w:val="es-ES_tradnl"/>
        </w:rPr>
        <w:lastRenderedPageBreak/>
        <w:t>TEXTO DE LAS TARJETAS DE RECORDATORIO (incluidas en la caja)</w:t>
      </w:r>
    </w:p>
    <w:p w14:paraId="089E7177" w14:textId="77777777" w:rsidR="00C5731C" w:rsidRPr="004F4CD0" w:rsidRDefault="00C5731C" w:rsidP="008B4ED7">
      <w:pPr>
        <w:keepNext/>
        <w:pBdr>
          <w:top w:val="single" w:sz="4" w:space="1" w:color="auto"/>
          <w:left w:val="single" w:sz="4" w:space="4" w:color="auto"/>
          <w:bottom w:val="single" w:sz="4" w:space="1" w:color="auto"/>
          <w:right w:val="single" w:sz="4" w:space="4" w:color="auto"/>
        </w:pBdr>
        <w:rPr>
          <w:b/>
          <w:lang w:val="es-ES_tradnl"/>
        </w:rPr>
      </w:pPr>
    </w:p>
    <w:p w14:paraId="6749A77A" w14:textId="77777777" w:rsidR="00C5731C" w:rsidRPr="004F4CD0" w:rsidRDefault="00C5731C" w:rsidP="008B4ED7">
      <w:pPr>
        <w:keepNext/>
        <w:rPr>
          <w:lang w:val="es-ES_tradnl"/>
        </w:rPr>
      </w:pPr>
    </w:p>
    <w:p w14:paraId="0FAAEBBC" w14:textId="6ADDF54E" w:rsidR="00C5731C" w:rsidRPr="004F4CD0" w:rsidRDefault="004B3107" w:rsidP="008B4ED7">
      <w:pPr>
        <w:tabs>
          <w:tab w:val="clear" w:pos="567"/>
        </w:tabs>
        <w:rPr>
          <w:lang w:val="es-ES_tradnl"/>
        </w:rPr>
      </w:pPr>
      <w:r w:rsidRPr="004F4CD0">
        <w:rPr>
          <w:lang w:val="es-ES_tradnl" w:eastAsia="ko-KR"/>
        </w:rPr>
        <w:t xml:space="preserve">Stoboclo </w:t>
      </w:r>
      <w:r w:rsidR="00C5731C" w:rsidRPr="004F4CD0">
        <w:rPr>
          <w:lang w:val="es-ES_tradnl"/>
        </w:rPr>
        <w:t>60 mg inyectable</w:t>
      </w:r>
    </w:p>
    <w:p w14:paraId="2B223ACE" w14:textId="77777777" w:rsidR="00C5731C" w:rsidRPr="004F4CD0" w:rsidRDefault="00C5731C" w:rsidP="008B4ED7">
      <w:pPr>
        <w:tabs>
          <w:tab w:val="clear" w:pos="567"/>
        </w:tabs>
        <w:rPr>
          <w:lang w:val="es-ES_tradnl"/>
        </w:rPr>
      </w:pPr>
      <w:r w:rsidRPr="004F4CD0">
        <w:rPr>
          <w:lang w:val="es-ES_tradnl"/>
        </w:rPr>
        <w:t>denosumab</w:t>
      </w:r>
    </w:p>
    <w:p w14:paraId="5B36AA74" w14:textId="77777777" w:rsidR="00C5731C" w:rsidRPr="004F4CD0" w:rsidRDefault="00C5731C" w:rsidP="008B4ED7">
      <w:pPr>
        <w:tabs>
          <w:tab w:val="clear" w:pos="567"/>
        </w:tabs>
        <w:rPr>
          <w:lang w:val="es-ES_tradnl"/>
        </w:rPr>
      </w:pPr>
    </w:p>
    <w:p w14:paraId="5B361821" w14:textId="77777777" w:rsidR="00C5731C" w:rsidRPr="004F4CD0" w:rsidRDefault="00C5731C" w:rsidP="008B4ED7">
      <w:pPr>
        <w:tabs>
          <w:tab w:val="clear" w:pos="567"/>
        </w:tabs>
        <w:rPr>
          <w:lang w:val="es-ES_tradnl"/>
        </w:rPr>
      </w:pPr>
      <w:r w:rsidRPr="004F4CD0">
        <w:rPr>
          <w:lang w:val="es-ES_tradnl"/>
        </w:rPr>
        <w:t>SC</w:t>
      </w:r>
    </w:p>
    <w:p w14:paraId="45488AB9" w14:textId="77777777" w:rsidR="00C5731C" w:rsidRPr="004F4CD0" w:rsidRDefault="00C5731C" w:rsidP="008B4ED7">
      <w:pPr>
        <w:tabs>
          <w:tab w:val="clear" w:pos="567"/>
        </w:tabs>
        <w:rPr>
          <w:lang w:val="es-ES_tradnl"/>
        </w:rPr>
      </w:pPr>
    </w:p>
    <w:p w14:paraId="0AFEA1CB" w14:textId="313967FE" w:rsidR="00C5731C" w:rsidRPr="004F4CD0" w:rsidRDefault="00683F11" w:rsidP="008B4ED7">
      <w:pPr>
        <w:tabs>
          <w:tab w:val="clear" w:pos="567"/>
        </w:tabs>
        <w:rPr>
          <w:lang w:val="es-ES_tradnl"/>
        </w:rPr>
      </w:pPr>
      <w:r w:rsidRPr="004F4CD0">
        <w:rPr>
          <w:lang w:val="es-ES_tradnl"/>
        </w:rPr>
        <w:t>Siguiente inyección dentro de 6 meses:</w:t>
      </w:r>
    </w:p>
    <w:p w14:paraId="6591A044" w14:textId="77777777" w:rsidR="00C5731C" w:rsidRPr="004F4CD0" w:rsidRDefault="00C5731C" w:rsidP="008B4ED7">
      <w:pPr>
        <w:tabs>
          <w:tab w:val="clear" w:pos="567"/>
        </w:tabs>
        <w:rPr>
          <w:lang w:val="es-ES_tradnl"/>
        </w:rPr>
      </w:pPr>
    </w:p>
    <w:p w14:paraId="04D1EDC7" w14:textId="6018A373" w:rsidR="00F82CBC" w:rsidRPr="004F4CD0" w:rsidRDefault="00F82CBC" w:rsidP="008B4ED7">
      <w:pPr>
        <w:tabs>
          <w:tab w:val="clear" w:pos="567"/>
        </w:tabs>
        <w:rPr>
          <w:lang w:val="es-ES_tradnl"/>
        </w:rPr>
      </w:pPr>
      <w:r w:rsidRPr="004F4CD0">
        <w:rPr>
          <w:lang w:val="es-ES_tradnl"/>
        </w:rPr>
        <w:t xml:space="preserve">Utilice </w:t>
      </w:r>
      <w:r w:rsidR="004B3107" w:rsidRPr="004F4CD0">
        <w:rPr>
          <w:lang w:val="es-ES_tradnl" w:eastAsia="ko-KR"/>
        </w:rPr>
        <w:t xml:space="preserve">Stoboclo </w:t>
      </w:r>
      <w:r w:rsidRPr="004F4CD0">
        <w:rPr>
          <w:lang w:val="es-ES_tradnl"/>
        </w:rPr>
        <w:t>durante todo el periodo que le prescriba el médico</w:t>
      </w:r>
    </w:p>
    <w:p w14:paraId="22D948FE" w14:textId="77777777" w:rsidR="00F82CBC" w:rsidRPr="004F4CD0" w:rsidRDefault="00F82CBC" w:rsidP="008B4ED7">
      <w:pPr>
        <w:tabs>
          <w:tab w:val="clear" w:pos="567"/>
        </w:tabs>
        <w:rPr>
          <w:lang w:val="es-ES_tradnl"/>
        </w:rPr>
      </w:pPr>
    </w:p>
    <w:p w14:paraId="03DFA0BA" w14:textId="0F59ED32" w:rsidR="00C5731C" w:rsidRPr="004F4CD0" w:rsidRDefault="004B3107" w:rsidP="008B4ED7">
      <w:pPr>
        <w:tabs>
          <w:tab w:val="clear" w:pos="567"/>
        </w:tabs>
        <w:rPr>
          <w:lang w:val="es-ES_tradnl"/>
        </w:rPr>
      </w:pPr>
      <w:r w:rsidRPr="004F4CD0">
        <w:rPr>
          <w:lang w:val="es-ES_tradnl" w:eastAsia="ko-KR"/>
        </w:rPr>
        <w:t>Celltrion Healthcare Hungary Kft.</w:t>
      </w:r>
    </w:p>
    <w:p w14:paraId="039D362A" w14:textId="77777777" w:rsidR="00C5731C" w:rsidRPr="004F4CD0" w:rsidRDefault="00C5731C" w:rsidP="008B4ED7">
      <w:pPr>
        <w:tabs>
          <w:tab w:val="clear" w:pos="567"/>
        </w:tabs>
        <w:rPr>
          <w:lang w:val="es-ES_tradnl"/>
        </w:rPr>
      </w:pPr>
    </w:p>
    <w:p w14:paraId="41338EB9" w14:textId="77777777" w:rsidR="00C5731C" w:rsidRPr="004F4CD0" w:rsidRDefault="00C5731C" w:rsidP="008B4ED7">
      <w:pPr>
        <w:tabs>
          <w:tab w:val="clear" w:pos="567"/>
        </w:tabs>
        <w:rPr>
          <w:lang w:val="es-ES_tradnl"/>
        </w:rPr>
      </w:pPr>
    </w:p>
    <w:p w14:paraId="71F72226" w14:textId="77777777" w:rsidR="008011D6" w:rsidRPr="004F4CD0" w:rsidRDefault="00C5731C" w:rsidP="008B4ED7">
      <w:pPr>
        <w:jc w:val="center"/>
        <w:rPr>
          <w:lang w:val="es-ES_tradnl"/>
        </w:rPr>
      </w:pPr>
      <w:r w:rsidRPr="004F4CD0">
        <w:rPr>
          <w:lang w:val="es-ES_tradnl"/>
        </w:rPr>
        <w:br w:type="page"/>
      </w:r>
    </w:p>
    <w:p w14:paraId="30E60EEE" w14:textId="77777777" w:rsidR="008011D6" w:rsidRPr="004F4CD0" w:rsidRDefault="008011D6" w:rsidP="008B4ED7">
      <w:pPr>
        <w:jc w:val="center"/>
        <w:rPr>
          <w:lang w:val="es-ES_tradnl"/>
        </w:rPr>
      </w:pPr>
    </w:p>
    <w:p w14:paraId="04D79582" w14:textId="77777777" w:rsidR="008011D6" w:rsidRPr="004F4CD0" w:rsidRDefault="008011D6" w:rsidP="008B4ED7">
      <w:pPr>
        <w:jc w:val="center"/>
        <w:rPr>
          <w:lang w:val="es-ES_tradnl"/>
        </w:rPr>
      </w:pPr>
    </w:p>
    <w:p w14:paraId="5D8F55EB" w14:textId="77777777" w:rsidR="008011D6" w:rsidRPr="004F4CD0" w:rsidRDefault="008011D6" w:rsidP="008B4ED7">
      <w:pPr>
        <w:jc w:val="center"/>
        <w:rPr>
          <w:lang w:val="es-ES_tradnl"/>
        </w:rPr>
      </w:pPr>
    </w:p>
    <w:p w14:paraId="5EE01354" w14:textId="77777777" w:rsidR="008011D6" w:rsidRPr="004F4CD0" w:rsidRDefault="008011D6" w:rsidP="008B4ED7">
      <w:pPr>
        <w:jc w:val="center"/>
        <w:rPr>
          <w:lang w:val="es-ES_tradnl"/>
        </w:rPr>
      </w:pPr>
    </w:p>
    <w:p w14:paraId="55525A20" w14:textId="77777777" w:rsidR="008011D6" w:rsidRPr="004F4CD0" w:rsidRDefault="008011D6" w:rsidP="008B4ED7">
      <w:pPr>
        <w:jc w:val="center"/>
        <w:rPr>
          <w:lang w:val="es-ES_tradnl"/>
        </w:rPr>
      </w:pPr>
    </w:p>
    <w:p w14:paraId="53586AF2" w14:textId="77777777" w:rsidR="008011D6" w:rsidRPr="004F4CD0" w:rsidRDefault="008011D6" w:rsidP="008B4ED7">
      <w:pPr>
        <w:jc w:val="center"/>
        <w:rPr>
          <w:lang w:val="es-ES_tradnl"/>
        </w:rPr>
      </w:pPr>
    </w:p>
    <w:p w14:paraId="020BA048" w14:textId="77777777" w:rsidR="008011D6" w:rsidRPr="004F4CD0" w:rsidRDefault="008011D6" w:rsidP="008B4ED7">
      <w:pPr>
        <w:jc w:val="center"/>
        <w:rPr>
          <w:lang w:val="es-ES_tradnl"/>
        </w:rPr>
      </w:pPr>
    </w:p>
    <w:p w14:paraId="13109FE2" w14:textId="77777777" w:rsidR="008011D6" w:rsidRPr="004F4CD0" w:rsidRDefault="008011D6" w:rsidP="008B4ED7">
      <w:pPr>
        <w:jc w:val="center"/>
        <w:rPr>
          <w:lang w:val="es-ES_tradnl"/>
        </w:rPr>
      </w:pPr>
    </w:p>
    <w:p w14:paraId="7FD25DA4" w14:textId="77777777" w:rsidR="008011D6" w:rsidRPr="004F4CD0" w:rsidRDefault="008011D6" w:rsidP="008B4ED7">
      <w:pPr>
        <w:jc w:val="center"/>
        <w:rPr>
          <w:lang w:val="es-ES_tradnl"/>
        </w:rPr>
      </w:pPr>
    </w:p>
    <w:p w14:paraId="445F6ACB" w14:textId="77777777" w:rsidR="008011D6" w:rsidRPr="004F4CD0" w:rsidRDefault="008011D6" w:rsidP="008B4ED7">
      <w:pPr>
        <w:jc w:val="center"/>
        <w:rPr>
          <w:lang w:val="es-ES_tradnl"/>
        </w:rPr>
      </w:pPr>
    </w:p>
    <w:p w14:paraId="1B90BE4C" w14:textId="77777777" w:rsidR="008011D6" w:rsidRPr="004F4CD0" w:rsidRDefault="008011D6" w:rsidP="008B4ED7">
      <w:pPr>
        <w:jc w:val="center"/>
        <w:rPr>
          <w:lang w:val="es-ES_tradnl"/>
        </w:rPr>
      </w:pPr>
    </w:p>
    <w:p w14:paraId="1AE12734" w14:textId="77777777" w:rsidR="008011D6" w:rsidRPr="004F4CD0" w:rsidRDefault="008011D6" w:rsidP="008B4ED7">
      <w:pPr>
        <w:jc w:val="center"/>
        <w:rPr>
          <w:lang w:val="es-ES_tradnl"/>
        </w:rPr>
      </w:pPr>
    </w:p>
    <w:p w14:paraId="4AA9B534" w14:textId="77777777" w:rsidR="008011D6" w:rsidRPr="004F4CD0" w:rsidRDefault="008011D6" w:rsidP="008B4ED7">
      <w:pPr>
        <w:jc w:val="center"/>
        <w:rPr>
          <w:lang w:val="es-ES_tradnl"/>
        </w:rPr>
      </w:pPr>
    </w:p>
    <w:p w14:paraId="6B997862" w14:textId="77777777" w:rsidR="008011D6" w:rsidRPr="004F4CD0" w:rsidRDefault="008011D6" w:rsidP="008B4ED7">
      <w:pPr>
        <w:jc w:val="center"/>
        <w:rPr>
          <w:lang w:val="es-ES_tradnl"/>
        </w:rPr>
      </w:pPr>
    </w:p>
    <w:p w14:paraId="79AC4866" w14:textId="77777777" w:rsidR="008011D6" w:rsidRPr="004F4CD0" w:rsidRDefault="008011D6" w:rsidP="008B4ED7">
      <w:pPr>
        <w:jc w:val="center"/>
        <w:rPr>
          <w:lang w:val="es-ES_tradnl"/>
        </w:rPr>
      </w:pPr>
    </w:p>
    <w:p w14:paraId="61627A8C" w14:textId="77777777" w:rsidR="008011D6" w:rsidRPr="004F4CD0" w:rsidRDefault="008011D6" w:rsidP="008B4ED7">
      <w:pPr>
        <w:jc w:val="center"/>
        <w:rPr>
          <w:lang w:val="es-ES_tradnl"/>
        </w:rPr>
      </w:pPr>
    </w:p>
    <w:p w14:paraId="1A0432B1" w14:textId="77777777" w:rsidR="008011D6" w:rsidRPr="004F4CD0" w:rsidRDefault="008011D6" w:rsidP="008B4ED7">
      <w:pPr>
        <w:jc w:val="center"/>
        <w:rPr>
          <w:lang w:val="es-ES_tradnl"/>
        </w:rPr>
      </w:pPr>
    </w:p>
    <w:p w14:paraId="2E195E02" w14:textId="77777777" w:rsidR="008011D6" w:rsidRPr="004F4CD0" w:rsidRDefault="008011D6" w:rsidP="008B4ED7">
      <w:pPr>
        <w:jc w:val="center"/>
        <w:rPr>
          <w:lang w:val="es-ES_tradnl"/>
        </w:rPr>
      </w:pPr>
    </w:p>
    <w:p w14:paraId="1E3844ED" w14:textId="77777777" w:rsidR="008011D6" w:rsidRPr="004F4CD0" w:rsidRDefault="008011D6" w:rsidP="008B4ED7">
      <w:pPr>
        <w:jc w:val="center"/>
        <w:rPr>
          <w:lang w:val="es-ES_tradnl"/>
        </w:rPr>
      </w:pPr>
    </w:p>
    <w:p w14:paraId="6FB8F589" w14:textId="77777777" w:rsidR="008011D6" w:rsidRPr="004F4CD0" w:rsidRDefault="008011D6" w:rsidP="008B4ED7">
      <w:pPr>
        <w:jc w:val="center"/>
        <w:rPr>
          <w:lang w:val="es-ES_tradnl"/>
        </w:rPr>
      </w:pPr>
    </w:p>
    <w:p w14:paraId="25B086E0" w14:textId="77777777" w:rsidR="008011D6" w:rsidRPr="004F4CD0" w:rsidRDefault="008011D6" w:rsidP="008B4ED7">
      <w:pPr>
        <w:jc w:val="center"/>
        <w:rPr>
          <w:lang w:val="es-ES_tradnl"/>
        </w:rPr>
      </w:pPr>
    </w:p>
    <w:p w14:paraId="00330DD4" w14:textId="77777777" w:rsidR="008011D6" w:rsidRPr="004F4CD0" w:rsidRDefault="008011D6" w:rsidP="008B4ED7">
      <w:pPr>
        <w:jc w:val="center"/>
        <w:rPr>
          <w:lang w:val="es-ES_tradnl"/>
        </w:rPr>
      </w:pPr>
    </w:p>
    <w:p w14:paraId="41A6384F" w14:textId="77777777" w:rsidR="008011D6" w:rsidRPr="004F4CD0" w:rsidRDefault="008011D6" w:rsidP="00BF5188">
      <w:pPr>
        <w:pStyle w:val="TitleA"/>
        <w:rPr>
          <w:lang w:val="es-ES_tradnl"/>
        </w:rPr>
      </w:pPr>
      <w:r w:rsidRPr="004F4CD0">
        <w:rPr>
          <w:lang w:val="es-ES_tradnl"/>
        </w:rPr>
        <w:t>B. PROSPECTO</w:t>
      </w:r>
    </w:p>
    <w:p w14:paraId="20CB14AE" w14:textId="3B6C643F" w:rsidR="00382BC2" w:rsidRPr="004F4CD0" w:rsidRDefault="00F51F12" w:rsidP="00F51F12">
      <w:pPr>
        <w:tabs>
          <w:tab w:val="clear" w:pos="567"/>
        </w:tabs>
        <w:jc w:val="center"/>
        <w:rPr>
          <w:b/>
          <w:bCs/>
          <w:lang w:val="es-ES_tradnl"/>
        </w:rPr>
      </w:pPr>
      <w:r w:rsidRPr="004F4CD0">
        <w:rPr>
          <w:lang w:val="es-ES_tradnl"/>
        </w:rPr>
        <w:br w:type="page"/>
      </w:r>
      <w:r w:rsidRPr="004F4CD0">
        <w:rPr>
          <w:b/>
          <w:lang w:val="es-ES_tradnl"/>
        </w:rPr>
        <w:lastRenderedPageBreak/>
        <w:t>Prospecto: información para el usuario</w:t>
      </w:r>
    </w:p>
    <w:p w14:paraId="29E5213E" w14:textId="77777777" w:rsidR="00382BC2" w:rsidRPr="004F4CD0" w:rsidRDefault="00382BC2" w:rsidP="00F51F12">
      <w:pPr>
        <w:jc w:val="center"/>
        <w:rPr>
          <w:lang w:val="es-ES_tradnl"/>
        </w:rPr>
      </w:pPr>
    </w:p>
    <w:p w14:paraId="56390CAE" w14:textId="07ED5EB9" w:rsidR="00382BC2" w:rsidRPr="004F4CD0" w:rsidRDefault="004B3107" w:rsidP="00F51F12">
      <w:pPr>
        <w:tabs>
          <w:tab w:val="clear" w:pos="567"/>
        </w:tabs>
        <w:jc w:val="center"/>
        <w:rPr>
          <w:b/>
          <w:bCs/>
          <w:lang w:val="es-ES_tradnl"/>
        </w:rPr>
      </w:pPr>
      <w:r w:rsidRPr="004F4CD0">
        <w:rPr>
          <w:b/>
          <w:bCs/>
          <w:lang w:val="es-ES_tradnl"/>
        </w:rPr>
        <w:t xml:space="preserve">Stoboclo </w:t>
      </w:r>
      <w:r w:rsidR="00382BC2" w:rsidRPr="004F4CD0">
        <w:rPr>
          <w:b/>
          <w:lang w:val="es-ES_tradnl"/>
        </w:rPr>
        <w:t>60 mg solución inyectable en jeringa precargada</w:t>
      </w:r>
    </w:p>
    <w:p w14:paraId="65A86226" w14:textId="77777777" w:rsidR="00382BC2" w:rsidRPr="004F4CD0" w:rsidRDefault="00382BC2" w:rsidP="00F51F12">
      <w:pPr>
        <w:jc w:val="center"/>
        <w:rPr>
          <w:lang w:val="es-ES_tradnl"/>
        </w:rPr>
      </w:pPr>
      <w:r w:rsidRPr="004F4CD0">
        <w:rPr>
          <w:lang w:val="es-ES_tradnl"/>
        </w:rPr>
        <w:t>denosumab</w:t>
      </w:r>
    </w:p>
    <w:p w14:paraId="07CA3E13" w14:textId="77777777" w:rsidR="00382BC2" w:rsidRPr="004F4CD0" w:rsidRDefault="00382BC2" w:rsidP="00F51F12">
      <w:pPr>
        <w:jc w:val="center"/>
        <w:rPr>
          <w:lang w:val="es-ES_tradnl"/>
        </w:rPr>
      </w:pPr>
    </w:p>
    <w:p w14:paraId="085A7789" w14:textId="3857A497" w:rsidR="0087684E" w:rsidRPr="004F4CD0" w:rsidRDefault="00950FBE" w:rsidP="00BB4508">
      <w:pPr>
        <w:rPr>
          <w:lang w:val="es-ES_tradnl"/>
        </w:rPr>
      </w:pPr>
      <w:r>
        <w:rPr>
          <w:noProof/>
          <w:lang w:val="en-US" w:eastAsia="zh-CN"/>
        </w:rPr>
        <w:pict w14:anchorId="5B0F1FFB">
          <v:shape id="_x0000_i1026" type="#_x0000_t75" alt="BT_1000x858px" style="width:15.75pt;height:12.75pt;visibility:visible;mso-wrap-style:square">
            <v:imagedata r:id="rId14" o:title="BT_1000x858px"/>
          </v:shape>
        </w:pict>
      </w:r>
      <w:r w:rsidR="0087684E" w:rsidRPr="004F4CD0">
        <w:rPr>
          <w:lang w:val="es-ES_tradnl"/>
        </w:rPr>
        <w:t>Este medicamento está sujeto a seguimiento adicional, lo que agilizará la detección de nueva información sobre su seguridad. Puede contribuir comunicando los efectos adversos que pudiera usted tener. La parte final de la sección</w:t>
      </w:r>
      <w:r w:rsidR="00B02863" w:rsidRPr="004F4CD0">
        <w:rPr>
          <w:lang w:val="es-ES_tradnl"/>
        </w:rPr>
        <w:t> </w:t>
      </w:r>
      <w:r w:rsidR="0087684E" w:rsidRPr="004F4CD0">
        <w:rPr>
          <w:lang w:val="es-ES_tradnl"/>
        </w:rPr>
        <w:t>4 incluye información sobre cómo comunicar estos efectos adversos.</w:t>
      </w:r>
    </w:p>
    <w:p w14:paraId="64FEF753" w14:textId="77777777" w:rsidR="0087684E" w:rsidRPr="004F4CD0" w:rsidRDefault="0087684E" w:rsidP="000D0706">
      <w:pPr>
        <w:rPr>
          <w:lang w:val="es-ES_tradnl"/>
        </w:rPr>
      </w:pPr>
    </w:p>
    <w:p w14:paraId="74BC1273" w14:textId="77777777" w:rsidR="00382BC2" w:rsidRPr="004F4CD0" w:rsidRDefault="00382BC2" w:rsidP="00F51F12">
      <w:pPr>
        <w:keepNext/>
        <w:rPr>
          <w:b/>
          <w:bCs/>
          <w:lang w:val="es-ES_tradnl"/>
        </w:rPr>
      </w:pPr>
      <w:r w:rsidRPr="004F4CD0">
        <w:rPr>
          <w:b/>
          <w:lang w:val="es-ES_tradnl"/>
        </w:rPr>
        <w:t>Lea todo el prospecto detenidamente antes de empezar a usar este medicamento, porque contiene información importante para usted.</w:t>
      </w:r>
    </w:p>
    <w:p w14:paraId="6E1CC4C7" w14:textId="77777777" w:rsidR="00382BC2" w:rsidRPr="004F4CD0" w:rsidRDefault="00382BC2" w:rsidP="00F51F12">
      <w:pPr>
        <w:numPr>
          <w:ilvl w:val="0"/>
          <w:numId w:val="56"/>
        </w:numPr>
        <w:ind w:left="567" w:hanging="567"/>
        <w:rPr>
          <w:lang w:val="es-ES_tradnl"/>
        </w:rPr>
      </w:pPr>
      <w:r w:rsidRPr="004F4CD0">
        <w:rPr>
          <w:lang w:val="es-ES_tradnl"/>
        </w:rPr>
        <w:t xml:space="preserve">Conserve este prospecto, ya que puede tener que volver a leerlo. </w:t>
      </w:r>
    </w:p>
    <w:p w14:paraId="60B601FF" w14:textId="77777777" w:rsidR="00382BC2" w:rsidRPr="004F4CD0" w:rsidRDefault="00382BC2" w:rsidP="00F51F12">
      <w:pPr>
        <w:numPr>
          <w:ilvl w:val="0"/>
          <w:numId w:val="56"/>
        </w:numPr>
        <w:ind w:left="567" w:hanging="567"/>
        <w:rPr>
          <w:lang w:val="es-ES_tradnl"/>
        </w:rPr>
      </w:pPr>
      <w:r w:rsidRPr="004F4CD0">
        <w:rPr>
          <w:lang w:val="es-ES_tradnl"/>
        </w:rPr>
        <w:t>Si tiene alguna duda, consulte a su médico o farmacéutico.</w:t>
      </w:r>
    </w:p>
    <w:p w14:paraId="41778FA5" w14:textId="77777777" w:rsidR="00382BC2" w:rsidRPr="004F4CD0" w:rsidRDefault="00382BC2" w:rsidP="00F51F12">
      <w:pPr>
        <w:numPr>
          <w:ilvl w:val="0"/>
          <w:numId w:val="56"/>
        </w:numPr>
        <w:ind w:left="567" w:hanging="567"/>
        <w:rPr>
          <w:lang w:val="es-ES_tradnl"/>
        </w:rPr>
      </w:pPr>
      <w:r w:rsidRPr="004F4CD0">
        <w:rPr>
          <w:lang w:val="es-ES_tradnl"/>
        </w:rPr>
        <w:t xml:space="preserve">Este medicamento se le ha recetado solamente a usted, y no debe dárselo a otras personas aunque tengan los mismos síntomas que usted, ya que puede perjudicarles. </w:t>
      </w:r>
    </w:p>
    <w:p w14:paraId="22CE7806" w14:textId="77777777" w:rsidR="0018450B" w:rsidRPr="004F4CD0" w:rsidRDefault="00382BC2" w:rsidP="00F51F12">
      <w:pPr>
        <w:numPr>
          <w:ilvl w:val="0"/>
          <w:numId w:val="56"/>
        </w:numPr>
        <w:ind w:left="567" w:hanging="567"/>
        <w:rPr>
          <w:lang w:val="es-ES_tradnl"/>
        </w:rPr>
      </w:pPr>
      <w:r w:rsidRPr="004F4CD0">
        <w:rPr>
          <w:lang w:val="es-ES_tradnl"/>
        </w:rPr>
        <w:t>Si experimenta efectos adversos, consulte a su médico o farmacéutico, incluso si se trata de efectos adversos que no aparecen en este prospecto. Ver sección 4.</w:t>
      </w:r>
    </w:p>
    <w:p w14:paraId="65DF31CE" w14:textId="15521657" w:rsidR="0018450B" w:rsidRPr="004F4CD0" w:rsidRDefault="00427567" w:rsidP="00F51F12">
      <w:pPr>
        <w:numPr>
          <w:ilvl w:val="0"/>
          <w:numId w:val="56"/>
        </w:numPr>
        <w:ind w:left="567" w:hanging="567"/>
        <w:rPr>
          <w:lang w:val="es-ES_tradnl"/>
        </w:rPr>
      </w:pPr>
      <w:r w:rsidRPr="004F4CD0">
        <w:rPr>
          <w:lang w:val="es-ES_tradnl"/>
        </w:rPr>
        <w:t xml:space="preserve">Su médico le proporcionará una tarjeta recordatorio para el paciente, que contiene información importante de seguridad que debe conocer antes y durante su tratamiento con </w:t>
      </w:r>
      <w:r w:rsidR="0087684E" w:rsidRPr="004F4CD0">
        <w:rPr>
          <w:lang w:val="es-ES_tradnl"/>
        </w:rPr>
        <w:t>Stoboclo</w:t>
      </w:r>
      <w:r w:rsidRPr="004F4CD0">
        <w:rPr>
          <w:lang w:val="es-ES_tradnl"/>
        </w:rPr>
        <w:t>.</w:t>
      </w:r>
    </w:p>
    <w:p w14:paraId="3E868B72" w14:textId="77777777" w:rsidR="00382BC2" w:rsidRPr="004F4CD0" w:rsidRDefault="00382BC2" w:rsidP="00F51F12">
      <w:pPr>
        <w:rPr>
          <w:lang w:val="es-ES_tradnl"/>
        </w:rPr>
      </w:pPr>
    </w:p>
    <w:p w14:paraId="4AA06590" w14:textId="77777777" w:rsidR="00382BC2" w:rsidRPr="004F4CD0" w:rsidRDefault="00382BC2" w:rsidP="00F51F12">
      <w:pPr>
        <w:keepNext/>
        <w:rPr>
          <w:b/>
          <w:bCs/>
          <w:lang w:val="es-ES_tradnl"/>
        </w:rPr>
      </w:pPr>
      <w:r w:rsidRPr="004F4CD0">
        <w:rPr>
          <w:b/>
          <w:lang w:val="es-ES_tradnl"/>
        </w:rPr>
        <w:t>Contenido del prospecto</w:t>
      </w:r>
    </w:p>
    <w:p w14:paraId="0665144A" w14:textId="092FC726" w:rsidR="00382BC2" w:rsidRPr="004F4CD0" w:rsidRDefault="00382BC2" w:rsidP="00F51F12">
      <w:pPr>
        <w:numPr>
          <w:ilvl w:val="0"/>
          <w:numId w:val="42"/>
        </w:numPr>
        <w:ind w:left="567" w:hanging="567"/>
        <w:rPr>
          <w:lang w:val="es-ES_tradnl"/>
        </w:rPr>
      </w:pPr>
      <w:r w:rsidRPr="004F4CD0">
        <w:rPr>
          <w:lang w:val="es-ES_tradnl"/>
        </w:rPr>
        <w:t xml:space="preserve">Qué es </w:t>
      </w:r>
      <w:r w:rsidR="0087684E" w:rsidRPr="004F4CD0">
        <w:rPr>
          <w:lang w:val="es-ES_tradnl"/>
        </w:rPr>
        <w:t xml:space="preserve">Stoboclo </w:t>
      </w:r>
      <w:r w:rsidRPr="004F4CD0">
        <w:rPr>
          <w:lang w:val="es-ES_tradnl"/>
        </w:rPr>
        <w:t>y para qué se utiliza</w:t>
      </w:r>
    </w:p>
    <w:p w14:paraId="6EC81F97" w14:textId="08F7B17C" w:rsidR="00382BC2" w:rsidRPr="004F4CD0" w:rsidRDefault="00382BC2" w:rsidP="00F51F12">
      <w:pPr>
        <w:numPr>
          <w:ilvl w:val="0"/>
          <w:numId w:val="42"/>
        </w:numPr>
        <w:ind w:left="567" w:hanging="567"/>
        <w:rPr>
          <w:lang w:val="es-ES_tradnl"/>
        </w:rPr>
      </w:pPr>
      <w:r w:rsidRPr="004F4CD0">
        <w:rPr>
          <w:lang w:val="es-ES_tradnl"/>
        </w:rPr>
        <w:t xml:space="preserve">Qué necesita saber antes de empezar a usar </w:t>
      </w:r>
      <w:r w:rsidR="0087684E" w:rsidRPr="004F4CD0">
        <w:rPr>
          <w:lang w:val="es-ES_tradnl"/>
        </w:rPr>
        <w:t>Stoboclo</w:t>
      </w:r>
    </w:p>
    <w:p w14:paraId="0E70D35A" w14:textId="216089C3" w:rsidR="00382BC2" w:rsidRPr="004F4CD0" w:rsidRDefault="00382BC2" w:rsidP="00F51F12">
      <w:pPr>
        <w:numPr>
          <w:ilvl w:val="0"/>
          <w:numId w:val="42"/>
        </w:numPr>
        <w:ind w:left="567" w:hanging="567"/>
        <w:rPr>
          <w:lang w:val="es-ES_tradnl"/>
        </w:rPr>
      </w:pPr>
      <w:r w:rsidRPr="004F4CD0">
        <w:rPr>
          <w:lang w:val="es-ES_tradnl"/>
        </w:rPr>
        <w:t xml:space="preserve">Cómo usar </w:t>
      </w:r>
      <w:r w:rsidR="0087684E" w:rsidRPr="004F4CD0">
        <w:rPr>
          <w:lang w:val="es-ES_tradnl"/>
        </w:rPr>
        <w:t>Stoboclo</w:t>
      </w:r>
    </w:p>
    <w:p w14:paraId="1968E1F7" w14:textId="77777777" w:rsidR="00382BC2" w:rsidRPr="004F4CD0" w:rsidRDefault="00382BC2" w:rsidP="00F51F12">
      <w:pPr>
        <w:numPr>
          <w:ilvl w:val="0"/>
          <w:numId w:val="42"/>
        </w:numPr>
        <w:ind w:left="567" w:hanging="567"/>
        <w:rPr>
          <w:lang w:val="es-ES_tradnl"/>
        </w:rPr>
      </w:pPr>
      <w:r w:rsidRPr="004F4CD0">
        <w:rPr>
          <w:lang w:val="es-ES_tradnl"/>
        </w:rPr>
        <w:t>Posibles efectos adversos</w:t>
      </w:r>
    </w:p>
    <w:p w14:paraId="67B17208" w14:textId="0F91BBA9" w:rsidR="00382BC2" w:rsidRPr="004F4CD0" w:rsidRDefault="00382BC2" w:rsidP="00F51F12">
      <w:pPr>
        <w:numPr>
          <w:ilvl w:val="0"/>
          <w:numId w:val="42"/>
        </w:numPr>
        <w:ind w:left="567" w:hanging="567"/>
        <w:rPr>
          <w:lang w:val="es-ES_tradnl"/>
        </w:rPr>
      </w:pPr>
      <w:r w:rsidRPr="004F4CD0">
        <w:rPr>
          <w:lang w:val="es-ES_tradnl"/>
        </w:rPr>
        <w:t xml:space="preserve">Conservación de </w:t>
      </w:r>
      <w:r w:rsidR="0087684E" w:rsidRPr="004F4CD0">
        <w:rPr>
          <w:lang w:val="es-ES_tradnl"/>
        </w:rPr>
        <w:t>Stoboclo</w:t>
      </w:r>
    </w:p>
    <w:p w14:paraId="1D708AAE" w14:textId="77777777" w:rsidR="00382BC2" w:rsidRPr="004F4CD0" w:rsidRDefault="00382BC2" w:rsidP="00F51F12">
      <w:pPr>
        <w:numPr>
          <w:ilvl w:val="0"/>
          <w:numId w:val="42"/>
        </w:numPr>
        <w:ind w:left="567" w:hanging="567"/>
        <w:rPr>
          <w:lang w:val="es-ES_tradnl"/>
        </w:rPr>
      </w:pPr>
      <w:r w:rsidRPr="004F4CD0">
        <w:rPr>
          <w:lang w:val="es-ES_tradnl"/>
        </w:rPr>
        <w:t>Contenido del envase e información adicional</w:t>
      </w:r>
    </w:p>
    <w:p w14:paraId="0184ECA9" w14:textId="77777777" w:rsidR="00382BC2" w:rsidRPr="004F4CD0" w:rsidRDefault="00382BC2" w:rsidP="008B4ED7">
      <w:pPr>
        <w:numPr>
          <w:ilvl w:val="12"/>
          <w:numId w:val="0"/>
        </w:numPr>
        <w:rPr>
          <w:lang w:val="es-ES_tradnl"/>
        </w:rPr>
      </w:pPr>
    </w:p>
    <w:p w14:paraId="6377D2C1" w14:textId="77777777" w:rsidR="00513F9D" w:rsidRPr="004F4CD0" w:rsidRDefault="00513F9D" w:rsidP="008B4ED7">
      <w:pPr>
        <w:numPr>
          <w:ilvl w:val="12"/>
          <w:numId w:val="0"/>
        </w:numPr>
        <w:rPr>
          <w:lang w:val="es-ES_tradnl"/>
        </w:rPr>
      </w:pPr>
    </w:p>
    <w:p w14:paraId="06DD1B45" w14:textId="64D8F040" w:rsidR="00382BC2" w:rsidRPr="004F4CD0" w:rsidRDefault="00556CD9" w:rsidP="008B4ED7">
      <w:pPr>
        <w:keepNext/>
        <w:tabs>
          <w:tab w:val="clear" w:pos="567"/>
        </w:tabs>
        <w:ind w:left="567" w:hanging="567"/>
        <w:rPr>
          <w:b/>
          <w:lang w:val="es-ES_tradnl"/>
        </w:rPr>
      </w:pPr>
      <w:r w:rsidRPr="004F4CD0">
        <w:rPr>
          <w:b/>
          <w:lang w:val="es-ES_tradnl"/>
        </w:rPr>
        <w:t>1.</w:t>
      </w:r>
      <w:r w:rsidRPr="004F4CD0">
        <w:rPr>
          <w:b/>
          <w:lang w:val="es-ES_tradnl"/>
        </w:rPr>
        <w:tab/>
        <w:t xml:space="preserve">Qué es </w:t>
      </w:r>
      <w:r w:rsidR="0087684E" w:rsidRPr="004F4CD0">
        <w:rPr>
          <w:b/>
          <w:bCs/>
          <w:lang w:val="es-ES_tradnl"/>
        </w:rPr>
        <w:t xml:space="preserve">Stoboclo </w:t>
      </w:r>
      <w:r w:rsidRPr="004F4CD0">
        <w:rPr>
          <w:b/>
          <w:lang w:val="es-ES_tradnl"/>
        </w:rPr>
        <w:t>y para qué se utiliza</w:t>
      </w:r>
    </w:p>
    <w:p w14:paraId="6B6BED3F" w14:textId="77777777" w:rsidR="00382BC2" w:rsidRPr="004F4CD0" w:rsidRDefault="00382BC2" w:rsidP="008B4ED7">
      <w:pPr>
        <w:keepNext/>
        <w:rPr>
          <w:lang w:val="es-ES_tradnl"/>
        </w:rPr>
      </w:pPr>
    </w:p>
    <w:p w14:paraId="26797928" w14:textId="7185A761" w:rsidR="00382BC2" w:rsidRPr="004F4CD0" w:rsidRDefault="00382BC2" w:rsidP="00F51F12">
      <w:pPr>
        <w:keepNext/>
        <w:rPr>
          <w:b/>
          <w:bCs/>
          <w:lang w:val="es-ES_tradnl"/>
        </w:rPr>
      </w:pPr>
      <w:r w:rsidRPr="004F4CD0">
        <w:rPr>
          <w:b/>
          <w:lang w:val="es-ES_tradnl"/>
        </w:rPr>
        <w:t xml:space="preserve">Qué es </w:t>
      </w:r>
      <w:r w:rsidR="0087684E" w:rsidRPr="004F4CD0">
        <w:rPr>
          <w:b/>
          <w:bCs/>
          <w:lang w:val="es-ES_tradnl"/>
        </w:rPr>
        <w:t xml:space="preserve">Stoboclo </w:t>
      </w:r>
      <w:r w:rsidRPr="004F4CD0">
        <w:rPr>
          <w:b/>
          <w:lang w:val="es-ES_tradnl"/>
        </w:rPr>
        <w:t>y cómo funciona</w:t>
      </w:r>
    </w:p>
    <w:p w14:paraId="1D29C355" w14:textId="77777777" w:rsidR="00382BC2" w:rsidRPr="004F4CD0" w:rsidRDefault="00382BC2" w:rsidP="008B4ED7">
      <w:pPr>
        <w:keepNext/>
        <w:rPr>
          <w:lang w:val="es-ES_tradnl"/>
        </w:rPr>
      </w:pPr>
    </w:p>
    <w:p w14:paraId="66375883" w14:textId="71F1C1E5" w:rsidR="008603DE" w:rsidRPr="004F4CD0" w:rsidRDefault="0087684E" w:rsidP="008B4ED7">
      <w:pPr>
        <w:tabs>
          <w:tab w:val="clear" w:pos="567"/>
        </w:tabs>
        <w:rPr>
          <w:lang w:val="es-ES_tradnl"/>
        </w:rPr>
      </w:pPr>
      <w:r w:rsidRPr="004F4CD0">
        <w:rPr>
          <w:lang w:val="es-ES_tradnl"/>
        </w:rPr>
        <w:t xml:space="preserve">Stoboclo </w:t>
      </w:r>
      <w:r w:rsidR="00382BC2" w:rsidRPr="004F4CD0">
        <w:rPr>
          <w:lang w:val="es-ES_tradnl"/>
        </w:rPr>
        <w:t xml:space="preserve">contiene denosumab, una proteína (anticuerpo monoclonal) que interfiere en la acción de otra proteína con el objetivo de tratar la pérdida ósea y la osteoporosis. El tratamiento con </w:t>
      </w:r>
      <w:r w:rsidRPr="004F4CD0">
        <w:rPr>
          <w:lang w:val="es-ES_tradnl"/>
        </w:rPr>
        <w:t xml:space="preserve">Stoboclo </w:t>
      </w:r>
      <w:r w:rsidR="00382BC2" w:rsidRPr="004F4CD0">
        <w:rPr>
          <w:lang w:val="es-ES_tradnl"/>
        </w:rPr>
        <w:t>refuerza los huesos y reduce las posibilidades de fractura.</w:t>
      </w:r>
    </w:p>
    <w:p w14:paraId="744B821D" w14:textId="77777777" w:rsidR="00382BC2" w:rsidRPr="004F4CD0" w:rsidRDefault="00382BC2" w:rsidP="008B4ED7">
      <w:pPr>
        <w:tabs>
          <w:tab w:val="clear" w:pos="567"/>
        </w:tabs>
        <w:rPr>
          <w:lang w:val="es-ES_tradnl"/>
        </w:rPr>
      </w:pPr>
    </w:p>
    <w:p w14:paraId="0FCB7B4A" w14:textId="77777777" w:rsidR="00382BC2" w:rsidRPr="004F4CD0" w:rsidRDefault="00382BC2" w:rsidP="008B4ED7">
      <w:pPr>
        <w:tabs>
          <w:tab w:val="clear" w:pos="567"/>
        </w:tabs>
        <w:rPr>
          <w:lang w:val="es-ES_tradnl"/>
        </w:rPr>
      </w:pPr>
      <w:r w:rsidRPr="004F4CD0">
        <w:rPr>
          <w:lang w:val="es-ES_tradnl"/>
        </w:rPr>
        <w:t>El hueso es un tejido vivo que se renueva continuamente. Los estrógenos contribuyen a la conservación de la salud de los huesos. Después de la menopausia, el nivel de estrógenos desciende, lo que puede provocar que los huesos se vuelvan más finos y frágiles. A la larga esto puede provocar una enfermedad llamada osteoporosis. La osteoporosis también puede ocurrir en varones debido a varias causas incluyendo la edad y/o un nivel bajo de la hormona masculina, testosterona. También, se puede dar en pacientes en tratamiento con glucocorticoides. Muchos pacientes con osteoporosis no presentan síntomas, aunque siguen teniendo riesgo de fracturarse los huesos, sobre todo en la columna, la cadera y las muñecas.</w:t>
      </w:r>
    </w:p>
    <w:p w14:paraId="0C4576F7" w14:textId="77777777" w:rsidR="00382BC2" w:rsidRPr="004F4CD0" w:rsidRDefault="00382BC2" w:rsidP="008B4ED7">
      <w:pPr>
        <w:tabs>
          <w:tab w:val="clear" w:pos="567"/>
        </w:tabs>
        <w:rPr>
          <w:lang w:val="es-ES_tradnl"/>
        </w:rPr>
      </w:pPr>
    </w:p>
    <w:p w14:paraId="5FF1943B" w14:textId="77777777" w:rsidR="0083571E" w:rsidRPr="004F4CD0" w:rsidRDefault="00382BC2" w:rsidP="008B4ED7">
      <w:pPr>
        <w:tabs>
          <w:tab w:val="clear" w:pos="567"/>
        </w:tabs>
        <w:rPr>
          <w:lang w:val="es-ES_tradnl"/>
        </w:rPr>
      </w:pPr>
      <w:r w:rsidRPr="004F4CD0">
        <w:rPr>
          <w:lang w:val="es-ES_tradnl"/>
        </w:rPr>
        <w:t>Las intervenciones quirúrgicas o los medicamentos que detienen la producción de estrógeno o testosterona, utilizados para tratar pacientes con cáncer de próstata o de mama, también pueden provocar la pérdida ósea. Con ello, los huesos se hacen más débiles y se rompen con más facilidad.</w:t>
      </w:r>
    </w:p>
    <w:p w14:paraId="51D0859B" w14:textId="77777777" w:rsidR="00382BC2" w:rsidRPr="004F4CD0" w:rsidRDefault="00382BC2" w:rsidP="008B4ED7">
      <w:pPr>
        <w:tabs>
          <w:tab w:val="clear" w:pos="567"/>
        </w:tabs>
        <w:rPr>
          <w:lang w:val="es-ES_tradnl"/>
        </w:rPr>
      </w:pPr>
    </w:p>
    <w:p w14:paraId="47A273E9" w14:textId="62A869D2" w:rsidR="00382BC2" w:rsidRPr="004F4CD0" w:rsidRDefault="00382BC2" w:rsidP="00F51F12">
      <w:pPr>
        <w:keepNext/>
        <w:tabs>
          <w:tab w:val="clear" w:pos="567"/>
        </w:tabs>
        <w:rPr>
          <w:b/>
          <w:bCs/>
          <w:lang w:val="es-ES_tradnl"/>
        </w:rPr>
      </w:pPr>
      <w:r w:rsidRPr="004F4CD0">
        <w:rPr>
          <w:b/>
          <w:lang w:val="es-ES_tradnl"/>
        </w:rPr>
        <w:t xml:space="preserve">Para qué se utiliza </w:t>
      </w:r>
      <w:r w:rsidR="0087684E" w:rsidRPr="004F4CD0">
        <w:rPr>
          <w:b/>
          <w:bCs/>
          <w:lang w:val="es-ES_tradnl"/>
        </w:rPr>
        <w:t>Stoboclo</w:t>
      </w:r>
    </w:p>
    <w:p w14:paraId="3E457B00" w14:textId="77777777" w:rsidR="00382BC2" w:rsidRPr="004F4CD0" w:rsidRDefault="00382BC2" w:rsidP="008B4ED7">
      <w:pPr>
        <w:keepNext/>
        <w:rPr>
          <w:lang w:val="es-ES_tradnl"/>
        </w:rPr>
      </w:pPr>
    </w:p>
    <w:p w14:paraId="0A8C822D" w14:textId="71F09266" w:rsidR="008603DE" w:rsidRPr="004F4CD0" w:rsidRDefault="0087684E" w:rsidP="00F51F12">
      <w:pPr>
        <w:keepNext/>
        <w:tabs>
          <w:tab w:val="clear" w:pos="567"/>
        </w:tabs>
        <w:rPr>
          <w:lang w:val="es-ES_tradnl"/>
        </w:rPr>
      </w:pPr>
      <w:r w:rsidRPr="004F4CD0">
        <w:rPr>
          <w:lang w:val="es-ES_tradnl"/>
        </w:rPr>
        <w:t xml:space="preserve">Stoboclo </w:t>
      </w:r>
      <w:r w:rsidR="00382BC2" w:rsidRPr="004F4CD0">
        <w:rPr>
          <w:lang w:val="es-ES_tradnl"/>
        </w:rPr>
        <w:t>se utiliza para tratar:</w:t>
      </w:r>
    </w:p>
    <w:p w14:paraId="4B6A9D49" w14:textId="77777777" w:rsidR="00382BC2" w:rsidRPr="004F4CD0" w:rsidRDefault="00382BC2" w:rsidP="008B4ED7">
      <w:pPr>
        <w:numPr>
          <w:ilvl w:val="0"/>
          <w:numId w:val="54"/>
        </w:numPr>
        <w:tabs>
          <w:tab w:val="clear" w:pos="567"/>
        </w:tabs>
        <w:ind w:left="567" w:hanging="567"/>
        <w:rPr>
          <w:lang w:val="es-ES_tradnl"/>
        </w:rPr>
      </w:pPr>
      <w:r w:rsidRPr="004F4CD0">
        <w:rPr>
          <w:lang w:val="es-ES_tradnl"/>
        </w:rPr>
        <w:t>la osteoporosis posterior a la menopausia (posmenopáusica) en mujeres y en varones que tienen un riesgo incrementado de fractura (rotura de huesos), reduciendo el riesgo de fracturas de la cadera, de la columna y en localizaciones que no son la columna.</w:t>
      </w:r>
    </w:p>
    <w:p w14:paraId="5420E86A" w14:textId="77777777" w:rsidR="008603DE" w:rsidRPr="004F4CD0" w:rsidRDefault="00382BC2" w:rsidP="008B4ED7">
      <w:pPr>
        <w:numPr>
          <w:ilvl w:val="0"/>
          <w:numId w:val="54"/>
        </w:numPr>
        <w:tabs>
          <w:tab w:val="clear" w:pos="567"/>
        </w:tabs>
        <w:ind w:left="567" w:hanging="567"/>
        <w:rPr>
          <w:lang w:val="es-ES_tradnl"/>
        </w:rPr>
      </w:pPr>
      <w:r w:rsidRPr="004F4CD0">
        <w:rPr>
          <w:lang w:val="es-ES_tradnl"/>
        </w:rPr>
        <w:lastRenderedPageBreak/>
        <w:t>la pérdida ósea causada por la reducción del nivel hormonal (testosterona) como consecuencia de una operación quirúrgica o un tratamiento con medicamentos en pacientes con cáncer de próstata.</w:t>
      </w:r>
    </w:p>
    <w:p w14:paraId="2893A763" w14:textId="59AC20CB" w:rsidR="00382BC2" w:rsidRPr="004F4CD0" w:rsidRDefault="0081033D" w:rsidP="000D0706">
      <w:pPr>
        <w:numPr>
          <w:ilvl w:val="0"/>
          <w:numId w:val="54"/>
        </w:numPr>
        <w:tabs>
          <w:tab w:val="clear" w:pos="567"/>
        </w:tabs>
        <w:ind w:left="567" w:hanging="567"/>
        <w:rPr>
          <w:lang w:val="es-ES_tradnl"/>
        </w:rPr>
      </w:pPr>
      <w:r w:rsidRPr="004F4CD0">
        <w:rPr>
          <w:lang w:val="es-ES_tradnl"/>
        </w:rPr>
        <w:t>la pérdida ósea resultante del tratamiento a largo plazo con glucocorticoides en pacientes que tienen riesgo elevado de fractura.</w:t>
      </w:r>
    </w:p>
    <w:p w14:paraId="43894560" w14:textId="77777777" w:rsidR="00382BC2" w:rsidRPr="004F4CD0" w:rsidRDefault="00382BC2" w:rsidP="008B4ED7">
      <w:pPr>
        <w:numPr>
          <w:ilvl w:val="12"/>
          <w:numId w:val="0"/>
        </w:numPr>
        <w:rPr>
          <w:lang w:val="es-ES_tradnl"/>
        </w:rPr>
      </w:pPr>
    </w:p>
    <w:p w14:paraId="04374780" w14:textId="3B72E5BC" w:rsidR="008603DE" w:rsidRPr="004F4CD0" w:rsidRDefault="00382BC2" w:rsidP="008B4ED7">
      <w:pPr>
        <w:keepNext/>
        <w:tabs>
          <w:tab w:val="clear" w:pos="567"/>
        </w:tabs>
        <w:ind w:left="567" w:hanging="567"/>
        <w:rPr>
          <w:b/>
          <w:lang w:val="es-ES_tradnl"/>
        </w:rPr>
      </w:pPr>
      <w:r w:rsidRPr="004F4CD0">
        <w:rPr>
          <w:b/>
          <w:lang w:val="es-ES_tradnl"/>
        </w:rPr>
        <w:t>2.</w:t>
      </w:r>
      <w:r w:rsidRPr="004F4CD0">
        <w:rPr>
          <w:b/>
          <w:lang w:val="es-ES_tradnl"/>
        </w:rPr>
        <w:tab/>
        <w:t xml:space="preserve">Qué necesita saber antes de empezar a usar </w:t>
      </w:r>
      <w:r w:rsidR="0087684E" w:rsidRPr="004F4CD0">
        <w:rPr>
          <w:b/>
          <w:bCs/>
          <w:lang w:val="es-ES_tradnl" w:eastAsia="ko-KR"/>
        </w:rPr>
        <w:t>Stoboclo</w:t>
      </w:r>
    </w:p>
    <w:p w14:paraId="57BEA1E3" w14:textId="77777777" w:rsidR="00A8252F" w:rsidRPr="004F4CD0" w:rsidRDefault="00A8252F" w:rsidP="008B4ED7">
      <w:pPr>
        <w:keepNext/>
        <w:rPr>
          <w:lang w:val="es-ES_tradnl"/>
        </w:rPr>
      </w:pPr>
    </w:p>
    <w:p w14:paraId="475557A2" w14:textId="41E43CE8" w:rsidR="00382BC2" w:rsidRPr="004F4CD0" w:rsidRDefault="00382BC2" w:rsidP="00F51F12">
      <w:pPr>
        <w:keepNext/>
        <w:tabs>
          <w:tab w:val="clear" w:pos="567"/>
        </w:tabs>
        <w:rPr>
          <w:b/>
          <w:bCs/>
          <w:lang w:val="es-ES_tradnl"/>
        </w:rPr>
      </w:pPr>
      <w:r w:rsidRPr="004F4CD0">
        <w:rPr>
          <w:b/>
          <w:lang w:val="es-ES_tradnl"/>
        </w:rPr>
        <w:t xml:space="preserve">No use </w:t>
      </w:r>
      <w:r w:rsidR="0087684E" w:rsidRPr="004F4CD0">
        <w:rPr>
          <w:b/>
          <w:bCs/>
          <w:lang w:val="es-ES_tradnl" w:eastAsia="ko-KR"/>
        </w:rPr>
        <w:t>Stoboclo</w:t>
      </w:r>
      <w:r w:rsidRPr="004F4CD0">
        <w:rPr>
          <w:b/>
          <w:lang w:val="es-ES_tradnl"/>
        </w:rPr>
        <w:t>:</w:t>
      </w:r>
    </w:p>
    <w:p w14:paraId="300FB759" w14:textId="77777777" w:rsidR="00382BC2" w:rsidRPr="004F4CD0" w:rsidRDefault="00382BC2" w:rsidP="008B4ED7">
      <w:pPr>
        <w:keepNext/>
        <w:rPr>
          <w:lang w:val="es-ES_tradnl"/>
        </w:rPr>
      </w:pPr>
    </w:p>
    <w:p w14:paraId="65F98E79" w14:textId="77777777" w:rsidR="00382BC2" w:rsidRPr="004F4CD0" w:rsidRDefault="00382BC2" w:rsidP="008B4ED7">
      <w:pPr>
        <w:numPr>
          <w:ilvl w:val="0"/>
          <w:numId w:val="54"/>
        </w:numPr>
        <w:tabs>
          <w:tab w:val="clear" w:pos="567"/>
        </w:tabs>
        <w:ind w:left="567" w:hanging="567"/>
        <w:rPr>
          <w:lang w:val="es-ES_tradnl"/>
        </w:rPr>
      </w:pPr>
      <w:r w:rsidRPr="004F4CD0">
        <w:rPr>
          <w:lang w:val="es-ES_tradnl"/>
        </w:rPr>
        <w:t>si tiene niveles bajos de calcio en la sangre (hipocalcemia).</w:t>
      </w:r>
    </w:p>
    <w:p w14:paraId="31DB9A30" w14:textId="77777777" w:rsidR="00382BC2" w:rsidRPr="004F4CD0" w:rsidRDefault="00382BC2" w:rsidP="008B4ED7">
      <w:pPr>
        <w:numPr>
          <w:ilvl w:val="0"/>
          <w:numId w:val="54"/>
        </w:numPr>
        <w:tabs>
          <w:tab w:val="clear" w:pos="567"/>
        </w:tabs>
        <w:ind w:left="567" w:hanging="567"/>
        <w:rPr>
          <w:lang w:val="es-ES_tradnl"/>
        </w:rPr>
      </w:pPr>
      <w:r w:rsidRPr="004F4CD0">
        <w:rPr>
          <w:lang w:val="es-ES_tradnl"/>
        </w:rPr>
        <w:t>si es alérgico a denosumab o a cualquiera de los demás componentes de este medicamento (incluidos en la sección 6).</w:t>
      </w:r>
    </w:p>
    <w:p w14:paraId="50B7024C" w14:textId="77777777" w:rsidR="00382BC2" w:rsidRPr="004F4CD0" w:rsidRDefault="00382BC2" w:rsidP="008B4ED7">
      <w:pPr>
        <w:numPr>
          <w:ilvl w:val="12"/>
          <w:numId w:val="0"/>
        </w:numPr>
        <w:ind w:right="-2"/>
        <w:rPr>
          <w:lang w:val="es-ES_tradnl"/>
        </w:rPr>
      </w:pPr>
    </w:p>
    <w:p w14:paraId="17DFF5CE" w14:textId="77777777" w:rsidR="00382BC2" w:rsidRPr="004F4CD0" w:rsidRDefault="00382BC2" w:rsidP="00F51F12">
      <w:pPr>
        <w:keepNext/>
        <w:tabs>
          <w:tab w:val="clear" w:pos="567"/>
        </w:tabs>
        <w:rPr>
          <w:b/>
          <w:bCs/>
          <w:lang w:val="es-ES_tradnl"/>
        </w:rPr>
      </w:pPr>
      <w:r w:rsidRPr="004F4CD0">
        <w:rPr>
          <w:b/>
          <w:lang w:val="es-ES_tradnl"/>
        </w:rPr>
        <w:t>Advertencias y precauciones</w:t>
      </w:r>
    </w:p>
    <w:p w14:paraId="05E58B4C" w14:textId="77777777" w:rsidR="00382BC2" w:rsidRPr="004F4CD0" w:rsidRDefault="00382BC2" w:rsidP="008B4ED7">
      <w:pPr>
        <w:keepNext/>
        <w:rPr>
          <w:lang w:val="es-ES_tradnl"/>
        </w:rPr>
      </w:pPr>
    </w:p>
    <w:p w14:paraId="521DA392" w14:textId="6C01616D" w:rsidR="008603DE" w:rsidRPr="004F4CD0" w:rsidRDefault="00382BC2" w:rsidP="008B4ED7">
      <w:pPr>
        <w:tabs>
          <w:tab w:val="clear" w:pos="567"/>
        </w:tabs>
        <w:rPr>
          <w:lang w:val="es-ES_tradnl"/>
        </w:rPr>
      </w:pPr>
      <w:r w:rsidRPr="004F4CD0">
        <w:rPr>
          <w:lang w:val="es-ES_tradnl"/>
        </w:rPr>
        <w:t xml:space="preserve">Consulte a su médico o farmacéutico antes de empezar a usar </w:t>
      </w:r>
      <w:r w:rsidR="0087684E" w:rsidRPr="004F4CD0">
        <w:rPr>
          <w:lang w:val="es-ES_tradnl"/>
        </w:rPr>
        <w:t>Stoboclo</w:t>
      </w:r>
      <w:r w:rsidRPr="004F4CD0">
        <w:rPr>
          <w:lang w:val="es-ES_tradnl"/>
        </w:rPr>
        <w:t>.</w:t>
      </w:r>
    </w:p>
    <w:p w14:paraId="56190462" w14:textId="77777777" w:rsidR="00382BC2" w:rsidRPr="004F4CD0" w:rsidRDefault="00382BC2" w:rsidP="008B4ED7">
      <w:pPr>
        <w:tabs>
          <w:tab w:val="clear" w:pos="567"/>
        </w:tabs>
        <w:rPr>
          <w:lang w:val="es-ES_tradnl"/>
        </w:rPr>
      </w:pPr>
    </w:p>
    <w:p w14:paraId="18CA1678" w14:textId="0C0387F0" w:rsidR="00382BC2" w:rsidRPr="004F4CD0" w:rsidRDefault="00D0743B" w:rsidP="008B4ED7">
      <w:pPr>
        <w:tabs>
          <w:tab w:val="clear" w:pos="567"/>
        </w:tabs>
        <w:rPr>
          <w:lang w:val="es-ES_tradnl"/>
        </w:rPr>
      </w:pPr>
      <w:r w:rsidRPr="004F4CD0">
        <w:rPr>
          <w:lang w:val="es-ES_tradnl"/>
        </w:rPr>
        <w:t xml:space="preserve">Durante el tratamiento con </w:t>
      </w:r>
      <w:r w:rsidR="0087684E" w:rsidRPr="004F4CD0">
        <w:rPr>
          <w:lang w:val="es-ES_tradnl"/>
        </w:rPr>
        <w:t xml:space="preserve">Stoboclo </w:t>
      </w:r>
      <w:r w:rsidRPr="004F4CD0">
        <w:rPr>
          <w:lang w:val="es-ES_tradnl"/>
        </w:rPr>
        <w:t>usted podría desarrollar una infección de la piel con síntomas como una zona inflamada y enrojecida en la piel, más frecuentemente en la parte inferior de la pierna, que nota caliente y sensible al tacto (celulitis), y que puede ir acompañada de fiebre. Informe a su médico inmediatamente si presenta cualquiera de estos síntomas.</w:t>
      </w:r>
    </w:p>
    <w:p w14:paraId="1DD31A89" w14:textId="77777777" w:rsidR="00382BC2" w:rsidRPr="004F4CD0" w:rsidRDefault="00382BC2" w:rsidP="008B4ED7">
      <w:pPr>
        <w:tabs>
          <w:tab w:val="clear" w:pos="567"/>
        </w:tabs>
        <w:rPr>
          <w:lang w:val="es-ES_tradnl"/>
        </w:rPr>
      </w:pPr>
    </w:p>
    <w:p w14:paraId="46ADAC32" w14:textId="7E82C70B" w:rsidR="00420B9A" w:rsidRPr="004F4CD0" w:rsidRDefault="00420B9A" w:rsidP="008B4ED7">
      <w:pPr>
        <w:tabs>
          <w:tab w:val="clear" w:pos="567"/>
        </w:tabs>
        <w:rPr>
          <w:lang w:val="es-ES_tradnl"/>
        </w:rPr>
      </w:pPr>
      <w:r w:rsidRPr="004F4CD0">
        <w:rPr>
          <w:lang w:val="es-ES_tradnl"/>
        </w:rPr>
        <w:t xml:space="preserve">Además, debe tomar suplementos de calcio y vitamina D durante el tratamiento con </w:t>
      </w:r>
      <w:r w:rsidR="0087684E" w:rsidRPr="004F4CD0">
        <w:rPr>
          <w:lang w:val="es-ES_tradnl"/>
        </w:rPr>
        <w:t>Stoboclo</w:t>
      </w:r>
      <w:r w:rsidRPr="004F4CD0">
        <w:rPr>
          <w:lang w:val="es-ES_tradnl"/>
        </w:rPr>
        <w:t>. Su médico le comentará este aspecto.</w:t>
      </w:r>
    </w:p>
    <w:p w14:paraId="0FB3DD5F" w14:textId="77777777" w:rsidR="00420B9A" w:rsidRPr="004F4CD0" w:rsidRDefault="00420B9A" w:rsidP="008B4ED7">
      <w:pPr>
        <w:tabs>
          <w:tab w:val="clear" w:pos="567"/>
        </w:tabs>
        <w:rPr>
          <w:lang w:val="es-ES_tradnl"/>
        </w:rPr>
      </w:pPr>
    </w:p>
    <w:p w14:paraId="02404BE0" w14:textId="7A1AEE6C" w:rsidR="00420B9A" w:rsidRPr="004F4CD0" w:rsidRDefault="00D0743B" w:rsidP="008B4ED7">
      <w:pPr>
        <w:tabs>
          <w:tab w:val="clear" w:pos="567"/>
        </w:tabs>
        <w:rPr>
          <w:lang w:val="es-ES_tradnl"/>
        </w:rPr>
      </w:pPr>
      <w:r w:rsidRPr="004F4CD0">
        <w:rPr>
          <w:lang w:val="es-ES_tradnl"/>
        </w:rPr>
        <w:t xml:space="preserve">Mientras está recibiendo </w:t>
      </w:r>
      <w:r w:rsidR="0087684E" w:rsidRPr="004F4CD0">
        <w:rPr>
          <w:lang w:val="es-ES_tradnl"/>
        </w:rPr>
        <w:t xml:space="preserve">Stoboclo </w:t>
      </w:r>
      <w:r w:rsidRPr="004F4CD0">
        <w:rPr>
          <w:lang w:val="es-ES_tradnl"/>
        </w:rPr>
        <w:t>podría presentar niveles bajos de calcio en la sangre. Informe a su médico inmediatamente si nota cualquiera de los siguientes síntomas: espasmos, contracciones o calambres musculares, y/o entumecimiento u hormigueo en los dedos de las manos, de los pies o alrededor de la boca, y/o convulsiones, confusión o pérdida de la conciencia.</w:t>
      </w:r>
    </w:p>
    <w:p w14:paraId="77AB72FD" w14:textId="77777777" w:rsidR="00420B9A" w:rsidRPr="004F4CD0" w:rsidRDefault="00420B9A" w:rsidP="008B4ED7">
      <w:pPr>
        <w:tabs>
          <w:tab w:val="clear" w:pos="567"/>
        </w:tabs>
        <w:rPr>
          <w:lang w:val="es-ES_tradnl"/>
        </w:rPr>
      </w:pPr>
    </w:p>
    <w:p w14:paraId="207A014E" w14:textId="77777777" w:rsidR="004030F8" w:rsidRPr="004F4CD0" w:rsidRDefault="004030F8" w:rsidP="004030F8">
      <w:pPr>
        <w:tabs>
          <w:tab w:val="clear" w:pos="567"/>
        </w:tabs>
        <w:rPr>
          <w:lang w:val="es-ES_tradnl"/>
        </w:rPr>
      </w:pPr>
      <w:r w:rsidRPr="004F4CD0">
        <w:rPr>
          <w:lang w:val="es-ES_tradnl"/>
        </w:rPr>
        <w:t>En raras ocasiones, se han notificado casos de niveles muy bajos de calcio en sangre que han requerido hospitalización e, incluso, reacciones potencialmente mortales. Por lo tanto, antes de la administración de cada dosis y, en pacientes con predisposición a la hipocalcemia, en un plazo de dos semanas tras la dosis inicial, se comprobarán sus niveles de calcio en sangre (mediante un análisis de sangre).</w:t>
      </w:r>
    </w:p>
    <w:p w14:paraId="66BE679C" w14:textId="77777777" w:rsidR="005023EA" w:rsidRPr="004F4CD0" w:rsidRDefault="005023EA" w:rsidP="008B4ED7">
      <w:pPr>
        <w:tabs>
          <w:tab w:val="clear" w:pos="567"/>
        </w:tabs>
        <w:rPr>
          <w:lang w:val="es-ES_tradnl"/>
        </w:rPr>
      </w:pPr>
    </w:p>
    <w:p w14:paraId="076750F9" w14:textId="44B4CA37" w:rsidR="008603DE" w:rsidRPr="004F4CD0" w:rsidRDefault="00CD0319" w:rsidP="008B4ED7">
      <w:pPr>
        <w:tabs>
          <w:tab w:val="clear" w:pos="567"/>
        </w:tabs>
        <w:rPr>
          <w:lang w:val="es-ES_tradnl"/>
        </w:rPr>
      </w:pPr>
      <w:r w:rsidRPr="004F4CD0">
        <w:rPr>
          <w:lang w:val="es-ES_tradnl"/>
        </w:rPr>
        <w:t>Informe a su médico si tiene o ha tenido problemas renales graves, insuficiencia renal, si ha necesitado someterse a diálisis o si está tomando medicamentos llamados glucocorticoides (como prednisolona o dexametasona), ya que podrían incrementar el riesgo de tener niveles bajos de calcio en sangre si no toma suplementos de calcio.</w:t>
      </w:r>
    </w:p>
    <w:p w14:paraId="219A0AA5" w14:textId="77777777" w:rsidR="00252372" w:rsidRPr="004F4CD0" w:rsidRDefault="00252372" w:rsidP="008B4ED7">
      <w:pPr>
        <w:tabs>
          <w:tab w:val="clear" w:pos="567"/>
        </w:tabs>
        <w:rPr>
          <w:lang w:val="es-ES_tradnl"/>
        </w:rPr>
      </w:pPr>
    </w:p>
    <w:p w14:paraId="2D971989" w14:textId="77777777" w:rsidR="008603DE" w:rsidRPr="004F4CD0" w:rsidRDefault="00782678" w:rsidP="008B4ED7">
      <w:pPr>
        <w:keepNext/>
        <w:rPr>
          <w:u w:val="single"/>
          <w:lang w:val="es-ES_tradnl"/>
        </w:rPr>
      </w:pPr>
      <w:r w:rsidRPr="004F4CD0">
        <w:rPr>
          <w:u w:val="single"/>
          <w:lang w:val="es-ES_tradnl"/>
        </w:rPr>
        <w:t>Problemas en la boca, dientes o mandíbula</w:t>
      </w:r>
    </w:p>
    <w:p w14:paraId="18BB5C16" w14:textId="7639A822" w:rsidR="0083571E" w:rsidRPr="004F4CD0" w:rsidRDefault="0083571E" w:rsidP="008B4ED7">
      <w:pPr>
        <w:tabs>
          <w:tab w:val="clear" w:pos="567"/>
        </w:tabs>
        <w:rPr>
          <w:lang w:val="es-ES_tradnl"/>
        </w:rPr>
      </w:pPr>
      <w:r w:rsidRPr="004F4CD0">
        <w:rPr>
          <w:lang w:val="es-ES_tradnl"/>
        </w:rPr>
        <w:t xml:space="preserve">En pacientes que reciben </w:t>
      </w:r>
      <w:r w:rsidR="0087684E" w:rsidRPr="004F4CD0">
        <w:rPr>
          <w:lang w:val="es-ES_tradnl"/>
        </w:rPr>
        <w:t xml:space="preserve">denosumab </w:t>
      </w:r>
      <w:r w:rsidRPr="004F4CD0">
        <w:rPr>
          <w:lang w:val="es-ES_tradnl"/>
        </w:rPr>
        <w:t>para la osteoporosis se ha notificado en raras ocasiones (puede afectar hasta 1 de cada 1.000 personas) un efecto adverso llamado osteonecrosis mandibular (ONM) (daño en el hueso de la mandíbula). El riesgo de ONM aumenta en pacientes tratados durante mucho tiempo (puede afectar hasta 1 de cada 200 personas si son tratadas durante 10 años). La ONM también puede ocurrir después de interrumpir el tratamiento. Es importante intentar prevenir el desarrollo de la ONM ya que puede ser una afección dolorosa que puede ser difícil de tratar. Para reducir el riesgo de desarrollar ONM, siga estas precauciones:</w:t>
      </w:r>
    </w:p>
    <w:p w14:paraId="66C87E1F" w14:textId="77777777" w:rsidR="0083571E" w:rsidRPr="004F4CD0" w:rsidRDefault="0083571E" w:rsidP="008B4ED7">
      <w:pPr>
        <w:tabs>
          <w:tab w:val="clear" w:pos="567"/>
        </w:tabs>
        <w:rPr>
          <w:lang w:val="es-ES_tradnl"/>
        </w:rPr>
      </w:pPr>
    </w:p>
    <w:p w14:paraId="349B6C11" w14:textId="77777777" w:rsidR="0083571E" w:rsidRPr="004F4CD0" w:rsidRDefault="0083571E" w:rsidP="00F51F12">
      <w:pPr>
        <w:keepNext/>
        <w:tabs>
          <w:tab w:val="clear" w:pos="567"/>
        </w:tabs>
        <w:rPr>
          <w:lang w:val="es-ES_tradnl"/>
        </w:rPr>
      </w:pPr>
      <w:r w:rsidRPr="004F4CD0">
        <w:rPr>
          <w:lang w:val="es-ES_tradnl"/>
        </w:rPr>
        <w:t>Antes de recibir el tratamiento, informe a su médico o enfermero (profesional sanitario) si:</w:t>
      </w:r>
    </w:p>
    <w:p w14:paraId="498D84DE" w14:textId="77777777" w:rsidR="0083571E" w:rsidRPr="004F4CD0" w:rsidRDefault="0083571E" w:rsidP="00F51F12">
      <w:pPr>
        <w:keepNext/>
        <w:tabs>
          <w:tab w:val="clear" w:pos="567"/>
        </w:tabs>
        <w:rPr>
          <w:lang w:val="es-ES_tradnl"/>
        </w:rPr>
      </w:pPr>
    </w:p>
    <w:p w14:paraId="552F176F" w14:textId="77777777" w:rsidR="0083571E" w:rsidRPr="004F4CD0" w:rsidRDefault="0083571E" w:rsidP="008B4ED7">
      <w:pPr>
        <w:numPr>
          <w:ilvl w:val="0"/>
          <w:numId w:val="54"/>
        </w:numPr>
        <w:tabs>
          <w:tab w:val="clear" w:pos="567"/>
        </w:tabs>
        <w:ind w:left="567" w:hanging="567"/>
        <w:rPr>
          <w:lang w:val="es-ES_tradnl"/>
        </w:rPr>
      </w:pPr>
      <w:r w:rsidRPr="004F4CD0">
        <w:rPr>
          <w:lang w:val="es-ES_tradnl"/>
        </w:rPr>
        <w:t>tiene algún problema en su boca o dientes como mala salud dental, enfermedad de las encías, o una extracción dental planeada.</w:t>
      </w:r>
    </w:p>
    <w:p w14:paraId="0AA2CE8D" w14:textId="77777777" w:rsidR="0083571E" w:rsidRPr="004F4CD0" w:rsidRDefault="0083571E" w:rsidP="008B4ED7">
      <w:pPr>
        <w:numPr>
          <w:ilvl w:val="0"/>
          <w:numId w:val="54"/>
        </w:numPr>
        <w:tabs>
          <w:tab w:val="clear" w:pos="567"/>
        </w:tabs>
        <w:ind w:left="567" w:hanging="567"/>
        <w:rPr>
          <w:lang w:val="es-ES_tradnl"/>
        </w:rPr>
      </w:pPr>
      <w:r w:rsidRPr="004F4CD0">
        <w:rPr>
          <w:lang w:val="es-ES_tradnl"/>
        </w:rPr>
        <w:t>no recibe revisiones dentales periódicas o hace tiempo que no se ha sometido a una revisión dental.</w:t>
      </w:r>
    </w:p>
    <w:p w14:paraId="22DAA6CE" w14:textId="77777777" w:rsidR="0083571E" w:rsidRPr="004F4CD0" w:rsidRDefault="0083571E" w:rsidP="008B4ED7">
      <w:pPr>
        <w:numPr>
          <w:ilvl w:val="0"/>
          <w:numId w:val="54"/>
        </w:numPr>
        <w:tabs>
          <w:tab w:val="clear" w:pos="567"/>
        </w:tabs>
        <w:ind w:left="567" w:hanging="567"/>
        <w:rPr>
          <w:lang w:val="es-ES_tradnl"/>
        </w:rPr>
      </w:pPr>
      <w:r w:rsidRPr="004F4CD0">
        <w:rPr>
          <w:lang w:val="es-ES_tradnl"/>
        </w:rPr>
        <w:t>es fumador (ya que puede incrementar el riesgo de problemas dentales).</w:t>
      </w:r>
    </w:p>
    <w:p w14:paraId="393DED6D" w14:textId="77777777" w:rsidR="0083571E" w:rsidRPr="004F4CD0" w:rsidRDefault="0083571E" w:rsidP="008B4ED7">
      <w:pPr>
        <w:numPr>
          <w:ilvl w:val="0"/>
          <w:numId w:val="54"/>
        </w:numPr>
        <w:tabs>
          <w:tab w:val="clear" w:pos="567"/>
        </w:tabs>
        <w:ind w:left="567" w:hanging="567"/>
        <w:rPr>
          <w:lang w:val="es-ES_tradnl"/>
        </w:rPr>
      </w:pPr>
      <w:r w:rsidRPr="004F4CD0">
        <w:rPr>
          <w:lang w:val="es-ES_tradnl"/>
        </w:rPr>
        <w:lastRenderedPageBreak/>
        <w:t>ha estado tratado previamente con un bisfosfonato (utilizado para prevenir o tratar trastornos óseos).</w:t>
      </w:r>
    </w:p>
    <w:p w14:paraId="17CA381B" w14:textId="7D53304B" w:rsidR="0083571E" w:rsidRPr="004F4CD0" w:rsidRDefault="0083571E" w:rsidP="008B4ED7">
      <w:pPr>
        <w:numPr>
          <w:ilvl w:val="0"/>
          <w:numId w:val="54"/>
        </w:numPr>
        <w:tabs>
          <w:tab w:val="clear" w:pos="567"/>
        </w:tabs>
        <w:ind w:left="567" w:hanging="567"/>
        <w:rPr>
          <w:lang w:val="es-ES_tradnl"/>
        </w:rPr>
      </w:pPr>
      <w:r w:rsidRPr="004F4CD0">
        <w:rPr>
          <w:lang w:val="es-ES_tradnl"/>
        </w:rPr>
        <w:t>está tomando medicamentos llamados corticosteroides (como prednisolona o dexametasona).</w:t>
      </w:r>
    </w:p>
    <w:p w14:paraId="43D71E8D" w14:textId="25FE3B60" w:rsidR="0083571E" w:rsidRPr="004F4CD0" w:rsidRDefault="0083571E" w:rsidP="008B4ED7">
      <w:pPr>
        <w:numPr>
          <w:ilvl w:val="0"/>
          <w:numId w:val="54"/>
        </w:numPr>
        <w:tabs>
          <w:tab w:val="clear" w:pos="567"/>
        </w:tabs>
        <w:ind w:left="567" w:hanging="567"/>
        <w:rPr>
          <w:lang w:val="es-ES_tradnl"/>
        </w:rPr>
      </w:pPr>
      <w:r w:rsidRPr="004F4CD0">
        <w:rPr>
          <w:lang w:val="es-ES_tradnl"/>
        </w:rPr>
        <w:t>tiene cáncer.</w:t>
      </w:r>
    </w:p>
    <w:p w14:paraId="2EBBF0A6" w14:textId="77777777" w:rsidR="0083571E" w:rsidRPr="004F4CD0" w:rsidRDefault="0083571E" w:rsidP="008B4ED7">
      <w:pPr>
        <w:tabs>
          <w:tab w:val="clear" w:pos="567"/>
        </w:tabs>
        <w:rPr>
          <w:lang w:val="es-ES_tradnl"/>
        </w:rPr>
      </w:pPr>
    </w:p>
    <w:p w14:paraId="7B0BD995" w14:textId="1D257284" w:rsidR="00D5172C" w:rsidRPr="004F4CD0" w:rsidRDefault="00D5172C" w:rsidP="000D0706">
      <w:pPr>
        <w:rPr>
          <w:lang w:val="es-ES_tradnl"/>
        </w:rPr>
      </w:pPr>
      <w:r w:rsidRPr="004F4CD0">
        <w:rPr>
          <w:lang w:val="es-ES_tradnl"/>
        </w:rPr>
        <w:t xml:space="preserve">Su médico puede pedirle que se someta a una revisión dental antes de iniciar el tratamiento con </w:t>
      </w:r>
      <w:r w:rsidR="0087684E" w:rsidRPr="004F4CD0">
        <w:rPr>
          <w:lang w:val="es-ES_tradnl"/>
        </w:rPr>
        <w:t>Stoboclo</w:t>
      </w:r>
      <w:r w:rsidRPr="004F4CD0">
        <w:rPr>
          <w:lang w:val="es-ES_tradnl"/>
        </w:rPr>
        <w:t>.</w:t>
      </w:r>
    </w:p>
    <w:p w14:paraId="10A71BB3" w14:textId="77777777" w:rsidR="00D5172C" w:rsidRPr="004F4CD0" w:rsidRDefault="00D5172C" w:rsidP="008B4ED7">
      <w:pPr>
        <w:tabs>
          <w:tab w:val="clear" w:pos="567"/>
        </w:tabs>
        <w:rPr>
          <w:lang w:val="es-ES_tradnl"/>
        </w:rPr>
      </w:pPr>
    </w:p>
    <w:p w14:paraId="75DE4B29" w14:textId="5F015004" w:rsidR="002578B0" w:rsidRPr="004F4CD0" w:rsidRDefault="0083571E" w:rsidP="008B4ED7">
      <w:pPr>
        <w:tabs>
          <w:tab w:val="clear" w:pos="567"/>
        </w:tabs>
        <w:rPr>
          <w:lang w:val="es-ES_tradnl"/>
        </w:rPr>
      </w:pPr>
      <w:r w:rsidRPr="004F4CD0">
        <w:rPr>
          <w:lang w:val="es-ES_tradnl"/>
        </w:rPr>
        <w:t xml:space="preserve">Durante el tratamiento con </w:t>
      </w:r>
      <w:r w:rsidR="0087684E" w:rsidRPr="004F4CD0">
        <w:rPr>
          <w:lang w:val="es-ES_tradnl"/>
        </w:rPr>
        <w:t>Stoboclo</w:t>
      </w:r>
      <w:r w:rsidRPr="004F4CD0">
        <w:rPr>
          <w:lang w:val="es-ES_tradnl"/>
        </w:rPr>
        <w:t xml:space="preserve">, debe mantener una buena higiene bucal y someterse a revisiones dentales rutinarias. Si utiliza prótesis dental debe asegurarse de que esta se ajuste adecuadamente. Si está en tratamiento dental o se va a someter a cirugía dental (p. ej. extracciones dentales), informe a su médico sobre su tratamiento dental e informe a su dentista que está en tratamiento con </w:t>
      </w:r>
      <w:r w:rsidR="0087684E" w:rsidRPr="004F4CD0">
        <w:rPr>
          <w:lang w:val="es-ES_tradnl"/>
        </w:rPr>
        <w:t>Stoboclo</w:t>
      </w:r>
      <w:r w:rsidRPr="004F4CD0">
        <w:rPr>
          <w:lang w:val="es-ES_tradnl"/>
        </w:rPr>
        <w:t>.</w:t>
      </w:r>
    </w:p>
    <w:p w14:paraId="6BF65961" w14:textId="77777777" w:rsidR="002578B0" w:rsidRPr="004F4CD0" w:rsidRDefault="002578B0" w:rsidP="008B4ED7">
      <w:pPr>
        <w:tabs>
          <w:tab w:val="clear" w:pos="567"/>
        </w:tabs>
        <w:rPr>
          <w:lang w:val="es-ES_tradnl"/>
        </w:rPr>
      </w:pPr>
    </w:p>
    <w:p w14:paraId="64CFD73F" w14:textId="77777777" w:rsidR="008603DE" w:rsidRPr="004F4CD0" w:rsidRDefault="0083571E" w:rsidP="008B4ED7">
      <w:pPr>
        <w:tabs>
          <w:tab w:val="clear" w:pos="567"/>
        </w:tabs>
        <w:rPr>
          <w:lang w:val="es-ES_tradnl"/>
        </w:rPr>
      </w:pPr>
      <w:r w:rsidRPr="004F4CD0">
        <w:rPr>
          <w:lang w:val="es-ES_tradnl"/>
        </w:rPr>
        <w:t>Contacte con su médico y su dentista inmediatamente si experimenta cualquier problema en su boca o dientes como dientes móviles, dolor o inflamación, o úlceras que no curan o que supuran, ya que podrían ser síntomas de ONM.</w:t>
      </w:r>
    </w:p>
    <w:p w14:paraId="14817337" w14:textId="77777777" w:rsidR="00A115D1" w:rsidRPr="004F4CD0" w:rsidRDefault="00A115D1" w:rsidP="008B4ED7">
      <w:pPr>
        <w:tabs>
          <w:tab w:val="clear" w:pos="567"/>
        </w:tabs>
        <w:rPr>
          <w:lang w:val="es-ES_tradnl"/>
        </w:rPr>
      </w:pPr>
    </w:p>
    <w:p w14:paraId="452DCAF7" w14:textId="77777777" w:rsidR="00284A41" w:rsidRPr="004F4CD0" w:rsidRDefault="00284A41" w:rsidP="008B4ED7">
      <w:pPr>
        <w:keepNext/>
        <w:rPr>
          <w:u w:val="single"/>
          <w:lang w:val="es-ES_tradnl"/>
        </w:rPr>
      </w:pPr>
      <w:r w:rsidRPr="004F4CD0">
        <w:rPr>
          <w:u w:val="single"/>
          <w:lang w:val="es-ES_tradnl"/>
        </w:rPr>
        <w:t>Fracturas inusuales del fémur</w:t>
      </w:r>
    </w:p>
    <w:p w14:paraId="08D0323C" w14:textId="5067A3E3" w:rsidR="00284A41" w:rsidRPr="004F4CD0" w:rsidRDefault="00284A41" w:rsidP="008B4ED7">
      <w:pPr>
        <w:tabs>
          <w:tab w:val="clear" w:pos="567"/>
        </w:tabs>
        <w:rPr>
          <w:lang w:val="es-ES_tradnl"/>
        </w:rPr>
      </w:pPr>
      <w:r w:rsidRPr="004F4CD0">
        <w:rPr>
          <w:lang w:val="es-ES_tradnl"/>
        </w:rPr>
        <w:t xml:space="preserve">Algunas personas han desarrollado fracturas inusuales en el fémur mientras estaban en tratamiento con </w:t>
      </w:r>
      <w:r w:rsidR="0087684E" w:rsidRPr="004F4CD0">
        <w:rPr>
          <w:lang w:val="es-ES_tradnl"/>
        </w:rPr>
        <w:t>denosumab</w:t>
      </w:r>
      <w:r w:rsidRPr="004F4CD0">
        <w:rPr>
          <w:lang w:val="es-ES_tradnl"/>
        </w:rPr>
        <w:t>. Consulte con su médico si sufre un dolor nuevo o inusual en la cadera, ingle o muslo.</w:t>
      </w:r>
    </w:p>
    <w:p w14:paraId="3623ECBB" w14:textId="77777777" w:rsidR="00284A41" w:rsidRPr="004F4CD0" w:rsidRDefault="00284A41" w:rsidP="008B4ED7">
      <w:pPr>
        <w:tabs>
          <w:tab w:val="clear" w:pos="567"/>
        </w:tabs>
        <w:rPr>
          <w:lang w:val="es-ES_tradnl"/>
        </w:rPr>
      </w:pPr>
    </w:p>
    <w:p w14:paraId="1B3D9FF9" w14:textId="77777777" w:rsidR="00382BC2" w:rsidRPr="004F4CD0" w:rsidRDefault="00382BC2" w:rsidP="00F51F12">
      <w:pPr>
        <w:keepNext/>
        <w:tabs>
          <w:tab w:val="clear" w:pos="567"/>
        </w:tabs>
        <w:rPr>
          <w:b/>
          <w:bCs/>
          <w:lang w:val="es-ES_tradnl"/>
        </w:rPr>
      </w:pPr>
      <w:r w:rsidRPr="004F4CD0">
        <w:rPr>
          <w:b/>
          <w:lang w:val="es-ES_tradnl"/>
        </w:rPr>
        <w:t>Niños y adolescentes</w:t>
      </w:r>
    </w:p>
    <w:p w14:paraId="262EC55C" w14:textId="77777777" w:rsidR="00382BC2" w:rsidRPr="004F4CD0" w:rsidRDefault="00382BC2" w:rsidP="008B4ED7">
      <w:pPr>
        <w:keepNext/>
        <w:rPr>
          <w:lang w:val="es-ES_tradnl"/>
        </w:rPr>
      </w:pPr>
    </w:p>
    <w:p w14:paraId="0472D988" w14:textId="33070DAA" w:rsidR="00BE67EE" w:rsidRPr="004F4CD0" w:rsidRDefault="0087684E" w:rsidP="00BE67EE">
      <w:pPr>
        <w:rPr>
          <w:lang w:val="es-ES_tradnl"/>
        </w:rPr>
      </w:pPr>
      <w:r w:rsidRPr="004F4CD0">
        <w:rPr>
          <w:lang w:val="es-ES_tradnl"/>
        </w:rPr>
        <w:t xml:space="preserve">Stoboclo </w:t>
      </w:r>
      <w:r w:rsidR="00BE67EE" w:rsidRPr="004F4CD0">
        <w:rPr>
          <w:lang w:val="es-ES_tradnl"/>
        </w:rPr>
        <w:t xml:space="preserve">no debería utilizarse en menores de 18 años de edad. </w:t>
      </w:r>
    </w:p>
    <w:p w14:paraId="64F781D2" w14:textId="77777777" w:rsidR="00382BC2" w:rsidRPr="004F4CD0" w:rsidRDefault="00382BC2" w:rsidP="008B4ED7">
      <w:pPr>
        <w:rPr>
          <w:lang w:val="es-ES_tradnl"/>
        </w:rPr>
      </w:pPr>
    </w:p>
    <w:p w14:paraId="063C4204" w14:textId="1F5945BE" w:rsidR="00382BC2" w:rsidRPr="004F4CD0" w:rsidRDefault="00382BC2" w:rsidP="000D0706">
      <w:pPr>
        <w:keepNext/>
        <w:rPr>
          <w:b/>
          <w:bCs/>
          <w:lang w:val="es-ES_tradnl"/>
        </w:rPr>
      </w:pPr>
      <w:r w:rsidRPr="004F4CD0">
        <w:rPr>
          <w:b/>
          <w:lang w:val="es-ES_tradnl"/>
        </w:rPr>
        <w:t xml:space="preserve">Uso de </w:t>
      </w:r>
      <w:r w:rsidR="0087684E" w:rsidRPr="004F4CD0">
        <w:rPr>
          <w:b/>
          <w:bCs/>
          <w:lang w:val="es-ES_tradnl"/>
        </w:rPr>
        <w:t xml:space="preserve">Stoboclo </w:t>
      </w:r>
      <w:r w:rsidRPr="004F4CD0">
        <w:rPr>
          <w:b/>
          <w:lang w:val="es-ES_tradnl"/>
        </w:rPr>
        <w:t>con otros medicamentos</w:t>
      </w:r>
    </w:p>
    <w:p w14:paraId="50BD3612" w14:textId="77777777" w:rsidR="00382BC2" w:rsidRPr="004F4CD0" w:rsidRDefault="00382BC2" w:rsidP="008B4ED7">
      <w:pPr>
        <w:keepNext/>
        <w:rPr>
          <w:lang w:val="es-ES_tradnl"/>
        </w:rPr>
      </w:pPr>
    </w:p>
    <w:p w14:paraId="05D0273C" w14:textId="77777777" w:rsidR="00382BC2" w:rsidRPr="004F4CD0" w:rsidRDefault="00382BC2" w:rsidP="008B4ED7">
      <w:pPr>
        <w:tabs>
          <w:tab w:val="clear" w:pos="567"/>
        </w:tabs>
        <w:rPr>
          <w:lang w:val="es-ES_tradnl"/>
        </w:rPr>
      </w:pPr>
      <w:r w:rsidRPr="004F4CD0">
        <w:rPr>
          <w:lang w:val="es-ES_tradnl"/>
        </w:rPr>
        <w:t>Informe a su médico o farmacéutico si está tomando, ha tomado recientemente o pudiera tener que tomar cualquier otro medicamento. Es especialmente importante que informe a su médico si está en tratamiento con otro medicamento que contenga denosumab.</w:t>
      </w:r>
    </w:p>
    <w:p w14:paraId="1D7DE258" w14:textId="77777777" w:rsidR="00382BC2" w:rsidRPr="004F4CD0" w:rsidRDefault="00382BC2" w:rsidP="008B4ED7">
      <w:pPr>
        <w:tabs>
          <w:tab w:val="clear" w:pos="567"/>
        </w:tabs>
        <w:rPr>
          <w:lang w:val="es-ES_tradnl"/>
        </w:rPr>
      </w:pPr>
    </w:p>
    <w:p w14:paraId="016110A1" w14:textId="3ED54DC2" w:rsidR="008603DE" w:rsidRPr="004F4CD0" w:rsidRDefault="00382BC2" w:rsidP="008B4ED7">
      <w:pPr>
        <w:tabs>
          <w:tab w:val="clear" w:pos="567"/>
        </w:tabs>
        <w:rPr>
          <w:lang w:val="es-ES_tradnl"/>
        </w:rPr>
      </w:pPr>
      <w:r w:rsidRPr="004F4CD0">
        <w:rPr>
          <w:lang w:val="es-ES_tradnl"/>
        </w:rPr>
        <w:t xml:space="preserve">No debe usar </w:t>
      </w:r>
      <w:r w:rsidR="0087684E" w:rsidRPr="004F4CD0">
        <w:rPr>
          <w:lang w:val="es-ES_tradnl"/>
        </w:rPr>
        <w:t xml:space="preserve">Stoboclo </w:t>
      </w:r>
      <w:r w:rsidRPr="004F4CD0">
        <w:rPr>
          <w:lang w:val="es-ES_tradnl"/>
        </w:rPr>
        <w:t>junto con otro medicamento que contenga denosumab.</w:t>
      </w:r>
    </w:p>
    <w:p w14:paraId="03C7AEFC" w14:textId="77777777" w:rsidR="00382BC2" w:rsidRPr="004F4CD0" w:rsidRDefault="00382BC2" w:rsidP="008B4ED7">
      <w:pPr>
        <w:tabs>
          <w:tab w:val="clear" w:pos="567"/>
        </w:tabs>
        <w:rPr>
          <w:lang w:val="es-ES_tradnl"/>
        </w:rPr>
      </w:pPr>
    </w:p>
    <w:p w14:paraId="1E909965" w14:textId="77777777" w:rsidR="008603DE" w:rsidRPr="004F4CD0" w:rsidRDefault="00382BC2" w:rsidP="00F51F12">
      <w:pPr>
        <w:keepNext/>
        <w:tabs>
          <w:tab w:val="clear" w:pos="567"/>
        </w:tabs>
        <w:rPr>
          <w:b/>
          <w:bCs/>
          <w:lang w:val="es-ES_tradnl"/>
        </w:rPr>
      </w:pPr>
      <w:r w:rsidRPr="004F4CD0">
        <w:rPr>
          <w:b/>
          <w:lang w:val="es-ES_tradnl"/>
        </w:rPr>
        <w:t>Embarazo y lactancia</w:t>
      </w:r>
    </w:p>
    <w:p w14:paraId="2C597E3C" w14:textId="77777777" w:rsidR="00382BC2" w:rsidRPr="004F4CD0" w:rsidRDefault="00382BC2" w:rsidP="008B4ED7">
      <w:pPr>
        <w:keepNext/>
        <w:rPr>
          <w:lang w:val="es-ES_tradnl"/>
        </w:rPr>
      </w:pPr>
    </w:p>
    <w:p w14:paraId="004C8361" w14:textId="46809358" w:rsidR="007039B1" w:rsidRPr="004F4CD0" w:rsidRDefault="0087684E" w:rsidP="008B4ED7">
      <w:pPr>
        <w:tabs>
          <w:tab w:val="clear" w:pos="567"/>
        </w:tabs>
        <w:rPr>
          <w:lang w:val="es-ES_tradnl"/>
        </w:rPr>
      </w:pPr>
      <w:r w:rsidRPr="004F4CD0">
        <w:rPr>
          <w:lang w:val="es-ES_tradnl"/>
        </w:rPr>
        <w:t xml:space="preserve">Stoboclo </w:t>
      </w:r>
      <w:r w:rsidR="00382BC2" w:rsidRPr="004F4CD0">
        <w:rPr>
          <w:lang w:val="es-ES_tradnl"/>
        </w:rPr>
        <w:t xml:space="preserve">no se ha probado en mujeres embarazadas. Es importante que informe a su médico si está embarazada, cree que puede estarlo o planea quedarse embarazada. No se recomienda utilizar </w:t>
      </w:r>
      <w:r w:rsidRPr="004F4CD0">
        <w:rPr>
          <w:lang w:val="es-ES_tradnl"/>
        </w:rPr>
        <w:t xml:space="preserve">Stoboclo </w:t>
      </w:r>
      <w:r w:rsidR="00382BC2" w:rsidRPr="004F4CD0">
        <w:rPr>
          <w:lang w:val="es-ES_tradnl"/>
        </w:rPr>
        <w:t xml:space="preserve">durante el embarazo. Las mujeres en edad fértil deben utilizar métodos anticonceptivos efectivos durante el tratamiento con </w:t>
      </w:r>
      <w:r w:rsidRPr="004F4CD0">
        <w:rPr>
          <w:lang w:val="es-ES_tradnl"/>
        </w:rPr>
        <w:t xml:space="preserve">Stoboclo </w:t>
      </w:r>
      <w:r w:rsidR="00382BC2" w:rsidRPr="004F4CD0">
        <w:rPr>
          <w:lang w:val="es-ES_tradnl"/>
        </w:rPr>
        <w:t xml:space="preserve">y al menos 5 meses después de interrumpir el tratamiento con </w:t>
      </w:r>
      <w:r w:rsidRPr="004F4CD0">
        <w:rPr>
          <w:lang w:val="es-ES_tradnl"/>
        </w:rPr>
        <w:t>Stoboclo</w:t>
      </w:r>
      <w:r w:rsidR="00382BC2" w:rsidRPr="004F4CD0">
        <w:rPr>
          <w:lang w:val="es-ES_tradnl"/>
        </w:rPr>
        <w:t>.</w:t>
      </w:r>
    </w:p>
    <w:p w14:paraId="1258C538" w14:textId="77777777" w:rsidR="00A517BF" w:rsidRPr="004F4CD0" w:rsidRDefault="00A517BF" w:rsidP="008B4ED7">
      <w:pPr>
        <w:tabs>
          <w:tab w:val="clear" w:pos="567"/>
        </w:tabs>
        <w:rPr>
          <w:lang w:val="es-ES_tradnl"/>
        </w:rPr>
      </w:pPr>
    </w:p>
    <w:p w14:paraId="7292AE2D" w14:textId="46FB5527" w:rsidR="009F71BA" w:rsidRPr="004F4CD0" w:rsidRDefault="007039B1" w:rsidP="008B4ED7">
      <w:pPr>
        <w:tabs>
          <w:tab w:val="clear" w:pos="567"/>
        </w:tabs>
        <w:rPr>
          <w:lang w:val="es-ES_tradnl"/>
        </w:rPr>
      </w:pPr>
      <w:r w:rsidRPr="004F4CD0">
        <w:rPr>
          <w:lang w:val="es-ES_tradnl"/>
        </w:rPr>
        <w:t xml:space="preserve">Si se queda embarazada durante el tratamiento con </w:t>
      </w:r>
      <w:r w:rsidR="0087684E" w:rsidRPr="004F4CD0">
        <w:rPr>
          <w:lang w:val="es-ES_tradnl"/>
        </w:rPr>
        <w:t xml:space="preserve">Stoboclo </w:t>
      </w:r>
      <w:r w:rsidRPr="004F4CD0">
        <w:rPr>
          <w:lang w:val="es-ES_tradnl"/>
        </w:rPr>
        <w:t xml:space="preserve">o menos de 5 meses después de interrumpir el tratamiento con </w:t>
      </w:r>
      <w:r w:rsidR="0087684E" w:rsidRPr="004F4CD0">
        <w:rPr>
          <w:lang w:val="es-ES_tradnl"/>
        </w:rPr>
        <w:t>Stoboclo</w:t>
      </w:r>
      <w:r w:rsidRPr="004F4CD0">
        <w:rPr>
          <w:lang w:val="es-ES_tradnl"/>
        </w:rPr>
        <w:t>, informe a su médico.</w:t>
      </w:r>
    </w:p>
    <w:p w14:paraId="0030E716" w14:textId="77777777" w:rsidR="00382BC2" w:rsidRPr="004F4CD0" w:rsidRDefault="00382BC2" w:rsidP="008B4ED7">
      <w:pPr>
        <w:tabs>
          <w:tab w:val="clear" w:pos="567"/>
        </w:tabs>
        <w:rPr>
          <w:lang w:val="es-ES_tradnl"/>
        </w:rPr>
      </w:pPr>
    </w:p>
    <w:p w14:paraId="6F1DE645" w14:textId="6AF7F23E" w:rsidR="008603DE" w:rsidRPr="004F4CD0" w:rsidRDefault="00382BC2" w:rsidP="008B4ED7">
      <w:pPr>
        <w:tabs>
          <w:tab w:val="clear" w:pos="567"/>
        </w:tabs>
        <w:rPr>
          <w:lang w:val="es-ES_tradnl"/>
        </w:rPr>
      </w:pPr>
      <w:r w:rsidRPr="004F4CD0">
        <w:rPr>
          <w:lang w:val="es-ES_tradnl"/>
        </w:rPr>
        <w:t xml:space="preserve">Se desconoce si </w:t>
      </w:r>
      <w:r w:rsidR="0087684E" w:rsidRPr="004F4CD0">
        <w:rPr>
          <w:lang w:val="es-ES_tradnl"/>
        </w:rPr>
        <w:t xml:space="preserve">denosumab </w:t>
      </w:r>
      <w:r w:rsidRPr="004F4CD0">
        <w:rPr>
          <w:lang w:val="es-ES_tradnl"/>
        </w:rPr>
        <w:t xml:space="preserve">se excreta en la leche materna. Es importante que le comunique a su médico si está en periodo de lactancia o si planea estarlo. Su médico le ayudará a decidir sobre si debe abandonar la lactancia materna, o si debe dejar de usar </w:t>
      </w:r>
      <w:r w:rsidR="0087684E" w:rsidRPr="004F4CD0">
        <w:rPr>
          <w:lang w:val="es-ES_tradnl"/>
        </w:rPr>
        <w:t>Stoboclo</w:t>
      </w:r>
      <w:r w:rsidRPr="004F4CD0">
        <w:rPr>
          <w:lang w:val="es-ES_tradnl"/>
        </w:rPr>
        <w:t xml:space="preserve">, teniendo en cuenta el beneficio de la lactancia materna para el niño y el beneficio de </w:t>
      </w:r>
      <w:r w:rsidR="0087684E" w:rsidRPr="004F4CD0">
        <w:rPr>
          <w:lang w:val="es-ES_tradnl"/>
        </w:rPr>
        <w:t xml:space="preserve">Stoboclo </w:t>
      </w:r>
      <w:r w:rsidRPr="004F4CD0">
        <w:rPr>
          <w:lang w:val="es-ES_tradnl"/>
        </w:rPr>
        <w:t>para la madre.</w:t>
      </w:r>
    </w:p>
    <w:p w14:paraId="6917D682" w14:textId="77777777" w:rsidR="009F71BA" w:rsidRPr="004F4CD0" w:rsidRDefault="009F71BA" w:rsidP="008B4ED7">
      <w:pPr>
        <w:tabs>
          <w:tab w:val="clear" w:pos="567"/>
        </w:tabs>
        <w:rPr>
          <w:lang w:val="es-ES_tradnl"/>
        </w:rPr>
      </w:pPr>
    </w:p>
    <w:p w14:paraId="528D219A" w14:textId="451536D3" w:rsidR="008603DE" w:rsidRPr="004F4CD0" w:rsidRDefault="009F71BA" w:rsidP="008B4ED7">
      <w:pPr>
        <w:tabs>
          <w:tab w:val="clear" w:pos="567"/>
        </w:tabs>
        <w:rPr>
          <w:lang w:val="es-ES_tradnl"/>
        </w:rPr>
      </w:pPr>
      <w:r w:rsidRPr="004F4CD0">
        <w:rPr>
          <w:lang w:val="es-ES_tradnl"/>
        </w:rPr>
        <w:t xml:space="preserve">Si está en periodo de lactancia durante el tratamiento con </w:t>
      </w:r>
      <w:r w:rsidR="0087684E" w:rsidRPr="004F4CD0">
        <w:rPr>
          <w:lang w:val="es-ES_tradnl"/>
        </w:rPr>
        <w:t>Stoboclo</w:t>
      </w:r>
      <w:r w:rsidRPr="004F4CD0">
        <w:rPr>
          <w:lang w:val="es-ES_tradnl"/>
        </w:rPr>
        <w:t>, por favor informe a su médico.</w:t>
      </w:r>
    </w:p>
    <w:p w14:paraId="0B4EEBC3" w14:textId="77777777" w:rsidR="00382BC2" w:rsidRPr="004F4CD0" w:rsidRDefault="00382BC2" w:rsidP="008B4ED7">
      <w:pPr>
        <w:tabs>
          <w:tab w:val="clear" w:pos="567"/>
        </w:tabs>
        <w:rPr>
          <w:lang w:val="es-ES_tradnl"/>
        </w:rPr>
      </w:pPr>
    </w:p>
    <w:p w14:paraId="6DB75102" w14:textId="77777777" w:rsidR="00382BC2" w:rsidRPr="004F4CD0" w:rsidRDefault="00382BC2" w:rsidP="008B4ED7">
      <w:pPr>
        <w:tabs>
          <w:tab w:val="clear" w:pos="567"/>
        </w:tabs>
        <w:rPr>
          <w:lang w:val="es-ES_tradnl"/>
        </w:rPr>
      </w:pPr>
      <w:r w:rsidRPr="004F4CD0">
        <w:rPr>
          <w:lang w:val="es-ES_tradnl"/>
        </w:rPr>
        <w:t>Consulte a su médico o farmacéutico antes de utilizar cualquier medicamento.</w:t>
      </w:r>
    </w:p>
    <w:p w14:paraId="2CABAA45" w14:textId="77777777" w:rsidR="00382BC2" w:rsidRPr="004F4CD0" w:rsidRDefault="00382BC2" w:rsidP="008B4ED7">
      <w:pPr>
        <w:tabs>
          <w:tab w:val="clear" w:pos="567"/>
        </w:tabs>
        <w:rPr>
          <w:lang w:val="es-ES_tradnl"/>
        </w:rPr>
      </w:pPr>
    </w:p>
    <w:p w14:paraId="50AFEC50" w14:textId="77777777" w:rsidR="00382BC2" w:rsidRPr="004F4CD0" w:rsidRDefault="00382BC2" w:rsidP="00F51F12">
      <w:pPr>
        <w:keepNext/>
        <w:tabs>
          <w:tab w:val="clear" w:pos="567"/>
        </w:tabs>
        <w:rPr>
          <w:b/>
          <w:bCs/>
          <w:lang w:val="es-ES_tradnl"/>
        </w:rPr>
      </w:pPr>
      <w:r w:rsidRPr="004F4CD0">
        <w:rPr>
          <w:b/>
          <w:lang w:val="es-ES_tradnl"/>
        </w:rPr>
        <w:t>Conducción y uso de máquinas</w:t>
      </w:r>
    </w:p>
    <w:p w14:paraId="08098B56" w14:textId="77777777" w:rsidR="00382BC2" w:rsidRPr="004F4CD0" w:rsidRDefault="00382BC2" w:rsidP="008B4ED7">
      <w:pPr>
        <w:keepNext/>
        <w:rPr>
          <w:lang w:val="es-ES_tradnl"/>
        </w:rPr>
      </w:pPr>
    </w:p>
    <w:p w14:paraId="713326A6" w14:textId="59E511B2" w:rsidR="008603DE" w:rsidRPr="004F4CD0" w:rsidRDefault="00382BC2" w:rsidP="008B4ED7">
      <w:pPr>
        <w:tabs>
          <w:tab w:val="clear" w:pos="567"/>
        </w:tabs>
        <w:rPr>
          <w:lang w:val="es-ES_tradnl"/>
        </w:rPr>
      </w:pPr>
      <w:r w:rsidRPr="004F4CD0">
        <w:rPr>
          <w:lang w:val="es-ES_tradnl"/>
        </w:rPr>
        <w:t xml:space="preserve">La influencia de </w:t>
      </w:r>
      <w:r w:rsidR="0087684E" w:rsidRPr="004F4CD0">
        <w:rPr>
          <w:lang w:val="es-ES_tradnl"/>
        </w:rPr>
        <w:t xml:space="preserve">Stoboclo </w:t>
      </w:r>
      <w:r w:rsidRPr="004F4CD0">
        <w:rPr>
          <w:lang w:val="es-ES_tradnl"/>
        </w:rPr>
        <w:t>sobre la capacidad para conducir y utilizar máquinas es nula o insignificante.</w:t>
      </w:r>
    </w:p>
    <w:p w14:paraId="525EA84A" w14:textId="77777777" w:rsidR="00382BC2" w:rsidRPr="004F4CD0" w:rsidRDefault="00382BC2" w:rsidP="008B4ED7">
      <w:pPr>
        <w:tabs>
          <w:tab w:val="clear" w:pos="567"/>
        </w:tabs>
        <w:rPr>
          <w:lang w:val="es-ES_tradnl"/>
        </w:rPr>
      </w:pPr>
    </w:p>
    <w:p w14:paraId="146AEDA3" w14:textId="43E4B9B9" w:rsidR="008603DE" w:rsidRPr="004F4CD0" w:rsidRDefault="0087684E" w:rsidP="00F51F12">
      <w:pPr>
        <w:keepNext/>
        <w:tabs>
          <w:tab w:val="clear" w:pos="567"/>
        </w:tabs>
        <w:rPr>
          <w:b/>
          <w:bCs/>
          <w:lang w:val="es-ES_tradnl"/>
        </w:rPr>
      </w:pPr>
      <w:r w:rsidRPr="004F4CD0">
        <w:rPr>
          <w:b/>
          <w:bCs/>
          <w:lang w:val="es-ES_tradnl"/>
        </w:rPr>
        <w:lastRenderedPageBreak/>
        <w:t xml:space="preserve">Stoboclo </w:t>
      </w:r>
      <w:r w:rsidR="00382BC2" w:rsidRPr="004F4CD0">
        <w:rPr>
          <w:b/>
          <w:lang w:val="es-ES_tradnl"/>
        </w:rPr>
        <w:t>contiene sorbitol</w:t>
      </w:r>
      <w:r w:rsidRPr="004F4CD0">
        <w:rPr>
          <w:b/>
          <w:lang w:val="es-ES_tradnl"/>
        </w:rPr>
        <w:t xml:space="preserve"> (E420)</w:t>
      </w:r>
    </w:p>
    <w:p w14:paraId="652B3604" w14:textId="77777777" w:rsidR="00382BC2" w:rsidRPr="004F4CD0" w:rsidRDefault="00382BC2" w:rsidP="008B4ED7">
      <w:pPr>
        <w:keepNext/>
        <w:rPr>
          <w:lang w:val="es-ES_tradnl"/>
        </w:rPr>
      </w:pPr>
    </w:p>
    <w:p w14:paraId="45C4334F" w14:textId="77777777" w:rsidR="0081033D" w:rsidRPr="004F4CD0" w:rsidRDefault="00630E37" w:rsidP="008B4ED7">
      <w:pPr>
        <w:tabs>
          <w:tab w:val="clear" w:pos="567"/>
        </w:tabs>
        <w:rPr>
          <w:lang w:val="es-ES_tradnl"/>
        </w:rPr>
      </w:pPr>
      <w:r w:rsidRPr="004F4CD0">
        <w:rPr>
          <w:lang w:val="es-ES_tradnl"/>
        </w:rPr>
        <w:t>Este medicamento contiene 47 mg de sorbitol por cada ml de solución.</w:t>
      </w:r>
    </w:p>
    <w:p w14:paraId="12F14135" w14:textId="77777777" w:rsidR="007A0BB2" w:rsidRPr="004F4CD0" w:rsidRDefault="007A0BB2" w:rsidP="008B4ED7">
      <w:pPr>
        <w:tabs>
          <w:tab w:val="clear" w:pos="567"/>
        </w:tabs>
        <w:rPr>
          <w:lang w:val="es-ES_tradnl"/>
        </w:rPr>
      </w:pPr>
    </w:p>
    <w:p w14:paraId="4C5F4A1F" w14:textId="38B5C2CD" w:rsidR="0092748E" w:rsidRPr="004F4CD0" w:rsidRDefault="0087684E" w:rsidP="00F51F12">
      <w:pPr>
        <w:keepNext/>
        <w:tabs>
          <w:tab w:val="clear" w:pos="567"/>
        </w:tabs>
        <w:rPr>
          <w:b/>
          <w:bCs/>
          <w:lang w:val="es-ES_tradnl"/>
        </w:rPr>
      </w:pPr>
      <w:r w:rsidRPr="004F4CD0">
        <w:rPr>
          <w:b/>
          <w:bCs/>
          <w:lang w:val="es-ES_tradnl"/>
        </w:rPr>
        <w:t xml:space="preserve">Stoboclo </w:t>
      </w:r>
      <w:r w:rsidR="0092748E" w:rsidRPr="004F4CD0">
        <w:rPr>
          <w:b/>
          <w:lang w:val="es-ES_tradnl"/>
        </w:rPr>
        <w:t>contiene sodio</w:t>
      </w:r>
    </w:p>
    <w:p w14:paraId="7EAB661E" w14:textId="77777777" w:rsidR="00382BC2" w:rsidRPr="004F4CD0" w:rsidRDefault="00382BC2" w:rsidP="008B4ED7">
      <w:pPr>
        <w:keepNext/>
        <w:rPr>
          <w:lang w:val="es-ES_tradnl"/>
        </w:rPr>
      </w:pPr>
    </w:p>
    <w:p w14:paraId="10798B75" w14:textId="4E145EE2" w:rsidR="0057506B" w:rsidRPr="004F4CD0" w:rsidRDefault="0057506B" w:rsidP="008B4ED7">
      <w:pPr>
        <w:tabs>
          <w:tab w:val="clear" w:pos="567"/>
        </w:tabs>
        <w:rPr>
          <w:lang w:val="es-ES_tradnl"/>
        </w:rPr>
      </w:pPr>
      <w:r w:rsidRPr="004F4CD0">
        <w:rPr>
          <w:lang w:val="es-ES_tradnl"/>
        </w:rPr>
        <w:t>Este medicamento contiene menos de 1 mmol de sodio (23 mg) por 60 mg; esto es, esencialmente “exento de sodio”.</w:t>
      </w:r>
    </w:p>
    <w:p w14:paraId="21E7B30A" w14:textId="77777777" w:rsidR="00382BC2" w:rsidRPr="004F4CD0" w:rsidRDefault="00382BC2" w:rsidP="008B4ED7">
      <w:pPr>
        <w:tabs>
          <w:tab w:val="clear" w:pos="567"/>
        </w:tabs>
        <w:rPr>
          <w:lang w:val="es-ES_tradnl"/>
        </w:rPr>
      </w:pPr>
    </w:p>
    <w:p w14:paraId="1479A9F4" w14:textId="506AEE9C" w:rsidR="0087684E" w:rsidRPr="000D0706" w:rsidRDefault="0087684E" w:rsidP="000D0706">
      <w:pPr>
        <w:keepNext/>
        <w:tabs>
          <w:tab w:val="clear" w:pos="567"/>
        </w:tabs>
        <w:rPr>
          <w:b/>
          <w:bCs/>
          <w:lang w:val="es-ES_tradnl"/>
        </w:rPr>
      </w:pPr>
      <w:r w:rsidRPr="004F4CD0">
        <w:rPr>
          <w:b/>
          <w:bCs/>
          <w:lang w:val="es-ES_tradnl"/>
        </w:rPr>
        <w:t xml:space="preserve">Stoboclo </w:t>
      </w:r>
      <w:r w:rsidRPr="004F4CD0">
        <w:rPr>
          <w:b/>
          <w:lang w:val="es-ES_tradnl"/>
        </w:rPr>
        <w:t>contiene polisorbato 20 (E432)</w:t>
      </w:r>
    </w:p>
    <w:p w14:paraId="3CFE1D54" w14:textId="77777777" w:rsidR="0087684E" w:rsidRPr="004F4CD0" w:rsidRDefault="0087684E" w:rsidP="0087684E">
      <w:pPr>
        <w:rPr>
          <w:lang w:val="es-ES_tradnl"/>
        </w:rPr>
      </w:pPr>
      <w:r w:rsidRPr="004F4CD0">
        <w:rPr>
          <w:lang w:val="es-ES_tradnl"/>
        </w:rPr>
        <w:t xml:space="preserve">Este medicamento contiene 0,1 mg de polisorbato 20 en cada jeringa equivalente a 0,1 mg/ml. </w:t>
      </w:r>
    </w:p>
    <w:p w14:paraId="7BB8033E" w14:textId="77777777" w:rsidR="0087684E" w:rsidRPr="004F4CD0" w:rsidRDefault="0087684E" w:rsidP="0087684E">
      <w:pPr>
        <w:rPr>
          <w:lang w:val="es-ES_tradnl"/>
        </w:rPr>
      </w:pPr>
      <w:r w:rsidRPr="004F4CD0">
        <w:rPr>
          <w:lang w:val="es-ES_tradnl"/>
        </w:rPr>
        <w:t>Los polisorbatos pueden causar reacciones alérgicas. Informe a su médico si tiene cualquier alergia conocida.</w:t>
      </w:r>
    </w:p>
    <w:p w14:paraId="50CC4E90" w14:textId="77777777" w:rsidR="00382BC2" w:rsidRPr="004F4CD0" w:rsidRDefault="00382BC2" w:rsidP="008B4ED7">
      <w:pPr>
        <w:tabs>
          <w:tab w:val="clear" w:pos="567"/>
        </w:tabs>
        <w:rPr>
          <w:lang w:val="es-ES_tradnl"/>
        </w:rPr>
      </w:pPr>
    </w:p>
    <w:p w14:paraId="069F91E3" w14:textId="77777777" w:rsidR="0087684E" w:rsidRPr="004F4CD0" w:rsidRDefault="0087684E" w:rsidP="008B4ED7">
      <w:pPr>
        <w:tabs>
          <w:tab w:val="clear" w:pos="567"/>
        </w:tabs>
        <w:rPr>
          <w:lang w:val="es-ES_tradnl"/>
        </w:rPr>
      </w:pPr>
    </w:p>
    <w:p w14:paraId="48EED28A" w14:textId="2FFF0F16" w:rsidR="00382BC2" w:rsidRPr="004F4CD0" w:rsidRDefault="00C45C7F" w:rsidP="008B4ED7">
      <w:pPr>
        <w:keepNext/>
        <w:tabs>
          <w:tab w:val="clear" w:pos="567"/>
        </w:tabs>
        <w:ind w:left="567" w:hanging="567"/>
        <w:rPr>
          <w:b/>
          <w:lang w:val="es-ES_tradnl"/>
        </w:rPr>
      </w:pPr>
      <w:r w:rsidRPr="004F4CD0">
        <w:rPr>
          <w:b/>
          <w:lang w:val="es-ES_tradnl"/>
        </w:rPr>
        <w:t>3.</w:t>
      </w:r>
      <w:r w:rsidRPr="004F4CD0">
        <w:rPr>
          <w:b/>
          <w:lang w:val="es-ES_tradnl"/>
        </w:rPr>
        <w:tab/>
        <w:t xml:space="preserve">Cómo usar </w:t>
      </w:r>
      <w:r w:rsidR="0087684E" w:rsidRPr="004F4CD0">
        <w:rPr>
          <w:b/>
          <w:bCs/>
          <w:lang w:val="es-ES_tradnl"/>
        </w:rPr>
        <w:t>Stoboclo</w:t>
      </w:r>
    </w:p>
    <w:p w14:paraId="40A85F26" w14:textId="77777777" w:rsidR="00382BC2" w:rsidRPr="004F4CD0" w:rsidRDefault="00382BC2" w:rsidP="008B4ED7">
      <w:pPr>
        <w:keepNext/>
        <w:rPr>
          <w:lang w:val="es-ES_tradnl"/>
        </w:rPr>
      </w:pPr>
    </w:p>
    <w:p w14:paraId="468E2471" w14:textId="3EACD212" w:rsidR="00F82CBC" w:rsidRPr="004F4CD0" w:rsidRDefault="00F82CBC" w:rsidP="008B4ED7">
      <w:pPr>
        <w:tabs>
          <w:tab w:val="clear" w:pos="567"/>
        </w:tabs>
        <w:rPr>
          <w:lang w:val="es-ES_tradnl"/>
        </w:rPr>
      </w:pPr>
      <w:r w:rsidRPr="004F4CD0">
        <w:rPr>
          <w:lang w:val="es-ES_tradnl"/>
        </w:rPr>
        <w:t xml:space="preserve">La dosis recomendada es una jeringa precargada de 60 mg administrada bajo la piel (vía subcutánea) en una inyección única una vez cada 6 meses. Los mejores lugares para ponerse la inyección son la parte superior de los muslos y el abdomen. Si la inyección se la pone un cuidador (persona que le atiende), también puede administrarle la inyección en la cara externa de la parte superior del brazo. Consulte con su médico la fecha de la siguiente posible inyección. Cada envase de </w:t>
      </w:r>
      <w:r w:rsidR="0087684E" w:rsidRPr="004F4CD0">
        <w:rPr>
          <w:lang w:val="es-ES_tradnl"/>
        </w:rPr>
        <w:t xml:space="preserve">Stoboclo </w:t>
      </w:r>
      <w:r w:rsidRPr="004F4CD0">
        <w:rPr>
          <w:lang w:val="es-ES_tradnl"/>
        </w:rPr>
        <w:t xml:space="preserve">contiene una tarjeta de recordatorio </w:t>
      </w:r>
      <w:r w:rsidR="0087684E" w:rsidRPr="004F4CD0">
        <w:rPr>
          <w:lang w:val="es-ES_tradnl"/>
        </w:rPr>
        <w:t>incluida en el</w:t>
      </w:r>
      <w:r w:rsidRPr="004F4CD0">
        <w:rPr>
          <w:lang w:val="es-ES_tradnl"/>
        </w:rPr>
        <w:t xml:space="preserve"> cartón </w:t>
      </w:r>
      <w:r w:rsidR="0087684E" w:rsidRPr="004F4CD0">
        <w:rPr>
          <w:lang w:val="es-ES_tradnl"/>
        </w:rPr>
        <w:t>que se</w:t>
      </w:r>
      <w:r w:rsidRPr="004F4CD0">
        <w:rPr>
          <w:lang w:val="es-ES_tradnl"/>
        </w:rPr>
        <w:t xml:space="preserve"> utiliza</w:t>
      </w:r>
      <w:r w:rsidR="0087684E" w:rsidRPr="004F4CD0">
        <w:rPr>
          <w:lang w:val="es-ES_tradnl"/>
        </w:rPr>
        <w:t xml:space="preserve"> </w:t>
      </w:r>
      <w:r w:rsidRPr="004F4CD0">
        <w:rPr>
          <w:lang w:val="es-ES_tradnl"/>
        </w:rPr>
        <w:t>para mantener un registro de la fecha de la siguiente inyección.</w:t>
      </w:r>
    </w:p>
    <w:p w14:paraId="5AEBC844" w14:textId="2D3ADF1D" w:rsidR="00F82CBC" w:rsidRPr="004F4CD0" w:rsidRDefault="00F82CBC" w:rsidP="008B4ED7">
      <w:pPr>
        <w:tabs>
          <w:tab w:val="clear" w:pos="567"/>
        </w:tabs>
        <w:rPr>
          <w:lang w:val="es-ES_tradnl"/>
        </w:rPr>
      </w:pPr>
    </w:p>
    <w:p w14:paraId="1656FDDD" w14:textId="0703CDFD" w:rsidR="00382BC2" w:rsidRPr="004F4CD0" w:rsidRDefault="00382BC2" w:rsidP="008B4ED7">
      <w:pPr>
        <w:tabs>
          <w:tab w:val="clear" w:pos="567"/>
        </w:tabs>
        <w:rPr>
          <w:lang w:val="es-ES_tradnl"/>
        </w:rPr>
      </w:pPr>
      <w:r w:rsidRPr="004F4CD0">
        <w:rPr>
          <w:lang w:val="es-ES_tradnl"/>
        </w:rPr>
        <w:t xml:space="preserve">Además, debe tomar suplementos de calcio y vitamina D durante el tratamiento con </w:t>
      </w:r>
      <w:r w:rsidR="0087684E" w:rsidRPr="004F4CD0">
        <w:rPr>
          <w:noProof/>
          <w:szCs w:val="20"/>
          <w:lang w:val="es-ES_tradnl"/>
        </w:rPr>
        <w:t>Stoboclo</w:t>
      </w:r>
      <w:r w:rsidRPr="004F4CD0">
        <w:rPr>
          <w:lang w:val="es-ES_tradnl"/>
        </w:rPr>
        <w:t>. Su médico le comentará este aspecto.</w:t>
      </w:r>
    </w:p>
    <w:p w14:paraId="2255BE96" w14:textId="77777777" w:rsidR="00382BC2" w:rsidRPr="004F4CD0" w:rsidRDefault="00382BC2" w:rsidP="008B4ED7">
      <w:pPr>
        <w:tabs>
          <w:tab w:val="clear" w:pos="567"/>
        </w:tabs>
        <w:rPr>
          <w:lang w:val="es-ES_tradnl"/>
        </w:rPr>
      </w:pPr>
    </w:p>
    <w:p w14:paraId="4E7D35EA" w14:textId="454C1CC9" w:rsidR="00382BC2" w:rsidRPr="004F4CD0" w:rsidRDefault="00382BC2" w:rsidP="008B4ED7">
      <w:pPr>
        <w:tabs>
          <w:tab w:val="clear" w:pos="567"/>
        </w:tabs>
        <w:rPr>
          <w:lang w:val="es-ES_tradnl"/>
        </w:rPr>
      </w:pPr>
      <w:r w:rsidRPr="004F4CD0">
        <w:rPr>
          <w:lang w:val="es-ES_tradnl"/>
        </w:rPr>
        <w:t xml:space="preserve">Su médico podrá decidir si es mejor que la inyección de </w:t>
      </w:r>
      <w:r w:rsidR="0087684E" w:rsidRPr="004F4CD0">
        <w:rPr>
          <w:noProof/>
          <w:szCs w:val="20"/>
          <w:lang w:val="es-ES_tradnl"/>
        </w:rPr>
        <w:t xml:space="preserve">Stoboclo </w:t>
      </w:r>
      <w:r w:rsidRPr="004F4CD0">
        <w:rPr>
          <w:lang w:val="es-ES_tradnl"/>
        </w:rPr>
        <w:t xml:space="preserve">la administre usted o un cuidador. Su médico o profesional sanitario le mostrará a usted o a su cuidador cómo utilizar </w:t>
      </w:r>
      <w:r w:rsidR="0087684E" w:rsidRPr="004F4CD0">
        <w:rPr>
          <w:noProof/>
          <w:szCs w:val="20"/>
          <w:lang w:val="es-ES_tradnl"/>
        </w:rPr>
        <w:t>Stoboclo</w:t>
      </w:r>
      <w:r w:rsidRPr="004F4CD0">
        <w:rPr>
          <w:lang w:val="es-ES_tradnl"/>
        </w:rPr>
        <w:t xml:space="preserve">. Si desea obtener instrucciones sobre cómo inyectar </w:t>
      </w:r>
      <w:r w:rsidR="0087684E" w:rsidRPr="004F4CD0">
        <w:rPr>
          <w:noProof/>
          <w:szCs w:val="20"/>
          <w:lang w:val="es-ES_tradnl"/>
        </w:rPr>
        <w:t>Stoboclo</w:t>
      </w:r>
      <w:r w:rsidRPr="004F4CD0">
        <w:rPr>
          <w:lang w:val="es-ES_tradnl"/>
        </w:rPr>
        <w:t>, lea el último apartado de este prospecto.</w:t>
      </w:r>
    </w:p>
    <w:p w14:paraId="3372CFFC" w14:textId="56A1BAE1" w:rsidR="001D272E" w:rsidRPr="004F4CD0" w:rsidRDefault="001D272E" w:rsidP="008B4ED7">
      <w:pPr>
        <w:tabs>
          <w:tab w:val="clear" w:pos="567"/>
        </w:tabs>
        <w:rPr>
          <w:lang w:val="es-ES_tradnl"/>
        </w:rPr>
      </w:pPr>
    </w:p>
    <w:p w14:paraId="158B3CC2" w14:textId="233A39EC" w:rsidR="001D272E" w:rsidRPr="004F4CD0" w:rsidRDefault="00D501D7" w:rsidP="008B4ED7">
      <w:pPr>
        <w:tabs>
          <w:tab w:val="clear" w:pos="567"/>
        </w:tabs>
        <w:rPr>
          <w:lang w:val="es-ES_tradnl"/>
        </w:rPr>
      </w:pPr>
      <w:r w:rsidRPr="004F4CD0">
        <w:rPr>
          <w:lang w:val="es-ES_tradnl"/>
        </w:rPr>
        <w:t>No agitar.</w:t>
      </w:r>
    </w:p>
    <w:p w14:paraId="348A3F67" w14:textId="77777777" w:rsidR="00382BC2" w:rsidRPr="004F4CD0" w:rsidRDefault="00382BC2" w:rsidP="008B4ED7">
      <w:pPr>
        <w:tabs>
          <w:tab w:val="clear" w:pos="567"/>
        </w:tabs>
        <w:rPr>
          <w:lang w:val="es-ES_tradnl"/>
        </w:rPr>
      </w:pPr>
    </w:p>
    <w:p w14:paraId="36AF33C0" w14:textId="13F92191" w:rsidR="00382BC2" w:rsidRPr="004F4CD0" w:rsidRDefault="00382BC2" w:rsidP="00F51F12">
      <w:pPr>
        <w:keepNext/>
        <w:tabs>
          <w:tab w:val="clear" w:pos="567"/>
        </w:tabs>
        <w:rPr>
          <w:b/>
          <w:bCs/>
          <w:lang w:val="es-ES_tradnl"/>
        </w:rPr>
      </w:pPr>
      <w:r w:rsidRPr="004F4CD0">
        <w:rPr>
          <w:b/>
          <w:lang w:val="es-ES_tradnl"/>
        </w:rPr>
        <w:t xml:space="preserve">Si olvidó usar </w:t>
      </w:r>
      <w:r w:rsidR="0087684E" w:rsidRPr="004F4CD0">
        <w:rPr>
          <w:b/>
          <w:bCs/>
          <w:lang w:val="es-ES_tradnl"/>
        </w:rPr>
        <w:t>Stoboclo</w:t>
      </w:r>
    </w:p>
    <w:p w14:paraId="7A6124B6" w14:textId="77777777" w:rsidR="00382BC2" w:rsidRPr="004F4CD0" w:rsidRDefault="00382BC2" w:rsidP="008B4ED7">
      <w:pPr>
        <w:keepNext/>
        <w:rPr>
          <w:lang w:val="es-ES_tradnl"/>
        </w:rPr>
      </w:pPr>
    </w:p>
    <w:p w14:paraId="7BCA63C2" w14:textId="57896348" w:rsidR="00382BC2" w:rsidRPr="004F4CD0" w:rsidRDefault="00382BC2" w:rsidP="008B4ED7">
      <w:pPr>
        <w:tabs>
          <w:tab w:val="clear" w:pos="567"/>
        </w:tabs>
        <w:rPr>
          <w:lang w:val="es-ES_tradnl"/>
        </w:rPr>
      </w:pPr>
      <w:r w:rsidRPr="004F4CD0">
        <w:rPr>
          <w:lang w:val="es-ES_tradnl"/>
        </w:rPr>
        <w:t xml:space="preserve">Si se salta una dosis de </w:t>
      </w:r>
      <w:r w:rsidR="0087684E" w:rsidRPr="004F4CD0">
        <w:rPr>
          <w:lang w:val="es-ES_tradnl"/>
        </w:rPr>
        <w:t>Stoboclo</w:t>
      </w:r>
      <w:r w:rsidRPr="004F4CD0">
        <w:rPr>
          <w:lang w:val="es-ES_tradnl"/>
        </w:rPr>
        <w:t>, la inyección deberá administrarse lo antes posible. Posteriormente, las inyecciones deberán programarse cada 6 meses a partir de la fecha de la última inyección.</w:t>
      </w:r>
    </w:p>
    <w:p w14:paraId="1E61FD3E" w14:textId="77777777" w:rsidR="00382BC2" w:rsidRPr="004F4CD0" w:rsidRDefault="00382BC2" w:rsidP="008B4ED7">
      <w:pPr>
        <w:tabs>
          <w:tab w:val="clear" w:pos="567"/>
        </w:tabs>
        <w:rPr>
          <w:lang w:val="es-ES_tradnl"/>
        </w:rPr>
      </w:pPr>
    </w:p>
    <w:p w14:paraId="303CFF6D" w14:textId="4CB2B66B" w:rsidR="00382BC2" w:rsidRPr="004F4CD0" w:rsidRDefault="00382BC2" w:rsidP="00F51F12">
      <w:pPr>
        <w:keepNext/>
        <w:tabs>
          <w:tab w:val="clear" w:pos="567"/>
        </w:tabs>
        <w:rPr>
          <w:b/>
          <w:bCs/>
          <w:lang w:val="es-ES_tradnl"/>
        </w:rPr>
      </w:pPr>
      <w:r w:rsidRPr="004F4CD0">
        <w:rPr>
          <w:b/>
          <w:lang w:val="es-ES_tradnl"/>
        </w:rPr>
        <w:t xml:space="preserve">Si interrumpe el tratamiento con </w:t>
      </w:r>
      <w:r w:rsidR="0087684E" w:rsidRPr="004F4CD0">
        <w:rPr>
          <w:b/>
          <w:bCs/>
          <w:lang w:val="es-ES_tradnl"/>
        </w:rPr>
        <w:t>Stoboclo</w:t>
      </w:r>
    </w:p>
    <w:p w14:paraId="2F1FD283" w14:textId="77777777" w:rsidR="00382BC2" w:rsidRPr="004F4CD0" w:rsidRDefault="00382BC2" w:rsidP="008B4ED7">
      <w:pPr>
        <w:keepNext/>
        <w:rPr>
          <w:lang w:val="es-ES_tradnl"/>
        </w:rPr>
      </w:pPr>
    </w:p>
    <w:p w14:paraId="18A50EB1" w14:textId="7F0D0AF9" w:rsidR="009D3B7C" w:rsidRPr="004F4CD0" w:rsidRDefault="009D3B7C" w:rsidP="008B4ED7">
      <w:pPr>
        <w:tabs>
          <w:tab w:val="clear" w:pos="567"/>
        </w:tabs>
        <w:rPr>
          <w:lang w:val="es-ES_tradnl"/>
        </w:rPr>
      </w:pPr>
      <w:r w:rsidRPr="004F4CD0">
        <w:rPr>
          <w:lang w:val="es-ES_tradnl"/>
        </w:rPr>
        <w:t xml:space="preserve">Para sacar el máximo beneficio de su tratamiento y reducir el riesgo de fracturas, es importante que utilice </w:t>
      </w:r>
      <w:r w:rsidR="0087684E" w:rsidRPr="004F4CD0">
        <w:rPr>
          <w:lang w:val="es-ES_tradnl"/>
        </w:rPr>
        <w:t xml:space="preserve">Stoboclo </w:t>
      </w:r>
      <w:r w:rsidRPr="004F4CD0">
        <w:rPr>
          <w:lang w:val="es-ES_tradnl"/>
        </w:rPr>
        <w:t>durante todo el periodo que le prescriba el médico. No interrumpa el tratamiento sin hablar antes con su médico.</w:t>
      </w:r>
    </w:p>
    <w:p w14:paraId="7403E0B3" w14:textId="77777777" w:rsidR="00382BC2" w:rsidRPr="004F4CD0" w:rsidRDefault="00382BC2" w:rsidP="008B4ED7">
      <w:pPr>
        <w:tabs>
          <w:tab w:val="clear" w:pos="567"/>
        </w:tabs>
        <w:rPr>
          <w:lang w:val="es-ES_tradnl"/>
        </w:rPr>
      </w:pPr>
    </w:p>
    <w:p w14:paraId="53D02824" w14:textId="77777777" w:rsidR="00382BC2" w:rsidRPr="004F4CD0" w:rsidRDefault="00382BC2" w:rsidP="008B4ED7">
      <w:pPr>
        <w:tabs>
          <w:tab w:val="clear" w:pos="567"/>
        </w:tabs>
        <w:rPr>
          <w:lang w:val="es-ES_tradnl"/>
        </w:rPr>
      </w:pPr>
    </w:p>
    <w:p w14:paraId="73A0C351" w14:textId="77777777" w:rsidR="00382BC2" w:rsidRPr="004F4CD0" w:rsidRDefault="00382BC2" w:rsidP="008B4ED7">
      <w:pPr>
        <w:keepNext/>
        <w:tabs>
          <w:tab w:val="clear" w:pos="567"/>
        </w:tabs>
        <w:ind w:left="567" w:hanging="567"/>
        <w:rPr>
          <w:b/>
          <w:lang w:val="es-ES_tradnl"/>
        </w:rPr>
      </w:pPr>
      <w:r w:rsidRPr="004F4CD0">
        <w:rPr>
          <w:b/>
          <w:lang w:val="es-ES_tradnl"/>
        </w:rPr>
        <w:t>4.</w:t>
      </w:r>
      <w:r w:rsidRPr="004F4CD0">
        <w:rPr>
          <w:b/>
          <w:lang w:val="es-ES_tradnl"/>
        </w:rPr>
        <w:tab/>
        <w:t>Posibles efectos adversos</w:t>
      </w:r>
    </w:p>
    <w:p w14:paraId="7971FD3F" w14:textId="77777777" w:rsidR="00382BC2" w:rsidRPr="004F4CD0" w:rsidRDefault="00382BC2" w:rsidP="008B4ED7">
      <w:pPr>
        <w:keepNext/>
        <w:rPr>
          <w:lang w:val="es-ES_tradnl"/>
        </w:rPr>
      </w:pPr>
    </w:p>
    <w:p w14:paraId="250D5FC9" w14:textId="77777777" w:rsidR="006D7371" w:rsidRPr="004F4CD0" w:rsidRDefault="006D7371" w:rsidP="008B4ED7">
      <w:pPr>
        <w:tabs>
          <w:tab w:val="clear" w:pos="567"/>
        </w:tabs>
        <w:rPr>
          <w:lang w:val="es-ES_tradnl"/>
        </w:rPr>
      </w:pPr>
      <w:r w:rsidRPr="004F4CD0">
        <w:rPr>
          <w:lang w:val="es-ES_tradnl"/>
        </w:rPr>
        <w:t>Al igual que todos los medicamentos, este medicamento puede producir efectos adversos, aunque no todas las personas los sufran.</w:t>
      </w:r>
    </w:p>
    <w:p w14:paraId="0D206C47" w14:textId="77777777" w:rsidR="006D7371" w:rsidRPr="004F4CD0" w:rsidRDefault="006D7371" w:rsidP="008B4ED7">
      <w:pPr>
        <w:tabs>
          <w:tab w:val="clear" w:pos="567"/>
        </w:tabs>
        <w:rPr>
          <w:lang w:val="es-ES_tradnl"/>
        </w:rPr>
      </w:pPr>
    </w:p>
    <w:p w14:paraId="2FE6937F" w14:textId="4A0924DE" w:rsidR="00382BC2" w:rsidRPr="004F4CD0" w:rsidRDefault="00382BC2" w:rsidP="008B4ED7">
      <w:pPr>
        <w:tabs>
          <w:tab w:val="clear" w:pos="567"/>
        </w:tabs>
        <w:rPr>
          <w:lang w:val="es-ES_tradnl"/>
        </w:rPr>
      </w:pPr>
      <w:r w:rsidRPr="004F4CD0">
        <w:rPr>
          <w:lang w:val="es-ES_tradnl"/>
        </w:rPr>
        <w:t xml:space="preserve">Los pacientes tratados con </w:t>
      </w:r>
      <w:r w:rsidR="00BB4508" w:rsidRPr="004F4CD0">
        <w:rPr>
          <w:lang w:val="es-ES_tradnl"/>
        </w:rPr>
        <w:t xml:space="preserve">Stoboclo </w:t>
      </w:r>
      <w:r w:rsidRPr="004F4CD0">
        <w:rPr>
          <w:lang w:val="es-ES_tradnl"/>
        </w:rPr>
        <w:t xml:space="preserve">pueden desarrollar infecciones en la piel (principalmente celulitis) con poca frecuencia. </w:t>
      </w:r>
      <w:r w:rsidRPr="004F4CD0">
        <w:rPr>
          <w:b/>
          <w:lang w:val="es-ES_tradnl"/>
        </w:rPr>
        <w:t>Informe a su médico inmediatamente</w:t>
      </w:r>
      <w:r w:rsidRPr="004F4CD0">
        <w:rPr>
          <w:lang w:val="es-ES_tradnl"/>
        </w:rPr>
        <w:t xml:space="preserve"> si aparece alguno de estos síntomas durante el tratamiento con </w:t>
      </w:r>
      <w:r w:rsidR="00BB4508" w:rsidRPr="004F4CD0">
        <w:rPr>
          <w:lang w:val="es-ES_tradnl"/>
        </w:rPr>
        <w:t xml:space="preserve">Stoboclo </w:t>
      </w:r>
      <w:r w:rsidRPr="004F4CD0">
        <w:rPr>
          <w:lang w:val="es-ES_tradnl"/>
        </w:rPr>
        <w:t>: zona hinchada y enrojecida en la piel, normalmente en la parte inferior de la pierna, caliente y sensible al tacto y que puede ir acompañada de fiebre.</w:t>
      </w:r>
    </w:p>
    <w:p w14:paraId="3BB52F5A" w14:textId="77777777" w:rsidR="00D0743B" w:rsidRPr="004F4CD0" w:rsidRDefault="00D0743B" w:rsidP="008B4ED7">
      <w:pPr>
        <w:tabs>
          <w:tab w:val="clear" w:pos="567"/>
        </w:tabs>
        <w:rPr>
          <w:lang w:val="es-ES_tradnl"/>
        </w:rPr>
      </w:pPr>
    </w:p>
    <w:p w14:paraId="30E65CB9" w14:textId="1154C8BB" w:rsidR="00D0743B" w:rsidRPr="004F4CD0" w:rsidRDefault="00D0743B" w:rsidP="008B4ED7">
      <w:pPr>
        <w:tabs>
          <w:tab w:val="clear" w:pos="567"/>
        </w:tabs>
        <w:rPr>
          <w:lang w:val="es-ES_tradnl"/>
        </w:rPr>
      </w:pPr>
      <w:r w:rsidRPr="004F4CD0">
        <w:rPr>
          <w:lang w:val="es-ES_tradnl"/>
        </w:rPr>
        <w:lastRenderedPageBreak/>
        <w:t xml:space="preserve">Raramente, los pacientes que reciben </w:t>
      </w:r>
      <w:r w:rsidR="00BB4508" w:rsidRPr="004F4CD0">
        <w:rPr>
          <w:lang w:val="es-ES_tradnl"/>
        </w:rPr>
        <w:t xml:space="preserve">Stoboclo </w:t>
      </w:r>
      <w:r w:rsidRPr="004F4CD0">
        <w:rPr>
          <w:lang w:val="es-ES_tradnl"/>
        </w:rPr>
        <w:t xml:space="preserve">pueden desarrollar dolor en la boca y/o mandíbula, inflamación o úlceras que no se curan en la boca o mandíbula, supuración, entumecimiento o sensación de pesadez en la mandíbula, o movilidad de un diente. Estos podrían ser síntomas de daño óseo en la mandíbula (osteonecrosis). </w:t>
      </w:r>
      <w:r w:rsidRPr="004F4CD0">
        <w:rPr>
          <w:b/>
          <w:lang w:val="es-ES_tradnl"/>
        </w:rPr>
        <w:t>Informe a su médico y a su dentista inmediatamente</w:t>
      </w:r>
      <w:r w:rsidRPr="004F4CD0">
        <w:rPr>
          <w:lang w:val="es-ES_tradnl"/>
        </w:rPr>
        <w:t xml:space="preserve"> si experimenta tales síntomas mientras está en tratamiento con </w:t>
      </w:r>
      <w:r w:rsidR="00BB4508" w:rsidRPr="004F4CD0">
        <w:rPr>
          <w:lang w:val="es-ES_tradnl"/>
        </w:rPr>
        <w:t xml:space="preserve">Stoboclo </w:t>
      </w:r>
      <w:r w:rsidRPr="004F4CD0">
        <w:rPr>
          <w:lang w:val="es-ES_tradnl"/>
        </w:rPr>
        <w:t>o después de interrumpir el tratamiento.</w:t>
      </w:r>
    </w:p>
    <w:p w14:paraId="107FF48F" w14:textId="77777777" w:rsidR="00D0743B" w:rsidRPr="004F4CD0" w:rsidRDefault="00D0743B" w:rsidP="008B4ED7">
      <w:pPr>
        <w:tabs>
          <w:tab w:val="clear" w:pos="567"/>
        </w:tabs>
        <w:rPr>
          <w:lang w:val="es-ES_tradnl"/>
        </w:rPr>
      </w:pPr>
    </w:p>
    <w:p w14:paraId="17D5D324" w14:textId="7CA563E1" w:rsidR="00D0743B" w:rsidRPr="004F4CD0" w:rsidRDefault="00D0743B" w:rsidP="008B4ED7">
      <w:pPr>
        <w:tabs>
          <w:tab w:val="clear" w:pos="567"/>
        </w:tabs>
        <w:rPr>
          <w:lang w:val="es-ES_tradnl"/>
        </w:rPr>
      </w:pPr>
      <w:r w:rsidRPr="004F4CD0">
        <w:rPr>
          <w:lang w:val="es-ES_tradnl"/>
        </w:rPr>
        <w:t xml:space="preserve">Raramente, los pacientes que reciben </w:t>
      </w:r>
      <w:r w:rsidR="00BB4508" w:rsidRPr="004F4CD0">
        <w:rPr>
          <w:lang w:val="es-ES_tradnl"/>
        </w:rPr>
        <w:t xml:space="preserve">Stoboclo </w:t>
      </w:r>
      <w:r w:rsidRPr="004F4CD0">
        <w:rPr>
          <w:lang w:val="es-ES_tradnl"/>
        </w:rPr>
        <w:t xml:space="preserve">pueden presentar niveles bajos de calcio en sangre (hipocalcemia); los niveles muy bajos de calcio en sangre pueden requerir hospitalización e, incluso, podrían poner en peligro la vida. Los síntomas incluyen espasmos, contracciones o calambres en los músculos, y/o entumecimiento u hormigueo en los dedos de las manos, en los dedos de los pies o alrededor de la boca y/o convulsiones, confusión o pérdida de la conciencia. Si presenta alguno, </w:t>
      </w:r>
      <w:r w:rsidRPr="004F4CD0">
        <w:rPr>
          <w:b/>
          <w:lang w:val="es-ES_tradnl"/>
        </w:rPr>
        <w:t>informe a su médico inmediatamente</w:t>
      </w:r>
      <w:r w:rsidRPr="004F4CD0">
        <w:rPr>
          <w:lang w:val="es-ES_tradnl"/>
        </w:rPr>
        <w:t>. Los niveles bajos de calcio en la sangre también pueden provocar un cambio en el ritmo del corazón llamado prolongación del QT, que se puede observar realizando un electrocardiograma (ECG).</w:t>
      </w:r>
    </w:p>
    <w:p w14:paraId="0111C09B" w14:textId="77777777" w:rsidR="009608FC" w:rsidRPr="004F4CD0" w:rsidRDefault="009608FC" w:rsidP="008B4ED7">
      <w:pPr>
        <w:tabs>
          <w:tab w:val="clear" w:pos="567"/>
        </w:tabs>
        <w:rPr>
          <w:lang w:val="es-ES_tradnl"/>
        </w:rPr>
      </w:pPr>
    </w:p>
    <w:p w14:paraId="2116BA73" w14:textId="6FF5A68C" w:rsidR="00666C7C" w:rsidRPr="004F4CD0" w:rsidRDefault="00666C7C" w:rsidP="008B4ED7">
      <w:pPr>
        <w:tabs>
          <w:tab w:val="clear" w:pos="567"/>
        </w:tabs>
        <w:rPr>
          <w:lang w:val="es-ES_tradnl"/>
        </w:rPr>
      </w:pPr>
      <w:r w:rsidRPr="004F4CD0">
        <w:rPr>
          <w:lang w:val="es-ES_tradnl"/>
        </w:rPr>
        <w:t xml:space="preserve">Raramente pueden darse fracturas inusuales del fémur en pacientes que reciben </w:t>
      </w:r>
      <w:r w:rsidR="00BB4508" w:rsidRPr="004F4CD0">
        <w:rPr>
          <w:lang w:val="es-ES_tradnl"/>
        </w:rPr>
        <w:t>Stoboclo</w:t>
      </w:r>
      <w:r w:rsidRPr="004F4CD0">
        <w:rPr>
          <w:lang w:val="es-ES_tradnl"/>
        </w:rPr>
        <w:t xml:space="preserve">. </w:t>
      </w:r>
      <w:r w:rsidRPr="004F4CD0">
        <w:rPr>
          <w:b/>
          <w:lang w:val="es-ES_tradnl"/>
        </w:rPr>
        <w:t>Consulte con su médico</w:t>
      </w:r>
      <w:r w:rsidRPr="004F4CD0">
        <w:rPr>
          <w:lang w:val="es-ES_tradnl"/>
        </w:rPr>
        <w:t xml:space="preserve"> si sufre un dolor nuevo o inusual en la cadera, ingle o muslo ya que ello puede ser una indicación temprana de una posible fractura del fémur.</w:t>
      </w:r>
    </w:p>
    <w:p w14:paraId="7FFB93D5" w14:textId="77777777" w:rsidR="00666C7C" w:rsidRPr="004F4CD0" w:rsidRDefault="00666C7C" w:rsidP="008B4ED7">
      <w:pPr>
        <w:tabs>
          <w:tab w:val="clear" w:pos="567"/>
        </w:tabs>
        <w:rPr>
          <w:lang w:val="es-ES_tradnl"/>
        </w:rPr>
      </w:pPr>
    </w:p>
    <w:p w14:paraId="716357B6" w14:textId="1BE6614A" w:rsidR="00666C7C" w:rsidRPr="004F4CD0" w:rsidRDefault="00666C7C" w:rsidP="008B4ED7">
      <w:pPr>
        <w:tabs>
          <w:tab w:val="clear" w:pos="567"/>
        </w:tabs>
        <w:rPr>
          <w:lang w:val="es-ES_tradnl"/>
        </w:rPr>
      </w:pPr>
      <w:r w:rsidRPr="004F4CD0">
        <w:rPr>
          <w:lang w:val="es-ES_tradnl"/>
        </w:rPr>
        <w:t xml:space="preserve">Raramente pueden darse reacciones alérgicas en pacientes que reciben </w:t>
      </w:r>
      <w:r w:rsidR="00BB4508" w:rsidRPr="004F4CD0">
        <w:rPr>
          <w:lang w:val="es-ES_tradnl"/>
        </w:rPr>
        <w:t>Stoboclo</w:t>
      </w:r>
      <w:r w:rsidRPr="004F4CD0">
        <w:rPr>
          <w:lang w:val="es-ES_tradnl"/>
        </w:rPr>
        <w:t xml:space="preserve">. Los síntomas incluyen hinchazón en la cara, labios, lengua, garganta u otras partes del cuerpo; erupción, picor o urticaria en la piel, sibilancias o dificultad al respirar. </w:t>
      </w:r>
      <w:r w:rsidRPr="004F4CD0">
        <w:rPr>
          <w:b/>
          <w:lang w:val="es-ES_tradnl"/>
        </w:rPr>
        <w:t>Informe a su médico</w:t>
      </w:r>
      <w:r w:rsidRPr="004F4CD0">
        <w:rPr>
          <w:lang w:val="es-ES_tradnl"/>
        </w:rPr>
        <w:t xml:space="preserve"> si experimenta tales síntomas mientras está en tratamiento con </w:t>
      </w:r>
      <w:r w:rsidR="00BB4508" w:rsidRPr="004F4CD0">
        <w:rPr>
          <w:lang w:val="es-ES_tradnl"/>
        </w:rPr>
        <w:t>Stoboclo</w:t>
      </w:r>
      <w:r w:rsidRPr="004F4CD0">
        <w:rPr>
          <w:lang w:val="es-ES_tradnl"/>
        </w:rPr>
        <w:t>.</w:t>
      </w:r>
    </w:p>
    <w:p w14:paraId="0B28D6FC" w14:textId="77777777" w:rsidR="005A07F5" w:rsidRPr="004F4CD0" w:rsidRDefault="005A07F5" w:rsidP="008B4ED7">
      <w:pPr>
        <w:tabs>
          <w:tab w:val="clear" w:pos="567"/>
        </w:tabs>
        <w:rPr>
          <w:lang w:val="es-ES_tradnl"/>
        </w:rPr>
      </w:pPr>
    </w:p>
    <w:p w14:paraId="38CC2A62" w14:textId="77777777" w:rsidR="00E16AD0" w:rsidRPr="004F4CD0" w:rsidRDefault="006C6FD9" w:rsidP="00F51F12">
      <w:pPr>
        <w:keepNext/>
        <w:rPr>
          <w:lang w:val="es-ES_tradnl"/>
        </w:rPr>
      </w:pPr>
      <w:r w:rsidRPr="004F4CD0">
        <w:rPr>
          <w:b/>
          <w:lang w:val="es-ES_tradnl"/>
        </w:rPr>
        <w:t xml:space="preserve">Efectos adversos muy frecuentes </w:t>
      </w:r>
      <w:r w:rsidRPr="004F4CD0">
        <w:rPr>
          <w:lang w:val="es-ES_tradnl"/>
        </w:rPr>
        <w:t>(pueden afectar a más de 1 de cada 10 personas):</w:t>
      </w:r>
    </w:p>
    <w:p w14:paraId="0B82CB38" w14:textId="77777777" w:rsidR="005A07F5" w:rsidRPr="004F4CD0" w:rsidRDefault="005A07F5" w:rsidP="008B4ED7">
      <w:pPr>
        <w:keepNext/>
        <w:rPr>
          <w:lang w:val="es-ES_tradnl"/>
        </w:rPr>
      </w:pPr>
    </w:p>
    <w:p w14:paraId="33BAE01D" w14:textId="77777777" w:rsidR="00420B9A" w:rsidRPr="004F4CD0" w:rsidRDefault="00420B9A" w:rsidP="008B4ED7">
      <w:pPr>
        <w:numPr>
          <w:ilvl w:val="0"/>
          <w:numId w:val="54"/>
        </w:numPr>
        <w:tabs>
          <w:tab w:val="clear" w:pos="567"/>
        </w:tabs>
        <w:ind w:left="567" w:hanging="567"/>
        <w:rPr>
          <w:lang w:val="es-ES_tradnl"/>
        </w:rPr>
      </w:pPr>
      <w:r w:rsidRPr="004F4CD0">
        <w:rPr>
          <w:lang w:val="es-ES_tradnl"/>
        </w:rPr>
        <w:t>dolor de huesos, articulaciones y/o músculos que a veces es intenso,</w:t>
      </w:r>
    </w:p>
    <w:p w14:paraId="233477ED" w14:textId="77777777" w:rsidR="006C6FD9" w:rsidRPr="004F4CD0" w:rsidRDefault="006C6FD9" w:rsidP="008B4ED7">
      <w:pPr>
        <w:numPr>
          <w:ilvl w:val="0"/>
          <w:numId w:val="54"/>
        </w:numPr>
        <w:tabs>
          <w:tab w:val="clear" w:pos="567"/>
        </w:tabs>
        <w:ind w:left="567" w:hanging="567"/>
        <w:rPr>
          <w:lang w:val="es-ES_tradnl"/>
        </w:rPr>
      </w:pPr>
      <w:r w:rsidRPr="004F4CD0">
        <w:rPr>
          <w:lang w:val="es-ES_tradnl"/>
        </w:rPr>
        <w:t>dolor de piernas o brazos (dolor en las extremidades).</w:t>
      </w:r>
    </w:p>
    <w:p w14:paraId="2EE98C33" w14:textId="77777777" w:rsidR="006C6FD9" w:rsidRPr="004F4CD0" w:rsidRDefault="006C6FD9" w:rsidP="008B4ED7">
      <w:pPr>
        <w:numPr>
          <w:ilvl w:val="12"/>
          <w:numId w:val="0"/>
        </w:numPr>
        <w:ind w:right="-2"/>
        <w:rPr>
          <w:lang w:val="es-ES_tradnl"/>
        </w:rPr>
      </w:pPr>
    </w:p>
    <w:p w14:paraId="50B456D8" w14:textId="77777777" w:rsidR="00E16AD0" w:rsidRPr="004F4CD0" w:rsidRDefault="00E16AD0" w:rsidP="00F51F12">
      <w:pPr>
        <w:keepNext/>
        <w:rPr>
          <w:lang w:val="es-ES_tradnl"/>
        </w:rPr>
      </w:pPr>
      <w:r w:rsidRPr="004F4CD0">
        <w:rPr>
          <w:b/>
          <w:lang w:val="es-ES_tradnl"/>
        </w:rPr>
        <w:t>Efectos adversos frecuentes</w:t>
      </w:r>
      <w:r w:rsidRPr="004F4CD0">
        <w:rPr>
          <w:lang w:val="es-ES_tradnl"/>
        </w:rPr>
        <w:t xml:space="preserve"> (pueden afectar hasta 1 de cada 10 personas):</w:t>
      </w:r>
    </w:p>
    <w:p w14:paraId="31747FE6" w14:textId="77777777" w:rsidR="00E16AD0" w:rsidRPr="004F4CD0" w:rsidRDefault="00E16AD0" w:rsidP="008B4ED7">
      <w:pPr>
        <w:keepNext/>
        <w:rPr>
          <w:lang w:val="es-ES_tradnl"/>
        </w:rPr>
      </w:pPr>
    </w:p>
    <w:p w14:paraId="5D5B75D1" w14:textId="77777777" w:rsidR="00E16AD0" w:rsidRPr="004F4CD0" w:rsidRDefault="00E16AD0" w:rsidP="008B4ED7">
      <w:pPr>
        <w:numPr>
          <w:ilvl w:val="0"/>
          <w:numId w:val="54"/>
        </w:numPr>
        <w:tabs>
          <w:tab w:val="clear" w:pos="567"/>
        </w:tabs>
        <w:ind w:left="567" w:hanging="567"/>
        <w:rPr>
          <w:lang w:val="es-ES_tradnl"/>
        </w:rPr>
      </w:pPr>
      <w:r w:rsidRPr="004F4CD0">
        <w:rPr>
          <w:lang w:val="es-ES_tradnl"/>
        </w:rPr>
        <w:t>micción dolorosa, micción frecuente, presencia de sangre en la orina, incontinencia urinaria,</w:t>
      </w:r>
    </w:p>
    <w:p w14:paraId="18C3B5E9" w14:textId="77777777" w:rsidR="00E16AD0" w:rsidRPr="004F4CD0" w:rsidRDefault="00E16AD0" w:rsidP="008B4ED7">
      <w:pPr>
        <w:numPr>
          <w:ilvl w:val="0"/>
          <w:numId w:val="54"/>
        </w:numPr>
        <w:tabs>
          <w:tab w:val="clear" w:pos="567"/>
        </w:tabs>
        <w:ind w:left="567" w:hanging="567"/>
        <w:rPr>
          <w:lang w:val="es-ES_tradnl"/>
        </w:rPr>
      </w:pPr>
      <w:r w:rsidRPr="004F4CD0">
        <w:rPr>
          <w:lang w:val="es-ES_tradnl"/>
        </w:rPr>
        <w:t>infección del tracto respiratorio superior,</w:t>
      </w:r>
    </w:p>
    <w:p w14:paraId="27265D19" w14:textId="77777777" w:rsidR="00E16AD0" w:rsidRPr="004F4CD0" w:rsidRDefault="00E16AD0" w:rsidP="008B4ED7">
      <w:pPr>
        <w:numPr>
          <w:ilvl w:val="0"/>
          <w:numId w:val="54"/>
        </w:numPr>
        <w:tabs>
          <w:tab w:val="clear" w:pos="567"/>
        </w:tabs>
        <w:ind w:left="567" w:hanging="567"/>
        <w:rPr>
          <w:lang w:val="es-ES_tradnl"/>
        </w:rPr>
      </w:pPr>
      <w:r w:rsidRPr="004F4CD0">
        <w:rPr>
          <w:lang w:val="es-ES_tradnl"/>
        </w:rPr>
        <w:t>dolor, hormigueo o insensibilidad que se extiende hacia la parte inferior de la pierna (ciática),</w:t>
      </w:r>
    </w:p>
    <w:p w14:paraId="05CE5D6E" w14:textId="77777777" w:rsidR="002F61D8" w:rsidRPr="004F4CD0" w:rsidRDefault="00E16AD0" w:rsidP="008B4ED7">
      <w:pPr>
        <w:numPr>
          <w:ilvl w:val="0"/>
          <w:numId w:val="54"/>
        </w:numPr>
        <w:tabs>
          <w:tab w:val="clear" w:pos="567"/>
        </w:tabs>
        <w:ind w:left="567" w:hanging="567"/>
        <w:rPr>
          <w:lang w:val="es-ES_tradnl"/>
        </w:rPr>
      </w:pPr>
      <w:r w:rsidRPr="004F4CD0">
        <w:rPr>
          <w:lang w:val="es-ES_tradnl"/>
        </w:rPr>
        <w:t>estreñimiento,</w:t>
      </w:r>
    </w:p>
    <w:p w14:paraId="58E2F42A" w14:textId="77777777" w:rsidR="008603DE" w:rsidRPr="004F4CD0" w:rsidRDefault="002F61D8" w:rsidP="008B4ED7">
      <w:pPr>
        <w:numPr>
          <w:ilvl w:val="0"/>
          <w:numId w:val="54"/>
        </w:numPr>
        <w:tabs>
          <w:tab w:val="clear" w:pos="567"/>
        </w:tabs>
        <w:ind w:left="567" w:hanging="567"/>
        <w:rPr>
          <w:lang w:val="es-ES_tradnl"/>
        </w:rPr>
      </w:pPr>
      <w:r w:rsidRPr="004F4CD0">
        <w:rPr>
          <w:lang w:val="es-ES_tradnl"/>
        </w:rPr>
        <w:t>molestias abdominales,</w:t>
      </w:r>
    </w:p>
    <w:p w14:paraId="15BDD9BC" w14:textId="77777777" w:rsidR="00E16AD0" w:rsidRPr="004F4CD0" w:rsidRDefault="00E16AD0" w:rsidP="008B4ED7">
      <w:pPr>
        <w:numPr>
          <w:ilvl w:val="0"/>
          <w:numId w:val="54"/>
        </w:numPr>
        <w:tabs>
          <w:tab w:val="clear" w:pos="567"/>
        </w:tabs>
        <w:ind w:left="567" w:hanging="567"/>
        <w:rPr>
          <w:lang w:val="es-ES_tradnl"/>
        </w:rPr>
      </w:pPr>
      <w:r w:rsidRPr="004F4CD0">
        <w:rPr>
          <w:lang w:val="es-ES_tradnl"/>
        </w:rPr>
        <w:t>erupción cutánea,</w:t>
      </w:r>
    </w:p>
    <w:p w14:paraId="2F56B90B" w14:textId="7E88D073" w:rsidR="00F51D48" w:rsidRPr="004F4CD0" w:rsidRDefault="006C6FD9" w:rsidP="008B4ED7">
      <w:pPr>
        <w:numPr>
          <w:ilvl w:val="0"/>
          <w:numId w:val="54"/>
        </w:numPr>
        <w:tabs>
          <w:tab w:val="clear" w:pos="567"/>
        </w:tabs>
        <w:ind w:left="567" w:hanging="567"/>
        <w:rPr>
          <w:lang w:val="es-ES_tradnl"/>
        </w:rPr>
      </w:pPr>
      <w:r w:rsidRPr="004F4CD0">
        <w:rPr>
          <w:lang w:val="es-ES_tradnl"/>
        </w:rPr>
        <w:t>afección cutánea con picor, enrojecimiento y/o sequedad (eccema),</w:t>
      </w:r>
    </w:p>
    <w:p w14:paraId="2D05BA3B" w14:textId="77777777" w:rsidR="006C6FD9" w:rsidRPr="004F4CD0" w:rsidRDefault="00F51D48" w:rsidP="008B4ED7">
      <w:pPr>
        <w:numPr>
          <w:ilvl w:val="0"/>
          <w:numId w:val="54"/>
        </w:numPr>
        <w:tabs>
          <w:tab w:val="clear" w:pos="567"/>
        </w:tabs>
        <w:ind w:left="567" w:hanging="567"/>
        <w:rPr>
          <w:lang w:val="es-ES_tradnl"/>
        </w:rPr>
      </w:pPr>
      <w:r w:rsidRPr="004F4CD0">
        <w:rPr>
          <w:lang w:val="es-ES_tradnl"/>
        </w:rPr>
        <w:t>pérdida del pelo (alopecia).</w:t>
      </w:r>
    </w:p>
    <w:p w14:paraId="4FC63E1A" w14:textId="77777777" w:rsidR="00E16AD0" w:rsidRPr="004F4CD0" w:rsidRDefault="00E16AD0" w:rsidP="008B4ED7">
      <w:pPr>
        <w:pStyle w:val="lbltxt"/>
        <w:rPr>
          <w:b/>
          <w:noProof w:val="0"/>
          <w:szCs w:val="22"/>
          <w:lang w:val="es-ES_tradnl"/>
        </w:rPr>
      </w:pPr>
    </w:p>
    <w:p w14:paraId="03494F07" w14:textId="77777777" w:rsidR="00E16AD0" w:rsidRPr="004F4CD0" w:rsidRDefault="00E16AD0" w:rsidP="00F51F12">
      <w:pPr>
        <w:keepNext/>
        <w:rPr>
          <w:lang w:val="es-ES_tradnl"/>
        </w:rPr>
      </w:pPr>
      <w:r w:rsidRPr="004F4CD0">
        <w:rPr>
          <w:b/>
          <w:lang w:val="es-ES_tradnl"/>
        </w:rPr>
        <w:t xml:space="preserve">Efectos adversos poco frecuentes </w:t>
      </w:r>
      <w:r w:rsidRPr="004F4CD0">
        <w:rPr>
          <w:lang w:val="es-ES_tradnl"/>
        </w:rPr>
        <w:t>(pueden afectar hasta 1 de cada 100 personas):</w:t>
      </w:r>
    </w:p>
    <w:p w14:paraId="2E698261" w14:textId="77777777" w:rsidR="00E16AD0" w:rsidRPr="004F4CD0" w:rsidRDefault="00E16AD0" w:rsidP="008B4ED7">
      <w:pPr>
        <w:keepNext/>
        <w:rPr>
          <w:lang w:val="es-ES_tradnl"/>
        </w:rPr>
      </w:pPr>
    </w:p>
    <w:p w14:paraId="20BB9DFB" w14:textId="77777777" w:rsidR="008603DE" w:rsidRPr="004F4CD0" w:rsidRDefault="00E16AD0" w:rsidP="008B4ED7">
      <w:pPr>
        <w:numPr>
          <w:ilvl w:val="0"/>
          <w:numId w:val="54"/>
        </w:numPr>
        <w:tabs>
          <w:tab w:val="clear" w:pos="567"/>
        </w:tabs>
        <w:ind w:left="567" w:hanging="567"/>
        <w:rPr>
          <w:lang w:val="es-ES_tradnl"/>
        </w:rPr>
      </w:pPr>
      <w:r w:rsidRPr="004F4CD0">
        <w:rPr>
          <w:lang w:val="es-ES_tradnl"/>
        </w:rPr>
        <w:t>fiebre, vómitos y dolor o molestias abdominales (diverticulitis),</w:t>
      </w:r>
    </w:p>
    <w:p w14:paraId="58A86F63" w14:textId="7D7247EC" w:rsidR="00E16AD0" w:rsidRPr="004F4CD0" w:rsidRDefault="00E16AD0" w:rsidP="008B4ED7">
      <w:pPr>
        <w:numPr>
          <w:ilvl w:val="0"/>
          <w:numId w:val="54"/>
        </w:numPr>
        <w:tabs>
          <w:tab w:val="clear" w:pos="567"/>
        </w:tabs>
        <w:ind w:left="567" w:hanging="567"/>
        <w:rPr>
          <w:lang w:val="es-ES_tradnl"/>
        </w:rPr>
      </w:pPr>
      <w:r w:rsidRPr="004F4CD0">
        <w:rPr>
          <w:lang w:val="es-ES_tradnl"/>
        </w:rPr>
        <w:t>infección del oído,</w:t>
      </w:r>
    </w:p>
    <w:p w14:paraId="50C61490" w14:textId="77777777" w:rsidR="000C454F" w:rsidRPr="004F4CD0" w:rsidRDefault="000C454F" w:rsidP="008B4ED7">
      <w:pPr>
        <w:numPr>
          <w:ilvl w:val="0"/>
          <w:numId w:val="54"/>
        </w:numPr>
        <w:tabs>
          <w:tab w:val="clear" w:pos="567"/>
        </w:tabs>
        <w:ind w:left="567" w:hanging="567"/>
        <w:rPr>
          <w:lang w:val="es-ES_tradnl"/>
        </w:rPr>
      </w:pPr>
      <w:r w:rsidRPr="004F4CD0">
        <w:rPr>
          <w:lang w:val="es-ES_tradnl"/>
        </w:rPr>
        <w:t>erupción en la piel o ulceraciones en la boca (erupciones liquenoides medicamentosas).</w:t>
      </w:r>
    </w:p>
    <w:p w14:paraId="5A0FABDB" w14:textId="77777777" w:rsidR="00E16AD0" w:rsidRPr="004F4CD0" w:rsidRDefault="00E16AD0" w:rsidP="008B4ED7">
      <w:pPr>
        <w:rPr>
          <w:lang w:val="es-ES_tradnl"/>
        </w:rPr>
      </w:pPr>
    </w:p>
    <w:p w14:paraId="024E7020" w14:textId="5B1F9937" w:rsidR="00E12724" w:rsidRPr="004F4CD0" w:rsidRDefault="006D3004" w:rsidP="008B4ED7">
      <w:pPr>
        <w:keepNext/>
        <w:rPr>
          <w:lang w:val="es-ES_tradnl"/>
        </w:rPr>
      </w:pPr>
      <w:r w:rsidRPr="004F4CD0">
        <w:rPr>
          <w:b/>
          <w:lang w:val="es-ES_tradnl"/>
        </w:rPr>
        <w:t>Efectos adversos muy raros</w:t>
      </w:r>
      <w:r w:rsidRPr="004F4CD0">
        <w:rPr>
          <w:lang w:val="es-ES_tradnl"/>
        </w:rPr>
        <w:t xml:space="preserve"> (pueden afectar hasta 1 de cada 10</w:t>
      </w:r>
      <w:r w:rsidR="0052280D">
        <w:rPr>
          <w:lang w:val="es-ES_tradnl"/>
        </w:rPr>
        <w:t>.</w:t>
      </w:r>
      <w:r w:rsidRPr="004F4CD0">
        <w:rPr>
          <w:lang w:val="es-ES_tradnl"/>
        </w:rPr>
        <w:t>000 personas):</w:t>
      </w:r>
    </w:p>
    <w:p w14:paraId="390D711B" w14:textId="77777777" w:rsidR="006D3004" w:rsidRPr="004F4CD0" w:rsidRDefault="006D3004" w:rsidP="008B4ED7">
      <w:pPr>
        <w:keepNext/>
        <w:rPr>
          <w:lang w:val="es-ES_tradnl"/>
        </w:rPr>
      </w:pPr>
    </w:p>
    <w:p w14:paraId="1283FF7D" w14:textId="6835F01A" w:rsidR="00E12724" w:rsidRPr="004F4CD0" w:rsidRDefault="00177EBD" w:rsidP="00BE67EE">
      <w:pPr>
        <w:numPr>
          <w:ilvl w:val="0"/>
          <w:numId w:val="54"/>
        </w:numPr>
        <w:tabs>
          <w:tab w:val="clear" w:pos="567"/>
        </w:tabs>
        <w:ind w:left="567" w:hanging="567"/>
        <w:rPr>
          <w:lang w:val="es-ES_tradnl"/>
        </w:rPr>
      </w:pPr>
      <w:r w:rsidRPr="004F4CD0">
        <w:rPr>
          <w:lang w:val="es-ES_tradnl"/>
        </w:rPr>
        <w:t>reacción alérgica que puede dañar los vasos sanguíneos, principalmente de la piel (p. ej. manchas color púrpura o rojo parduzco, urticaria o úlceras de la piel) (vasculitis por hipersensibilidad).</w:t>
      </w:r>
    </w:p>
    <w:p w14:paraId="61045E68" w14:textId="77777777" w:rsidR="00E12724" w:rsidRPr="004F4CD0" w:rsidRDefault="00E12724" w:rsidP="00F51F12">
      <w:pPr>
        <w:rPr>
          <w:lang w:val="es-ES_tradnl"/>
        </w:rPr>
      </w:pPr>
    </w:p>
    <w:p w14:paraId="2640DEB4" w14:textId="6CED272A" w:rsidR="00DE7911" w:rsidRPr="004F4CD0" w:rsidRDefault="00DE7911" w:rsidP="00F51F12">
      <w:pPr>
        <w:keepNext/>
        <w:rPr>
          <w:lang w:val="es-ES_tradnl"/>
        </w:rPr>
      </w:pPr>
      <w:r w:rsidRPr="004F4CD0">
        <w:rPr>
          <w:b/>
          <w:lang w:val="es-ES_tradnl"/>
        </w:rPr>
        <w:lastRenderedPageBreak/>
        <w:t>Frecuencia no conocida</w:t>
      </w:r>
      <w:r w:rsidRPr="004F4CD0">
        <w:rPr>
          <w:lang w:val="es-ES_tradnl"/>
        </w:rPr>
        <w:t xml:space="preserve"> (no puede estimarse a partir de los datos disponibles):</w:t>
      </w:r>
    </w:p>
    <w:p w14:paraId="21AC79AE" w14:textId="77777777" w:rsidR="00DE7911" w:rsidRPr="004F4CD0" w:rsidRDefault="00DE7911" w:rsidP="008B4ED7">
      <w:pPr>
        <w:keepNext/>
        <w:rPr>
          <w:lang w:val="es-ES_tradnl"/>
        </w:rPr>
      </w:pPr>
    </w:p>
    <w:p w14:paraId="70C4DD54" w14:textId="19F73E6F" w:rsidR="00252372" w:rsidRPr="004F4CD0" w:rsidRDefault="00177EBD" w:rsidP="008B4ED7">
      <w:pPr>
        <w:numPr>
          <w:ilvl w:val="0"/>
          <w:numId w:val="54"/>
        </w:numPr>
        <w:tabs>
          <w:tab w:val="clear" w:pos="567"/>
        </w:tabs>
        <w:ind w:left="567" w:hanging="567"/>
        <w:rPr>
          <w:lang w:val="es-ES_tradnl"/>
        </w:rPr>
      </w:pPr>
      <w:r w:rsidRPr="004F4CD0">
        <w:rPr>
          <w:lang w:val="es-ES_tradnl"/>
        </w:rPr>
        <w:t>consulte a su médico si usted tiene dolor de oído, el oído le supura y/o sufre una infección de oído. Estos podrían ser síntomas de daño en los huesos del oído.</w:t>
      </w:r>
    </w:p>
    <w:p w14:paraId="4B6BC68B" w14:textId="77777777" w:rsidR="00382BC2" w:rsidRPr="004F4CD0" w:rsidRDefault="00382BC2" w:rsidP="008B4ED7">
      <w:pPr>
        <w:rPr>
          <w:lang w:val="es-ES_tradnl"/>
        </w:rPr>
      </w:pPr>
    </w:p>
    <w:p w14:paraId="00AC930C" w14:textId="77777777" w:rsidR="008603DE" w:rsidRPr="004F4CD0" w:rsidRDefault="00834859" w:rsidP="00F51F12">
      <w:pPr>
        <w:keepNext/>
        <w:tabs>
          <w:tab w:val="clear" w:pos="567"/>
        </w:tabs>
        <w:rPr>
          <w:b/>
          <w:bCs/>
          <w:lang w:val="es-ES_tradnl"/>
        </w:rPr>
      </w:pPr>
      <w:r w:rsidRPr="004F4CD0">
        <w:rPr>
          <w:b/>
          <w:lang w:val="es-ES_tradnl"/>
        </w:rPr>
        <w:t>Comunicación de efectos adversos</w:t>
      </w:r>
    </w:p>
    <w:p w14:paraId="7791F0F3" w14:textId="77777777" w:rsidR="00834859" w:rsidRPr="004F4CD0" w:rsidRDefault="00834859" w:rsidP="008B4ED7">
      <w:pPr>
        <w:keepNext/>
        <w:rPr>
          <w:lang w:val="es-ES_tradnl"/>
        </w:rPr>
      </w:pPr>
    </w:p>
    <w:p w14:paraId="34D57FF5" w14:textId="6BAFE6B9" w:rsidR="008603DE" w:rsidRPr="004F4CD0" w:rsidRDefault="00834859" w:rsidP="008B4ED7">
      <w:pPr>
        <w:tabs>
          <w:tab w:val="clear" w:pos="567"/>
        </w:tabs>
        <w:rPr>
          <w:lang w:val="es-ES_tradnl"/>
        </w:rPr>
      </w:pPr>
      <w:r w:rsidRPr="004F4CD0">
        <w:rPr>
          <w:lang w:val="es-ES_tradnl"/>
        </w:rPr>
        <w:t xml:space="preserve">Si experimenta cualquier tipo de efecto adverso, consulte a su médico o farmacéutico, incluso si se trata de posibles efectos adversos que no aparecen en este prospecto. También puede comunicarlos directamente a través del </w:t>
      </w:r>
      <w:r>
        <w:rPr>
          <w:highlight w:val="lightGray"/>
          <w:lang w:val="es-ES_tradnl"/>
        </w:rPr>
        <w:t xml:space="preserve">sistema nacional de notificación incluido en el </w:t>
      </w:r>
      <w:hyperlink r:id="rId18" w:history="1">
        <w:r>
          <w:rPr>
            <w:rStyle w:val="ab"/>
            <w:highlight w:val="lightGray"/>
            <w:lang w:val="es-ES_tradnl"/>
          </w:rPr>
          <w:t>Apéndice V</w:t>
        </w:r>
      </w:hyperlink>
      <w:r w:rsidRPr="004F4CD0">
        <w:rPr>
          <w:lang w:val="es-ES_tradnl"/>
        </w:rPr>
        <w:t>. Mediante la comunicación de efectos adversos usted puede contribuir a proporcionar más información sobre la seguridad de este medicamento.</w:t>
      </w:r>
    </w:p>
    <w:p w14:paraId="7D9AABBF" w14:textId="77777777" w:rsidR="00382BC2" w:rsidRPr="004F4CD0" w:rsidRDefault="00382BC2" w:rsidP="008B4ED7">
      <w:pPr>
        <w:tabs>
          <w:tab w:val="clear" w:pos="567"/>
        </w:tabs>
        <w:rPr>
          <w:lang w:val="es-ES_tradnl"/>
        </w:rPr>
      </w:pPr>
    </w:p>
    <w:p w14:paraId="31BBC51C" w14:textId="77777777" w:rsidR="00382BC2" w:rsidRPr="004F4CD0" w:rsidRDefault="00382BC2" w:rsidP="008B4ED7">
      <w:pPr>
        <w:tabs>
          <w:tab w:val="clear" w:pos="567"/>
        </w:tabs>
        <w:rPr>
          <w:lang w:val="es-ES_tradnl"/>
        </w:rPr>
      </w:pPr>
    </w:p>
    <w:p w14:paraId="0B858D6E" w14:textId="6645C83E" w:rsidR="00382BC2" w:rsidRPr="004F4CD0" w:rsidRDefault="00382BC2" w:rsidP="008B4ED7">
      <w:pPr>
        <w:keepNext/>
        <w:tabs>
          <w:tab w:val="clear" w:pos="567"/>
        </w:tabs>
        <w:ind w:left="567" w:hanging="567"/>
        <w:rPr>
          <w:b/>
          <w:lang w:val="es-ES_tradnl"/>
        </w:rPr>
      </w:pPr>
      <w:r w:rsidRPr="004F4CD0">
        <w:rPr>
          <w:b/>
          <w:lang w:val="es-ES_tradnl"/>
        </w:rPr>
        <w:t>5.</w:t>
      </w:r>
      <w:r w:rsidRPr="004F4CD0">
        <w:rPr>
          <w:b/>
          <w:lang w:val="es-ES_tradnl"/>
        </w:rPr>
        <w:tab/>
        <w:t xml:space="preserve">Conservación de </w:t>
      </w:r>
      <w:r w:rsidR="00BB4508" w:rsidRPr="004F4CD0">
        <w:rPr>
          <w:b/>
          <w:bCs/>
          <w:lang w:val="es-ES_tradnl" w:eastAsia="ko-KR"/>
        </w:rPr>
        <w:t>Stoboclo</w:t>
      </w:r>
    </w:p>
    <w:p w14:paraId="1D8F68AA" w14:textId="77777777" w:rsidR="00382BC2" w:rsidRPr="004F4CD0" w:rsidRDefault="00382BC2" w:rsidP="008B4ED7">
      <w:pPr>
        <w:keepNext/>
        <w:rPr>
          <w:lang w:val="es-ES_tradnl"/>
        </w:rPr>
      </w:pPr>
    </w:p>
    <w:p w14:paraId="21AF01F9" w14:textId="77777777" w:rsidR="00382BC2" w:rsidRPr="004F4CD0" w:rsidRDefault="00382BC2" w:rsidP="008B4ED7">
      <w:pPr>
        <w:tabs>
          <w:tab w:val="clear" w:pos="567"/>
        </w:tabs>
        <w:rPr>
          <w:lang w:val="es-ES_tradnl"/>
        </w:rPr>
      </w:pPr>
      <w:r w:rsidRPr="004F4CD0">
        <w:rPr>
          <w:lang w:val="es-ES_tradnl"/>
        </w:rPr>
        <w:t>Mantener este medicamento fuera de la vista y del alcance de los niños.</w:t>
      </w:r>
    </w:p>
    <w:p w14:paraId="51EB7A7C" w14:textId="77777777" w:rsidR="00382BC2" w:rsidRPr="004F4CD0" w:rsidRDefault="00382BC2" w:rsidP="008B4ED7">
      <w:pPr>
        <w:tabs>
          <w:tab w:val="clear" w:pos="567"/>
        </w:tabs>
        <w:rPr>
          <w:lang w:val="es-ES_tradnl"/>
        </w:rPr>
      </w:pPr>
    </w:p>
    <w:p w14:paraId="51C6B665" w14:textId="77777777" w:rsidR="00382BC2" w:rsidRPr="004F4CD0" w:rsidRDefault="00382BC2" w:rsidP="008B4ED7">
      <w:pPr>
        <w:tabs>
          <w:tab w:val="clear" w:pos="567"/>
        </w:tabs>
        <w:rPr>
          <w:lang w:val="es-ES_tradnl"/>
        </w:rPr>
      </w:pPr>
      <w:r w:rsidRPr="004F4CD0">
        <w:rPr>
          <w:lang w:val="es-ES_tradnl"/>
        </w:rPr>
        <w:t>No utilice este medicamento después de la fecha de caducidad que aparece en la etiqueta y en la caja después de “CAD” o “EXP”. La fecha de caducidad es el último día del mes que se indica.</w:t>
      </w:r>
    </w:p>
    <w:p w14:paraId="4F50283E" w14:textId="77777777" w:rsidR="00382BC2" w:rsidRPr="004F4CD0" w:rsidRDefault="00382BC2" w:rsidP="008B4ED7">
      <w:pPr>
        <w:tabs>
          <w:tab w:val="clear" w:pos="567"/>
        </w:tabs>
        <w:rPr>
          <w:lang w:val="es-ES_tradnl"/>
        </w:rPr>
      </w:pPr>
    </w:p>
    <w:p w14:paraId="5124AD69" w14:textId="77777777" w:rsidR="00382BC2" w:rsidRPr="004F4CD0" w:rsidRDefault="00382BC2" w:rsidP="008B4ED7">
      <w:pPr>
        <w:tabs>
          <w:tab w:val="clear" w:pos="567"/>
        </w:tabs>
        <w:rPr>
          <w:lang w:val="es-ES_tradnl"/>
        </w:rPr>
      </w:pPr>
      <w:r w:rsidRPr="004F4CD0">
        <w:rPr>
          <w:lang w:val="es-ES_tradnl"/>
        </w:rPr>
        <w:t>Conservar en nevera (entre 2 ºC y 8 ºC).</w:t>
      </w:r>
    </w:p>
    <w:p w14:paraId="071D7BA6" w14:textId="77777777" w:rsidR="00382BC2" w:rsidRPr="004F4CD0" w:rsidRDefault="00382BC2" w:rsidP="008B4ED7">
      <w:pPr>
        <w:tabs>
          <w:tab w:val="clear" w:pos="567"/>
        </w:tabs>
        <w:rPr>
          <w:lang w:val="es-ES_tradnl"/>
        </w:rPr>
      </w:pPr>
      <w:r w:rsidRPr="004F4CD0">
        <w:rPr>
          <w:lang w:val="es-ES_tradnl"/>
        </w:rPr>
        <w:t>No congelar.</w:t>
      </w:r>
    </w:p>
    <w:p w14:paraId="111D555E" w14:textId="008BFD3A" w:rsidR="00601A36" w:rsidRPr="004F4CD0" w:rsidRDefault="00601A36" w:rsidP="008B4ED7">
      <w:pPr>
        <w:tabs>
          <w:tab w:val="clear" w:pos="567"/>
        </w:tabs>
        <w:rPr>
          <w:lang w:val="es-ES_tradnl"/>
        </w:rPr>
      </w:pPr>
      <w:r w:rsidRPr="004F4CD0">
        <w:rPr>
          <w:lang w:val="es-ES_tradnl"/>
        </w:rPr>
        <w:t>Mantener la jeringa precargada en el embalaje exterior para protegerla de la luz.</w:t>
      </w:r>
    </w:p>
    <w:p w14:paraId="6F8A38C9" w14:textId="77777777" w:rsidR="00382BC2" w:rsidRPr="004F4CD0" w:rsidRDefault="00382BC2" w:rsidP="008B4ED7">
      <w:pPr>
        <w:tabs>
          <w:tab w:val="clear" w:pos="567"/>
        </w:tabs>
        <w:rPr>
          <w:lang w:val="es-ES_tradnl"/>
        </w:rPr>
      </w:pPr>
    </w:p>
    <w:p w14:paraId="24B17BCB" w14:textId="4679ABBD" w:rsidR="00382BC2" w:rsidRPr="004F4CD0" w:rsidRDefault="00382BC2" w:rsidP="008B4ED7">
      <w:pPr>
        <w:tabs>
          <w:tab w:val="clear" w:pos="567"/>
        </w:tabs>
        <w:rPr>
          <w:lang w:val="es-ES_tradnl"/>
        </w:rPr>
      </w:pPr>
      <w:r w:rsidRPr="004F4CD0">
        <w:rPr>
          <w:lang w:val="es-ES_tradnl"/>
        </w:rPr>
        <w:t xml:space="preserve">Antes de la inyección, la jeringa precargada puede dejarse fuera de la nevera para que alcance la temperatura ambiente (hasta 25 ºC). De este modo la inyección será menos molesta. Una vez que la jeringa haya alcanzado la temperatura ambiente (hasta 25 ºC), debe utilizarse antes de que pase </w:t>
      </w:r>
      <w:r w:rsidR="00BB4508" w:rsidRPr="004F4CD0">
        <w:rPr>
          <w:lang w:val="es-ES_tradnl"/>
        </w:rPr>
        <w:t>1 mes</w:t>
      </w:r>
      <w:r w:rsidRPr="004F4CD0">
        <w:rPr>
          <w:lang w:val="es-ES_tradnl"/>
        </w:rPr>
        <w:t>.</w:t>
      </w:r>
    </w:p>
    <w:p w14:paraId="47E6EF7D" w14:textId="77777777" w:rsidR="00382BC2" w:rsidRPr="004F4CD0" w:rsidRDefault="00382BC2" w:rsidP="008B4ED7">
      <w:pPr>
        <w:tabs>
          <w:tab w:val="clear" w:pos="567"/>
        </w:tabs>
        <w:rPr>
          <w:lang w:val="es-ES_tradnl"/>
        </w:rPr>
      </w:pPr>
    </w:p>
    <w:p w14:paraId="017E78F6" w14:textId="77777777" w:rsidR="00382BC2" w:rsidRPr="004F4CD0" w:rsidRDefault="00382BC2" w:rsidP="008B4ED7">
      <w:pPr>
        <w:tabs>
          <w:tab w:val="clear" w:pos="567"/>
        </w:tabs>
        <w:rPr>
          <w:lang w:val="es-ES_tradnl"/>
        </w:rPr>
      </w:pPr>
      <w:r w:rsidRPr="004F4CD0">
        <w:rPr>
          <w:lang w:val="es-ES_tradnl"/>
        </w:rPr>
        <w:t>Los medicamentos no se deben tirar por los desagües ni a la basura. Pregunte a su farmacéutico cómo deshacerse de los envases y de los medicamentos que ya no necesita. De esta forma, ayudará a proteger el medio ambiente.</w:t>
      </w:r>
    </w:p>
    <w:p w14:paraId="6BF33414" w14:textId="77777777" w:rsidR="00382BC2" w:rsidRPr="004F4CD0" w:rsidRDefault="00382BC2" w:rsidP="008B4ED7">
      <w:pPr>
        <w:tabs>
          <w:tab w:val="clear" w:pos="567"/>
        </w:tabs>
        <w:rPr>
          <w:lang w:val="es-ES_tradnl"/>
        </w:rPr>
      </w:pPr>
    </w:p>
    <w:p w14:paraId="6C21E4BE" w14:textId="77777777" w:rsidR="00382BC2" w:rsidRPr="004F4CD0" w:rsidRDefault="00382BC2" w:rsidP="008B4ED7">
      <w:pPr>
        <w:tabs>
          <w:tab w:val="clear" w:pos="567"/>
        </w:tabs>
        <w:rPr>
          <w:lang w:val="es-ES_tradnl"/>
        </w:rPr>
      </w:pPr>
    </w:p>
    <w:p w14:paraId="6B512D9B" w14:textId="77777777" w:rsidR="008603DE" w:rsidRPr="004F4CD0" w:rsidRDefault="00382BC2" w:rsidP="008B4ED7">
      <w:pPr>
        <w:keepNext/>
        <w:tabs>
          <w:tab w:val="clear" w:pos="567"/>
        </w:tabs>
        <w:ind w:left="567" w:hanging="567"/>
        <w:rPr>
          <w:b/>
          <w:lang w:val="es-ES_tradnl"/>
        </w:rPr>
      </w:pPr>
      <w:r w:rsidRPr="004F4CD0">
        <w:rPr>
          <w:b/>
          <w:lang w:val="es-ES_tradnl"/>
        </w:rPr>
        <w:t>6.</w:t>
      </w:r>
      <w:r w:rsidRPr="004F4CD0">
        <w:rPr>
          <w:b/>
          <w:lang w:val="es-ES_tradnl"/>
        </w:rPr>
        <w:tab/>
        <w:t>Contenido del envase e información adicional</w:t>
      </w:r>
    </w:p>
    <w:p w14:paraId="244F7265" w14:textId="77777777" w:rsidR="00382BC2" w:rsidRPr="004F4CD0" w:rsidRDefault="00382BC2" w:rsidP="008B4ED7">
      <w:pPr>
        <w:keepNext/>
        <w:rPr>
          <w:lang w:val="es-ES_tradnl"/>
        </w:rPr>
      </w:pPr>
    </w:p>
    <w:p w14:paraId="16E45380" w14:textId="44BE55EA" w:rsidR="00382BC2" w:rsidRPr="004F4CD0" w:rsidRDefault="00382BC2" w:rsidP="00F51F12">
      <w:pPr>
        <w:keepNext/>
        <w:tabs>
          <w:tab w:val="clear" w:pos="567"/>
        </w:tabs>
        <w:rPr>
          <w:b/>
          <w:bCs/>
          <w:lang w:val="es-ES_tradnl"/>
        </w:rPr>
      </w:pPr>
      <w:r w:rsidRPr="004F4CD0">
        <w:rPr>
          <w:b/>
          <w:lang w:val="es-ES_tradnl"/>
        </w:rPr>
        <w:t xml:space="preserve">Composición de </w:t>
      </w:r>
      <w:r w:rsidR="00BB4508" w:rsidRPr="004F4CD0">
        <w:rPr>
          <w:b/>
          <w:bCs/>
          <w:lang w:val="es-ES_tradnl"/>
        </w:rPr>
        <w:t>Stoboclo</w:t>
      </w:r>
    </w:p>
    <w:p w14:paraId="506421ED" w14:textId="77777777" w:rsidR="00382BC2" w:rsidRPr="004F4CD0" w:rsidRDefault="00382BC2" w:rsidP="008B4ED7">
      <w:pPr>
        <w:keepNext/>
        <w:rPr>
          <w:lang w:val="es-ES_tradnl"/>
        </w:rPr>
      </w:pPr>
    </w:p>
    <w:p w14:paraId="2C76656E" w14:textId="77777777" w:rsidR="00382BC2" w:rsidRPr="004F4CD0" w:rsidRDefault="00382BC2" w:rsidP="00F51F12">
      <w:pPr>
        <w:numPr>
          <w:ilvl w:val="0"/>
          <w:numId w:val="56"/>
        </w:numPr>
        <w:ind w:left="567" w:hanging="567"/>
        <w:rPr>
          <w:lang w:val="es-ES_tradnl"/>
        </w:rPr>
      </w:pPr>
      <w:r w:rsidRPr="004F4CD0">
        <w:rPr>
          <w:lang w:val="es-ES_tradnl"/>
        </w:rPr>
        <w:t>El principio activo es denosumab. Cada jeringa precargada de 1 ml contiene 60 mg de denosumab (60 mg/ml).</w:t>
      </w:r>
    </w:p>
    <w:p w14:paraId="551DE8C1" w14:textId="01B6D32E" w:rsidR="008603DE" w:rsidRPr="004F4CD0" w:rsidRDefault="00382BC2" w:rsidP="00F51F12">
      <w:pPr>
        <w:numPr>
          <w:ilvl w:val="0"/>
          <w:numId w:val="56"/>
        </w:numPr>
        <w:ind w:left="567" w:hanging="567"/>
        <w:rPr>
          <w:lang w:val="es-ES_tradnl"/>
        </w:rPr>
      </w:pPr>
      <w:r w:rsidRPr="004F4CD0">
        <w:rPr>
          <w:lang w:val="es-ES_tradnl"/>
        </w:rPr>
        <w:t xml:space="preserve">Los demás componentes son ácido acético, </w:t>
      </w:r>
      <w:r w:rsidR="00BB4508" w:rsidRPr="004F4CD0">
        <w:rPr>
          <w:lang w:val="es-ES_tradnl"/>
        </w:rPr>
        <w:t>acetato de sodio trihidrato</w:t>
      </w:r>
      <w:r w:rsidRPr="004F4CD0">
        <w:rPr>
          <w:lang w:val="es-ES_tradnl"/>
        </w:rPr>
        <w:t>, sorbitol (E420), polisorbato 20</w:t>
      </w:r>
      <w:r w:rsidR="00BB4508" w:rsidRPr="004F4CD0">
        <w:rPr>
          <w:lang w:val="es-ES_tradnl"/>
        </w:rPr>
        <w:t xml:space="preserve"> (E432)</w:t>
      </w:r>
      <w:r w:rsidRPr="004F4CD0">
        <w:rPr>
          <w:lang w:val="es-ES_tradnl"/>
        </w:rPr>
        <w:t xml:space="preserve"> y agua para preparaciones inyectables.</w:t>
      </w:r>
    </w:p>
    <w:p w14:paraId="77770C00" w14:textId="77777777" w:rsidR="00382BC2" w:rsidRPr="004F4CD0" w:rsidRDefault="00382BC2" w:rsidP="008B4ED7">
      <w:pPr>
        <w:ind w:right="-2"/>
        <w:rPr>
          <w:lang w:val="es-ES_tradnl"/>
        </w:rPr>
      </w:pPr>
    </w:p>
    <w:p w14:paraId="2D145EAD" w14:textId="5DD04148" w:rsidR="00382BC2" w:rsidRPr="004F4CD0" w:rsidRDefault="00382BC2" w:rsidP="00F51F12">
      <w:pPr>
        <w:keepNext/>
        <w:tabs>
          <w:tab w:val="clear" w:pos="567"/>
        </w:tabs>
        <w:rPr>
          <w:b/>
          <w:bCs/>
          <w:lang w:val="es-ES_tradnl"/>
        </w:rPr>
      </w:pPr>
      <w:r w:rsidRPr="004F4CD0">
        <w:rPr>
          <w:b/>
          <w:lang w:val="es-ES_tradnl"/>
        </w:rPr>
        <w:t xml:space="preserve">Aspecto de </w:t>
      </w:r>
      <w:r w:rsidR="00BB4508" w:rsidRPr="004F4CD0">
        <w:rPr>
          <w:b/>
          <w:bCs/>
          <w:lang w:val="es-ES_tradnl"/>
        </w:rPr>
        <w:t xml:space="preserve">Stoboclo </w:t>
      </w:r>
      <w:r w:rsidRPr="004F4CD0">
        <w:rPr>
          <w:b/>
          <w:lang w:val="es-ES_tradnl"/>
        </w:rPr>
        <w:t>y contenido del envase</w:t>
      </w:r>
    </w:p>
    <w:p w14:paraId="0180E44D" w14:textId="77777777" w:rsidR="00382BC2" w:rsidRPr="004F4CD0" w:rsidRDefault="00382BC2" w:rsidP="008B4ED7">
      <w:pPr>
        <w:keepNext/>
        <w:rPr>
          <w:lang w:val="es-ES_tradnl"/>
        </w:rPr>
      </w:pPr>
    </w:p>
    <w:p w14:paraId="48C2FC18" w14:textId="61804580" w:rsidR="008603DE" w:rsidRPr="004F4CD0" w:rsidRDefault="00BB4508" w:rsidP="008B4ED7">
      <w:pPr>
        <w:tabs>
          <w:tab w:val="clear" w:pos="567"/>
        </w:tabs>
        <w:rPr>
          <w:lang w:val="es-ES_tradnl"/>
        </w:rPr>
      </w:pPr>
      <w:r w:rsidRPr="004F4CD0">
        <w:rPr>
          <w:lang w:val="es-ES_tradnl"/>
        </w:rPr>
        <w:t xml:space="preserve">Stoboclo </w:t>
      </w:r>
      <w:r w:rsidR="00382BC2" w:rsidRPr="004F4CD0">
        <w:rPr>
          <w:lang w:val="es-ES_tradnl"/>
        </w:rPr>
        <w:t>es una solución inyectable transparente, entre incolora y amarilla</w:t>
      </w:r>
      <w:r w:rsidRPr="004F4CD0">
        <w:rPr>
          <w:lang w:val="es-ES_tradnl"/>
        </w:rPr>
        <w:t xml:space="preserve"> pálida</w:t>
      </w:r>
      <w:r w:rsidR="00382BC2" w:rsidRPr="004F4CD0">
        <w:rPr>
          <w:lang w:val="es-ES_tradnl"/>
        </w:rPr>
        <w:t>, disponible en una jeringa precargada lista para su uso.</w:t>
      </w:r>
    </w:p>
    <w:p w14:paraId="7B4DFF4E" w14:textId="77777777" w:rsidR="00382BC2" w:rsidRPr="004F4CD0" w:rsidRDefault="00382BC2" w:rsidP="008B4ED7">
      <w:pPr>
        <w:tabs>
          <w:tab w:val="clear" w:pos="567"/>
        </w:tabs>
        <w:rPr>
          <w:lang w:val="es-ES_tradnl"/>
        </w:rPr>
      </w:pPr>
    </w:p>
    <w:p w14:paraId="7A484FCA" w14:textId="10F73584" w:rsidR="00382BC2" w:rsidRPr="004F4CD0" w:rsidRDefault="00382BC2" w:rsidP="00F51F12">
      <w:pPr>
        <w:keepNext/>
        <w:tabs>
          <w:tab w:val="clear" w:pos="567"/>
        </w:tabs>
        <w:rPr>
          <w:lang w:val="es-ES_tradnl"/>
        </w:rPr>
      </w:pPr>
      <w:r w:rsidRPr="004F4CD0">
        <w:rPr>
          <w:lang w:val="es-ES_tradnl"/>
        </w:rPr>
        <w:t xml:space="preserve">Cada envase contiene una jeringa precargada con protector de </w:t>
      </w:r>
      <w:r w:rsidR="00BB4508" w:rsidRPr="004F4CD0">
        <w:rPr>
          <w:lang w:val="es-ES_tradnl"/>
        </w:rPr>
        <w:t>seguridad</w:t>
      </w:r>
      <w:r w:rsidRPr="004F4CD0">
        <w:rPr>
          <w:lang w:val="es-ES_tradnl"/>
        </w:rPr>
        <w:t>.</w:t>
      </w:r>
    </w:p>
    <w:p w14:paraId="5B65B201" w14:textId="77777777" w:rsidR="00601A36" w:rsidRPr="004F4CD0" w:rsidRDefault="00601A36" w:rsidP="008B4ED7">
      <w:pPr>
        <w:tabs>
          <w:tab w:val="clear" w:pos="567"/>
        </w:tabs>
        <w:rPr>
          <w:lang w:val="es-ES_tradnl"/>
        </w:rPr>
      </w:pPr>
    </w:p>
    <w:p w14:paraId="3EA647EA" w14:textId="77777777" w:rsidR="00F54EEB" w:rsidRPr="000D0706" w:rsidRDefault="00F54EEB" w:rsidP="008B4ED7">
      <w:pPr>
        <w:keepNext/>
        <w:autoSpaceDE w:val="0"/>
        <w:autoSpaceDN w:val="0"/>
        <w:adjustRightInd w:val="0"/>
        <w:rPr>
          <w:b/>
          <w:bCs/>
          <w:lang w:val="es-ES_tradnl"/>
        </w:rPr>
      </w:pPr>
      <w:r w:rsidRPr="000D0706">
        <w:rPr>
          <w:b/>
          <w:lang w:val="es-ES_tradnl"/>
        </w:rPr>
        <w:t>Titular de la autorización de comercialización</w:t>
      </w:r>
    </w:p>
    <w:p w14:paraId="3276FD85" w14:textId="77777777" w:rsidR="00BB4508" w:rsidRPr="000D0706" w:rsidRDefault="00BB4508" w:rsidP="00BB4508">
      <w:pPr>
        <w:keepNext/>
        <w:rPr>
          <w:lang w:val="es-ES_tradnl"/>
        </w:rPr>
      </w:pPr>
      <w:r w:rsidRPr="000D0706">
        <w:rPr>
          <w:lang w:val="es-ES_tradnl"/>
        </w:rPr>
        <w:t>Celltrion Healthcare Hungary Kft.</w:t>
      </w:r>
    </w:p>
    <w:p w14:paraId="19E8B8CD" w14:textId="77777777" w:rsidR="00BB4508" w:rsidRPr="000D0706" w:rsidRDefault="00BB4508" w:rsidP="00BB4508">
      <w:pPr>
        <w:keepNext/>
        <w:rPr>
          <w:lang w:val="es-ES_tradnl"/>
        </w:rPr>
      </w:pPr>
      <w:r w:rsidRPr="000D0706">
        <w:rPr>
          <w:lang w:val="es-ES_tradnl"/>
        </w:rPr>
        <w:t>1062 Budapest</w:t>
      </w:r>
    </w:p>
    <w:p w14:paraId="10065004" w14:textId="77777777" w:rsidR="00BB4508" w:rsidRPr="000D0706" w:rsidRDefault="00BB4508" w:rsidP="00BB4508">
      <w:pPr>
        <w:keepNext/>
        <w:rPr>
          <w:lang w:val="es-ES_tradnl"/>
        </w:rPr>
      </w:pPr>
      <w:r w:rsidRPr="000D0706">
        <w:rPr>
          <w:lang w:val="es-ES_tradnl"/>
        </w:rPr>
        <w:t>Váci út 1-3. WestEnd Office Building B torony</w:t>
      </w:r>
    </w:p>
    <w:p w14:paraId="5D385E20" w14:textId="6398DCFC" w:rsidR="00BB4508" w:rsidRPr="000D0706" w:rsidRDefault="00BB4508" w:rsidP="00BB4508">
      <w:pPr>
        <w:rPr>
          <w:lang w:val="es-ES_tradnl"/>
        </w:rPr>
      </w:pPr>
      <w:r w:rsidRPr="000D0706">
        <w:rPr>
          <w:lang w:val="es-ES_tradnl"/>
        </w:rPr>
        <w:t>Hungría</w:t>
      </w:r>
    </w:p>
    <w:p w14:paraId="4CAACECF" w14:textId="77777777" w:rsidR="00085792" w:rsidRPr="007232A9" w:rsidRDefault="00085792" w:rsidP="008B4ED7">
      <w:pPr>
        <w:tabs>
          <w:tab w:val="clear" w:pos="567"/>
        </w:tabs>
        <w:rPr>
          <w:lang w:val="es-ES_tradnl"/>
        </w:rPr>
      </w:pPr>
    </w:p>
    <w:p w14:paraId="4FCCC226" w14:textId="77777777" w:rsidR="00085792" w:rsidRPr="000D0706" w:rsidRDefault="00085792" w:rsidP="008B4ED7">
      <w:pPr>
        <w:keepNext/>
        <w:autoSpaceDE w:val="0"/>
        <w:autoSpaceDN w:val="0"/>
        <w:adjustRightInd w:val="0"/>
        <w:rPr>
          <w:b/>
          <w:bCs/>
          <w:lang w:val="es-ES_tradnl"/>
        </w:rPr>
      </w:pPr>
      <w:r w:rsidRPr="000D0706">
        <w:rPr>
          <w:b/>
          <w:lang w:val="es-ES_tradnl"/>
        </w:rPr>
        <w:lastRenderedPageBreak/>
        <w:t>Fabricante</w:t>
      </w:r>
    </w:p>
    <w:p w14:paraId="73494E85" w14:textId="77777777" w:rsidR="00BB4508" w:rsidRPr="000D0706" w:rsidRDefault="00BB4508" w:rsidP="00BB4508">
      <w:pPr>
        <w:keepNext/>
        <w:rPr>
          <w:lang w:val="es-ES_tradnl"/>
        </w:rPr>
      </w:pPr>
      <w:r w:rsidRPr="000D0706">
        <w:rPr>
          <w:lang w:val="es-ES_tradnl"/>
        </w:rPr>
        <w:t>Nuvisan France S.A.R.L</w:t>
      </w:r>
    </w:p>
    <w:p w14:paraId="5E562ECA" w14:textId="77777777" w:rsidR="00BB4508" w:rsidRPr="000D0706" w:rsidRDefault="00BB4508" w:rsidP="00BB4508">
      <w:pPr>
        <w:keepNext/>
        <w:rPr>
          <w:lang w:val="es-ES_tradnl"/>
        </w:rPr>
      </w:pPr>
      <w:r w:rsidRPr="000D0706">
        <w:rPr>
          <w:lang w:val="es-ES_tradnl"/>
        </w:rPr>
        <w:t>2400 Route des Colles,</w:t>
      </w:r>
    </w:p>
    <w:p w14:paraId="2B4DD992" w14:textId="77777777" w:rsidR="00BB4508" w:rsidRPr="000D0706" w:rsidRDefault="00BB4508" w:rsidP="00BB4508">
      <w:pPr>
        <w:keepNext/>
        <w:rPr>
          <w:lang w:val="es-ES_tradnl"/>
        </w:rPr>
      </w:pPr>
      <w:r w:rsidRPr="000D0706">
        <w:rPr>
          <w:lang w:val="es-ES_tradnl"/>
        </w:rPr>
        <w:t>Biot, 06410</w:t>
      </w:r>
    </w:p>
    <w:p w14:paraId="0795A216" w14:textId="7653A922" w:rsidR="00D07880" w:rsidRPr="000D0706" w:rsidRDefault="00BB4508" w:rsidP="00BB4508">
      <w:pPr>
        <w:keepNext/>
        <w:autoSpaceDE w:val="0"/>
        <w:autoSpaceDN w:val="0"/>
        <w:adjustRightInd w:val="0"/>
        <w:rPr>
          <w:lang w:val="es-ES_tradnl"/>
        </w:rPr>
      </w:pPr>
      <w:r w:rsidRPr="000D0706">
        <w:rPr>
          <w:lang w:val="es-ES_tradnl"/>
        </w:rPr>
        <w:t>Francia</w:t>
      </w:r>
    </w:p>
    <w:p w14:paraId="734A3140" w14:textId="77777777" w:rsidR="00382BC2" w:rsidRPr="004F4CD0" w:rsidRDefault="00382BC2" w:rsidP="008B4ED7">
      <w:pPr>
        <w:tabs>
          <w:tab w:val="clear" w:pos="567"/>
        </w:tabs>
        <w:rPr>
          <w:lang w:val="es-ES_tradnl"/>
        </w:rPr>
      </w:pPr>
    </w:p>
    <w:p w14:paraId="005052C6" w14:textId="77777777" w:rsidR="007E53D0" w:rsidRDefault="007E53D0" w:rsidP="008B4ED7">
      <w:pPr>
        <w:keepNext/>
        <w:autoSpaceDE w:val="0"/>
        <w:autoSpaceDN w:val="0"/>
        <w:adjustRightInd w:val="0"/>
        <w:rPr>
          <w:b/>
          <w:bCs/>
          <w:lang w:val="es-ES_tradnl"/>
          <w:rPrChange w:id="2" w:author="만든 이">
            <w:rPr>
              <w:b/>
              <w:bCs/>
              <w:highlight w:val="lightGray"/>
              <w:lang w:val="es-ES_tradnl"/>
            </w:rPr>
          </w:rPrChange>
        </w:rPr>
      </w:pPr>
      <w:r>
        <w:rPr>
          <w:b/>
          <w:lang w:val="es-ES_tradnl"/>
          <w:rPrChange w:id="3" w:author="만든 이">
            <w:rPr>
              <w:b/>
              <w:highlight w:val="lightGray"/>
              <w:lang w:val="es-ES_tradnl"/>
            </w:rPr>
          </w:rPrChange>
        </w:rPr>
        <w:t>Fabricante</w:t>
      </w:r>
    </w:p>
    <w:p w14:paraId="01C0F48E" w14:textId="77777777" w:rsidR="00BB4508" w:rsidRDefault="00BB4508" w:rsidP="00BB4508">
      <w:pPr>
        <w:keepNext/>
        <w:rPr>
          <w:lang w:val="es-ES_tradnl"/>
          <w:rPrChange w:id="4" w:author="만든 이">
            <w:rPr>
              <w:highlight w:val="lightGray"/>
              <w:lang w:val="es-ES_tradnl"/>
            </w:rPr>
          </w:rPrChange>
        </w:rPr>
      </w:pPr>
      <w:r>
        <w:rPr>
          <w:lang w:val="es-ES_tradnl"/>
          <w:rPrChange w:id="5" w:author="만든 이">
            <w:rPr>
              <w:highlight w:val="lightGray"/>
              <w:lang w:val="es-ES_tradnl"/>
            </w:rPr>
          </w:rPrChange>
        </w:rPr>
        <w:t>Midas Pharma GmbH</w:t>
      </w:r>
    </w:p>
    <w:p w14:paraId="6272A13C" w14:textId="77777777" w:rsidR="00BB4508" w:rsidRDefault="00BB4508" w:rsidP="00BB4508">
      <w:pPr>
        <w:keepNext/>
        <w:rPr>
          <w:lang w:val="es-ES_tradnl"/>
          <w:rPrChange w:id="6" w:author="만든 이">
            <w:rPr>
              <w:highlight w:val="lightGray"/>
              <w:lang w:val="es-ES_tradnl"/>
            </w:rPr>
          </w:rPrChange>
        </w:rPr>
      </w:pPr>
      <w:r>
        <w:rPr>
          <w:lang w:val="es-ES_tradnl"/>
          <w:rPrChange w:id="7" w:author="만든 이">
            <w:rPr>
              <w:highlight w:val="lightGray"/>
              <w:lang w:val="es-ES_tradnl"/>
            </w:rPr>
          </w:rPrChange>
        </w:rPr>
        <w:t>Rheinstrasse 49, West,</w:t>
      </w:r>
    </w:p>
    <w:p w14:paraId="62A056BC" w14:textId="77777777" w:rsidR="00BB4508" w:rsidRDefault="00BB4508" w:rsidP="00BB4508">
      <w:pPr>
        <w:keepNext/>
        <w:rPr>
          <w:lang w:val="es-ES_tradnl"/>
          <w:rPrChange w:id="8" w:author="만든 이">
            <w:rPr>
              <w:highlight w:val="lightGray"/>
              <w:lang w:val="es-ES_tradnl"/>
            </w:rPr>
          </w:rPrChange>
        </w:rPr>
      </w:pPr>
      <w:r>
        <w:rPr>
          <w:lang w:val="es-ES_tradnl"/>
          <w:rPrChange w:id="9" w:author="만든 이">
            <w:rPr>
              <w:highlight w:val="lightGray"/>
              <w:lang w:val="es-ES_tradnl"/>
            </w:rPr>
          </w:rPrChange>
        </w:rPr>
        <w:t xml:space="preserve">Ingelheim Am Rhein, </w:t>
      </w:r>
    </w:p>
    <w:p w14:paraId="3C2C5645" w14:textId="77777777" w:rsidR="00BB4508" w:rsidRDefault="00BB4508" w:rsidP="00BB4508">
      <w:pPr>
        <w:keepNext/>
        <w:rPr>
          <w:lang w:val="es-ES_tradnl"/>
          <w:rPrChange w:id="10" w:author="만든 이">
            <w:rPr>
              <w:highlight w:val="lightGray"/>
              <w:lang w:val="es-ES_tradnl"/>
            </w:rPr>
          </w:rPrChange>
        </w:rPr>
      </w:pPr>
      <w:r>
        <w:rPr>
          <w:lang w:val="es-ES_tradnl"/>
          <w:rPrChange w:id="11" w:author="만든 이">
            <w:rPr>
              <w:highlight w:val="lightGray"/>
              <w:lang w:val="es-ES_tradnl"/>
            </w:rPr>
          </w:rPrChange>
        </w:rPr>
        <w:t>Rhineland-Palatinate, 55218</w:t>
      </w:r>
    </w:p>
    <w:p w14:paraId="5ED67CD6" w14:textId="79201230" w:rsidR="00D07880" w:rsidRDefault="00BB4508" w:rsidP="00BB4508">
      <w:pPr>
        <w:keepNext/>
        <w:autoSpaceDE w:val="0"/>
        <w:autoSpaceDN w:val="0"/>
        <w:adjustRightInd w:val="0"/>
        <w:rPr>
          <w:lang w:val="es-ES_tradnl"/>
          <w:rPrChange w:id="12" w:author="만든 이">
            <w:rPr>
              <w:highlight w:val="lightGray"/>
              <w:lang w:val="es-ES_tradnl"/>
            </w:rPr>
          </w:rPrChange>
        </w:rPr>
      </w:pPr>
      <w:r>
        <w:rPr>
          <w:lang w:val="es-ES_tradnl"/>
          <w:rPrChange w:id="13" w:author="만든 이">
            <w:rPr>
              <w:highlight w:val="lightGray"/>
              <w:lang w:val="es-ES_tradnl"/>
            </w:rPr>
          </w:rPrChange>
        </w:rPr>
        <w:t>Alemania</w:t>
      </w:r>
    </w:p>
    <w:p w14:paraId="6FBA2092" w14:textId="77777777" w:rsidR="00BB4508" w:rsidRDefault="00BB4508" w:rsidP="008B4ED7">
      <w:pPr>
        <w:autoSpaceDE w:val="0"/>
        <w:autoSpaceDN w:val="0"/>
        <w:adjustRightInd w:val="0"/>
        <w:rPr>
          <w:lang w:val="es-ES_tradnl"/>
          <w:rPrChange w:id="14" w:author="만든 이">
            <w:rPr>
              <w:highlight w:val="lightGray"/>
              <w:lang w:val="es-ES_tradnl"/>
            </w:rPr>
          </w:rPrChange>
        </w:rPr>
      </w:pPr>
    </w:p>
    <w:p w14:paraId="17AD5166" w14:textId="2D94D30F" w:rsidR="00BB4508" w:rsidRDefault="00BB4508" w:rsidP="00BB4508">
      <w:pPr>
        <w:keepNext/>
        <w:rPr>
          <w:b/>
          <w:bCs/>
          <w:lang w:val="es-ES_tradnl"/>
          <w:rPrChange w:id="15" w:author="만든 이">
            <w:rPr>
              <w:b/>
              <w:bCs/>
              <w:highlight w:val="lightGray"/>
              <w:lang w:val="es-ES_tradnl"/>
            </w:rPr>
          </w:rPrChange>
        </w:rPr>
      </w:pPr>
      <w:r>
        <w:rPr>
          <w:b/>
          <w:bCs/>
          <w:lang w:val="es-ES_tradnl"/>
          <w:rPrChange w:id="16" w:author="만든 이">
            <w:rPr>
              <w:b/>
              <w:bCs/>
              <w:highlight w:val="lightGray"/>
              <w:lang w:val="es-ES_tradnl"/>
            </w:rPr>
          </w:rPrChange>
        </w:rPr>
        <w:t>Fabricante</w:t>
      </w:r>
    </w:p>
    <w:p w14:paraId="6F1871EB" w14:textId="77777777" w:rsidR="00BB4508" w:rsidRDefault="00BB4508" w:rsidP="00BB4508">
      <w:pPr>
        <w:keepNext/>
        <w:rPr>
          <w:lang w:val="es-ES_tradnl"/>
          <w:rPrChange w:id="17" w:author="만든 이">
            <w:rPr>
              <w:highlight w:val="lightGray"/>
              <w:lang w:val="es-ES_tradnl"/>
            </w:rPr>
          </w:rPrChange>
        </w:rPr>
      </w:pPr>
      <w:r>
        <w:rPr>
          <w:lang w:val="es-ES_tradnl"/>
          <w:rPrChange w:id="18" w:author="만든 이">
            <w:rPr>
              <w:highlight w:val="lightGray"/>
              <w:lang w:val="es-ES_tradnl"/>
            </w:rPr>
          </w:rPrChange>
        </w:rPr>
        <w:t>Kymos S.L.</w:t>
      </w:r>
    </w:p>
    <w:p w14:paraId="17D74999" w14:textId="77777777" w:rsidR="00BB4508" w:rsidRDefault="00BB4508" w:rsidP="00BB4508">
      <w:pPr>
        <w:keepNext/>
        <w:rPr>
          <w:lang w:val="es-ES_tradnl"/>
          <w:rPrChange w:id="19" w:author="만든 이">
            <w:rPr>
              <w:highlight w:val="lightGray"/>
              <w:lang w:val="es-ES_tradnl"/>
            </w:rPr>
          </w:rPrChange>
        </w:rPr>
      </w:pPr>
      <w:r>
        <w:rPr>
          <w:lang w:val="es-ES_tradnl"/>
          <w:rPrChange w:id="20" w:author="만든 이">
            <w:rPr>
              <w:highlight w:val="lightGray"/>
              <w:lang w:val="es-ES_tradnl"/>
            </w:rPr>
          </w:rPrChange>
        </w:rPr>
        <w:t>Ronda de Can Fatjó, 7B</w:t>
      </w:r>
    </w:p>
    <w:p w14:paraId="392F248F" w14:textId="77777777" w:rsidR="00BB4508" w:rsidRDefault="00BB4508" w:rsidP="00BB4508">
      <w:pPr>
        <w:keepNext/>
        <w:rPr>
          <w:lang w:val="es-ES_tradnl"/>
          <w:rPrChange w:id="21" w:author="만든 이">
            <w:rPr>
              <w:highlight w:val="lightGray"/>
              <w:lang w:val="es-ES_tradnl"/>
            </w:rPr>
          </w:rPrChange>
        </w:rPr>
      </w:pPr>
      <w:r>
        <w:rPr>
          <w:lang w:val="es-ES_tradnl"/>
          <w:rPrChange w:id="22" w:author="만든 이">
            <w:rPr>
              <w:highlight w:val="lightGray"/>
              <w:lang w:val="es-ES_tradnl"/>
            </w:rPr>
          </w:rPrChange>
        </w:rPr>
        <w:t>Parc Tecnològic del Vallès,</w:t>
      </w:r>
    </w:p>
    <w:p w14:paraId="609A61B5" w14:textId="77777777" w:rsidR="00BB4508" w:rsidRDefault="00BB4508" w:rsidP="00BB4508">
      <w:pPr>
        <w:keepNext/>
        <w:rPr>
          <w:lang w:val="es-ES_tradnl"/>
          <w:rPrChange w:id="23" w:author="만든 이">
            <w:rPr>
              <w:highlight w:val="lightGray"/>
              <w:lang w:val="es-ES_tradnl"/>
            </w:rPr>
          </w:rPrChange>
        </w:rPr>
      </w:pPr>
      <w:r>
        <w:rPr>
          <w:lang w:val="es-ES_tradnl"/>
          <w:rPrChange w:id="24" w:author="만든 이">
            <w:rPr>
              <w:highlight w:val="lightGray"/>
              <w:lang w:val="es-ES_tradnl"/>
            </w:rPr>
          </w:rPrChange>
        </w:rPr>
        <w:t xml:space="preserve">Cerdanyola del Vallès, </w:t>
      </w:r>
    </w:p>
    <w:p w14:paraId="1DA33BD7" w14:textId="77777777" w:rsidR="00BB4508" w:rsidRDefault="00BB4508" w:rsidP="00BB4508">
      <w:pPr>
        <w:keepNext/>
        <w:rPr>
          <w:lang w:val="es-ES_tradnl"/>
          <w:rPrChange w:id="25" w:author="만든 이">
            <w:rPr>
              <w:highlight w:val="lightGray"/>
              <w:lang w:val="es-ES_tradnl"/>
            </w:rPr>
          </w:rPrChange>
        </w:rPr>
      </w:pPr>
      <w:r>
        <w:rPr>
          <w:lang w:val="es-ES_tradnl"/>
          <w:rPrChange w:id="26" w:author="만든 이">
            <w:rPr>
              <w:highlight w:val="lightGray"/>
              <w:lang w:val="es-ES_tradnl"/>
            </w:rPr>
          </w:rPrChange>
        </w:rPr>
        <w:t>Barcelona, 08290</w:t>
      </w:r>
    </w:p>
    <w:p w14:paraId="2DB372A1" w14:textId="31C9A5B1" w:rsidR="00BB4508" w:rsidRPr="000D0706" w:rsidRDefault="00BB4508" w:rsidP="000D0706">
      <w:pPr>
        <w:rPr>
          <w:lang w:val="es-ES_tradnl"/>
        </w:rPr>
      </w:pPr>
      <w:r>
        <w:rPr>
          <w:lang w:val="es-ES_tradnl"/>
          <w:rPrChange w:id="27" w:author="만든 이">
            <w:rPr>
              <w:highlight w:val="lightGray"/>
              <w:lang w:val="es-ES_tradnl"/>
            </w:rPr>
          </w:rPrChange>
        </w:rPr>
        <w:t>España</w:t>
      </w:r>
    </w:p>
    <w:p w14:paraId="699398B8" w14:textId="77777777" w:rsidR="007E53D0" w:rsidRPr="004F4CD0" w:rsidRDefault="007E53D0" w:rsidP="008B4ED7">
      <w:pPr>
        <w:tabs>
          <w:tab w:val="clear" w:pos="567"/>
        </w:tabs>
        <w:rPr>
          <w:lang w:val="es-ES_tradnl"/>
        </w:rPr>
      </w:pPr>
    </w:p>
    <w:p w14:paraId="42176446" w14:textId="7DA13A79" w:rsidR="00EE3AB1" w:rsidRPr="004F4CD0" w:rsidRDefault="00382BC2" w:rsidP="00F51F12">
      <w:pPr>
        <w:keepNext/>
        <w:tabs>
          <w:tab w:val="clear" w:pos="567"/>
        </w:tabs>
        <w:rPr>
          <w:lang w:val="es-ES_tradnl"/>
        </w:rPr>
      </w:pPr>
      <w:r w:rsidRPr="004F4CD0">
        <w:rPr>
          <w:lang w:val="es-ES_tradnl"/>
        </w:rPr>
        <w:t>Puede solicitar más información respecto a este medicamento dirigiéndose al representante local del titular de la autorización de comercialización:</w:t>
      </w:r>
    </w:p>
    <w:p w14:paraId="11A5A1F7" w14:textId="77777777" w:rsidR="00EE3AB1" w:rsidRPr="004F4CD0" w:rsidRDefault="00EE3AB1" w:rsidP="008B4ED7">
      <w:pPr>
        <w:numPr>
          <w:ilvl w:val="12"/>
          <w:numId w:val="0"/>
        </w:numPr>
        <w:ind w:right="-1"/>
        <w:outlineLvl w:val="0"/>
        <w:rPr>
          <w:b/>
          <w:lang w:val="es-ES_tradnl"/>
        </w:rPr>
      </w:pPr>
    </w:p>
    <w:tbl>
      <w:tblPr>
        <w:tblW w:w="9356" w:type="dxa"/>
        <w:tblInd w:w="-34" w:type="dxa"/>
        <w:tblLayout w:type="fixed"/>
        <w:tblLook w:val="0000" w:firstRow="0" w:lastRow="0" w:firstColumn="0" w:lastColumn="0" w:noHBand="0" w:noVBand="0"/>
      </w:tblPr>
      <w:tblGrid>
        <w:gridCol w:w="4678"/>
        <w:gridCol w:w="4678"/>
      </w:tblGrid>
      <w:tr w:rsidR="00DE1D23" w:rsidRPr="00DE1D23" w14:paraId="5405299E" w14:textId="77777777" w:rsidTr="00527191">
        <w:trPr>
          <w:trHeight w:val="1078"/>
        </w:trPr>
        <w:tc>
          <w:tcPr>
            <w:tcW w:w="4678" w:type="dxa"/>
          </w:tcPr>
          <w:p w14:paraId="31288B80" w14:textId="77777777" w:rsidR="00DE1D23" w:rsidRPr="00DE1D23" w:rsidRDefault="00DE1D23" w:rsidP="00DE1D23">
            <w:pPr>
              <w:widowControl w:val="0"/>
              <w:tabs>
                <w:tab w:val="clear" w:pos="567"/>
              </w:tabs>
              <w:autoSpaceDE w:val="0"/>
              <w:autoSpaceDN w:val="0"/>
              <w:rPr>
                <w:rFonts w:eastAsia="Times New Roman"/>
                <w:noProof/>
                <w:lang w:val="en-US"/>
              </w:rPr>
            </w:pPr>
            <w:r w:rsidRPr="00DE1D23">
              <w:rPr>
                <w:rFonts w:eastAsia="Times New Roman"/>
                <w:b/>
                <w:noProof/>
                <w:lang w:val="en-US"/>
              </w:rPr>
              <w:t>België/Belgique/Belgien</w:t>
            </w:r>
          </w:p>
          <w:p w14:paraId="7B7C6A0A"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Belgium BVBA </w:t>
            </w:r>
          </w:p>
          <w:p w14:paraId="6EFCF8D7"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Tél/Tel: +32 1528 7418</w:t>
            </w:r>
          </w:p>
          <w:p w14:paraId="79E35001" w14:textId="77777777" w:rsidR="00DE1D23" w:rsidRPr="00DE1D23" w:rsidRDefault="00DE1D23" w:rsidP="00DE1D23">
            <w:pPr>
              <w:widowControl w:val="0"/>
              <w:tabs>
                <w:tab w:val="clear" w:pos="567"/>
              </w:tabs>
              <w:autoSpaceDE w:val="0"/>
              <w:autoSpaceDN w:val="0"/>
              <w:ind w:right="34"/>
              <w:rPr>
                <w:rFonts w:eastAsia="Times New Roman"/>
                <w:noProof/>
                <w:lang w:val="en-US"/>
              </w:rPr>
            </w:pPr>
            <w:hyperlink r:id="rId19" w:history="1">
              <w:r w:rsidRPr="00DE1D23">
                <w:rPr>
                  <w:rFonts w:eastAsia="Times New Roman"/>
                  <w:color w:val="0000FF"/>
                  <w:u w:val="single"/>
                  <w:lang w:val="en-US"/>
                </w:rPr>
                <w:t>BEinfo@celltrionhc.com</w:t>
              </w:r>
            </w:hyperlink>
          </w:p>
          <w:p w14:paraId="208138F7" w14:textId="77777777" w:rsidR="00DE1D23" w:rsidRPr="00DE1D23" w:rsidRDefault="00DE1D23" w:rsidP="00DE1D23">
            <w:pPr>
              <w:widowControl w:val="0"/>
              <w:tabs>
                <w:tab w:val="clear" w:pos="567"/>
              </w:tabs>
              <w:autoSpaceDE w:val="0"/>
              <w:autoSpaceDN w:val="0"/>
              <w:ind w:right="34"/>
              <w:rPr>
                <w:rFonts w:eastAsia="Times New Roman"/>
                <w:noProof/>
                <w:lang w:val="en-US"/>
              </w:rPr>
            </w:pPr>
          </w:p>
        </w:tc>
        <w:tc>
          <w:tcPr>
            <w:tcW w:w="4678" w:type="dxa"/>
          </w:tcPr>
          <w:p w14:paraId="18732649"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b/>
                <w:noProof/>
                <w:lang w:val="en-US"/>
              </w:rPr>
              <w:t>Lietuva</w:t>
            </w:r>
          </w:p>
          <w:p w14:paraId="14908E19"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ins w:id="28" w:author="만든 이">
              <w:r w:rsidRPr="00DE1D23">
                <w:rPr>
                  <w:rFonts w:eastAsia="Times New Roman"/>
                  <w:noProof/>
                  <w:lang w:val="en-US"/>
                </w:rPr>
                <w:t>Celltrion Healthcare Hungary Kft.</w:t>
              </w:r>
            </w:ins>
            <w:del w:id="29" w:author="만든 이">
              <w:r w:rsidRPr="00DE1D23" w:rsidDel="003B0478">
                <w:rPr>
                  <w:rFonts w:eastAsia="Times New Roman"/>
                  <w:noProof/>
                  <w:lang w:val="en-US"/>
                </w:rPr>
                <w:delText>EGIS PHARMACEUTICALS PLC atstovybė</w:delText>
              </w:r>
            </w:del>
          </w:p>
          <w:p w14:paraId="08A804D1"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w:t>
            </w:r>
            <w:r w:rsidRPr="00DE1D23">
              <w:rPr>
                <w:rFonts w:eastAsia="맑은 고딕" w:hint="eastAsia"/>
                <w:noProof/>
                <w:lang w:val="en-US" w:eastAsia="ko-KR"/>
              </w:rPr>
              <w:t xml:space="preserve"> </w:t>
            </w:r>
            <w:ins w:id="30" w:author="만든 이">
              <w:r w:rsidRPr="00DE1D23">
                <w:rPr>
                  <w:rFonts w:eastAsia="Times New Roman"/>
                  <w:noProof/>
                  <w:lang w:val="en-US"/>
                </w:rPr>
                <w:t>36 1 231 0493</w:t>
              </w:r>
            </w:ins>
            <w:del w:id="31" w:author="만든 이">
              <w:r w:rsidRPr="00DE1D23" w:rsidDel="003B0478">
                <w:rPr>
                  <w:rFonts w:eastAsia="Times New Roman"/>
                  <w:noProof/>
                  <w:lang w:val="en-US"/>
                </w:rPr>
                <w:delText>370 5 231 4658</w:delText>
              </w:r>
            </w:del>
          </w:p>
          <w:p w14:paraId="30CD6E17" w14:textId="77777777" w:rsidR="00DE1D23" w:rsidRPr="00DE1D23" w:rsidRDefault="00DE1D23" w:rsidP="00DE1D23">
            <w:pPr>
              <w:widowControl w:val="0"/>
              <w:tabs>
                <w:tab w:val="clear" w:pos="567"/>
              </w:tabs>
              <w:autoSpaceDE w:val="0"/>
              <w:autoSpaceDN w:val="0"/>
              <w:adjustRightInd w:val="0"/>
              <w:rPr>
                <w:rFonts w:eastAsia="Times New Roman"/>
                <w:noProof/>
                <w:lang w:val="it-IT"/>
              </w:rPr>
            </w:pPr>
          </w:p>
        </w:tc>
      </w:tr>
      <w:tr w:rsidR="00DE1D23" w:rsidRPr="00DE1D23" w14:paraId="25D32D89" w14:textId="77777777" w:rsidTr="00527191">
        <w:trPr>
          <w:trHeight w:val="927"/>
        </w:trPr>
        <w:tc>
          <w:tcPr>
            <w:tcW w:w="4678" w:type="dxa"/>
          </w:tcPr>
          <w:p w14:paraId="651A7441" w14:textId="77777777" w:rsidR="00DE1D23" w:rsidRPr="00DE1D23" w:rsidRDefault="00DE1D23" w:rsidP="00DE1D23">
            <w:pPr>
              <w:widowControl w:val="0"/>
              <w:tabs>
                <w:tab w:val="clear" w:pos="567"/>
              </w:tabs>
              <w:autoSpaceDE w:val="0"/>
              <w:autoSpaceDN w:val="0"/>
              <w:adjustRightInd w:val="0"/>
              <w:rPr>
                <w:rFonts w:eastAsia="Times New Roman"/>
                <w:b/>
                <w:bCs/>
                <w:lang w:val="it-IT"/>
              </w:rPr>
            </w:pPr>
            <w:r w:rsidRPr="00DE1D23">
              <w:rPr>
                <w:rFonts w:eastAsia="Times New Roman"/>
                <w:b/>
                <w:bCs/>
                <w:lang w:val="en-US"/>
              </w:rPr>
              <w:t>България</w:t>
            </w:r>
          </w:p>
          <w:p w14:paraId="42EAC3FF"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ins w:id="32" w:author="만든 이">
              <w:r w:rsidRPr="00DE1D23">
                <w:rPr>
                  <w:rFonts w:eastAsia="Times New Roman"/>
                  <w:noProof/>
                  <w:lang w:val="en-US"/>
                </w:rPr>
                <w:t>Celltrion Healthcare Hungary Kft.</w:t>
              </w:r>
            </w:ins>
            <w:del w:id="33" w:author="만든 이">
              <w:r w:rsidRPr="00DE1D23" w:rsidDel="003B0478">
                <w:rPr>
                  <w:rFonts w:eastAsia="Times New Roman"/>
                  <w:noProof/>
                  <w:lang w:val="en-US"/>
                </w:rPr>
                <w:delText>EGIS Bulgaria EOOD</w:delText>
              </w:r>
            </w:del>
          </w:p>
          <w:p w14:paraId="436DD412"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Teл.: +</w:t>
            </w:r>
            <w:ins w:id="34" w:author="만든 이">
              <w:r w:rsidRPr="00DE1D23">
                <w:rPr>
                  <w:rFonts w:eastAsia="Times New Roman"/>
                  <w:noProof/>
                  <w:lang w:val="en-US"/>
                </w:rPr>
                <w:t>36 1 231 0493</w:t>
              </w:r>
            </w:ins>
            <w:del w:id="35" w:author="만든 이">
              <w:r w:rsidRPr="00DE1D23" w:rsidDel="003B0478">
                <w:rPr>
                  <w:rFonts w:eastAsia="Times New Roman"/>
                  <w:noProof/>
                  <w:lang w:val="en-US"/>
                </w:rPr>
                <w:delText>359 2 987 6040</w:delText>
              </w:r>
            </w:del>
          </w:p>
          <w:p w14:paraId="676D867C" w14:textId="77777777" w:rsidR="00DE1D23" w:rsidRPr="00DE1D23" w:rsidRDefault="00DE1D23" w:rsidP="00DE1D23">
            <w:pPr>
              <w:widowControl w:val="0"/>
              <w:tabs>
                <w:tab w:val="clear" w:pos="567"/>
              </w:tabs>
              <w:autoSpaceDE w:val="0"/>
              <w:autoSpaceDN w:val="0"/>
              <w:adjustRightInd w:val="0"/>
              <w:rPr>
                <w:rFonts w:eastAsia="Times New Roman"/>
                <w:noProof/>
                <w:lang w:val="en-GB"/>
              </w:rPr>
            </w:pPr>
          </w:p>
        </w:tc>
        <w:tc>
          <w:tcPr>
            <w:tcW w:w="4678" w:type="dxa"/>
          </w:tcPr>
          <w:p w14:paraId="6FCD3BFB"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it-IT"/>
              </w:rPr>
            </w:pPr>
            <w:r w:rsidRPr="00DE1D23">
              <w:rPr>
                <w:rFonts w:eastAsia="Times New Roman"/>
                <w:b/>
                <w:noProof/>
                <w:lang w:val="it-IT"/>
              </w:rPr>
              <w:t>Luxembourg/Luxemburg</w:t>
            </w:r>
          </w:p>
          <w:p w14:paraId="2F82EC78" w14:textId="77777777" w:rsidR="00DE1D23" w:rsidRPr="00DE1D23" w:rsidRDefault="00DE1D23" w:rsidP="00DE1D23">
            <w:pPr>
              <w:widowControl w:val="0"/>
              <w:tabs>
                <w:tab w:val="clear" w:pos="567"/>
              </w:tabs>
              <w:autoSpaceDE w:val="0"/>
              <w:autoSpaceDN w:val="0"/>
              <w:adjustRightInd w:val="0"/>
              <w:rPr>
                <w:rFonts w:eastAsia="Times New Roman"/>
                <w:noProof/>
                <w:lang w:val="de-DE"/>
              </w:rPr>
            </w:pPr>
            <w:r w:rsidRPr="00DE1D23">
              <w:rPr>
                <w:rFonts w:eastAsia="Times New Roman"/>
                <w:noProof/>
                <w:lang w:val="de-DE"/>
              </w:rPr>
              <w:t xml:space="preserve">Celltrion Healthcare Belgium BVBA </w:t>
            </w:r>
          </w:p>
          <w:p w14:paraId="4CB67ACE" w14:textId="77777777" w:rsidR="00DE1D23" w:rsidRPr="00DE1D23" w:rsidRDefault="00DE1D23" w:rsidP="00DE1D23">
            <w:pPr>
              <w:widowControl w:val="0"/>
              <w:tabs>
                <w:tab w:val="clear" w:pos="567"/>
              </w:tabs>
              <w:autoSpaceDE w:val="0"/>
              <w:autoSpaceDN w:val="0"/>
              <w:adjustRightInd w:val="0"/>
              <w:rPr>
                <w:rFonts w:eastAsia="Times New Roman"/>
                <w:lang w:val="en-US"/>
              </w:rPr>
            </w:pPr>
            <w:r w:rsidRPr="00DE1D23">
              <w:rPr>
                <w:rFonts w:eastAsia="Times New Roman"/>
                <w:noProof/>
                <w:lang w:val="en-US"/>
              </w:rPr>
              <w:t>Té</w:t>
            </w:r>
            <w:r w:rsidRPr="00DE1D23">
              <w:rPr>
                <w:rFonts w:eastAsia="Times New Roman"/>
                <w:lang w:val="en-US"/>
              </w:rPr>
              <w:t>l/Tel: +32 1528 7418</w:t>
            </w:r>
          </w:p>
          <w:p w14:paraId="0F92080E" w14:textId="77777777" w:rsidR="00DE1D23" w:rsidRPr="00DE1D23" w:rsidRDefault="00DE1D23" w:rsidP="00DE1D23">
            <w:pPr>
              <w:widowControl w:val="0"/>
              <w:tabs>
                <w:tab w:val="clear" w:pos="567"/>
                <w:tab w:val="left" w:pos="-720"/>
              </w:tabs>
              <w:suppressAutoHyphens/>
              <w:autoSpaceDE w:val="0"/>
              <w:autoSpaceDN w:val="0"/>
              <w:rPr>
                <w:rFonts w:eastAsia="SimSun"/>
                <w:color w:val="0000FF"/>
                <w:u w:val="single"/>
                <w:lang w:val="en-US" w:eastAsia="en-GB"/>
              </w:rPr>
            </w:pPr>
            <w:hyperlink r:id="rId20" w:history="1">
              <w:r w:rsidRPr="00DE1D23">
                <w:rPr>
                  <w:rFonts w:eastAsia="Times New Roman"/>
                  <w:color w:val="0000FF"/>
                  <w:u w:val="single"/>
                  <w:lang w:val="en-US"/>
                </w:rPr>
                <w:t>BEinfo@celltrionhc.com</w:t>
              </w:r>
            </w:hyperlink>
          </w:p>
          <w:p w14:paraId="704BC50B"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51BBA30C" w14:textId="77777777" w:rsidTr="00527191">
        <w:trPr>
          <w:trHeight w:val="789"/>
        </w:trPr>
        <w:tc>
          <w:tcPr>
            <w:tcW w:w="4678" w:type="dxa"/>
          </w:tcPr>
          <w:p w14:paraId="3186A209"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sv-FI"/>
              </w:rPr>
            </w:pPr>
            <w:r w:rsidRPr="00DE1D23">
              <w:rPr>
                <w:rFonts w:eastAsia="Times New Roman"/>
                <w:b/>
                <w:noProof/>
                <w:lang w:val="sv-FI"/>
              </w:rPr>
              <w:t>Česká republika</w:t>
            </w:r>
          </w:p>
          <w:p w14:paraId="1502EEC4" w14:textId="77777777" w:rsidR="00DE1D23" w:rsidRPr="00DE1D23" w:rsidRDefault="00DE1D23" w:rsidP="00DE1D23">
            <w:pPr>
              <w:widowControl w:val="0"/>
              <w:tabs>
                <w:tab w:val="clear" w:pos="567"/>
              </w:tabs>
              <w:autoSpaceDE w:val="0"/>
              <w:autoSpaceDN w:val="0"/>
              <w:adjustRightInd w:val="0"/>
              <w:rPr>
                <w:rFonts w:eastAsia="Times New Roman"/>
                <w:noProof/>
                <w:lang w:val="sv-FI"/>
              </w:rPr>
            </w:pPr>
            <w:ins w:id="36" w:author="만든 이">
              <w:r w:rsidRPr="00DE1D23">
                <w:rPr>
                  <w:rFonts w:eastAsia="Times New Roman"/>
                  <w:noProof/>
                  <w:lang w:val="sv-FI"/>
                </w:rPr>
                <w:t>Celltrion Healthcare Hungary Kft.</w:t>
              </w:r>
            </w:ins>
            <w:del w:id="37" w:author="만든 이">
              <w:r w:rsidRPr="00DE1D23" w:rsidDel="003B0478">
                <w:rPr>
                  <w:rFonts w:eastAsia="Times New Roman"/>
                  <w:noProof/>
                  <w:lang w:val="sv-FI"/>
                </w:rPr>
                <w:delText>EGIS Praha, spol. s r.o</w:delText>
              </w:r>
            </w:del>
          </w:p>
          <w:p w14:paraId="2C8E9139"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w:t>
            </w:r>
            <w:ins w:id="38" w:author="만든 이">
              <w:r w:rsidRPr="00DE1D23">
                <w:rPr>
                  <w:rFonts w:eastAsia="Times New Roman"/>
                  <w:noProof/>
                  <w:lang w:val="en-US"/>
                </w:rPr>
                <w:t>36 1 231 0493</w:t>
              </w:r>
            </w:ins>
            <w:del w:id="39" w:author="만든 이">
              <w:r w:rsidRPr="00DE1D23" w:rsidDel="003B0478">
                <w:rPr>
                  <w:rFonts w:eastAsia="Times New Roman"/>
                  <w:noProof/>
                  <w:lang w:val="en-US"/>
                </w:rPr>
                <w:delText>420 227 129 111</w:delText>
              </w:r>
            </w:del>
          </w:p>
          <w:p w14:paraId="7465FE23"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c>
          <w:tcPr>
            <w:tcW w:w="4678" w:type="dxa"/>
          </w:tcPr>
          <w:p w14:paraId="07D37B08" w14:textId="77777777" w:rsidR="00DE1D23" w:rsidRPr="00DE1D23" w:rsidRDefault="00DE1D23" w:rsidP="00DE1D23">
            <w:pPr>
              <w:widowControl w:val="0"/>
              <w:tabs>
                <w:tab w:val="clear" w:pos="567"/>
              </w:tabs>
              <w:autoSpaceDE w:val="0"/>
              <w:autoSpaceDN w:val="0"/>
              <w:rPr>
                <w:rFonts w:eastAsia="Times New Roman"/>
                <w:b/>
                <w:noProof/>
                <w:lang w:val="en-US"/>
              </w:rPr>
            </w:pPr>
            <w:r w:rsidRPr="00DE1D23">
              <w:rPr>
                <w:rFonts w:eastAsia="Times New Roman"/>
                <w:b/>
                <w:noProof/>
                <w:lang w:val="en-US"/>
              </w:rPr>
              <w:t>Magyarország</w:t>
            </w:r>
          </w:p>
          <w:p w14:paraId="57238E30"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ins w:id="40" w:author="만든 이">
              <w:r w:rsidRPr="00DE1D23">
                <w:rPr>
                  <w:rFonts w:eastAsia="Times New Roman"/>
                  <w:noProof/>
                  <w:lang w:val="en-US"/>
                </w:rPr>
                <w:t>Celltrion Healthcare Hungary Kft.</w:t>
              </w:r>
            </w:ins>
            <w:del w:id="41" w:author="만든 이">
              <w:r w:rsidRPr="00DE1D23" w:rsidDel="003B0478">
                <w:rPr>
                  <w:rFonts w:eastAsia="Times New Roman"/>
                  <w:noProof/>
                  <w:lang w:val="en-US"/>
                </w:rPr>
                <w:delText>Egis Gyógyszergyár Zrt.</w:delText>
              </w:r>
            </w:del>
          </w:p>
          <w:p w14:paraId="0A12AEB1" w14:textId="77777777" w:rsidR="00DE1D23" w:rsidRPr="00DE1D23" w:rsidRDefault="00DE1D23" w:rsidP="00DE1D23">
            <w:pPr>
              <w:widowControl w:val="0"/>
              <w:tabs>
                <w:tab w:val="clear" w:pos="567"/>
              </w:tabs>
              <w:autoSpaceDE w:val="0"/>
              <w:autoSpaceDN w:val="0"/>
              <w:adjustRightInd w:val="0"/>
              <w:rPr>
                <w:rFonts w:eastAsia="맑은 고딕"/>
                <w:noProof/>
                <w:lang w:val="en-US" w:eastAsia="fr-FR"/>
              </w:rPr>
            </w:pPr>
            <w:r w:rsidRPr="00DE1D23">
              <w:rPr>
                <w:rFonts w:eastAsia="Times New Roman"/>
                <w:noProof/>
                <w:lang w:val="en-US"/>
              </w:rPr>
              <w:t>Tel.: +</w:t>
            </w:r>
            <w:ins w:id="42" w:author="만든 이">
              <w:r w:rsidRPr="00DE1D23">
                <w:rPr>
                  <w:rFonts w:eastAsia="맑은 고딕"/>
                  <w:noProof/>
                  <w:lang w:val="en-US" w:eastAsia="fr-FR"/>
                </w:rPr>
                <w:t>36 1 231 0493</w:t>
              </w:r>
            </w:ins>
            <w:del w:id="43" w:author="만든 이">
              <w:r w:rsidRPr="00DE1D23" w:rsidDel="003B0478">
                <w:rPr>
                  <w:rFonts w:eastAsia="맑은 고딕"/>
                  <w:noProof/>
                  <w:lang w:val="en-US" w:eastAsia="fr-FR"/>
                </w:rPr>
                <w:delText>36 1 803 5555</w:delText>
              </w:r>
            </w:del>
          </w:p>
          <w:p w14:paraId="09C47B52" w14:textId="77777777" w:rsidR="00DE1D23" w:rsidRPr="00DE1D23" w:rsidRDefault="00DE1D23" w:rsidP="00DE1D23">
            <w:pPr>
              <w:widowControl w:val="0"/>
              <w:tabs>
                <w:tab w:val="clear" w:pos="567"/>
              </w:tabs>
              <w:autoSpaceDE w:val="0"/>
              <w:autoSpaceDN w:val="0"/>
              <w:rPr>
                <w:rFonts w:eastAsia="Times New Roman"/>
                <w:noProof/>
                <w:lang w:val="en-US"/>
              </w:rPr>
            </w:pPr>
          </w:p>
        </w:tc>
      </w:tr>
      <w:tr w:rsidR="00DE1D23" w:rsidRPr="00DE1D23" w14:paraId="143C8B13" w14:textId="77777777" w:rsidTr="00527191">
        <w:trPr>
          <w:trHeight w:val="1186"/>
        </w:trPr>
        <w:tc>
          <w:tcPr>
            <w:tcW w:w="4678" w:type="dxa"/>
          </w:tcPr>
          <w:p w14:paraId="266AEE49" w14:textId="77777777" w:rsidR="00DE1D23" w:rsidRPr="00DE1D23" w:rsidRDefault="00DE1D23" w:rsidP="00DE1D23">
            <w:pPr>
              <w:widowControl w:val="0"/>
              <w:tabs>
                <w:tab w:val="clear" w:pos="567"/>
              </w:tabs>
              <w:autoSpaceDE w:val="0"/>
              <w:autoSpaceDN w:val="0"/>
              <w:rPr>
                <w:rFonts w:eastAsia="Times New Roman"/>
                <w:noProof/>
                <w:lang w:val="en-US"/>
              </w:rPr>
            </w:pPr>
            <w:r w:rsidRPr="00DE1D23">
              <w:rPr>
                <w:rFonts w:eastAsia="Times New Roman"/>
                <w:b/>
                <w:noProof/>
                <w:lang w:val="en-US"/>
              </w:rPr>
              <w:t>Danmark</w:t>
            </w:r>
          </w:p>
          <w:p w14:paraId="6F4421B6"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Denmark ApS </w:t>
            </w:r>
          </w:p>
          <w:p w14:paraId="23CE2FFD" w14:textId="77777777" w:rsidR="00DE1D23" w:rsidRPr="00DE1D23" w:rsidRDefault="00DE1D23" w:rsidP="00DE1D23">
            <w:pPr>
              <w:widowControl w:val="0"/>
              <w:tabs>
                <w:tab w:val="clear" w:pos="567"/>
              </w:tabs>
              <w:autoSpaceDE w:val="0"/>
              <w:autoSpaceDN w:val="0"/>
              <w:adjustRightInd w:val="0"/>
              <w:rPr>
                <w:rFonts w:eastAsia="Times New Roman"/>
                <w:lang w:val="en-US"/>
              </w:rPr>
            </w:pPr>
            <w:r w:rsidRPr="00DE1D23">
              <w:rPr>
                <w:rFonts w:eastAsia="Times New Roman"/>
                <w:noProof/>
                <w:lang w:val="en-US"/>
              </w:rPr>
              <w:t>Tlf.: +45 3535 2989</w:t>
            </w:r>
          </w:p>
          <w:p w14:paraId="3813D3E7" w14:textId="77777777" w:rsidR="00DE1D23" w:rsidRPr="00DE1D23" w:rsidRDefault="00DE1D23" w:rsidP="00DE1D23">
            <w:pPr>
              <w:widowControl w:val="0"/>
              <w:tabs>
                <w:tab w:val="clear" w:pos="567"/>
                <w:tab w:val="left" w:pos="-720"/>
              </w:tabs>
              <w:suppressAutoHyphens/>
              <w:autoSpaceDE w:val="0"/>
              <w:autoSpaceDN w:val="0"/>
              <w:rPr>
                <w:rFonts w:eastAsia="맑은 고딕"/>
                <w:noProof/>
                <w:lang w:val="en-US" w:eastAsia="ko-KR"/>
              </w:rPr>
            </w:pPr>
            <w:hyperlink r:id="rId21" w:history="1">
              <w:r w:rsidRPr="00DE1D23">
                <w:rPr>
                  <w:rFonts w:eastAsia="Times New Roman"/>
                  <w:color w:val="0000FF"/>
                  <w:u w:val="single"/>
                  <w:lang w:val="en-US"/>
                </w:rPr>
                <w:t>contact_dk@celltrionhc.com</w:t>
              </w:r>
            </w:hyperlink>
          </w:p>
          <w:p w14:paraId="6BB51A55" w14:textId="77777777" w:rsidR="00DE1D23" w:rsidRPr="00DE1D23" w:rsidRDefault="00DE1D23" w:rsidP="00DE1D23">
            <w:pPr>
              <w:widowControl w:val="0"/>
              <w:tabs>
                <w:tab w:val="clear" w:pos="567"/>
                <w:tab w:val="left" w:pos="-720"/>
              </w:tabs>
              <w:suppressAutoHyphens/>
              <w:autoSpaceDE w:val="0"/>
              <w:autoSpaceDN w:val="0"/>
              <w:rPr>
                <w:rFonts w:eastAsia="맑은 고딕"/>
                <w:noProof/>
                <w:lang w:val="en-US" w:eastAsia="ko-KR"/>
              </w:rPr>
            </w:pPr>
          </w:p>
        </w:tc>
        <w:tc>
          <w:tcPr>
            <w:tcW w:w="4678" w:type="dxa"/>
          </w:tcPr>
          <w:p w14:paraId="1DC031C8" w14:textId="77777777" w:rsidR="00DE1D23" w:rsidRPr="00DE1D23" w:rsidRDefault="00DE1D23" w:rsidP="00DE1D23">
            <w:pPr>
              <w:widowControl w:val="0"/>
              <w:tabs>
                <w:tab w:val="clear" w:pos="567"/>
              </w:tabs>
              <w:autoSpaceDE w:val="0"/>
              <w:autoSpaceDN w:val="0"/>
              <w:rPr>
                <w:rFonts w:eastAsia="Times New Roman"/>
                <w:b/>
                <w:noProof/>
                <w:lang w:val="en-US"/>
              </w:rPr>
            </w:pPr>
            <w:r w:rsidRPr="00DE1D23">
              <w:rPr>
                <w:rFonts w:eastAsia="Times New Roman"/>
                <w:b/>
                <w:noProof/>
                <w:lang w:val="en-US"/>
              </w:rPr>
              <w:t>Malta</w:t>
            </w:r>
          </w:p>
          <w:p w14:paraId="714285B8"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Mint Health Ltd</w:t>
            </w:r>
          </w:p>
          <w:p w14:paraId="2010C94D" w14:textId="77777777" w:rsidR="00DE1D23" w:rsidRPr="00DE1D23" w:rsidRDefault="00DE1D23" w:rsidP="00DE1D23">
            <w:pPr>
              <w:widowControl w:val="0"/>
              <w:tabs>
                <w:tab w:val="clear" w:pos="567"/>
              </w:tabs>
              <w:autoSpaceDE w:val="0"/>
              <w:autoSpaceDN w:val="0"/>
              <w:adjustRightInd w:val="0"/>
              <w:rPr>
                <w:rFonts w:eastAsia="Times New Roman"/>
                <w:lang w:val="en-US" w:eastAsia="en-GB"/>
              </w:rPr>
            </w:pPr>
            <w:r w:rsidRPr="00DE1D23">
              <w:rPr>
                <w:rFonts w:eastAsia="Times New Roman"/>
                <w:noProof/>
                <w:lang w:val="en-US"/>
              </w:rPr>
              <w:t>Tel: +</w:t>
            </w:r>
            <w:r w:rsidRPr="00DE1D23">
              <w:rPr>
                <w:rFonts w:eastAsia="Times New Roman"/>
                <w:lang w:val="en-US" w:eastAsia="en-GB"/>
              </w:rPr>
              <w:t>356 2093 9800</w:t>
            </w:r>
          </w:p>
          <w:p w14:paraId="3F07405A"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p>
        </w:tc>
      </w:tr>
      <w:tr w:rsidR="00DE1D23" w:rsidRPr="00DE1D23" w14:paraId="31DD7109" w14:textId="77777777" w:rsidTr="00527191">
        <w:tc>
          <w:tcPr>
            <w:tcW w:w="4678" w:type="dxa"/>
          </w:tcPr>
          <w:p w14:paraId="71B00B3A" w14:textId="77777777" w:rsidR="00DE1D23" w:rsidRPr="00DE1D23" w:rsidRDefault="00DE1D23" w:rsidP="00DE1D23">
            <w:pPr>
              <w:widowControl w:val="0"/>
              <w:tabs>
                <w:tab w:val="clear" w:pos="567"/>
              </w:tabs>
              <w:autoSpaceDE w:val="0"/>
              <w:autoSpaceDN w:val="0"/>
              <w:rPr>
                <w:rFonts w:eastAsia="Times New Roman"/>
                <w:noProof/>
                <w:lang w:val="de-DE"/>
              </w:rPr>
            </w:pPr>
            <w:r w:rsidRPr="00DE1D23">
              <w:rPr>
                <w:rFonts w:eastAsia="Times New Roman"/>
                <w:b/>
                <w:noProof/>
                <w:lang w:val="de-DE"/>
              </w:rPr>
              <w:t>Deutschland</w:t>
            </w:r>
          </w:p>
          <w:p w14:paraId="09AB9A2C" w14:textId="77777777" w:rsidR="00DE1D23" w:rsidRPr="00DE1D23" w:rsidRDefault="00DE1D23" w:rsidP="00DE1D23">
            <w:pPr>
              <w:widowControl w:val="0"/>
              <w:tabs>
                <w:tab w:val="clear" w:pos="567"/>
              </w:tabs>
              <w:autoSpaceDE w:val="0"/>
              <w:autoSpaceDN w:val="0"/>
              <w:adjustRightInd w:val="0"/>
              <w:rPr>
                <w:rFonts w:eastAsia="Times New Roman"/>
                <w:noProof/>
                <w:lang w:val="de-DE"/>
              </w:rPr>
            </w:pPr>
            <w:r w:rsidRPr="00DE1D23">
              <w:rPr>
                <w:rFonts w:eastAsia="Times New Roman"/>
                <w:noProof/>
                <w:lang w:val="de-DE"/>
              </w:rPr>
              <w:t>Celltrion Healthcare Deutschland GmbH</w:t>
            </w:r>
          </w:p>
          <w:p w14:paraId="17464541" w14:textId="77777777" w:rsidR="00DE1D23" w:rsidRPr="00DE1D23" w:rsidRDefault="00DE1D23" w:rsidP="00DE1D23">
            <w:pPr>
              <w:widowControl w:val="0"/>
              <w:tabs>
                <w:tab w:val="clear" w:pos="567"/>
              </w:tabs>
              <w:autoSpaceDE w:val="0"/>
              <w:autoSpaceDN w:val="0"/>
              <w:adjustRightInd w:val="0"/>
              <w:rPr>
                <w:rFonts w:eastAsia="Times New Roman"/>
                <w:lang w:val="de-DE"/>
              </w:rPr>
            </w:pPr>
            <w:r w:rsidRPr="00DE1D23">
              <w:rPr>
                <w:rFonts w:eastAsia="Times New Roman"/>
                <w:noProof/>
                <w:lang w:val="de-DE"/>
              </w:rPr>
              <w:t>Tel: +</w:t>
            </w:r>
            <w:ins w:id="44" w:author="만든 이">
              <w:r w:rsidRPr="00DE1D23">
                <w:rPr>
                  <w:rFonts w:eastAsia="Times New Roman"/>
                  <w:noProof/>
                  <w:lang w:val="de-DE"/>
                </w:rPr>
                <w:t>49 303 464 941 50</w:t>
              </w:r>
            </w:ins>
            <w:del w:id="45" w:author="만든 이">
              <w:r w:rsidRPr="00DE1D23" w:rsidDel="0008624A">
                <w:rPr>
                  <w:rFonts w:eastAsia="Times New Roman"/>
                  <w:noProof/>
                  <w:lang w:val="de-DE"/>
                </w:rPr>
                <w:delText>4</w:delText>
              </w:r>
              <w:r w:rsidRPr="00DE1D23" w:rsidDel="0008624A">
                <w:rPr>
                  <w:rFonts w:eastAsia="Times New Roman"/>
                  <w:lang w:val="de-DE"/>
                </w:rPr>
                <w:delText>9 (0)30 346494150</w:delText>
              </w:r>
            </w:del>
          </w:p>
          <w:p w14:paraId="7DDB9C16"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de-DE"/>
              </w:rPr>
            </w:pPr>
            <w:r w:rsidRPr="00DE1D23">
              <w:rPr>
                <w:rFonts w:eastAsia="Times New Roman"/>
                <w:lang w:val="en-US"/>
              </w:rPr>
              <w:fldChar w:fldCharType="begin"/>
            </w:r>
            <w:r w:rsidRPr="00DE1D23">
              <w:rPr>
                <w:rFonts w:eastAsia="Times New Roman"/>
                <w:lang w:val="de-DE"/>
                <w:rPrChange w:id="46" w:author="만든 이">
                  <w:rPr/>
                </w:rPrChange>
              </w:rPr>
              <w:instrText>HYPERLINK "mailto:infoDE@celltrionhc.com"</w:instrText>
            </w:r>
            <w:r w:rsidRPr="00DE1D23">
              <w:rPr>
                <w:rFonts w:eastAsia="Times New Roman"/>
                <w:lang w:val="en-US"/>
              </w:rPr>
            </w:r>
            <w:r w:rsidRPr="00DE1D23">
              <w:rPr>
                <w:rFonts w:eastAsia="Times New Roman"/>
                <w:lang w:val="en-US"/>
              </w:rPr>
              <w:fldChar w:fldCharType="separate"/>
            </w:r>
            <w:r w:rsidRPr="00DE1D23">
              <w:rPr>
                <w:rFonts w:eastAsia="Times New Roman"/>
                <w:color w:val="0000FF"/>
                <w:u w:val="single"/>
                <w:lang w:val="de-DE"/>
              </w:rPr>
              <w:t>infoDE@celltrionhc.com</w:t>
            </w:r>
            <w:r w:rsidRPr="00DE1D23">
              <w:rPr>
                <w:rFonts w:eastAsia="Times New Roman"/>
                <w:lang w:val="en-US"/>
              </w:rPr>
              <w:fldChar w:fldCharType="end"/>
            </w:r>
          </w:p>
          <w:p w14:paraId="6CFFF126"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de-DE"/>
              </w:rPr>
            </w:pPr>
          </w:p>
        </w:tc>
        <w:tc>
          <w:tcPr>
            <w:tcW w:w="4678" w:type="dxa"/>
          </w:tcPr>
          <w:p w14:paraId="31D33412"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r w:rsidRPr="00DE1D23">
              <w:rPr>
                <w:rFonts w:eastAsia="Times New Roman"/>
                <w:b/>
                <w:noProof/>
                <w:lang w:val="en-US"/>
              </w:rPr>
              <w:t>Nederland</w:t>
            </w:r>
          </w:p>
          <w:p w14:paraId="0E81545C"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Netherlands B.V. </w:t>
            </w:r>
          </w:p>
          <w:p w14:paraId="128DFB48" w14:textId="77777777" w:rsidR="00DE1D23" w:rsidRPr="00DE1D23" w:rsidRDefault="00DE1D23" w:rsidP="00DE1D23">
            <w:pPr>
              <w:widowControl w:val="0"/>
              <w:tabs>
                <w:tab w:val="clear" w:pos="567"/>
              </w:tabs>
              <w:autoSpaceDE w:val="0"/>
              <w:autoSpaceDN w:val="0"/>
              <w:adjustRightInd w:val="0"/>
              <w:rPr>
                <w:rFonts w:eastAsia="Times New Roman"/>
                <w:lang w:val="en-US"/>
              </w:rPr>
            </w:pPr>
            <w:r w:rsidRPr="00DE1D23">
              <w:rPr>
                <w:rFonts w:eastAsia="Times New Roman"/>
                <w:noProof/>
                <w:lang w:val="en-US"/>
              </w:rPr>
              <w:t>Tel: +</w:t>
            </w:r>
            <w:r w:rsidRPr="00DE1D23">
              <w:rPr>
                <w:rFonts w:eastAsia="Times New Roman"/>
                <w:lang w:val="en-US"/>
              </w:rPr>
              <w:t>31 20 888 7300</w:t>
            </w:r>
          </w:p>
          <w:p w14:paraId="6BEDB2EC" w14:textId="77777777" w:rsidR="00DE1D23" w:rsidRPr="00DE1D23" w:rsidRDefault="00DE1D23" w:rsidP="00DE1D23">
            <w:pPr>
              <w:widowControl w:val="0"/>
              <w:tabs>
                <w:tab w:val="clear" w:pos="567"/>
                <w:tab w:val="left" w:pos="-720"/>
              </w:tabs>
              <w:suppressAutoHyphens/>
              <w:autoSpaceDE w:val="0"/>
              <w:autoSpaceDN w:val="0"/>
              <w:rPr>
                <w:rFonts w:eastAsia="SimSun"/>
                <w:color w:val="0000FF"/>
                <w:u w:val="single"/>
                <w:lang w:val="en-US" w:eastAsia="en-GB"/>
              </w:rPr>
            </w:pPr>
            <w:hyperlink r:id="rId22" w:history="1">
              <w:r w:rsidRPr="00DE1D23">
                <w:rPr>
                  <w:rFonts w:eastAsia="Times New Roman"/>
                  <w:color w:val="0000FF"/>
                  <w:u w:val="single"/>
                  <w:lang w:val="en-US"/>
                </w:rPr>
                <w:t>NLinfo@celltrionhc.com</w:t>
              </w:r>
            </w:hyperlink>
          </w:p>
          <w:p w14:paraId="18F609AA"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1EAC3C83" w14:textId="77777777" w:rsidTr="00527191">
        <w:trPr>
          <w:trHeight w:val="273"/>
        </w:trPr>
        <w:tc>
          <w:tcPr>
            <w:tcW w:w="4678" w:type="dxa"/>
          </w:tcPr>
          <w:p w14:paraId="17463B8A" w14:textId="77777777" w:rsidR="00DE1D23" w:rsidRPr="00DE1D23" w:rsidRDefault="00DE1D23" w:rsidP="00DE1D23">
            <w:pPr>
              <w:widowControl w:val="0"/>
              <w:tabs>
                <w:tab w:val="clear" w:pos="567"/>
                <w:tab w:val="left" w:pos="-720"/>
              </w:tabs>
              <w:suppressAutoHyphens/>
              <w:autoSpaceDE w:val="0"/>
              <w:autoSpaceDN w:val="0"/>
              <w:rPr>
                <w:rFonts w:eastAsia="Times New Roman"/>
                <w:b/>
                <w:bCs/>
                <w:noProof/>
                <w:lang w:val="en-US"/>
              </w:rPr>
            </w:pPr>
            <w:r w:rsidRPr="00DE1D23">
              <w:rPr>
                <w:rFonts w:eastAsia="Times New Roman"/>
                <w:b/>
                <w:bCs/>
                <w:noProof/>
                <w:lang w:val="en-US"/>
              </w:rPr>
              <w:t>Eesti</w:t>
            </w:r>
          </w:p>
          <w:p w14:paraId="7C66EBBB" w14:textId="77777777" w:rsidR="00DE1D23" w:rsidRPr="00DE1D23" w:rsidRDefault="00DE1D23" w:rsidP="00DE1D23">
            <w:pPr>
              <w:widowControl w:val="0"/>
              <w:tabs>
                <w:tab w:val="clear" w:pos="567"/>
              </w:tabs>
              <w:autoSpaceDE w:val="0"/>
              <w:autoSpaceDN w:val="0"/>
              <w:adjustRightInd w:val="0"/>
              <w:rPr>
                <w:ins w:id="47" w:author="만든 이"/>
                <w:rFonts w:eastAsia="맑은 고딕"/>
                <w:noProof/>
                <w:lang w:val="en-US" w:eastAsia="ko-KR"/>
              </w:rPr>
            </w:pPr>
            <w:r w:rsidRPr="00DE1D23">
              <w:rPr>
                <w:rFonts w:eastAsia="Times New Roman"/>
                <w:noProof/>
                <w:lang w:val="en-US"/>
              </w:rPr>
              <w:t xml:space="preserve">Celltrion Healthcare Hungary Kft. </w:t>
            </w:r>
          </w:p>
          <w:p w14:paraId="136E5388" w14:textId="77777777" w:rsidR="00DE1D23" w:rsidRPr="00DE1D23" w:rsidRDefault="00DE1D23" w:rsidP="00DE1D23">
            <w:pPr>
              <w:widowControl w:val="0"/>
              <w:tabs>
                <w:tab w:val="clear" w:pos="567"/>
              </w:tabs>
              <w:autoSpaceDE w:val="0"/>
              <w:autoSpaceDN w:val="0"/>
              <w:adjustRightInd w:val="0"/>
              <w:rPr>
                <w:rFonts w:eastAsia="맑은 고딕"/>
                <w:noProof/>
                <w:lang w:val="en-US" w:eastAsia="ko-KR"/>
                <w:rPrChange w:id="48" w:author="만든 이">
                  <w:rPr>
                    <w:noProof/>
                  </w:rPr>
                </w:rPrChange>
              </w:rPr>
            </w:pPr>
            <w:ins w:id="49" w:author="만든 이">
              <w:r w:rsidRPr="00DE1D23">
                <w:rPr>
                  <w:rFonts w:eastAsia="맑은 고딕"/>
                  <w:noProof/>
                  <w:lang w:val="en-US" w:eastAsia="ko-KR"/>
                </w:rPr>
                <w:t>Tel: +36 1 231 0493</w:t>
              </w:r>
            </w:ins>
          </w:p>
          <w:p w14:paraId="0A873FC8"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hyperlink r:id="rId23" w:history="1">
              <w:r w:rsidRPr="00DE1D23">
                <w:rPr>
                  <w:rFonts w:eastAsia="Times New Roman"/>
                  <w:color w:val="0000FF"/>
                  <w:u w:val="single"/>
                  <w:lang w:val="en-US"/>
                </w:rPr>
                <w:t>contact_fi@celltrionhc.com</w:t>
              </w:r>
            </w:hyperlink>
          </w:p>
          <w:p w14:paraId="01A6980D"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c>
          <w:tcPr>
            <w:tcW w:w="4678" w:type="dxa"/>
          </w:tcPr>
          <w:p w14:paraId="6F23EDA2" w14:textId="77777777" w:rsidR="00DE1D23" w:rsidRPr="00DE1D23" w:rsidRDefault="00DE1D23" w:rsidP="00DE1D23">
            <w:pPr>
              <w:widowControl w:val="0"/>
              <w:tabs>
                <w:tab w:val="clear" w:pos="567"/>
              </w:tabs>
              <w:autoSpaceDE w:val="0"/>
              <w:autoSpaceDN w:val="0"/>
              <w:rPr>
                <w:rFonts w:eastAsia="Times New Roman"/>
                <w:noProof/>
                <w:lang w:val="en-US"/>
              </w:rPr>
            </w:pPr>
            <w:r w:rsidRPr="00DE1D23">
              <w:rPr>
                <w:rFonts w:eastAsia="Times New Roman"/>
                <w:b/>
                <w:noProof/>
                <w:lang w:val="en-US"/>
              </w:rPr>
              <w:t>Norge</w:t>
            </w:r>
          </w:p>
          <w:p w14:paraId="5060418F"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Norway AS</w:t>
            </w:r>
          </w:p>
          <w:p w14:paraId="17BFEAEF" w14:textId="77777777" w:rsidR="00DE1D23" w:rsidRPr="00DE1D23" w:rsidRDefault="00DE1D23" w:rsidP="00DE1D23">
            <w:pPr>
              <w:widowControl w:val="0"/>
              <w:tabs>
                <w:tab w:val="clear" w:pos="567"/>
              </w:tabs>
              <w:autoSpaceDE w:val="0"/>
              <w:autoSpaceDN w:val="0"/>
              <w:rPr>
                <w:rFonts w:eastAsia="맑은 고딕"/>
                <w:noProof/>
                <w:lang w:val="en-US" w:eastAsia="ko-KR"/>
              </w:rPr>
            </w:pPr>
            <w:hyperlink r:id="rId24" w:history="1">
              <w:r w:rsidRPr="00DE1D23">
                <w:rPr>
                  <w:rFonts w:eastAsia="Times New Roman"/>
                  <w:noProof/>
                  <w:color w:val="0000FF"/>
                  <w:u w:val="single"/>
                  <w:lang w:val="en-US"/>
                </w:rPr>
                <w:t>contact_no@celltrionhc.com</w:t>
              </w:r>
            </w:hyperlink>
          </w:p>
          <w:p w14:paraId="38A4A073" w14:textId="77777777" w:rsidR="00DE1D23" w:rsidRPr="00DE1D23" w:rsidRDefault="00DE1D23" w:rsidP="00DE1D23">
            <w:pPr>
              <w:widowControl w:val="0"/>
              <w:tabs>
                <w:tab w:val="clear" w:pos="567"/>
              </w:tabs>
              <w:autoSpaceDE w:val="0"/>
              <w:autoSpaceDN w:val="0"/>
              <w:rPr>
                <w:rFonts w:eastAsia="맑은 고딕"/>
                <w:noProof/>
                <w:lang w:val="en-US" w:eastAsia="ko-KR"/>
              </w:rPr>
            </w:pPr>
          </w:p>
        </w:tc>
      </w:tr>
      <w:tr w:rsidR="00DE1D23" w:rsidRPr="00DE1D23" w14:paraId="7D51CE8F" w14:textId="77777777" w:rsidTr="00527191">
        <w:tc>
          <w:tcPr>
            <w:tcW w:w="4678" w:type="dxa"/>
          </w:tcPr>
          <w:p w14:paraId="509A342C" w14:textId="77777777" w:rsidR="00DE1D23" w:rsidRPr="00DE1D23" w:rsidRDefault="00DE1D23" w:rsidP="00DE1D23">
            <w:pPr>
              <w:widowControl w:val="0"/>
              <w:tabs>
                <w:tab w:val="clear" w:pos="567"/>
              </w:tabs>
              <w:autoSpaceDE w:val="0"/>
              <w:autoSpaceDN w:val="0"/>
              <w:rPr>
                <w:rFonts w:eastAsia="Times New Roman"/>
                <w:noProof/>
                <w:lang w:val="el-GR"/>
              </w:rPr>
            </w:pPr>
            <w:r w:rsidRPr="00DE1D23">
              <w:rPr>
                <w:rFonts w:eastAsia="Times New Roman"/>
                <w:b/>
                <w:noProof/>
                <w:lang w:val="el-GR"/>
              </w:rPr>
              <w:t>Ελλάδα</w:t>
            </w:r>
          </w:p>
          <w:p w14:paraId="46D059DF" w14:textId="77777777" w:rsidR="00DE1D23" w:rsidRPr="008A44C8" w:rsidRDefault="00DE1D23" w:rsidP="00DE1D23">
            <w:pPr>
              <w:widowControl w:val="0"/>
              <w:tabs>
                <w:tab w:val="clear" w:pos="567"/>
              </w:tabs>
              <w:autoSpaceDE w:val="0"/>
              <w:autoSpaceDN w:val="0"/>
              <w:adjustRightInd w:val="0"/>
              <w:rPr>
                <w:rFonts w:eastAsia="Times New Roman"/>
                <w:noProof/>
              </w:rPr>
            </w:pPr>
            <w:r w:rsidRPr="00DE1D23">
              <w:rPr>
                <w:rFonts w:eastAsia="Times New Roman"/>
                <w:noProof/>
                <w:lang w:val="en-GB"/>
              </w:rPr>
              <w:t>ΒΙΑΝΕΞ</w:t>
            </w:r>
            <w:r w:rsidRPr="008A44C8">
              <w:rPr>
                <w:rFonts w:eastAsia="Times New Roman"/>
                <w:noProof/>
              </w:rPr>
              <w:t xml:space="preserve"> </w:t>
            </w:r>
            <w:r w:rsidRPr="00DE1D23">
              <w:rPr>
                <w:rFonts w:eastAsia="Times New Roman"/>
                <w:noProof/>
                <w:lang w:val="en-GB"/>
              </w:rPr>
              <w:t>Α</w:t>
            </w:r>
            <w:r w:rsidRPr="008A44C8">
              <w:rPr>
                <w:rFonts w:eastAsia="Times New Roman"/>
                <w:noProof/>
              </w:rPr>
              <w:t>.</w:t>
            </w:r>
            <w:r w:rsidRPr="00DE1D23">
              <w:rPr>
                <w:rFonts w:eastAsia="Times New Roman"/>
                <w:noProof/>
                <w:lang w:val="en-GB"/>
              </w:rPr>
              <w:t>Ε</w:t>
            </w:r>
            <w:r w:rsidRPr="008A44C8">
              <w:rPr>
                <w:rFonts w:eastAsia="Times New Roman"/>
                <w:noProof/>
              </w:rPr>
              <w:t>.</w:t>
            </w:r>
          </w:p>
          <w:p w14:paraId="42148A57" w14:textId="77777777" w:rsidR="00DE1D23" w:rsidRPr="00DE1D23" w:rsidRDefault="00DE1D23" w:rsidP="00DE1D23">
            <w:pPr>
              <w:widowControl w:val="0"/>
              <w:tabs>
                <w:tab w:val="clear" w:pos="567"/>
              </w:tabs>
              <w:autoSpaceDE w:val="0"/>
              <w:autoSpaceDN w:val="0"/>
              <w:adjustRightInd w:val="0"/>
              <w:rPr>
                <w:rFonts w:eastAsia="맑은 고딕"/>
                <w:noProof/>
                <w:lang w:val="en-GB" w:eastAsia="ko-KR"/>
                <w:rPrChange w:id="50" w:author="만든 이">
                  <w:rPr>
                    <w:noProof/>
                    <w:lang w:val="en-GB"/>
                  </w:rPr>
                </w:rPrChange>
              </w:rPr>
            </w:pPr>
            <w:r w:rsidRPr="00DE1D23">
              <w:rPr>
                <w:rFonts w:eastAsia="Times New Roman"/>
                <w:noProof/>
                <w:lang w:val="en-GB"/>
              </w:rPr>
              <w:t>Τηλ: +30 210 8009111</w:t>
            </w:r>
            <w:del w:id="51" w:author="만든 이">
              <w:r w:rsidRPr="00DE1D23" w:rsidDel="00770C74">
                <w:rPr>
                  <w:rFonts w:eastAsia="Times New Roman"/>
                  <w:noProof/>
                  <w:lang w:val="en-GB"/>
                </w:rPr>
                <w:delText xml:space="preserve"> - 120</w:delText>
              </w:r>
            </w:del>
          </w:p>
          <w:p w14:paraId="290C0CA4"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l-GR"/>
              </w:rPr>
            </w:pPr>
          </w:p>
        </w:tc>
        <w:tc>
          <w:tcPr>
            <w:tcW w:w="4678" w:type="dxa"/>
          </w:tcPr>
          <w:p w14:paraId="4E4DABAC"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de-DE"/>
              </w:rPr>
            </w:pPr>
            <w:r w:rsidRPr="00DE1D23">
              <w:rPr>
                <w:rFonts w:eastAsia="Times New Roman"/>
                <w:b/>
                <w:noProof/>
                <w:lang w:val="de-DE"/>
              </w:rPr>
              <w:t>Österreich</w:t>
            </w:r>
          </w:p>
          <w:p w14:paraId="14BFB2E3" w14:textId="77777777" w:rsidR="00DE1D23" w:rsidRPr="00DE1D23" w:rsidRDefault="00DE1D23" w:rsidP="00DE1D23">
            <w:pPr>
              <w:widowControl w:val="0"/>
              <w:tabs>
                <w:tab w:val="clear" w:pos="567"/>
              </w:tabs>
              <w:autoSpaceDE w:val="0"/>
              <w:autoSpaceDN w:val="0"/>
              <w:adjustRightInd w:val="0"/>
              <w:rPr>
                <w:rFonts w:eastAsia="Times New Roman"/>
                <w:lang w:val="pt-PT"/>
              </w:rPr>
            </w:pPr>
            <w:r w:rsidRPr="00DE1D23">
              <w:rPr>
                <w:rFonts w:eastAsia="Times New Roman"/>
                <w:lang w:val="pt-PT"/>
              </w:rPr>
              <w:t>Astro-Pharma GmbH</w:t>
            </w:r>
          </w:p>
          <w:p w14:paraId="193E7A4C" w14:textId="77777777" w:rsidR="00DE1D23" w:rsidRPr="00DE1D23" w:rsidRDefault="00DE1D23" w:rsidP="00DE1D23">
            <w:pPr>
              <w:widowControl w:val="0"/>
              <w:tabs>
                <w:tab w:val="clear" w:pos="567"/>
              </w:tabs>
              <w:autoSpaceDE w:val="0"/>
              <w:autoSpaceDN w:val="0"/>
              <w:adjustRightInd w:val="0"/>
              <w:rPr>
                <w:rFonts w:eastAsia="Times New Roman"/>
                <w:lang w:val="pt-PT"/>
              </w:rPr>
            </w:pPr>
            <w:r w:rsidRPr="00DE1D23">
              <w:rPr>
                <w:rFonts w:eastAsia="Times New Roman"/>
                <w:lang w:val="pt-PT"/>
              </w:rPr>
              <w:t>Tel: +43 1 97 99 860</w:t>
            </w:r>
          </w:p>
          <w:p w14:paraId="0CE66232" w14:textId="77777777" w:rsidR="00DE1D23" w:rsidRPr="00DE1D23" w:rsidRDefault="00DE1D23" w:rsidP="00DE1D23">
            <w:pPr>
              <w:widowControl w:val="0"/>
              <w:tabs>
                <w:tab w:val="clear" w:pos="567"/>
                <w:tab w:val="left" w:pos="-720"/>
              </w:tabs>
              <w:suppressAutoHyphens/>
              <w:autoSpaceDE w:val="0"/>
              <w:autoSpaceDN w:val="0"/>
              <w:rPr>
                <w:rFonts w:eastAsia="Times New Roman"/>
                <w:lang w:val="pt-PT"/>
              </w:rPr>
            </w:pPr>
          </w:p>
        </w:tc>
      </w:tr>
      <w:tr w:rsidR="00DE1D23" w:rsidRPr="00DE1D23" w14:paraId="2B4DA0E1" w14:textId="77777777" w:rsidTr="00527191">
        <w:tc>
          <w:tcPr>
            <w:tcW w:w="4678" w:type="dxa"/>
          </w:tcPr>
          <w:p w14:paraId="466E3F35"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b/>
                <w:noProof/>
                <w:lang w:val="es-ES_tradnl"/>
              </w:rPr>
            </w:pPr>
            <w:r w:rsidRPr="00DE1D23">
              <w:rPr>
                <w:rFonts w:eastAsia="Times New Roman"/>
                <w:b/>
                <w:noProof/>
                <w:lang w:val="es-ES_tradnl"/>
              </w:rPr>
              <w:lastRenderedPageBreak/>
              <w:t>España</w:t>
            </w:r>
          </w:p>
          <w:p w14:paraId="0E7BA674" w14:textId="77777777" w:rsidR="00DE1D23" w:rsidRPr="00DE1D23" w:rsidRDefault="00DE1D23" w:rsidP="00DE1D23">
            <w:pPr>
              <w:widowControl w:val="0"/>
              <w:tabs>
                <w:tab w:val="clear" w:pos="567"/>
              </w:tabs>
              <w:autoSpaceDE w:val="0"/>
              <w:autoSpaceDN w:val="0"/>
              <w:adjustRightInd w:val="0"/>
              <w:rPr>
                <w:rFonts w:eastAsia="Times New Roman"/>
                <w:lang w:val="pt-PT"/>
              </w:rPr>
            </w:pPr>
            <w:r w:rsidRPr="00DE1D23">
              <w:rPr>
                <w:rFonts w:eastAsia="Times New Roman"/>
                <w:lang w:val="pt-PT"/>
              </w:rPr>
              <w:t>CELLTRION FARMACEUTICA (ESPAÑA) S.L</w:t>
            </w:r>
            <w:r w:rsidRPr="00DE1D23">
              <w:rPr>
                <w:rFonts w:eastAsia="맑은 고딕" w:hint="eastAsia"/>
                <w:lang w:val="pt-PT" w:eastAsia="ko-KR"/>
              </w:rPr>
              <w:t>.</w:t>
            </w:r>
          </w:p>
          <w:p w14:paraId="38AD6D95" w14:textId="77777777" w:rsidR="00DE1D23" w:rsidRPr="00DE1D23" w:rsidRDefault="00DE1D23" w:rsidP="00DE1D23">
            <w:pPr>
              <w:widowControl w:val="0"/>
              <w:tabs>
                <w:tab w:val="clear" w:pos="567"/>
              </w:tabs>
              <w:autoSpaceDE w:val="0"/>
              <w:autoSpaceDN w:val="0"/>
              <w:adjustRightInd w:val="0"/>
              <w:rPr>
                <w:rFonts w:eastAsia="맑은 고딕"/>
                <w:lang w:val="pt-PT" w:eastAsia="ko-KR"/>
                <w:rPrChange w:id="52" w:author="만든 이">
                  <w:rPr>
                    <w:lang w:val="pt-PT"/>
                  </w:rPr>
                </w:rPrChange>
              </w:rPr>
            </w:pPr>
            <w:r w:rsidRPr="00DE1D23">
              <w:rPr>
                <w:rFonts w:eastAsia="Times New Roman"/>
                <w:lang w:val="pt-PT"/>
              </w:rPr>
              <w:t>Tel: +</w:t>
            </w:r>
            <w:ins w:id="53" w:author="만든 이">
              <w:r w:rsidRPr="00DE1D23">
                <w:rPr>
                  <w:rFonts w:eastAsia="Times New Roman"/>
                  <w:lang w:val="pt-PT"/>
                </w:rPr>
                <w:t>34 910498478</w:t>
              </w:r>
            </w:ins>
            <w:del w:id="54" w:author="만든 이">
              <w:r w:rsidRPr="00DE1D23" w:rsidDel="00AF5BBB">
                <w:rPr>
                  <w:rFonts w:eastAsia="Times New Roman"/>
                  <w:lang w:val="pt-PT"/>
                </w:rPr>
                <w:delText>34 919 94 23 90</w:delText>
              </w:r>
            </w:del>
          </w:p>
          <w:p w14:paraId="7051C4DE" w14:textId="77777777" w:rsidR="00DE1D23" w:rsidRPr="00DE1D23" w:rsidRDefault="00DE1D23" w:rsidP="00DE1D23">
            <w:pPr>
              <w:widowControl w:val="0"/>
              <w:tabs>
                <w:tab w:val="clear" w:pos="567"/>
                <w:tab w:val="left" w:pos="-720"/>
              </w:tabs>
              <w:suppressAutoHyphens/>
              <w:autoSpaceDE w:val="0"/>
              <w:autoSpaceDN w:val="0"/>
              <w:rPr>
                <w:ins w:id="55" w:author="만든 이"/>
                <w:rFonts w:eastAsia="맑은 고딕"/>
                <w:lang w:val="pt-PT" w:eastAsia="ko-KR"/>
              </w:rPr>
            </w:pPr>
            <w:ins w:id="56" w:author="만든 이">
              <w:r w:rsidRPr="00DE1D23">
                <w:rPr>
                  <w:rFonts w:eastAsia="맑은 고딕"/>
                  <w:lang w:val="pt-PT" w:eastAsia="ko-KR"/>
                </w:rPr>
                <w:fldChar w:fldCharType="begin"/>
              </w:r>
              <w:r w:rsidRPr="00DE1D23">
                <w:rPr>
                  <w:rFonts w:eastAsia="맑은 고딕"/>
                  <w:lang w:val="pt-PT" w:eastAsia="ko-KR"/>
                </w:rPr>
                <w:instrText>HYPERLINK "mailto:contact_es@celltrion.com"</w:instrText>
              </w:r>
              <w:r w:rsidRPr="00DE1D23">
                <w:rPr>
                  <w:rFonts w:eastAsia="맑은 고딕"/>
                  <w:lang w:val="pt-PT" w:eastAsia="ko-KR"/>
                </w:rPr>
              </w:r>
              <w:r w:rsidRPr="00DE1D23">
                <w:rPr>
                  <w:rFonts w:eastAsia="맑은 고딕"/>
                  <w:lang w:val="pt-PT" w:eastAsia="ko-KR"/>
                </w:rPr>
                <w:fldChar w:fldCharType="separate"/>
              </w:r>
              <w:r w:rsidRPr="00DE1D23">
                <w:rPr>
                  <w:rFonts w:eastAsia="맑은 고딕"/>
                  <w:color w:val="0000FF"/>
                  <w:u w:val="single"/>
                  <w:lang w:val="pt-PT" w:eastAsia="ko-KR"/>
                </w:rPr>
                <w:t>contact_es@celltrion.com</w:t>
              </w:r>
              <w:r w:rsidRPr="00DE1D23">
                <w:rPr>
                  <w:rFonts w:eastAsia="맑은 고딕"/>
                  <w:lang w:val="pt-PT" w:eastAsia="ko-KR"/>
                </w:rPr>
                <w:fldChar w:fldCharType="end"/>
              </w:r>
            </w:ins>
          </w:p>
          <w:p w14:paraId="0BFA6D64" w14:textId="77777777" w:rsidR="00DE1D23" w:rsidRPr="00DE1D23" w:rsidRDefault="00DE1D23" w:rsidP="00DE1D23">
            <w:pPr>
              <w:widowControl w:val="0"/>
              <w:tabs>
                <w:tab w:val="clear" w:pos="567"/>
                <w:tab w:val="left" w:pos="-720"/>
              </w:tabs>
              <w:suppressAutoHyphens/>
              <w:autoSpaceDE w:val="0"/>
              <w:autoSpaceDN w:val="0"/>
              <w:rPr>
                <w:rFonts w:eastAsia="맑은 고딕"/>
                <w:lang w:val="pt-PT" w:eastAsia="ko-KR"/>
              </w:rPr>
            </w:pPr>
          </w:p>
        </w:tc>
        <w:tc>
          <w:tcPr>
            <w:tcW w:w="4678" w:type="dxa"/>
          </w:tcPr>
          <w:p w14:paraId="214348CE" w14:textId="77777777" w:rsidR="00DE1D23" w:rsidRPr="00DE1D23" w:rsidRDefault="00DE1D23" w:rsidP="00DE1D23">
            <w:pPr>
              <w:widowControl w:val="0"/>
              <w:tabs>
                <w:tab w:val="clear" w:pos="567"/>
                <w:tab w:val="left" w:pos="-720"/>
              </w:tabs>
              <w:suppressAutoHyphens/>
              <w:autoSpaceDE w:val="0"/>
              <w:autoSpaceDN w:val="0"/>
              <w:rPr>
                <w:rFonts w:eastAsia="Times New Roman"/>
                <w:b/>
                <w:bCs/>
                <w:i/>
                <w:iCs/>
                <w:noProof/>
                <w:lang w:val="pl-PL"/>
              </w:rPr>
            </w:pPr>
            <w:r w:rsidRPr="00DE1D23">
              <w:rPr>
                <w:rFonts w:eastAsia="Times New Roman"/>
                <w:b/>
                <w:noProof/>
                <w:lang w:val="pl-PL"/>
              </w:rPr>
              <w:t>Polska</w:t>
            </w:r>
          </w:p>
          <w:p w14:paraId="2D4CD882" w14:textId="77777777" w:rsidR="00DE1D23" w:rsidRPr="00DE1D23" w:rsidRDefault="00DE1D23" w:rsidP="00DE1D23">
            <w:pPr>
              <w:widowControl w:val="0"/>
              <w:tabs>
                <w:tab w:val="clear" w:pos="567"/>
              </w:tabs>
              <w:autoSpaceDE w:val="0"/>
              <w:autoSpaceDN w:val="0"/>
              <w:adjustRightInd w:val="0"/>
              <w:rPr>
                <w:rFonts w:eastAsia="Times New Roman"/>
                <w:noProof/>
                <w:lang w:val="sv-FI"/>
              </w:rPr>
            </w:pPr>
            <w:ins w:id="57" w:author="만든 이">
              <w:r w:rsidRPr="00DE1D23">
                <w:rPr>
                  <w:rFonts w:eastAsia="Times New Roman"/>
                  <w:noProof/>
                  <w:lang w:val="sv-FI"/>
                </w:rPr>
                <w:t>Celltrion Healthcare Hungary Kft.</w:t>
              </w:r>
            </w:ins>
            <w:del w:id="58" w:author="만든 이">
              <w:r w:rsidRPr="00DE1D23" w:rsidDel="009D2085">
                <w:rPr>
                  <w:rFonts w:eastAsia="Times New Roman"/>
                  <w:noProof/>
                  <w:lang w:val="sv-FI"/>
                </w:rPr>
                <w:delText>EGIS Polska Sp. z o.o.</w:delText>
              </w:r>
            </w:del>
          </w:p>
          <w:p w14:paraId="781ACC9D"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w:t>
            </w:r>
            <w:ins w:id="59" w:author="만든 이">
              <w:r w:rsidRPr="00DE1D23">
                <w:rPr>
                  <w:rFonts w:eastAsia="Times New Roman"/>
                  <w:noProof/>
                  <w:lang w:val="en-US"/>
                </w:rPr>
                <w:t>36 1 231 0493</w:t>
              </w:r>
            </w:ins>
            <w:del w:id="60" w:author="만든 이">
              <w:r w:rsidRPr="00DE1D23" w:rsidDel="009D2085">
                <w:rPr>
                  <w:rFonts w:eastAsia="Times New Roman"/>
                  <w:noProof/>
                  <w:lang w:val="en-US"/>
                </w:rPr>
                <w:delText>48 22 417 9200</w:delText>
              </w:r>
            </w:del>
          </w:p>
          <w:p w14:paraId="372897A0"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48A8ABCB" w14:textId="77777777" w:rsidTr="00527191">
        <w:tc>
          <w:tcPr>
            <w:tcW w:w="4678" w:type="dxa"/>
          </w:tcPr>
          <w:p w14:paraId="5C21A3B7"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b/>
                <w:noProof/>
                <w:lang w:val="en-US"/>
              </w:rPr>
            </w:pPr>
            <w:r w:rsidRPr="00DE1D23">
              <w:rPr>
                <w:rFonts w:eastAsia="Times New Roman"/>
                <w:b/>
                <w:noProof/>
                <w:lang w:val="en-US"/>
              </w:rPr>
              <w:t>France</w:t>
            </w:r>
          </w:p>
          <w:p w14:paraId="1192845E"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France SAS</w:t>
            </w:r>
          </w:p>
          <w:p w14:paraId="3CECB84E" w14:textId="77777777" w:rsidR="00DE1D23" w:rsidRPr="00DE1D23" w:rsidRDefault="00DE1D23" w:rsidP="00DE1D23">
            <w:pPr>
              <w:widowControl w:val="0"/>
              <w:tabs>
                <w:tab w:val="clear" w:pos="567"/>
              </w:tabs>
              <w:autoSpaceDE w:val="0"/>
              <w:autoSpaceDN w:val="0"/>
              <w:adjustRightInd w:val="0"/>
              <w:rPr>
                <w:rFonts w:eastAsia="Times New Roman"/>
                <w:noProof/>
                <w:lang w:val="en-GB"/>
              </w:rPr>
            </w:pPr>
            <w:r w:rsidRPr="00DE1D23">
              <w:rPr>
                <w:rFonts w:eastAsia="Times New Roman"/>
                <w:noProof/>
                <w:lang w:val="en-US"/>
              </w:rPr>
              <w:t>Tél: +33 (0)1 71 25 27 00</w:t>
            </w:r>
          </w:p>
          <w:p w14:paraId="60675DFA" w14:textId="77777777" w:rsidR="00DE1D23" w:rsidRPr="00DE1D23" w:rsidRDefault="00DE1D23" w:rsidP="00DE1D23">
            <w:pPr>
              <w:widowControl w:val="0"/>
              <w:tabs>
                <w:tab w:val="clear" w:pos="567"/>
              </w:tabs>
              <w:autoSpaceDE w:val="0"/>
              <w:autoSpaceDN w:val="0"/>
              <w:rPr>
                <w:rFonts w:eastAsia="Times New Roman"/>
                <w:b/>
                <w:noProof/>
                <w:lang w:val="fr-FR"/>
              </w:rPr>
            </w:pPr>
          </w:p>
        </w:tc>
        <w:tc>
          <w:tcPr>
            <w:tcW w:w="4678" w:type="dxa"/>
          </w:tcPr>
          <w:p w14:paraId="788D3142"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pt-PT"/>
              </w:rPr>
            </w:pPr>
            <w:r w:rsidRPr="00DE1D23">
              <w:rPr>
                <w:rFonts w:eastAsia="Times New Roman"/>
                <w:b/>
                <w:noProof/>
                <w:lang w:val="pt-PT"/>
              </w:rPr>
              <w:t>Portugal</w:t>
            </w:r>
          </w:p>
          <w:p w14:paraId="5BA7B154"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lang w:val="pt-PT"/>
              </w:rPr>
              <w:t xml:space="preserve">CELLTRION PORTUGAL, UNIPESSOAL LDA </w:t>
            </w:r>
            <w:r w:rsidRPr="00DE1D23">
              <w:rPr>
                <w:rFonts w:eastAsia="Times New Roman"/>
                <w:lang w:val="pt-PT"/>
              </w:rPr>
              <w:br/>
            </w:r>
            <w:r w:rsidRPr="00DE1D23">
              <w:rPr>
                <w:rFonts w:eastAsia="Times New Roman"/>
                <w:noProof/>
                <w:lang w:val="en-US"/>
              </w:rPr>
              <w:t>Tel: +351 21 936 8542</w:t>
            </w:r>
          </w:p>
          <w:p w14:paraId="4B4AC333" w14:textId="77777777" w:rsidR="00DE1D23" w:rsidRPr="00DE1D23" w:rsidRDefault="00DE1D23" w:rsidP="00DE1D23">
            <w:pPr>
              <w:widowControl w:val="0"/>
              <w:tabs>
                <w:tab w:val="clear" w:pos="567"/>
                <w:tab w:val="left" w:pos="-720"/>
              </w:tabs>
              <w:suppressAutoHyphens/>
              <w:autoSpaceDE w:val="0"/>
              <w:autoSpaceDN w:val="0"/>
              <w:rPr>
                <w:ins w:id="61" w:author="만든 이"/>
                <w:rFonts w:eastAsia="맑은 고딕"/>
                <w:noProof/>
                <w:lang w:val="pt-PT" w:eastAsia="ko-KR"/>
              </w:rPr>
            </w:pPr>
            <w:ins w:id="62" w:author="만든 이">
              <w:r w:rsidRPr="00DE1D23">
                <w:rPr>
                  <w:rFonts w:eastAsia="Times New Roman"/>
                  <w:noProof/>
                  <w:lang w:val="pt-PT"/>
                </w:rPr>
                <w:fldChar w:fldCharType="begin"/>
              </w:r>
              <w:r w:rsidRPr="00DE1D23">
                <w:rPr>
                  <w:rFonts w:eastAsia="Times New Roman"/>
                  <w:noProof/>
                  <w:lang w:val="pt-PT"/>
                </w:rPr>
                <w:instrText>HYPERLINK "mailto:contact_pt@celltrion.com"</w:instrText>
              </w:r>
              <w:r w:rsidRPr="00DE1D23">
                <w:rPr>
                  <w:rFonts w:eastAsia="Times New Roman"/>
                  <w:noProof/>
                  <w:lang w:val="pt-PT"/>
                </w:rPr>
              </w:r>
              <w:r w:rsidRPr="00DE1D23">
                <w:rPr>
                  <w:rFonts w:eastAsia="Times New Roman"/>
                  <w:noProof/>
                  <w:lang w:val="pt-PT"/>
                </w:rPr>
                <w:fldChar w:fldCharType="separate"/>
              </w:r>
              <w:r w:rsidRPr="00DE1D23">
                <w:rPr>
                  <w:rFonts w:eastAsia="Times New Roman"/>
                  <w:noProof/>
                  <w:color w:val="0000FF"/>
                  <w:u w:val="single"/>
                  <w:lang w:val="pt-PT"/>
                </w:rPr>
                <w:t>contact_pt@celltrion.com</w:t>
              </w:r>
              <w:r w:rsidRPr="00DE1D23">
                <w:rPr>
                  <w:rFonts w:eastAsia="Times New Roman"/>
                  <w:noProof/>
                  <w:lang w:val="pt-PT"/>
                </w:rPr>
                <w:fldChar w:fldCharType="end"/>
              </w:r>
            </w:ins>
          </w:p>
          <w:p w14:paraId="0E2F53A5" w14:textId="77777777" w:rsidR="00DE1D23" w:rsidRPr="00DE1D23" w:rsidRDefault="00DE1D23" w:rsidP="00DE1D23">
            <w:pPr>
              <w:widowControl w:val="0"/>
              <w:tabs>
                <w:tab w:val="clear" w:pos="567"/>
                <w:tab w:val="left" w:pos="-720"/>
              </w:tabs>
              <w:suppressAutoHyphens/>
              <w:autoSpaceDE w:val="0"/>
              <w:autoSpaceDN w:val="0"/>
              <w:rPr>
                <w:rFonts w:eastAsia="맑은 고딕"/>
                <w:noProof/>
                <w:lang w:val="pt-PT" w:eastAsia="ko-KR"/>
                <w:rPrChange w:id="63" w:author="만든 이">
                  <w:rPr>
                    <w:noProof/>
                    <w:lang w:val="pt-PT"/>
                  </w:rPr>
                </w:rPrChange>
              </w:rPr>
            </w:pPr>
          </w:p>
        </w:tc>
      </w:tr>
      <w:tr w:rsidR="00DE1D23" w:rsidRPr="00DE1D23" w14:paraId="7848893F" w14:textId="77777777" w:rsidTr="00527191">
        <w:tc>
          <w:tcPr>
            <w:tcW w:w="4678" w:type="dxa"/>
          </w:tcPr>
          <w:p w14:paraId="09D37632" w14:textId="77777777" w:rsidR="00DE1D23" w:rsidRPr="00DE1D23" w:rsidRDefault="00DE1D23" w:rsidP="00DE1D23">
            <w:pPr>
              <w:widowControl w:val="0"/>
              <w:tabs>
                <w:tab w:val="clear" w:pos="567"/>
              </w:tabs>
              <w:autoSpaceDE w:val="0"/>
              <w:autoSpaceDN w:val="0"/>
              <w:rPr>
                <w:rFonts w:eastAsia="Times New Roman"/>
                <w:lang w:val="sv-FI"/>
              </w:rPr>
            </w:pPr>
            <w:r w:rsidRPr="00DE1D23">
              <w:rPr>
                <w:rFonts w:eastAsia="Times New Roman"/>
                <w:lang w:val="sv-FI"/>
              </w:rPr>
              <w:br w:type="page"/>
            </w:r>
            <w:r w:rsidRPr="00DE1D23">
              <w:rPr>
                <w:rFonts w:eastAsia="Times New Roman"/>
                <w:b/>
                <w:lang w:val="sv-FI"/>
              </w:rPr>
              <w:t>Hrvatska</w:t>
            </w:r>
          </w:p>
          <w:p w14:paraId="106A21C7" w14:textId="77777777" w:rsidR="00DE1D23" w:rsidRPr="00DE1D23" w:rsidRDefault="00DE1D23" w:rsidP="00DE1D23">
            <w:pPr>
              <w:widowControl w:val="0"/>
              <w:tabs>
                <w:tab w:val="clear" w:pos="567"/>
              </w:tabs>
              <w:autoSpaceDE w:val="0"/>
              <w:autoSpaceDN w:val="0"/>
              <w:adjustRightInd w:val="0"/>
              <w:rPr>
                <w:rFonts w:eastAsia="Times New Roman"/>
                <w:lang w:val="sv-FI"/>
              </w:rPr>
            </w:pPr>
            <w:r w:rsidRPr="00DE1D23">
              <w:rPr>
                <w:rFonts w:eastAsia="Times New Roman"/>
                <w:lang w:val="sv-FI"/>
              </w:rPr>
              <w:t>Oktal Pharma d.o.o.</w:t>
            </w:r>
          </w:p>
          <w:p w14:paraId="529E78F4" w14:textId="77777777" w:rsidR="00DE1D23" w:rsidRPr="00DE1D23" w:rsidRDefault="00DE1D23" w:rsidP="00DE1D23">
            <w:pPr>
              <w:widowControl w:val="0"/>
              <w:tabs>
                <w:tab w:val="clear" w:pos="567"/>
              </w:tabs>
              <w:autoSpaceDE w:val="0"/>
              <w:autoSpaceDN w:val="0"/>
              <w:adjustRightInd w:val="0"/>
              <w:rPr>
                <w:rFonts w:eastAsia="Times New Roman"/>
                <w:noProof/>
                <w:lang w:val="en-GB"/>
              </w:rPr>
            </w:pPr>
            <w:r w:rsidRPr="00DE1D23">
              <w:rPr>
                <w:rFonts w:eastAsia="Times New Roman"/>
                <w:noProof/>
                <w:lang w:val="en-US"/>
              </w:rPr>
              <w:t>Tel: +385 1 6595 777</w:t>
            </w:r>
          </w:p>
          <w:p w14:paraId="2493022F"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c>
          <w:tcPr>
            <w:tcW w:w="4678" w:type="dxa"/>
          </w:tcPr>
          <w:p w14:paraId="36C77AE0" w14:textId="77777777" w:rsidR="00DE1D23" w:rsidRPr="00DE1D23" w:rsidRDefault="00DE1D23" w:rsidP="00DE1D23">
            <w:pPr>
              <w:widowControl w:val="0"/>
              <w:tabs>
                <w:tab w:val="clear" w:pos="567"/>
                <w:tab w:val="left" w:pos="-720"/>
              </w:tabs>
              <w:suppressAutoHyphens/>
              <w:autoSpaceDE w:val="0"/>
              <w:autoSpaceDN w:val="0"/>
              <w:rPr>
                <w:rFonts w:eastAsia="Times New Roman"/>
                <w:b/>
                <w:noProof/>
                <w:lang w:val="en-US"/>
              </w:rPr>
            </w:pPr>
            <w:r w:rsidRPr="00DE1D23">
              <w:rPr>
                <w:rFonts w:eastAsia="Times New Roman"/>
                <w:b/>
                <w:noProof/>
                <w:lang w:val="en-US"/>
              </w:rPr>
              <w:t>România</w:t>
            </w:r>
          </w:p>
          <w:p w14:paraId="1DC1A6E3"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ins w:id="64" w:author="만든 이">
              <w:r w:rsidRPr="00DE1D23">
                <w:rPr>
                  <w:rFonts w:eastAsia="Times New Roman"/>
                  <w:noProof/>
                  <w:lang w:val="en-US"/>
                </w:rPr>
                <w:t>Celltrion Healthcare Hungary Kft.</w:t>
              </w:r>
            </w:ins>
            <w:del w:id="65" w:author="만든 이">
              <w:r w:rsidRPr="00DE1D23" w:rsidDel="009D2085">
                <w:rPr>
                  <w:rFonts w:eastAsia="Times New Roman"/>
                  <w:noProof/>
                  <w:lang w:val="en-US"/>
                </w:rPr>
                <w:delText>Egis Pharmaceuticals PLC Romania</w:delText>
              </w:r>
            </w:del>
          </w:p>
          <w:p w14:paraId="292C1F31"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w:t>
            </w:r>
            <w:ins w:id="66" w:author="만든 이">
              <w:r w:rsidRPr="00DE1D23">
                <w:rPr>
                  <w:rFonts w:eastAsia="Times New Roman"/>
                  <w:noProof/>
                  <w:lang w:val="en-US"/>
                </w:rPr>
                <w:t>36 1 231 0493</w:t>
              </w:r>
            </w:ins>
            <w:del w:id="67" w:author="만든 이">
              <w:r w:rsidRPr="00DE1D23" w:rsidDel="009D2085">
                <w:rPr>
                  <w:rFonts w:eastAsia="Times New Roman"/>
                  <w:noProof/>
                  <w:lang w:val="en-US"/>
                </w:rPr>
                <w:delText>40 21 412 0017</w:delText>
              </w:r>
            </w:del>
          </w:p>
          <w:p w14:paraId="1CB574A4"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50778100" w14:textId="77777777" w:rsidTr="00527191">
        <w:tc>
          <w:tcPr>
            <w:tcW w:w="4678" w:type="dxa"/>
          </w:tcPr>
          <w:p w14:paraId="11C635A5" w14:textId="77777777" w:rsidR="00DE1D23" w:rsidRPr="00DE1D23" w:rsidRDefault="00DE1D23" w:rsidP="00DE1D23">
            <w:pPr>
              <w:widowControl w:val="0"/>
              <w:tabs>
                <w:tab w:val="clear" w:pos="567"/>
              </w:tabs>
              <w:autoSpaceDE w:val="0"/>
              <w:autoSpaceDN w:val="0"/>
              <w:rPr>
                <w:rFonts w:eastAsia="Times New Roman"/>
                <w:noProof/>
                <w:lang w:val="nb-NO"/>
              </w:rPr>
            </w:pPr>
            <w:r w:rsidRPr="00DE1D23">
              <w:rPr>
                <w:rFonts w:eastAsia="Times New Roman"/>
                <w:b/>
                <w:noProof/>
                <w:lang w:val="nb-NO"/>
              </w:rPr>
              <w:t>Ireland</w:t>
            </w:r>
          </w:p>
          <w:p w14:paraId="7C04A2E0"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Ireland Limited </w:t>
            </w:r>
          </w:p>
          <w:p w14:paraId="58E96475"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+353 1 223 4026</w:t>
            </w:r>
          </w:p>
          <w:p w14:paraId="0CBFCABA"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hyperlink r:id="rId25" w:history="1">
              <w:r w:rsidRPr="00DE1D23">
                <w:rPr>
                  <w:rFonts w:eastAsia="Times New Roman"/>
                  <w:color w:val="0000FF"/>
                  <w:u w:val="single"/>
                  <w:lang w:val="en-US"/>
                </w:rPr>
                <w:t>enquiry_ie@celltrionhc.com</w:t>
              </w:r>
            </w:hyperlink>
          </w:p>
          <w:p w14:paraId="34D0FC77" w14:textId="77777777" w:rsidR="00DE1D23" w:rsidRPr="00DE1D23" w:rsidRDefault="00DE1D23" w:rsidP="00DE1D23">
            <w:pPr>
              <w:widowControl w:val="0"/>
              <w:tabs>
                <w:tab w:val="clear" w:pos="567"/>
              </w:tabs>
              <w:autoSpaceDE w:val="0"/>
              <w:autoSpaceDN w:val="0"/>
              <w:rPr>
                <w:rFonts w:eastAsia="Times New Roman"/>
                <w:noProof/>
                <w:lang w:val="en-GB"/>
              </w:rPr>
            </w:pPr>
          </w:p>
        </w:tc>
        <w:tc>
          <w:tcPr>
            <w:tcW w:w="4678" w:type="dxa"/>
          </w:tcPr>
          <w:p w14:paraId="5072323A" w14:textId="77777777" w:rsidR="00DE1D23" w:rsidRPr="00DE1D23" w:rsidRDefault="00DE1D23" w:rsidP="00DE1D23">
            <w:pPr>
              <w:widowControl w:val="0"/>
              <w:tabs>
                <w:tab w:val="clear" w:pos="567"/>
              </w:tabs>
              <w:autoSpaceDE w:val="0"/>
              <w:autoSpaceDN w:val="0"/>
              <w:rPr>
                <w:rFonts w:eastAsia="Times New Roman"/>
                <w:noProof/>
                <w:lang w:val="en-US"/>
              </w:rPr>
            </w:pPr>
            <w:r w:rsidRPr="00DE1D23">
              <w:rPr>
                <w:rFonts w:eastAsia="Times New Roman"/>
                <w:b/>
                <w:noProof/>
                <w:lang w:val="en-US"/>
              </w:rPr>
              <w:t>Slovenija</w:t>
            </w:r>
          </w:p>
          <w:p w14:paraId="47FDC279"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OPH Oktal Pharma d.o.o.</w:t>
            </w:r>
          </w:p>
          <w:p w14:paraId="6D1A68E8"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+386 1 519 29 22</w:t>
            </w:r>
          </w:p>
          <w:p w14:paraId="29377B07" w14:textId="77777777" w:rsidR="00DE1D23" w:rsidRPr="00DE1D23" w:rsidRDefault="00DE1D23" w:rsidP="00DE1D23">
            <w:pPr>
              <w:widowControl w:val="0"/>
              <w:tabs>
                <w:tab w:val="clear" w:pos="567"/>
              </w:tabs>
              <w:autoSpaceDE w:val="0"/>
              <w:autoSpaceDN w:val="0"/>
              <w:adjustRightInd w:val="0"/>
              <w:rPr>
                <w:rFonts w:eastAsia="Times New Roman"/>
                <w:b/>
                <w:noProof/>
                <w:lang w:val="en-US"/>
              </w:rPr>
            </w:pPr>
          </w:p>
        </w:tc>
      </w:tr>
      <w:tr w:rsidR="00DE1D23" w:rsidRPr="00DE1D23" w14:paraId="0887C803" w14:textId="77777777" w:rsidTr="00527191">
        <w:tc>
          <w:tcPr>
            <w:tcW w:w="4678" w:type="dxa"/>
          </w:tcPr>
          <w:p w14:paraId="139CC574" w14:textId="77777777" w:rsidR="00DE1D23" w:rsidRPr="00DE1D23" w:rsidRDefault="00DE1D23" w:rsidP="00DE1D23">
            <w:pPr>
              <w:widowControl w:val="0"/>
              <w:tabs>
                <w:tab w:val="clear" w:pos="567"/>
              </w:tabs>
              <w:autoSpaceDE w:val="0"/>
              <w:autoSpaceDN w:val="0"/>
              <w:rPr>
                <w:rFonts w:eastAsia="Times New Roman"/>
                <w:b/>
                <w:noProof/>
                <w:lang w:val="en-US"/>
              </w:rPr>
            </w:pPr>
            <w:r w:rsidRPr="00DE1D23">
              <w:rPr>
                <w:rFonts w:eastAsia="Times New Roman"/>
                <w:b/>
                <w:noProof/>
                <w:lang w:val="en-US"/>
              </w:rPr>
              <w:t>Ísland</w:t>
            </w:r>
          </w:p>
          <w:p w14:paraId="004FAE90" w14:textId="77777777" w:rsidR="00DE1D23" w:rsidRPr="00DE1D23" w:rsidRDefault="00DE1D23" w:rsidP="00DE1D23">
            <w:pPr>
              <w:widowControl w:val="0"/>
              <w:tabs>
                <w:tab w:val="clear" w:pos="567"/>
              </w:tabs>
              <w:autoSpaceDE w:val="0"/>
              <w:autoSpaceDN w:val="0"/>
              <w:adjustRightInd w:val="0"/>
              <w:rPr>
                <w:ins w:id="68" w:author="만든 이"/>
                <w:rFonts w:eastAsia="맑은 고딕"/>
                <w:noProof/>
                <w:lang w:val="en-US" w:eastAsia="ko-KR"/>
              </w:rPr>
            </w:pPr>
            <w:r w:rsidRPr="00DE1D23">
              <w:rPr>
                <w:rFonts w:eastAsia="Times New Roman"/>
                <w:noProof/>
                <w:lang w:val="en-US"/>
              </w:rPr>
              <w:t xml:space="preserve">Celltrion Healthcare Hungary Kft. </w:t>
            </w:r>
          </w:p>
          <w:p w14:paraId="0BE87F5E" w14:textId="77777777" w:rsidR="00DE1D23" w:rsidRPr="00DE1D23" w:rsidRDefault="00DE1D23" w:rsidP="00DE1D23">
            <w:pPr>
              <w:widowControl w:val="0"/>
              <w:tabs>
                <w:tab w:val="clear" w:pos="567"/>
              </w:tabs>
              <w:autoSpaceDE w:val="0"/>
              <w:autoSpaceDN w:val="0"/>
              <w:adjustRightInd w:val="0"/>
              <w:rPr>
                <w:rFonts w:eastAsia="맑은 고딕"/>
                <w:noProof/>
                <w:lang w:val="en-US" w:eastAsia="ko-KR"/>
                <w:rPrChange w:id="69" w:author="만든 이">
                  <w:rPr>
                    <w:noProof/>
                  </w:rPr>
                </w:rPrChange>
              </w:rPr>
            </w:pPr>
            <w:ins w:id="70" w:author="만든 이">
              <w:r w:rsidRPr="00DE1D23">
                <w:rPr>
                  <w:rFonts w:eastAsia="맑은 고딕"/>
                  <w:noProof/>
                  <w:lang w:val="en-US" w:eastAsia="ko-KR"/>
                </w:rPr>
                <w:t>Sími: +36 1 231 0493</w:t>
              </w:r>
            </w:ins>
          </w:p>
          <w:p w14:paraId="716ADD56"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hyperlink r:id="rId26" w:history="1">
              <w:r w:rsidRPr="00DE1D23">
                <w:rPr>
                  <w:rFonts w:eastAsia="Times New Roman"/>
                  <w:color w:val="0000FF"/>
                  <w:u w:val="single"/>
                  <w:lang w:val="en-US"/>
                </w:rPr>
                <w:t>contact_fi@celltrionhc.com</w:t>
              </w:r>
            </w:hyperlink>
          </w:p>
          <w:p w14:paraId="2BBA308F"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c>
          <w:tcPr>
            <w:tcW w:w="4678" w:type="dxa"/>
          </w:tcPr>
          <w:p w14:paraId="20E5A01D" w14:textId="77777777" w:rsidR="00DE1D23" w:rsidRPr="00DE1D23" w:rsidRDefault="00DE1D23" w:rsidP="00DE1D23">
            <w:pPr>
              <w:widowControl w:val="0"/>
              <w:tabs>
                <w:tab w:val="clear" w:pos="567"/>
                <w:tab w:val="left" w:pos="-720"/>
              </w:tabs>
              <w:suppressAutoHyphens/>
              <w:autoSpaceDE w:val="0"/>
              <w:autoSpaceDN w:val="0"/>
              <w:rPr>
                <w:rFonts w:eastAsia="Times New Roman"/>
                <w:b/>
                <w:noProof/>
                <w:lang w:val="sv-FI"/>
              </w:rPr>
            </w:pPr>
            <w:r w:rsidRPr="00DE1D23">
              <w:rPr>
                <w:rFonts w:eastAsia="Times New Roman"/>
                <w:b/>
                <w:noProof/>
                <w:lang w:val="sv-FI"/>
              </w:rPr>
              <w:t>Slovenská republika</w:t>
            </w:r>
          </w:p>
          <w:p w14:paraId="243C3AEC" w14:textId="77777777" w:rsidR="00DE1D23" w:rsidRPr="00DE1D23" w:rsidRDefault="00DE1D23" w:rsidP="00DE1D23">
            <w:pPr>
              <w:widowControl w:val="0"/>
              <w:tabs>
                <w:tab w:val="clear" w:pos="567"/>
              </w:tabs>
              <w:autoSpaceDE w:val="0"/>
              <w:autoSpaceDN w:val="0"/>
              <w:adjustRightInd w:val="0"/>
              <w:rPr>
                <w:rFonts w:eastAsia="Times New Roman"/>
                <w:noProof/>
                <w:lang w:val="sv-FI"/>
              </w:rPr>
            </w:pPr>
            <w:ins w:id="71" w:author="만든 이">
              <w:r w:rsidRPr="00DE1D23">
                <w:rPr>
                  <w:rFonts w:eastAsia="Times New Roman"/>
                  <w:noProof/>
                  <w:lang w:val="sv-FI"/>
                </w:rPr>
                <w:t>Celltrion Healthcare Hungary Kft.</w:t>
              </w:r>
            </w:ins>
            <w:del w:id="72" w:author="만든 이">
              <w:r w:rsidRPr="00DE1D23" w:rsidDel="009D2085">
                <w:rPr>
                  <w:rFonts w:eastAsia="Times New Roman"/>
                  <w:noProof/>
                  <w:lang w:val="sv-FI"/>
                </w:rPr>
                <w:delText>EGIS SLOVAKIA spol. s r.o</w:delText>
              </w:r>
            </w:del>
          </w:p>
          <w:p w14:paraId="35AD4707"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w:t>
            </w:r>
            <w:ins w:id="73" w:author="만든 이">
              <w:r w:rsidRPr="00DE1D23">
                <w:rPr>
                  <w:rFonts w:eastAsia="Times New Roman"/>
                  <w:noProof/>
                  <w:lang w:val="en-US"/>
                </w:rPr>
                <w:t>36 1 231 0493</w:t>
              </w:r>
            </w:ins>
            <w:del w:id="74" w:author="만든 이">
              <w:r w:rsidRPr="00DE1D23" w:rsidDel="009D2085">
                <w:rPr>
                  <w:rFonts w:eastAsia="Times New Roman"/>
                  <w:noProof/>
                  <w:lang w:val="en-US"/>
                </w:rPr>
                <w:delText>421 2 3240 9422</w:delText>
              </w:r>
            </w:del>
          </w:p>
          <w:p w14:paraId="538AA278" w14:textId="77777777" w:rsidR="00DE1D23" w:rsidRPr="00DE1D23" w:rsidRDefault="00DE1D23" w:rsidP="00DE1D23">
            <w:pPr>
              <w:widowControl w:val="0"/>
              <w:tabs>
                <w:tab w:val="clear" w:pos="567"/>
              </w:tabs>
              <w:autoSpaceDE w:val="0"/>
              <w:autoSpaceDN w:val="0"/>
              <w:adjustRightInd w:val="0"/>
              <w:rPr>
                <w:rFonts w:eastAsia="Times New Roman"/>
                <w:b/>
                <w:noProof/>
                <w:color w:val="008000"/>
                <w:lang w:val="en-US"/>
              </w:rPr>
            </w:pPr>
          </w:p>
        </w:tc>
      </w:tr>
      <w:tr w:rsidR="00DE1D23" w:rsidRPr="00DE1D23" w14:paraId="033B6B34" w14:textId="77777777" w:rsidTr="00527191">
        <w:tc>
          <w:tcPr>
            <w:tcW w:w="4678" w:type="dxa"/>
          </w:tcPr>
          <w:p w14:paraId="5C10DC93" w14:textId="77777777" w:rsidR="00DE1D23" w:rsidRPr="00DE1D23" w:rsidRDefault="00DE1D23" w:rsidP="00DE1D23">
            <w:pPr>
              <w:widowControl w:val="0"/>
              <w:tabs>
                <w:tab w:val="clear" w:pos="567"/>
              </w:tabs>
              <w:autoSpaceDE w:val="0"/>
              <w:autoSpaceDN w:val="0"/>
              <w:rPr>
                <w:rFonts w:eastAsia="Times New Roman"/>
                <w:noProof/>
                <w:lang w:val="it-IT"/>
              </w:rPr>
            </w:pPr>
            <w:r w:rsidRPr="00DE1D23">
              <w:rPr>
                <w:rFonts w:eastAsia="Times New Roman"/>
                <w:b/>
                <w:noProof/>
                <w:lang w:val="it-IT"/>
              </w:rPr>
              <w:t>Italia</w:t>
            </w:r>
          </w:p>
          <w:p w14:paraId="0DEAEA2B"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 xml:space="preserve">Celltrion Healthcare Italy S.R.L. </w:t>
            </w:r>
          </w:p>
          <w:p w14:paraId="08262347"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Tel: +39 0247927040</w:t>
            </w:r>
          </w:p>
          <w:p w14:paraId="3A24225A" w14:textId="77777777" w:rsidR="00DE1D23" w:rsidRPr="00DE1D23" w:rsidRDefault="00DE1D23" w:rsidP="00DE1D23">
            <w:pPr>
              <w:widowControl w:val="0"/>
              <w:tabs>
                <w:tab w:val="clear" w:pos="567"/>
              </w:tabs>
              <w:autoSpaceDE w:val="0"/>
              <w:autoSpaceDN w:val="0"/>
              <w:rPr>
                <w:rFonts w:eastAsia="SimSun"/>
                <w:color w:val="0000FF"/>
                <w:u w:val="single"/>
                <w:lang w:val="en-US" w:eastAsia="en-GB"/>
              </w:rPr>
            </w:pPr>
            <w:hyperlink r:id="rId27" w:history="1">
              <w:r w:rsidRPr="00DE1D23">
                <w:rPr>
                  <w:rFonts w:eastAsia="Times New Roman"/>
                  <w:color w:val="0000FF"/>
                  <w:u w:val="single"/>
                  <w:lang w:val="en-US"/>
                </w:rPr>
                <w:t>celltrionhealthcare_italy@legalmail.it</w:t>
              </w:r>
            </w:hyperlink>
          </w:p>
          <w:p w14:paraId="17469C15" w14:textId="77777777" w:rsidR="00DE1D23" w:rsidRPr="00DE1D23" w:rsidRDefault="00DE1D23" w:rsidP="00DE1D23">
            <w:pPr>
              <w:widowControl w:val="0"/>
              <w:tabs>
                <w:tab w:val="clear" w:pos="567"/>
              </w:tabs>
              <w:autoSpaceDE w:val="0"/>
              <w:autoSpaceDN w:val="0"/>
              <w:rPr>
                <w:rFonts w:eastAsia="Times New Roman"/>
                <w:b/>
                <w:noProof/>
                <w:lang w:val="it-IT"/>
              </w:rPr>
            </w:pPr>
          </w:p>
        </w:tc>
        <w:tc>
          <w:tcPr>
            <w:tcW w:w="4678" w:type="dxa"/>
          </w:tcPr>
          <w:p w14:paraId="0ADE8CC0"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noProof/>
                <w:lang w:val="en-GB"/>
              </w:rPr>
            </w:pPr>
            <w:r w:rsidRPr="00DE1D23">
              <w:rPr>
                <w:rFonts w:eastAsia="Times New Roman"/>
                <w:b/>
                <w:noProof/>
                <w:lang w:val="en-GB"/>
              </w:rPr>
              <w:t>Suomi/Finland</w:t>
            </w:r>
          </w:p>
          <w:p w14:paraId="16CA614B"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Celltrion Healthcare Finland Oy.</w:t>
            </w:r>
          </w:p>
          <w:p w14:paraId="6D032EEB"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Puh/Tel: +358 29 170 7755</w:t>
            </w:r>
          </w:p>
          <w:p w14:paraId="2E2BE1D0"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hyperlink r:id="rId28" w:history="1">
              <w:r w:rsidRPr="00DE1D23">
                <w:rPr>
                  <w:rFonts w:eastAsia="Times New Roman"/>
                  <w:color w:val="0000FF"/>
                  <w:u w:val="single"/>
                  <w:lang w:val="en-US"/>
                </w:rPr>
                <w:t>contact_fi@celltrionhc.com</w:t>
              </w:r>
            </w:hyperlink>
          </w:p>
          <w:p w14:paraId="6482A687" w14:textId="77777777" w:rsidR="00DE1D23" w:rsidRPr="00DE1D23" w:rsidRDefault="00DE1D23" w:rsidP="00DE1D23">
            <w:pPr>
              <w:widowControl w:val="0"/>
              <w:tabs>
                <w:tab w:val="clear" w:pos="567"/>
                <w:tab w:val="left" w:pos="-720"/>
              </w:tabs>
              <w:suppressAutoHyphens/>
              <w:autoSpaceDE w:val="0"/>
              <w:autoSpaceDN w:val="0"/>
              <w:rPr>
                <w:rFonts w:eastAsia="Times New Roman"/>
                <w:noProof/>
                <w:lang w:val="en-US"/>
              </w:rPr>
            </w:pPr>
          </w:p>
        </w:tc>
      </w:tr>
      <w:tr w:rsidR="00DE1D23" w:rsidRPr="00DE1D23" w14:paraId="334E8465" w14:textId="77777777" w:rsidTr="00527191">
        <w:tc>
          <w:tcPr>
            <w:tcW w:w="4678" w:type="dxa"/>
          </w:tcPr>
          <w:p w14:paraId="198C5B6C" w14:textId="77777777" w:rsidR="00DE1D23" w:rsidRPr="00DE1D23" w:rsidRDefault="00DE1D23" w:rsidP="00DE1D23">
            <w:pPr>
              <w:widowControl w:val="0"/>
              <w:tabs>
                <w:tab w:val="clear" w:pos="567"/>
              </w:tabs>
              <w:autoSpaceDE w:val="0"/>
              <w:autoSpaceDN w:val="0"/>
              <w:rPr>
                <w:rFonts w:eastAsia="Times New Roman"/>
                <w:b/>
                <w:noProof/>
                <w:lang w:val="el-GR"/>
              </w:rPr>
            </w:pPr>
            <w:r w:rsidRPr="00DE1D23">
              <w:rPr>
                <w:rFonts w:eastAsia="Times New Roman"/>
                <w:b/>
                <w:noProof/>
                <w:lang w:val="el-GR"/>
              </w:rPr>
              <w:t>Κύπρος</w:t>
            </w:r>
          </w:p>
          <w:p w14:paraId="389BF430"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Times New Roman"/>
                <w:noProof/>
                <w:lang w:val="en-US"/>
              </w:rPr>
              <w:t>C.A. Papaellinas Ltd</w:t>
            </w:r>
          </w:p>
          <w:p w14:paraId="51F39786" w14:textId="77777777" w:rsidR="00DE1D23" w:rsidRPr="00DE1D23" w:rsidRDefault="00DE1D23" w:rsidP="00DE1D23">
            <w:pPr>
              <w:widowControl w:val="0"/>
              <w:tabs>
                <w:tab w:val="clear" w:pos="567"/>
              </w:tabs>
              <w:autoSpaceDE w:val="0"/>
              <w:autoSpaceDN w:val="0"/>
              <w:adjustRightInd w:val="0"/>
              <w:rPr>
                <w:rFonts w:eastAsia="Times New Roman"/>
                <w:noProof/>
                <w:lang w:val="en-GB"/>
              </w:rPr>
            </w:pPr>
            <w:r w:rsidRPr="00DE1D23">
              <w:rPr>
                <w:rFonts w:eastAsia="Times New Roman"/>
                <w:noProof/>
                <w:lang w:val="en-US"/>
              </w:rPr>
              <w:t>Τηλ: +357 22741741</w:t>
            </w:r>
          </w:p>
          <w:p w14:paraId="0908D177" w14:textId="77777777" w:rsidR="00DE1D23" w:rsidRPr="00DE1D23" w:rsidRDefault="00DE1D23" w:rsidP="00DE1D23">
            <w:pPr>
              <w:widowControl w:val="0"/>
              <w:tabs>
                <w:tab w:val="clear" w:pos="567"/>
              </w:tabs>
              <w:autoSpaceDE w:val="0"/>
              <w:autoSpaceDN w:val="0"/>
              <w:rPr>
                <w:rFonts w:eastAsia="Times New Roman"/>
                <w:b/>
                <w:noProof/>
                <w:lang w:val="el-GR"/>
              </w:rPr>
            </w:pPr>
          </w:p>
        </w:tc>
        <w:tc>
          <w:tcPr>
            <w:tcW w:w="4678" w:type="dxa"/>
          </w:tcPr>
          <w:p w14:paraId="32587748"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b/>
                <w:noProof/>
                <w:lang w:val="el-GR"/>
              </w:rPr>
            </w:pPr>
            <w:r w:rsidRPr="00DE1D23">
              <w:rPr>
                <w:rFonts w:eastAsia="Times New Roman"/>
                <w:b/>
                <w:noProof/>
                <w:lang w:val="en-US"/>
              </w:rPr>
              <w:t>Sverige</w:t>
            </w:r>
          </w:p>
          <w:p w14:paraId="06E4CFB7"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ins w:id="75" w:author="만든 이">
              <w:r w:rsidRPr="00DE1D23">
                <w:rPr>
                  <w:rFonts w:eastAsia="Times New Roman"/>
                  <w:noProof/>
                  <w:lang w:val="en-US"/>
                </w:rPr>
                <w:t>Celltrion Sweden AB</w:t>
              </w:r>
            </w:ins>
            <w:del w:id="76" w:author="만든 이">
              <w:r w:rsidRPr="00DE1D23" w:rsidDel="009D2085">
                <w:rPr>
                  <w:rFonts w:eastAsia="Times New Roman"/>
                  <w:noProof/>
                  <w:lang w:val="en-US"/>
                </w:rPr>
                <w:delText>Celltrion Healthcare Hungary Kft.</w:delText>
              </w:r>
            </w:del>
            <w:r w:rsidRPr="00DE1D23">
              <w:rPr>
                <w:rFonts w:eastAsia="Times New Roman"/>
                <w:noProof/>
                <w:lang w:val="en-US"/>
              </w:rPr>
              <w:t xml:space="preserve"> </w:t>
            </w:r>
          </w:p>
          <w:p w14:paraId="130148B2" w14:textId="77777777" w:rsidR="00DE1D23" w:rsidRPr="00DE1D23" w:rsidRDefault="00DE1D23" w:rsidP="00DE1D23">
            <w:pPr>
              <w:widowControl w:val="0"/>
              <w:tabs>
                <w:tab w:val="clear" w:pos="567"/>
                <w:tab w:val="left" w:pos="-720"/>
                <w:tab w:val="left" w:pos="4536"/>
              </w:tabs>
              <w:suppressAutoHyphens/>
              <w:autoSpaceDE w:val="0"/>
              <w:autoSpaceDN w:val="0"/>
              <w:rPr>
                <w:rFonts w:eastAsia="Times New Roman"/>
                <w:b/>
                <w:noProof/>
                <w:lang w:val="en-US"/>
              </w:rPr>
            </w:pPr>
            <w:hyperlink r:id="rId29" w:history="1">
              <w:r w:rsidRPr="00DE1D23">
                <w:rPr>
                  <w:rFonts w:eastAsia="Times New Roman" w:hint="eastAsia"/>
                  <w:noProof/>
                  <w:color w:val="0000FF"/>
                  <w:u w:val="single"/>
                  <w:lang w:val="en-US"/>
                </w:rPr>
                <w:t>contact_se@celltrionhc.com</w:t>
              </w:r>
            </w:hyperlink>
          </w:p>
        </w:tc>
      </w:tr>
      <w:tr w:rsidR="00DE1D23" w:rsidRPr="00DE1D23" w14:paraId="66F83160" w14:textId="77777777" w:rsidTr="00527191">
        <w:tc>
          <w:tcPr>
            <w:tcW w:w="4678" w:type="dxa"/>
          </w:tcPr>
          <w:p w14:paraId="6639E537" w14:textId="77777777" w:rsidR="00DE1D23" w:rsidRPr="00DE1D23" w:rsidRDefault="00DE1D23" w:rsidP="00DE1D23">
            <w:pPr>
              <w:widowControl w:val="0"/>
              <w:tabs>
                <w:tab w:val="clear" w:pos="567"/>
              </w:tabs>
              <w:autoSpaceDE w:val="0"/>
              <w:autoSpaceDN w:val="0"/>
              <w:rPr>
                <w:rFonts w:eastAsia="Times New Roman"/>
                <w:b/>
                <w:noProof/>
                <w:lang w:val="en-US"/>
              </w:rPr>
            </w:pPr>
            <w:r w:rsidRPr="00DE1D23">
              <w:rPr>
                <w:rFonts w:eastAsia="Times New Roman"/>
                <w:b/>
                <w:noProof/>
                <w:lang w:val="en-US"/>
              </w:rPr>
              <w:t>Latvija</w:t>
            </w:r>
          </w:p>
          <w:p w14:paraId="561B569B"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ins w:id="77" w:author="만든 이">
              <w:r w:rsidRPr="00DE1D23">
                <w:rPr>
                  <w:rFonts w:eastAsia="Times New Roman"/>
                  <w:noProof/>
                  <w:lang w:val="en-US"/>
                </w:rPr>
                <w:t>Celltrion Healthcare Hungary Kft.</w:t>
              </w:r>
            </w:ins>
            <w:del w:id="78" w:author="만든 이">
              <w:r w:rsidRPr="00DE1D23" w:rsidDel="009D2085">
                <w:rPr>
                  <w:rFonts w:eastAsia="Times New Roman"/>
                  <w:noProof/>
                  <w:lang w:val="en-US"/>
                </w:rPr>
                <w:delText xml:space="preserve">EGIS Pharmaceuticals PLC pārstāvniecība </w:delText>
              </w:r>
              <w:r w:rsidRPr="00DE1D23" w:rsidDel="009D2085">
                <w:rPr>
                  <w:rFonts w:eastAsia="Times New Roman"/>
                  <w:noProof/>
                  <w:lang w:val="en-US"/>
                </w:rPr>
                <w:br/>
                <w:delText>Latvijā</w:delText>
              </w:r>
            </w:del>
          </w:p>
          <w:p w14:paraId="71D65A2A" w14:textId="77777777" w:rsidR="00DE1D23" w:rsidRPr="00DE1D23" w:rsidRDefault="00DE1D23" w:rsidP="00DE1D23">
            <w:pPr>
              <w:widowControl w:val="0"/>
              <w:tabs>
                <w:tab w:val="clear" w:pos="567"/>
              </w:tabs>
              <w:autoSpaceDE w:val="0"/>
              <w:autoSpaceDN w:val="0"/>
              <w:adjustRightInd w:val="0"/>
              <w:rPr>
                <w:rFonts w:eastAsia="Times New Roman"/>
                <w:noProof/>
                <w:lang w:val="en-US"/>
              </w:rPr>
            </w:pPr>
            <w:r w:rsidRPr="00DE1D23">
              <w:rPr>
                <w:rFonts w:eastAsia="맑은 고딕" w:hint="eastAsia"/>
                <w:noProof/>
                <w:lang w:val="en-US" w:eastAsia="ko-KR"/>
              </w:rPr>
              <w:t>Tel</w:t>
            </w:r>
            <w:r w:rsidRPr="00DE1D23">
              <w:rPr>
                <w:rFonts w:eastAsia="Times New Roman"/>
                <w:noProof/>
                <w:lang w:val="en-US"/>
              </w:rPr>
              <w:t>: +</w:t>
            </w:r>
            <w:ins w:id="79" w:author="만든 이">
              <w:r w:rsidRPr="00DE1D23">
                <w:rPr>
                  <w:rFonts w:eastAsia="Times New Roman"/>
                  <w:noProof/>
                  <w:lang w:val="en-US"/>
                </w:rPr>
                <w:t>36 1 231 0493</w:t>
              </w:r>
            </w:ins>
            <w:del w:id="80" w:author="만든 이">
              <w:r w:rsidRPr="00DE1D23" w:rsidDel="009D2085">
                <w:rPr>
                  <w:rFonts w:eastAsia="Times New Roman"/>
                  <w:noProof/>
                  <w:lang w:val="en-US"/>
                </w:rPr>
                <w:delText>371 67613859</w:delText>
              </w:r>
            </w:del>
          </w:p>
          <w:p w14:paraId="11895D17" w14:textId="77777777" w:rsidR="00DE1D23" w:rsidRPr="00DE1D23" w:rsidRDefault="00DE1D23" w:rsidP="00DE1D23">
            <w:pPr>
              <w:widowControl w:val="0"/>
              <w:tabs>
                <w:tab w:val="clear" w:pos="567"/>
                <w:tab w:val="left" w:pos="-720"/>
              </w:tabs>
              <w:suppressAutoHyphens/>
              <w:autoSpaceDE w:val="0"/>
              <w:autoSpaceDN w:val="0"/>
              <w:rPr>
                <w:rFonts w:eastAsia="맑은 고딕"/>
                <w:noProof/>
                <w:lang w:val="pt-PT" w:eastAsia="ko-KR"/>
              </w:rPr>
            </w:pPr>
          </w:p>
        </w:tc>
        <w:tc>
          <w:tcPr>
            <w:tcW w:w="4678" w:type="dxa"/>
          </w:tcPr>
          <w:p w14:paraId="5DC4EBE8" w14:textId="77777777" w:rsidR="00DE1D23" w:rsidRPr="00DE1D23" w:rsidRDefault="00DE1D23" w:rsidP="00DE1D23">
            <w:pPr>
              <w:widowControl w:val="0"/>
              <w:tabs>
                <w:tab w:val="clear" w:pos="567"/>
              </w:tabs>
              <w:autoSpaceDE w:val="0"/>
              <w:autoSpaceDN w:val="0"/>
              <w:rPr>
                <w:rFonts w:eastAsia="Times New Roman"/>
                <w:noProof/>
                <w:lang w:val="en-US"/>
              </w:rPr>
            </w:pPr>
          </w:p>
          <w:p w14:paraId="669B1818" w14:textId="77777777" w:rsidR="00DE1D23" w:rsidRPr="00DE1D23" w:rsidRDefault="00DE1D23" w:rsidP="00DE1D23">
            <w:pPr>
              <w:widowControl w:val="0"/>
              <w:tabs>
                <w:tab w:val="clear" w:pos="567"/>
              </w:tabs>
              <w:autoSpaceDE w:val="0"/>
              <w:autoSpaceDN w:val="0"/>
              <w:rPr>
                <w:rFonts w:eastAsia="Times New Roman"/>
                <w:noProof/>
                <w:lang w:val="en-US"/>
              </w:rPr>
            </w:pPr>
          </w:p>
        </w:tc>
      </w:tr>
    </w:tbl>
    <w:p w14:paraId="0B8624D8" w14:textId="77777777" w:rsidR="00D07880" w:rsidRPr="00DE1D23" w:rsidRDefault="00D07880" w:rsidP="008B4ED7">
      <w:pPr>
        <w:numPr>
          <w:ilvl w:val="12"/>
          <w:numId w:val="0"/>
        </w:numPr>
        <w:ind w:right="-1"/>
        <w:outlineLvl w:val="0"/>
        <w:rPr>
          <w:rFonts w:eastAsia="맑은 고딕"/>
          <w:bCs/>
          <w:lang w:val="es-ES_tradnl" w:eastAsia="ko-KR"/>
        </w:rPr>
      </w:pPr>
    </w:p>
    <w:p w14:paraId="1A434E0F" w14:textId="77777777" w:rsidR="008603DE" w:rsidRPr="004F4CD0" w:rsidRDefault="00382BC2" w:rsidP="00F51F12">
      <w:pPr>
        <w:keepNext/>
        <w:tabs>
          <w:tab w:val="clear" w:pos="567"/>
        </w:tabs>
        <w:rPr>
          <w:b/>
          <w:bCs/>
          <w:lang w:val="es-ES_tradnl"/>
        </w:rPr>
      </w:pPr>
      <w:r w:rsidRPr="004F4CD0">
        <w:rPr>
          <w:b/>
          <w:lang w:val="es-ES_tradnl"/>
        </w:rPr>
        <w:t>Fecha de la última revisión de este prospecto:</w:t>
      </w:r>
    </w:p>
    <w:p w14:paraId="23165A4F" w14:textId="77777777" w:rsidR="00382BC2" w:rsidRPr="004F4CD0" w:rsidRDefault="00382BC2" w:rsidP="008B4ED7">
      <w:pPr>
        <w:keepNext/>
        <w:rPr>
          <w:lang w:val="es-ES_tradnl"/>
        </w:rPr>
      </w:pPr>
    </w:p>
    <w:p w14:paraId="2B935FC4" w14:textId="77777777" w:rsidR="00420B9A" w:rsidRPr="004F4CD0" w:rsidRDefault="00420B9A" w:rsidP="00F51F12">
      <w:pPr>
        <w:keepNext/>
        <w:tabs>
          <w:tab w:val="clear" w:pos="567"/>
        </w:tabs>
        <w:rPr>
          <w:b/>
          <w:bCs/>
          <w:lang w:val="es-ES_tradnl"/>
        </w:rPr>
      </w:pPr>
      <w:r w:rsidRPr="004F4CD0">
        <w:rPr>
          <w:b/>
          <w:lang w:val="es-ES_tradnl"/>
        </w:rPr>
        <w:t>Otras fuentes de información</w:t>
      </w:r>
    </w:p>
    <w:p w14:paraId="4FCDBE97" w14:textId="77777777" w:rsidR="00420B9A" w:rsidRPr="004F4CD0" w:rsidRDefault="00420B9A" w:rsidP="00210844">
      <w:pPr>
        <w:keepNext/>
        <w:tabs>
          <w:tab w:val="clear" w:pos="567"/>
        </w:tabs>
        <w:rPr>
          <w:lang w:val="es-ES_tradnl"/>
        </w:rPr>
      </w:pPr>
    </w:p>
    <w:p w14:paraId="0AC060CC" w14:textId="648AC3DA" w:rsidR="00382BC2" w:rsidRPr="004F4CD0" w:rsidRDefault="00382BC2" w:rsidP="008B4ED7">
      <w:pPr>
        <w:tabs>
          <w:tab w:val="clear" w:pos="567"/>
        </w:tabs>
        <w:rPr>
          <w:lang w:val="es-ES_tradnl"/>
        </w:rPr>
      </w:pPr>
      <w:r w:rsidRPr="004F4CD0">
        <w:rPr>
          <w:lang w:val="es-ES_tradnl"/>
        </w:rPr>
        <w:t xml:space="preserve">La información detallada de este medicamento está disponible en la página web de la Agencia Europea de Medicamentos: </w:t>
      </w:r>
      <w:hyperlink r:id="rId30" w:history="1">
        <w:r w:rsidR="00D07880" w:rsidRPr="004F4CD0">
          <w:rPr>
            <w:rStyle w:val="ab"/>
            <w:lang w:val="es-ES_tradnl"/>
          </w:rPr>
          <w:t>https://www.ema.europa.eu</w:t>
        </w:r>
      </w:hyperlink>
      <w:r w:rsidR="00D07880" w:rsidRPr="004F4CD0">
        <w:rPr>
          <w:lang w:val="es-ES_tradnl" w:eastAsia="ko-KR"/>
        </w:rPr>
        <w:t>.</w:t>
      </w:r>
    </w:p>
    <w:p w14:paraId="114E26B6" w14:textId="77777777" w:rsidR="00382BC2" w:rsidRPr="004F4CD0" w:rsidRDefault="00382BC2" w:rsidP="008B4ED7">
      <w:pPr>
        <w:numPr>
          <w:ilvl w:val="12"/>
          <w:numId w:val="0"/>
        </w:numPr>
        <w:ind w:right="-2"/>
        <w:rPr>
          <w:lang w:val="es-ES_tradnl"/>
        </w:rPr>
      </w:pPr>
      <w:r w:rsidRPr="004F4CD0">
        <w:rPr>
          <w:lang w:val="es-ES_tradnl"/>
        </w:rPr>
        <w:t>--------------------------------------------------------------------------------------------------------------------------</w:t>
      </w:r>
    </w:p>
    <w:p w14:paraId="424CE53A" w14:textId="60879E96" w:rsidR="007F69B2" w:rsidRPr="004F4CD0" w:rsidRDefault="00635CB3" w:rsidP="007F69B2">
      <w:pPr>
        <w:keepNext/>
        <w:rPr>
          <w:b/>
          <w:bCs/>
          <w:lang w:val="es-ES_tradnl"/>
        </w:rPr>
      </w:pPr>
      <w:r w:rsidRPr="004F4CD0">
        <w:rPr>
          <w:lang w:val="es-ES_tradnl"/>
        </w:rPr>
        <w:br w:type="page"/>
      </w:r>
      <w:r w:rsidR="00FA47B4" w:rsidRPr="004F4CD0">
        <w:rPr>
          <w:b/>
          <w:bCs/>
          <w:lang w:val="es-ES_tradnl"/>
        </w:rPr>
        <w:lastRenderedPageBreak/>
        <w:t>Instrucciones de uso</w:t>
      </w:r>
      <w:r w:rsidR="007F69B2" w:rsidRPr="004F4CD0">
        <w:rPr>
          <w:b/>
          <w:bCs/>
          <w:lang w:val="es-ES_tradnl"/>
        </w:rPr>
        <w:t>:</w:t>
      </w:r>
    </w:p>
    <w:p w14:paraId="1B02B52B" w14:textId="77777777" w:rsidR="007F69B2" w:rsidRPr="004F4CD0" w:rsidRDefault="007F69B2" w:rsidP="007F69B2">
      <w:pPr>
        <w:keepNext/>
        <w:rPr>
          <w:lang w:val="es-ES_tradnl"/>
        </w:rPr>
      </w:pPr>
    </w:p>
    <w:p w14:paraId="2F0A4488" w14:textId="3097217D" w:rsidR="00FA47B4" w:rsidRPr="004F4CD0" w:rsidRDefault="00FA47B4" w:rsidP="007F69B2">
      <w:pPr>
        <w:keepNext/>
        <w:rPr>
          <w:lang w:val="es-ES_tradnl"/>
        </w:rPr>
      </w:pPr>
      <w:r w:rsidRPr="004F4CD0">
        <w:rPr>
          <w:lang w:val="es-ES_tradnl"/>
        </w:rPr>
        <w:t>Lea y siga las instrucciones de uso que se proporciona</w:t>
      </w:r>
      <w:r w:rsidR="00516BB4" w:rsidRPr="004F4CD0">
        <w:rPr>
          <w:lang w:val="es-ES_tradnl"/>
        </w:rPr>
        <w:t>n</w:t>
      </w:r>
      <w:r w:rsidRPr="004F4CD0">
        <w:rPr>
          <w:lang w:val="es-ES_tradnl"/>
        </w:rPr>
        <w:t xml:space="preserve"> con la jeringa precargada de Stoboclo antes de </w:t>
      </w:r>
      <w:r w:rsidR="00516BB4" w:rsidRPr="004F4CD0">
        <w:rPr>
          <w:lang w:val="es-ES_tradnl"/>
        </w:rPr>
        <w:t xml:space="preserve">empezar a </w:t>
      </w:r>
      <w:r w:rsidRPr="004F4CD0">
        <w:rPr>
          <w:lang w:val="es-ES_tradnl"/>
        </w:rPr>
        <w:t>usarla y cada vez que le entreguen un nuevo suministro. Puede conten</w:t>
      </w:r>
      <w:r w:rsidR="00516BB4" w:rsidRPr="004F4CD0">
        <w:rPr>
          <w:lang w:val="es-ES_tradnl"/>
        </w:rPr>
        <w:t>er</w:t>
      </w:r>
      <w:r w:rsidRPr="004F4CD0">
        <w:rPr>
          <w:lang w:val="es-ES_tradnl"/>
        </w:rPr>
        <w:t xml:space="preserve"> información nueva. Stoboclo puede ser administrado por profesionales sanitarios, cuidadores o se lo pueden autoadministrar los pacientes si han recibido formación. Consulte a su médico si tiene alguna pregunta sobre cómo administrarse una inyección</w:t>
      </w:r>
      <w:r w:rsidR="002F111F" w:rsidRPr="004F4CD0">
        <w:rPr>
          <w:lang w:val="es-ES_tradnl"/>
        </w:rPr>
        <w:t xml:space="preserve"> usted mismo</w:t>
      </w:r>
      <w:r w:rsidRPr="004F4CD0">
        <w:rPr>
          <w:lang w:val="es-ES_tradnl"/>
        </w:rPr>
        <w:t>.</w:t>
      </w:r>
    </w:p>
    <w:p w14:paraId="0ACAE1A9" w14:textId="77777777" w:rsidR="007F69B2" w:rsidRPr="004F4CD0" w:rsidRDefault="007F69B2" w:rsidP="007F69B2">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516BB4" w:rsidRPr="004F4CD0" w14:paraId="05DE2507" w14:textId="77777777" w:rsidTr="00DB3050">
        <w:trPr>
          <w:cantSplit/>
        </w:trPr>
        <w:tc>
          <w:tcPr>
            <w:tcW w:w="10068" w:type="dxa"/>
            <w:shd w:val="clear" w:color="auto" w:fill="auto"/>
          </w:tcPr>
          <w:p w14:paraId="243FBCE7" w14:textId="610B0FBE" w:rsidR="007F69B2" w:rsidRPr="004F4CD0" w:rsidRDefault="00FA47B4" w:rsidP="00DB3050">
            <w:pPr>
              <w:keepNext/>
              <w:rPr>
                <w:b/>
                <w:bCs/>
                <w:lang w:val="es-ES_tradnl"/>
              </w:rPr>
            </w:pPr>
            <w:r w:rsidRPr="004F4CD0">
              <w:rPr>
                <w:b/>
                <w:bCs/>
                <w:lang w:val="es-ES_tradnl"/>
              </w:rPr>
              <w:t>Información importante</w:t>
            </w:r>
          </w:p>
        </w:tc>
      </w:tr>
      <w:tr w:rsidR="00516BB4" w:rsidRPr="004F4CD0" w14:paraId="3048DCF4" w14:textId="77777777" w:rsidTr="00DB3050">
        <w:trPr>
          <w:cantSplit/>
        </w:trPr>
        <w:tc>
          <w:tcPr>
            <w:tcW w:w="10068" w:type="dxa"/>
            <w:shd w:val="clear" w:color="auto" w:fill="auto"/>
          </w:tcPr>
          <w:p w14:paraId="4E4D8222" w14:textId="13AA7F82" w:rsidR="007F69B2" w:rsidRPr="000D0706" w:rsidRDefault="007F69B2" w:rsidP="007F69B2">
            <w:pPr>
              <w:pStyle w:val="a7"/>
              <w:numPr>
                <w:ilvl w:val="0"/>
                <w:numId w:val="58"/>
              </w:numPr>
              <w:suppressAutoHyphens/>
              <w:ind w:left="567" w:hanging="567"/>
              <w:rPr>
                <w:i w:val="0"/>
                <w:color w:val="auto"/>
                <w:lang w:val="es-ES_tradnl"/>
              </w:rPr>
            </w:pPr>
            <w:r w:rsidRPr="000D0706">
              <w:rPr>
                <w:i w:val="0"/>
                <w:color w:val="auto"/>
                <w:lang w:val="es-ES_tradnl"/>
              </w:rPr>
              <w:t xml:space="preserve">Stoboclo </w:t>
            </w:r>
            <w:r w:rsidR="007729C7" w:rsidRPr="000D0706">
              <w:rPr>
                <w:i w:val="0"/>
                <w:color w:val="auto"/>
                <w:lang w:val="es-ES_tradnl"/>
              </w:rPr>
              <w:t>se administra en forma de inyección en el tejido que hay justo debajo de la piel (inyección subcutánea).</w:t>
            </w:r>
          </w:p>
          <w:p w14:paraId="0E86241A" w14:textId="7B24DE85" w:rsidR="007F69B2" w:rsidRPr="000D0706" w:rsidRDefault="00AB43F1" w:rsidP="007F69B2">
            <w:pPr>
              <w:pStyle w:val="a7"/>
              <w:numPr>
                <w:ilvl w:val="0"/>
                <w:numId w:val="58"/>
              </w:numPr>
              <w:suppressAutoHyphens/>
              <w:ind w:left="567" w:hanging="567"/>
              <w:rPr>
                <w:i w:val="0"/>
                <w:color w:val="auto"/>
                <w:lang w:val="es-ES_tradnl"/>
              </w:rPr>
            </w:pPr>
            <w:r w:rsidRPr="000D0706">
              <w:rPr>
                <w:b/>
                <w:i w:val="0"/>
                <w:color w:val="auto"/>
                <w:lang w:val="es-ES_tradnl"/>
              </w:rPr>
              <w:t>No</w:t>
            </w:r>
            <w:r w:rsidRPr="000D0706">
              <w:rPr>
                <w:bCs/>
                <w:i w:val="0"/>
                <w:color w:val="auto"/>
                <w:lang w:val="es-ES_tradnl"/>
              </w:rPr>
              <w:t xml:space="preserve"> abra </w:t>
            </w:r>
            <w:r w:rsidR="00516BB4" w:rsidRPr="004F4CD0">
              <w:rPr>
                <w:bCs/>
                <w:i w:val="0"/>
                <w:color w:val="auto"/>
                <w:lang w:val="es-ES_tradnl"/>
              </w:rPr>
              <w:t>la caja</w:t>
            </w:r>
            <w:r w:rsidRPr="000D0706">
              <w:rPr>
                <w:bCs/>
                <w:i w:val="0"/>
                <w:color w:val="auto"/>
                <w:lang w:val="es-ES_tradnl"/>
              </w:rPr>
              <w:t xml:space="preserve"> precintad</w:t>
            </w:r>
            <w:r w:rsidR="00516BB4" w:rsidRPr="004F4CD0">
              <w:rPr>
                <w:bCs/>
                <w:i w:val="0"/>
                <w:color w:val="auto"/>
                <w:lang w:val="es-ES_tradnl"/>
              </w:rPr>
              <w:t>a</w:t>
            </w:r>
            <w:r w:rsidRPr="000D0706">
              <w:rPr>
                <w:bCs/>
                <w:i w:val="0"/>
                <w:color w:val="auto"/>
                <w:lang w:val="es-ES_tradnl"/>
              </w:rPr>
              <w:t xml:space="preserve"> </w:t>
            </w:r>
            <w:r w:rsidRPr="000D0706">
              <w:rPr>
                <w:i w:val="0"/>
                <w:color w:val="auto"/>
                <w:lang w:val="es-ES_tradnl"/>
              </w:rPr>
              <w:t>hasta que esté listo para usar la jeringa precargada.</w:t>
            </w:r>
          </w:p>
          <w:p w14:paraId="376A6DA6" w14:textId="78AB57BB" w:rsidR="003805B7" w:rsidRPr="000D0706" w:rsidRDefault="00DB14A2" w:rsidP="003805B7">
            <w:pPr>
              <w:pStyle w:val="a7"/>
              <w:numPr>
                <w:ilvl w:val="0"/>
                <w:numId w:val="58"/>
              </w:numPr>
              <w:suppressAutoHyphens/>
              <w:ind w:left="567" w:hanging="567"/>
              <w:rPr>
                <w:b/>
                <w:i w:val="0"/>
                <w:color w:val="auto"/>
                <w:lang w:val="es-ES_tradnl"/>
              </w:rPr>
            </w:pPr>
            <w:r w:rsidRPr="000D0706">
              <w:rPr>
                <w:b/>
                <w:i w:val="0"/>
                <w:color w:val="auto"/>
                <w:lang w:val="es-ES_tradnl"/>
              </w:rPr>
              <w:t>No</w:t>
            </w:r>
            <w:r w:rsidRPr="000D0706">
              <w:rPr>
                <w:i w:val="0"/>
                <w:color w:val="auto"/>
                <w:lang w:val="es-ES_tradnl"/>
              </w:rPr>
              <w:t xml:space="preserve"> retire el capuchón de la aguja de la jeringa precargada hasta justo antes de administrar la inyección.</w:t>
            </w:r>
          </w:p>
          <w:p w14:paraId="33A7C028" w14:textId="57DD3B5C" w:rsidR="007F69B2" w:rsidRPr="000D0706" w:rsidRDefault="003805B7" w:rsidP="007F69B2">
            <w:pPr>
              <w:pStyle w:val="a7"/>
              <w:numPr>
                <w:ilvl w:val="0"/>
                <w:numId w:val="58"/>
              </w:numPr>
              <w:suppressAutoHyphens/>
              <w:ind w:left="567" w:hanging="567"/>
              <w:rPr>
                <w:b/>
                <w:i w:val="0"/>
                <w:color w:val="auto"/>
                <w:lang w:val="es-ES_tradnl"/>
              </w:rPr>
            </w:pPr>
            <w:r w:rsidRPr="000D0706">
              <w:rPr>
                <w:b/>
                <w:i w:val="0"/>
                <w:color w:val="auto"/>
                <w:lang w:val="es-ES_tradnl"/>
              </w:rPr>
              <w:t>No</w:t>
            </w:r>
            <w:r w:rsidRPr="000D0706">
              <w:rPr>
                <w:i w:val="0"/>
                <w:color w:val="auto"/>
                <w:lang w:val="es-ES_tradnl"/>
              </w:rPr>
              <w:t xml:space="preserve"> intente activar la jeringa precargada antes de la inyección.</w:t>
            </w:r>
          </w:p>
          <w:p w14:paraId="45838AA9" w14:textId="0ED06DC9" w:rsidR="007F69B2" w:rsidRPr="000D0706" w:rsidRDefault="003805B7" w:rsidP="007F69B2">
            <w:pPr>
              <w:pStyle w:val="a7"/>
              <w:numPr>
                <w:ilvl w:val="0"/>
                <w:numId w:val="58"/>
              </w:numPr>
              <w:suppressAutoHyphens/>
              <w:ind w:left="567" w:hanging="567"/>
              <w:rPr>
                <w:b/>
                <w:i w:val="0"/>
                <w:color w:val="auto"/>
                <w:lang w:val="es-ES_tradnl"/>
              </w:rPr>
            </w:pPr>
            <w:r w:rsidRPr="000D0706">
              <w:rPr>
                <w:b/>
                <w:i w:val="0"/>
                <w:color w:val="auto"/>
                <w:lang w:val="es-ES_tradnl"/>
              </w:rPr>
              <w:t>No</w:t>
            </w:r>
            <w:r w:rsidRPr="000D0706">
              <w:rPr>
                <w:i w:val="0"/>
                <w:color w:val="auto"/>
                <w:lang w:val="es-ES_tradnl"/>
              </w:rPr>
              <w:t xml:space="preserve"> intente </w:t>
            </w:r>
            <w:r w:rsidR="00516BB4" w:rsidRPr="004F4CD0">
              <w:rPr>
                <w:i w:val="0"/>
                <w:color w:val="auto"/>
                <w:lang w:val="es-ES_tradnl"/>
              </w:rPr>
              <w:t>retirar</w:t>
            </w:r>
            <w:r w:rsidRPr="000D0706">
              <w:rPr>
                <w:i w:val="0"/>
                <w:color w:val="auto"/>
                <w:lang w:val="es-ES_tradnl"/>
              </w:rPr>
              <w:t xml:space="preserve"> el protector de seguridad trasparente de la jeringa precargada.</w:t>
            </w:r>
          </w:p>
          <w:p w14:paraId="626B3DD9" w14:textId="0F7026C0" w:rsidR="007F69B2" w:rsidRPr="000D0706" w:rsidRDefault="00F7564E" w:rsidP="007F69B2">
            <w:pPr>
              <w:pStyle w:val="af5"/>
              <w:numPr>
                <w:ilvl w:val="0"/>
                <w:numId w:val="58"/>
              </w:numPr>
              <w:suppressAutoHyphens/>
              <w:ind w:left="567" w:hanging="567"/>
              <w:contextualSpacing w:val="0"/>
              <w:rPr>
                <w:sz w:val="22"/>
                <w:szCs w:val="22"/>
                <w:lang w:val="es-ES_tradnl"/>
              </w:rPr>
            </w:pPr>
            <w:r w:rsidRPr="000D0706">
              <w:rPr>
                <w:b/>
                <w:bCs/>
                <w:sz w:val="22"/>
                <w:szCs w:val="22"/>
                <w:lang w:val="es-ES_tradnl"/>
              </w:rPr>
              <w:t>No</w:t>
            </w:r>
            <w:r w:rsidRPr="000D0706">
              <w:rPr>
                <w:sz w:val="22"/>
                <w:szCs w:val="22"/>
                <w:lang w:val="es-ES_tradnl"/>
              </w:rPr>
              <w:t xml:space="preserve"> utilice la jeringa precargada si se ha caído sobre una superficie dura. Utilice una jeringa precargada nueva.</w:t>
            </w:r>
          </w:p>
          <w:p w14:paraId="4730A079" w14:textId="403F4964" w:rsidR="007F69B2" w:rsidRPr="000D0706" w:rsidRDefault="00F7564E" w:rsidP="007F69B2">
            <w:pPr>
              <w:pStyle w:val="af5"/>
              <w:numPr>
                <w:ilvl w:val="0"/>
                <w:numId w:val="58"/>
              </w:numPr>
              <w:suppressAutoHyphens/>
              <w:ind w:left="567" w:hanging="567"/>
              <w:contextualSpacing w:val="0"/>
              <w:rPr>
                <w:sz w:val="22"/>
                <w:szCs w:val="22"/>
                <w:lang w:val="es-ES_tradnl"/>
              </w:rPr>
            </w:pPr>
            <w:r w:rsidRPr="000D0706">
              <w:rPr>
                <w:b/>
                <w:bCs/>
                <w:sz w:val="22"/>
                <w:szCs w:val="22"/>
                <w:lang w:val="es-ES_tradnl"/>
              </w:rPr>
              <w:t>N</w:t>
            </w:r>
            <w:r w:rsidR="007F69B2" w:rsidRPr="000D0706">
              <w:rPr>
                <w:b/>
                <w:bCs/>
                <w:sz w:val="22"/>
                <w:szCs w:val="22"/>
                <w:lang w:val="es-ES_tradnl"/>
              </w:rPr>
              <w:t xml:space="preserve">o </w:t>
            </w:r>
            <w:r w:rsidRPr="000D0706">
              <w:rPr>
                <w:sz w:val="22"/>
                <w:szCs w:val="22"/>
                <w:lang w:val="es-ES_tradnl"/>
              </w:rPr>
              <w:t>agite la jeringa precargada</w:t>
            </w:r>
            <w:r w:rsidR="007F69B2" w:rsidRPr="000D0706">
              <w:rPr>
                <w:sz w:val="22"/>
                <w:szCs w:val="22"/>
                <w:lang w:val="es-ES_tradnl"/>
              </w:rPr>
              <w:t xml:space="preserve">. </w:t>
            </w:r>
            <w:r w:rsidR="008B78EF" w:rsidRPr="004F4CD0">
              <w:rPr>
                <w:sz w:val="22"/>
                <w:szCs w:val="22"/>
                <w:lang w:val="es-ES_tradnl"/>
              </w:rPr>
              <w:t xml:space="preserve">Una agitación </w:t>
            </w:r>
            <w:r w:rsidRPr="000D0706">
              <w:rPr>
                <w:sz w:val="22"/>
                <w:szCs w:val="22"/>
                <w:lang w:val="es-ES_tradnl"/>
              </w:rPr>
              <w:t>vigorosa puede dañar el medicamento.</w:t>
            </w:r>
          </w:p>
          <w:p w14:paraId="2F89185A" w14:textId="5F2E2E2A" w:rsidR="007F69B2" w:rsidRPr="000D0706" w:rsidRDefault="00F7564E" w:rsidP="008B78EF">
            <w:pPr>
              <w:pStyle w:val="af5"/>
              <w:numPr>
                <w:ilvl w:val="0"/>
                <w:numId w:val="58"/>
              </w:numPr>
              <w:suppressAutoHyphens/>
              <w:ind w:left="567" w:hanging="567"/>
              <w:contextualSpacing w:val="0"/>
              <w:rPr>
                <w:sz w:val="22"/>
                <w:szCs w:val="22"/>
                <w:lang w:val="es-ES_tradnl"/>
              </w:rPr>
            </w:pPr>
            <w:r w:rsidRPr="000D0706">
              <w:rPr>
                <w:bCs/>
                <w:sz w:val="22"/>
                <w:szCs w:val="22"/>
                <w:lang w:val="es-ES_tradnl"/>
              </w:rPr>
              <w:t xml:space="preserve">La jeringa precargada no se puede reutilizar. </w:t>
            </w:r>
            <w:r w:rsidRPr="000D0706">
              <w:rPr>
                <w:sz w:val="22"/>
                <w:szCs w:val="22"/>
                <w:lang w:val="es-ES_tradnl"/>
              </w:rPr>
              <w:t xml:space="preserve">Deseche la jeringa precargada usada en un </w:t>
            </w:r>
            <w:r w:rsidR="008B78EF" w:rsidRPr="004F4CD0">
              <w:rPr>
                <w:sz w:val="22"/>
                <w:szCs w:val="22"/>
                <w:lang w:val="es-ES_tradnl"/>
              </w:rPr>
              <w:t>recipiente</w:t>
            </w:r>
            <w:r w:rsidRPr="000D0706">
              <w:rPr>
                <w:sz w:val="22"/>
                <w:szCs w:val="22"/>
                <w:lang w:val="es-ES_tradnl"/>
              </w:rPr>
              <w:t xml:space="preserve"> para objetos punz</w:t>
            </w:r>
            <w:r w:rsidR="004168DC" w:rsidRPr="000D0706">
              <w:rPr>
                <w:sz w:val="22"/>
                <w:szCs w:val="22"/>
                <w:lang w:val="es-ES_tradnl"/>
              </w:rPr>
              <w:t>ocortantes</w:t>
            </w:r>
            <w:r w:rsidRPr="000D0706">
              <w:rPr>
                <w:sz w:val="22"/>
                <w:szCs w:val="22"/>
                <w:lang w:val="es-ES_tradnl"/>
              </w:rPr>
              <w:t xml:space="preserve"> inmediatamente después de usarla </w:t>
            </w:r>
            <w:r w:rsidR="007F69B2" w:rsidRPr="000D0706">
              <w:rPr>
                <w:bCs/>
                <w:sz w:val="22"/>
                <w:szCs w:val="22"/>
                <w:lang w:val="es-ES_tradnl"/>
              </w:rPr>
              <w:t>(</w:t>
            </w:r>
            <w:r w:rsidR="00BF4D2D" w:rsidRPr="000D0706">
              <w:rPr>
                <w:bCs/>
                <w:sz w:val="22"/>
                <w:szCs w:val="22"/>
                <w:lang w:val="es-ES_tradnl"/>
              </w:rPr>
              <w:t>véase el</w:t>
            </w:r>
            <w:r w:rsidR="007F69B2" w:rsidRPr="000D0706">
              <w:rPr>
                <w:bCs/>
                <w:sz w:val="22"/>
                <w:szCs w:val="22"/>
                <w:lang w:val="es-ES_tradnl"/>
              </w:rPr>
              <w:t xml:space="preserve"> </w:t>
            </w:r>
            <w:r w:rsidR="00BF4D2D" w:rsidRPr="000D0706">
              <w:rPr>
                <w:b/>
                <w:sz w:val="22"/>
                <w:szCs w:val="22"/>
                <w:lang w:val="es-ES_tradnl"/>
              </w:rPr>
              <w:t>Paso</w:t>
            </w:r>
            <w:r w:rsidR="007F69B2" w:rsidRPr="000D0706">
              <w:rPr>
                <w:b/>
                <w:sz w:val="22"/>
                <w:szCs w:val="22"/>
                <w:lang w:val="es-ES_tradnl"/>
              </w:rPr>
              <w:t xml:space="preserve"> 15. </w:t>
            </w:r>
            <w:r w:rsidR="002D2C1E" w:rsidRPr="000D0706">
              <w:rPr>
                <w:b/>
                <w:bCs/>
                <w:sz w:val="22"/>
                <w:szCs w:val="22"/>
                <w:lang w:val="es-ES_tradnl"/>
              </w:rPr>
              <w:t>Deseche de Stoboclo</w:t>
            </w:r>
            <w:r w:rsidR="007F69B2" w:rsidRPr="000D0706">
              <w:rPr>
                <w:bCs/>
                <w:sz w:val="22"/>
                <w:szCs w:val="22"/>
                <w:lang w:val="es-ES_tradnl"/>
              </w:rPr>
              <w:t>).</w:t>
            </w:r>
          </w:p>
        </w:tc>
      </w:tr>
    </w:tbl>
    <w:p w14:paraId="4A8DF513" w14:textId="77777777" w:rsidR="007F69B2" w:rsidRPr="004F4CD0" w:rsidRDefault="007F69B2" w:rsidP="007F69B2">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7F69B2" w:rsidRPr="004F4CD0" w14:paraId="680C6145" w14:textId="77777777" w:rsidTr="00DB3050">
        <w:trPr>
          <w:cantSplit/>
        </w:trPr>
        <w:tc>
          <w:tcPr>
            <w:tcW w:w="10068" w:type="dxa"/>
            <w:shd w:val="clear" w:color="auto" w:fill="auto"/>
          </w:tcPr>
          <w:p w14:paraId="42FFBD42" w14:textId="302AFA93" w:rsidR="007F69B2" w:rsidRPr="004F4CD0" w:rsidRDefault="00FE1C3A" w:rsidP="00DB3050">
            <w:pPr>
              <w:keepNext/>
              <w:rPr>
                <w:b/>
                <w:bCs/>
                <w:lang w:val="es-ES_tradnl"/>
              </w:rPr>
            </w:pPr>
            <w:r w:rsidRPr="004F4CD0">
              <w:rPr>
                <w:b/>
                <w:bCs/>
                <w:lang w:val="es-ES_tradnl"/>
              </w:rPr>
              <w:t>Cómo conservar</w:t>
            </w:r>
            <w:r w:rsidR="007F69B2" w:rsidRPr="004F4CD0">
              <w:rPr>
                <w:b/>
                <w:bCs/>
                <w:lang w:val="es-ES_tradnl"/>
              </w:rPr>
              <w:t xml:space="preserve"> Stoboclo</w:t>
            </w:r>
          </w:p>
        </w:tc>
      </w:tr>
      <w:tr w:rsidR="007F69B2" w:rsidRPr="004F4CD0" w14:paraId="51D7496A" w14:textId="77777777" w:rsidTr="00DB3050">
        <w:trPr>
          <w:cantSplit/>
        </w:trPr>
        <w:tc>
          <w:tcPr>
            <w:tcW w:w="10068" w:type="dxa"/>
            <w:shd w:val="clear" w:color="auto" w:fill="auto"/>
          </w:tcPr>
          <w:p w14:paraId="3DFC7B2B" w14:textId="2D83AC3E" w:rsidR="007F69B2" w:rsidRPr="000D0706" w:rsidRDefault="00F7564E" w:rsidP="007F69B2">
            <w:pPr>
              <w:pStyle w:val="af5"/>
              <w:numPr>
                <w:ilvl w:val="0"/>
                <w:numId w:val="58"/>
              </w:numPr>
              <w:suppressAutoHyphens/>
              <w:ind w:left="567" w:hanging="567"/>
              <w:contextualSpacing w:val="0"/>
              <w:rPr>
                <w:b/>
                <w:bCs/>
                <w:sz w:val="22"/>
                <w:szCs w:val="22"/>
                <w:lang w:val="es-ES_tradnl"/>
              </w:rPr>
            </w:pPr>
            <w:r w:rsidRPr="000D0706">
              <w:rPr>
                <w:b/>
                <w:sz w:val="22"/>
                <w:szCs w:val="22"/>
                <w:lang w:val="es-ES_tradnl"/>
              </w:rPr>
              <w:t>Mantenga la jeringa precargada fuera de la vista y del alcance de los niños.</w:t>
            </w:r>
            <w:r w:rsidRPr="000D0706">
              <w:rPr>
                <w:b/>
                <w:bCs/>
                <w:sz w:val="22"/>
                <w:szCs w:val="22"/>
                <w:lang w:val="es-ES_tradnl"/>
              </w:rPr>
              <w:t xml:space="preserve"> </w:t>
            </w:r>
            <w:r w:rsidR="00FE1C3A" w:rsidRPr="000D0706">
              <w:rPr>
                <w:b/>
                <w:bCs/>
                <w:sz w:val="22"/>
                <w:szCs w:val="22"/>
                <w:lang w:val="es-ES_tradnl"/>
              </w:rPr>
              <w:t xml:space="preserve">Contiene </w:t>
            </w:r>
            <w:r w:rsidR="00EC2A0C" w:rsidRPr="000D0706">
              <w:rPr>
                <w:b/>
                <w:bCs/>
                <w:sz w:val="22"/>
                <w:szCs w:val="22"/>
                <w:lang w:val="es-ES_tradnl"/>
              </w:rPr>
              <w:t>componentes</w:t>
            </w:r>
            <w:r w:rsidR="00FE1C3A" w:rsidRPr="000D0706">
              <w:rPr>
                <w:b/>
                <w:bCs/>
                <w:sz w:val="22"/>
                <w:szCs w:val="22"/>
                <w:lang w:val="es-ES_tradnl"/>
              </w:rPr>
              <w:t xml:space="preserve"> pequeñ</w:t>
            </w:r>
            <w:r w:rsidR="00EC2A0C" w:rsidRPr="000D0706">
              <w:rPr>
                <w:b/>
                <w:bCs/>
                <w:sz w:val="22"/>
                <w:szCs w:val="22"/>
                <w:lang w:val="es-ES_tradnl"/>
              </w:rPr>
              <w:t>o</w:t>
            </w:r>
            <w:r w:rsidR="00FE1C3A" w:rsidRPr="000D0706">
              <w:rPr>
                <w:b/>
                <w:bCs/>
                <w:sz w:val="22"/>
                <w:szCs w:val="22"/>
                <w:lang w:val="es-ES_tradnl"/>
              </w:rPr>
              <w:t>s</w:t>
            </w:r>
            <w:r w:rsidR="007F69B2" w:rsidRPr="000D0706">
              <w:rPr>
                <w:b/>
                <w:bCs/>
                <w:sz w:val="22"/>
                <w:szCs w:val="22"/>
                <w:lang w:val="es-ES_tradnl"/>
              </w:rPr>
              <w:t>.</w:t>
            </w:r>
          </w:p>
          <w:p w14:paraId="1A0DF811" w14:textId="2EAE7EF1" w:rsidR="007F69B2" w:rsidRPr="000D0706" w:rsidRDefault="00FE1C3A" w:rsidP="007F69B2">
            <w:pPr>
              <w:pStyle w:val="af5"/>
              <w:numPr>
                <w:ilvl w:val="0"/>
                <w:numId w:val="58"/>
              </w:numPr>
              <w:suppressAutoHyphens/>
              <w:ind w:left="567" w:hanging="567"/>
              <w:contextualSpacing w:val="0"/>
              <w:rPr>
                <w:sz w:val="22"/>
                <w:szCs w:val="22"/>
                <w:lang w:val="es-ES_tradnl"/>
              </w:rPr>
            </w:pPr>
            <w:r w:rsidRPr="000D0706">
              <w:rPr>
                <w:sz w:val="22"/>
                <w:szCs w:val="22"/>
                <w:lang w:val="es-ES_tradnl"/>
              </w:rPr>
              <w:t xml:space="preserve">Conserve la jeringa precargada en la nevera a </w:t>
            </w:r>
            <w:r w:rsidR="00516BB4" w:rsidRPr="004F4CD0">
              <w:rPr>
                <w:sz w:val="22"/>
                <w:szCs w:val="22"/>
                <w:lang w:val="es-ES_tradnl"/>
              </w:rPr>
              <w:t xml:space="preserve">entre </w:t>
            </w:r>
            <w:r w:rsidR="007F69B2" w:rsidRPr="000D0706">
              <w:rPr>
                <w:sz w:val="22"/>
                <w:szCs w:val="22"/>
                <w:lang w:val="es-ES_tradnl"/>
              </w:rPr>
              <w:t xml:space="preserve">2 °C </w:t>
            </w:r>
            <w:r w:rsidRPr="000D0706">
              <w:rPr>
                <w:sz w:val="22"/>
                <w:szCs w:val="22"/>
                <w:lang w:val="es-ES_tradnl"/>
              </w:rPr>
              <w:t>y</w:t>
            </w:r>
            <w:r w:rsidR="007F69B2" w:rsidRPr="000D0706">
              <w:rPr>
                <w:sz w:val="22"/>
                <w:szCs w:val="22"/>
                <w:lang w:val="es-ES_tradnl"/>
              </w:rPr>
              <w:t xml:space="preserve"> 8 ºC. </w:t>
            </w:r>
            <w:r w:rsidRPr="000D0706">
              <w:rPr>
                <w:b/>
                <w:bCs/>
                <w:sz w:val="22"/>
                <w:szCs w:val="22"/>
                <w:lang w:val="es-ES_tradnl"/>
              </w:rPr>
              <w:t>No</w:t>
            </w:r>
            <w:r w:rsidRPr="000D0706">
              <w:rPr>
                <w:sz w:val="22"/>
                <w:szCs w:val="22"/>
                <w:lang w:val="es-ES_tradnl"/>
              </w:rPr>
              <w:t xml:space="preserve"> congelar</w:t>
            </w:r>
            <w:r w:rsidR="007F69B2" w:rsidRPr="000D0706">
              <w:rPr>
                <w:sz w:val="22"/>
                <w:szCs w:val="22"/>
                <w:lang w:val="es-ES_tradnl"/>
              </w:rPr>
              <w:t>.</w:t>
            </w:r>
          </w:p>
          <w:p w14:paraId="24F256AE" w14:textId="750F618A" w:rsidR="007F69B2" w:rsidRPr="000D0706" w:rsidRDefault="00EA37A0" w:rsidP="007F69B2">
            <w:pPr>
              <w:pStyle w:val="a7"/>
              <w:numPr>
                <w:ilvl w:val="0"/>
                <w:numId w:val="58"/>
              </w:numPr>
              <w:suppressAutoHyphens/>
              <w:ind w:left="567" w:hanging="567"/>
              <w:rPr>
                <w:i w:val="0"/>
                <w:color w:val="auto"/>
                <w:lang w:val="es-ES_tradnl"/>
              </w:rPr>
            </w:pPr>
            <w:r w:rsidRPr="000D0706">
              <w:rPr>
                <w:i w:val="0"/>
                <w:color w:val="auto"/>
                <w:lang w:val="es-ES_tradnl"/>
              </w:rPr>
              <w:t xml:space="preserve">Una vez fuera de la nevera, no se debe exponer </w:t>
            </w:r>
            <w:r w:rsidR="007F69B2" w:rsidRPr="000D0706">
              <w:rPr>
                <w:i w:val="0"/>
                <w:color w:val="auto"/>
                <w:lang w:val="es-ES_tradnl"/>
              </w:rPr>
              <w:t xml:space="preserve">Stoboclo </w:t>
            </w:r>
            <w:r w:rsidRPr="000D0706">
              <w:rPr>
                <w:i w:val="0"/>
                <w:color w:val="auto"/>
                <w:lang w:val="es-ES_tradnl"/>
              </w:rPr>
              <w:t>a temperaturas por encima de los</w:t>
            </w:r>
            <w:r w:rsidR="007F69B2" w:rsidRPr="000D0706">
              <w:rPr>
                <w:i w:val="0"/>
                <w:color w:val="auto"/>
                <w:lang w:val="es-ES_tradnl"/>
              </w:rPr>
              <w:t xml:space="preserve"> 25 °C. Stoboclo </w:t>
            </w:r>
            <w:r w:rsidRPr="000D0706">
              <w:rPr>
                <w:i w:val="0"/>
                <w:color w:val="auto"/>
                <w:lang w:val="es-ES_tradnl"/>
              </w:rPr>
              <w:t xml:space="preserve">se debe conservar en su </w:t>
            </w:r>
            <w:r w:rsidR="00516BB4" w:rsidRPr="004F4CD0">
              <w:rPr>
                <w:i w:val="0"/>
                <w:color w:val="auto"/>
                <w:lang w:val="es-ES_tradnl"/>
              </w:rPr>
              <w:t>caja</w:t>
            </w:r>
            <w:r w:rsidRPr="000D0706">
              <w:rPr>
                <w:i w:val="0"/>
                <w:color w:val="auto"/>
                <w:lang w:val="es-ES_tradnl"/>
              </w:rPr>
              <w:t xml:space="preserve"> original y </w:t>
            </w:r>
            <w:r w:rsidR="00516BB4" w:rsidRPr="004F4CD0">
              <w:rPr>
                <w:i w:val="0"/>
                <w:color w:val="auto"/>
                <w:lang w:val="es-ES_tradnl"/>
              </w:rPr>
              <w:t xml:space="preserve">se </w:t>
            </w:r>
            <w:r w:rsidRPr="000D0706">
              <w:rPr>
                <w:i w:val="0"/>
                <w:color w:val="auto"/>
                <w:lang w:val="es-ES_tradnl"/>
              </w:rPr>
              <w:t>debe utilizar dentro de</w:t>
            </w:r>
            <w:r w:rsidR="00E41AA1" w:rsidRPr="004F4CD0">
              <w:rPr>
                <w:i w:val="0"/>
                <w:color w:val="auto"/>
                <w:lang w:val="es-ES_tradnl"/>
              </w:rPr>
              <w:t xml:space="preserve"> un</w:t>
            </w:r>
            <w:r w:rsidRPr="000D0706">
              <w:rPr>
                <w:i w:val="0"/>
                <w:color w:val="auto"/>
                <w:lang w:val="es-ES_tradnl"/>
              </w:rPr>
              <w:t xml:space="preserve"> plazo de 30 días. Si no se utiliza dentro de</w:t>
            </w:r>
            <w:r w:rsidR="00E41AA1" w:rsidRPr="004F4CD0">
              <w:rPr>
                <w:i w:val="0"/>
                <w:color w:val="auto"/>
                <w:lang w:val="es-ES_tradnl"/>
              </w:rPr>
              <w:t xml:space="preserve"> un</w:t>
            </w:r>
            <w:r w:rsidRPr="000D0706">
              <w:rPr>
                <w:i w:val="0"/>
                <w:color w:val="auto"/>
                <w:lang w:val="es-ES_tradnl"/>
              </w:rPr>
              <w:t xml:space="preserve"> plazo de 1 mes</w:t>
            </w:r>
            <w:r w:rsidR="007F69B2" w:rsidRPr="000D0706">
              <w:rPr>
                <w:i w:val="0"/>
                <w:color w:val="auto"/>
                <w:lang w:val="es-ES_tradnl"/>
              </w:rPr>
              <w:t>,</w:t>
            </w:r>
            <w:r w:rsidRPr="000D0706">
              <w:rPr>
                <w:i w:val="0"/>
                <w:color w:val="auto"/>
                <w:lang w:val="es-ES_tradnl"/>
              </w:rPr>
              <w:t xml:space="preserve"> </w:t>
            </w:r>
            <w:r w:rsidR="00516BB4" w:rsidRPr="004F4CD0">
              <w:rPr>
                <w:i w:val="0"/>
                <w:color w:val="auto"/>
                <w:lang w:val="es-ES_tradnl"/>
              </w:rPr>
              <w:t xml:space="preserve">se </w:t>
            </w:r>
            <w:r w:rsidRPr="000D0706">
              <w:rPr>
                <w:i w:val="0"/>
                <w:color w:val="auto"/>
                <w:lang w:val="es-ES_tradnl"/>
              </w:rPr>
              <w:t>debe desechar</w:t>
            </w:r>
            <w:r w:rsidR="007F69B2" w:rsidRPr="000D0706">
              <w:rPr>
                <w:i w:val="0"/>
                <w:color w:val="auto"/>
                <w:lang w:val="es-ES_tradnl"/>
              </w:rPr>
              <w:t xml:space="preserve"> Stoboclo.</w:t>
            </w:r>
          </w:p>
          <w:p w14:paraId="7FF41504" w14:textId="04DBD9E3" w:rsidR="007F69B2" w:rsidRPr="000D0706" w:rsidRDefault="008262B8" w:rsidP="002638A2">
            <w:pPr>
              <w:pStyle w:val="af5"/>
              <w:numPr>
                <w:ilvl w:val="0"/>
                <w:numId w:val="59"/>
              </w:numPr>
              <w:suppressAutoHyphens/>
              <w:ind w:left="567" w:hanging="567"/>
              <w:contextualSpacing w:val="0"/>
              <w:rPr>
                <w:sz w:val="22"/>
                <w:szCs w:val="22"/>
                <w:lang w:val="es-ES_tradnl"/>
              </w:rPr>
            </w:pPr>
            <w:r w:rsidRPr="000D0706">
              <w:rPr>
                <w:sz w:val="22"/>
                <w:szCs w:val="22"/>
                <w:lang w:val="es-ES_tradnl"/>
              </w:rPr>
              <w:t xml:space="preserve">Conserve la jeringa precargada </w:t>
            </w:r>
            <w:r w:rsidR="00E41AA1" w:rsidRPr="004F4CD0">
              <w:rPr>
                <w:sz w:val="22"/>
                <w:szCs w:val="22"/>
                <w:lang w:val="es-ES_tradnl"/>
              </w:rPr>
              <w:t xml:space="preserve">precintada </w:t>
            </w:r>
            <w:r w:rsidR="00705DCE" w:rsidRPr="000D0706">
              <w:rPr>
                <w:sz w:val="22"/>
                <w:szCs w:val="22"/>
                <w:lang w:val="es-ES_tradnl"/>
              </w:rPr>
              <w:t xml:space="preserve">dentro de su </w:t>
            </w:r>
            <w:r w:rsidR="00516BB4" w:rsidRPr="004F4CD0">
              <w:rPr>
                <w:sz w:val="22"/>
                <w:szCs w:val="22"/>
                <w:lang w:val="es-ES_tradnl"/>
              </w:rPr>
              <w:t>caja</w:t>
            </w:r>
            <w:r w:rsidRPr="000D0706">
              <w:rPr>
                <w:sz w:val="22"/>
                <w:szCs w:val="22"/>
                <w:lang w:val="es-ES_tradnl"/>
              </w:rPr>
              <w:t xml:space="preserve"> para protegerla de la luz.</w:t>
            </w:r>
          </w:p>
        </w:tc>
      </w:tr>
    </w:tbl>
    <w:p w14:paraId="4B28573A" w14:textId="77777777" w:rsidR="007F69B2" w:rsidRPr="004F4CD0" w:rsidRDefault="007F69B2" w:rsidP="007F69B2">
      <w:pPr>
        <w:rPr>
          <w:lang w:val="es-ES_tradnl"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9289"/>
      </w:tblGrid>
      <w:tr w:rsidR="007F69B2" w:rsidRPr="004F4CD0" w14:paraId="576658D3" w14:textId="77777777" w:rsidTr="00374D93">
        <w:trPr>
          <w:cantSplit/>
        </w:trPr>
        <w:tc>
          <w:tcPr>
            <w:tcW w:w="9289" w:type="dxa"/>
            <w:tcBorders>
              <w:bottom w:val="single" w:sz="4" w:space="0" w:color="auto"/>
            </w:tcBorders>
            <w:shd w:val="clear" w:color="auto" w:fill="auto"/>
          </w:tcPr>
          <w:p w14:paraId="65A71F3D" w14:textId="39BEECFB" w:rsidR="007F69B2" w:rsidRPr="004F4CD0" w:rsidRDefault="00EC2A0C" w:rsidP="00DB3050">
            <w:pPr>
              <w:keepNext/>
              <w:rPr>
                <w:b/>
                <w:bCs/>
                <w:lang w:val="es-ES_tradnl"/>
              </w:rPr>
            </w:pPr>
            <w:r w:rsidRPr="004F4CD0">
              <w:rPr>
                <w:b/>
                <w:bCs/>
                <w:lang w:val="es-ES_tradnl"/>
              </w:rPr>
              <w:t>Componentes de la jeringa precargada</w:t>
            </w:r>
            <w:r w:rsidR="007F69B2" w:rsidRPr="004F4CD0">
              <w:rPr>
                <w:b/>
                <w:bCs/>
                <w:lang w:val="es-ES_tradnl"/>
              </w:rPr>
              <w:t xml:space="preserve"> (</w:t>
            </w:r>
            <w:r w:rsidRPr="004F4CD0">
              <w:rPr>
                <w:b/>
                <w:bCs/>
                <w:lang w:val="es-ES_tradnl"/>
              </w:rPr>
              <w:t>véase la</w:t>
            </w:r>
            <w:r w:rsidR="007F69B2" w:rsidRPr="004F4CD0">
              <w:rPr>
                <w:b/>
                <w:bCs/>
                <w:lang w:val="es-ES_tradnl"/>
              </w:rPr>
              <w:t xml:space="preserve"> Figur</w:t>
            </w:r>
            <w:r w:rsidRPr="004F4CD0">
              <w:rPr>
                <w:b/>
                <w:bCs/>
                <w:lang w:val="es-ES_tradnl"/>
              </w:rPr>
              <w:t>a</w:t>
            </w:r>
            <w:r w:rsidR="007F69B2" w:rsidRPr="004F4CD0">
              <w:rPr>
                <w:b/>
                <w:bCs/>
                <w:lang w:val="es-ES_tradnl"/>
              </w:rPr>
              <w:t> A)</w:t>
            </w:r>
          </w:p>
        </w:tc>
      </w:tr>
      <w:tr w:rsidR="00374D93" w:rsidRPr="004F4CD0" w14:paraId="7AC1E72F" w14:textId="77777777" w:rsidTr="00374D93">
        <w:trPr>
          <w:cantSplit/>
        </w:trPr>
        <w:tc>
          <w:tcPr>
            <w:tcW w:w="9289" w:type="dxa"/>
            <w:tcBorders>
              <w:bottom w:val="nil"/>
            </w:tcBorders>
            <w:shd w:val="clear" w:color="auto" w:fill="auto"/>
          </w:tcPr>
          <w:p w14:paraId="516C7C95" w14:textId="77777777" w:rsidR="00374D93" w:rsidRPr="00556D80" w:rsidRDefault="00374D93" w:rsidP="00374D93">
            <w:pPr>
              <w:jc w:val="center"/>
            </w:pPr>
          </w:p>
          <w:p w14:paraId="49F44701" w14:textId="02A9E64B" w:rsidR="00374D93" w:rsidRPr="00556D80" w:rsidRDefault="00000000" w:rsidP="00374D93">
            <w:pPr>
              <w:keepNext/>
              <w:jc w:val="center"/>
            </w:pPr>
            <w:r>
              <w:rPr>
                <w:noProof/>
              </w:rPr>
              <w:pict w14:anchorId="78FBD5AA">
                <v:shapetype id="_x0000_t202" coordsize="21600,21600" o:spt="202" path="m,l,21600r21600,l21600,xe">
                  <v:stroke joinstyle="miter"/>
                  <v:path gradientshapeok="t" o:connecttype="rect"/>
                </v:shapetype>
                <v:shape id="_x0000_s2152" type="#_x0000_t202" style="position:absolute;left:0;text-align:left;margin-left:232.6pt;margin-top:18.7pt;width:100.5pt;height:22.85pt;z-index:1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" filled="f" stroked="f">
                  <v:textbox inset="0,0,0,0">
                    <w:txbxContent>
                      <w:p w14:paraId="74EA0CC3" w14:textId="2D8F1DB1" w:rsidR="00374D93" w:rsidRPr="00556D80" w:rsidRDefault="001C2956" w:rsidP="00374D93">
                        <w:pPr>
                          <w:jc w:val="center"/>
                          <w:rPr>
                            <w:rFonts w:ascii="Arial" w:hAnsi="Arial" w:cs="Arial"/>
                            <w:b/>
                            <w:bCs/>
                          </w:rPr>
                        </w:pPr>
                        <w:r w:rsidRPr="001C2956">
                          <w:rPr>
                            <w:rFonts w:ascii="Arial" w:hAnsi="Arial" w:cs="Arial"/>
                            <w:b/>
                            <w:bCs/>
                          </w:rPr>
                          <w:t>Después de usar</w:t>
                        </w:r>
                      </w:p>
                    </w:txbxContent>
                  </v:textbox>
                  <w10:wrap anchory="page"/>
                  <w10:anchorlock/>
                </v:shape>
              </w:pict>
            </w:r>
            <w:r>
              <w:rPr>
                <w:noProof/>
              </w:rPr>
              <w:pict w14:anchorId="24357809">
                <v:shape id="Text Box 32" o:spid="_x0000_s2151" type="#_x0000_t202" style="position:absolute;left:0;text-align:left;margin-left:125.6pt;margin-top:18.7pt;width:100.5pt;height:22.85pt;z-index:1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" filled="f" stroked="f">
                  <v:textbox inset="0,0,0,0">
                    <w:txbxContent>
                      <w:p w14:paraId="51F8805C" w14:textId="7E71E9C8" w:rsidR="00374D93" w:rsidRPr="00556D80" w:rsidRDefault="001C2956" w:rsidP="00374D93">
                        <w:pPr>
                          <w:jc w:val="center"/>
                          <w:rPr>
                            <w:rFonts w:ascii="Arial" w:hAnsi="Arial" w:cs="Arial"/>
                            <w:b/>
                            <w:bCs/>
                          </w:rPr>
                        </w:pPr>
                        <w:r w:rsidRPr="001C2956">
                          <w:rPr>
                            <w:rFonts w:ascii="Arial" w:hAnsi="Arial" w:cs="Arial"/>
                            <w:b/>
                            <w:bCs/>
                          </w:rPr>
                          <w:t>Antes de usar</w:t>
                        </w:r>
                      </w:p>
                    </w:txbxContent>
                  </v:textbox>
                  <w10:wrap anchory="page"/>
                  <w10:anchorlock/>
                </v:shape>
              </w:pict>
            </w:r>
            <w:r>
              <w:rPr>
                <w:noProof/>
              </w:rPr>
              <w:pict w14:anchorId="3678E240">
                <v:shape id="Text Box 34" o:spid="_x0000_s2150" type="#_x0000_t202" style="position:absolute;left:0;text-align:left;margin-left:218.55pt;margin-top:211.05pt;width:21.3pt;height:15.5pt;z-index:1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" stroked="f">
                  <v:textbox inset="0,0,0,0">
                    <w:txbxContent>
                      <w:p w14:paraId="45613C70" w14:textId="77777777" w:rsidR="00374D93" w:rsidRPr="00556D80" w:rsidRDefault="00374D93" w:rsidP="00374D93">
                        <w:pPr>
                          <w:jc w:val="center"/>
                          <w:rPr>
                            <w:rFonts w:ascii="Arial" w:hAnsi="Arial" w:cs="Arial"/>
                            <w:b/>
                            <w:bCs/>
                            <w:sz w:val="18"/>
                            <w:szCs w:val="18"/>
                          </w:rPr>
                        </w:pPr>
                        <w:r>
                          <w:rPr>
                            <w:rFonts w:ascii="Arial" w:hAnsi="Arial" w:cs="Arial"/>
                            <w:b/>
                            <w:bCs/>
                            <w:sz w:val="18"/>
                            <w:szCs w:val="18"/>
                          </w:rPr>
                          <w:t>Cap</w:t>
                        </w:r>
                      </w:p>
                    </w:txbxContent>
                  </v:textbox>
                  <w10:wrap anchory="page"/>
                  <w10:anchorlock/>
                </v:shape>
              </w:pict>
            </w:r>
            <w:r>
              <w:rPr>
                <w:noProof/>
              </w:rPr>
              <w:pict w14:anchorId="1F8F930E">
                <v:shape id="_x0000_s2149" type="#_x0000_t202" style="position:absolute;left:0;text-align:left;margin-left:211.55pt;margin-top:148.65pt;width:35.3pt;height:26.55pt;z-index: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" stroked="f">
                  <v:textbox inset="0,0,0,0">
                    <w:txbxContent>
                      <w:p w14:paraId="3E58678F" w14:textId="31D5254E" w:rsidR="00374D93" w:rsidRPr="000D0706" w:rsidRDefault="001C2956" w:rsidP="00374D93">
                        <w:pPr>
                          <w:jc w:val="center"/>
                          <w:rPr>
                            <w:rFonts w:ascii="Arial" w:hAnsi="Arial" w:cs="Arial"/>
                            <w:b/>
                            <w:bCs/>
                            <w:sz w:val="14"/>
                            <w:szCs w:val="14"/>
                          </w:rPr>
                        </w:pPr>
                        <w:r w:rsidRPr="000D0706">
                          <w:rPr>
                            <w:rFonts w:ascii="Arial" w:hAnsi="Arial" w:cs="Arial"/>
                            <w:b/>
                            <w:bCs/>
                            <w:sz w:val="14"/>
                            <w:szCs w:val="14"/>
                          </w:rPr>
                          <w:t>Protector de seguridad</w:t>
                        </w:r>
                      </w:p>
                    </w:txbxContent>
                  </v:textbox>
                  <w10:wrap anchory="page"/>
                  <w10:anchorlock/>
                </v:shape>
              </w:pict>
            </w:r>
            <w:r>
              <w:rPr>
                <w:noProof/>
              </w:rPr>
              <w:pict w14:anchorId="4EA75AF3">
                <v:shape id="Text Box 30" o:spid="_x0000_s2148" type="#_x0000_t202" style="position:absolute;left:0;text-align:left;margin-left:204.7pt;margin-top:122.6pt;width:44.5pt;height:26.05pt;z-index:1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" stroked="f">
                  <v:textbox inset="0,0,0,0">
                    <w:txbxContent>
                      <w:p w14:paraId="6089AEBE" w14:textId="51AC4E04" w:rsidR="00374D93" w:rsidRPr="000D0706" w:rsidRDefault="001C2956" w:rsidP="00374D93">
                        <w:pPr>
                          <w:jc w:val="center"/>
                          <w:rPr>
                            <w:rFonts w:ascii="Arial" w:hAnsi="Arial" w:cs="Arial"/>
                            <w:b/>
                            <w:bCs/>
                            <w:sz w:val="14"/>
                            <w:szCs w:val="14"/>
                          </w:rPr>
                        </w:pPr>
                        <w:r w:rsidRPr="000D0706">
                          <w:rPr>
                            <w:rFonts w:ascii="Arial" w:hAnsi="Arial" w:cs="Arial"/>
                            <w:b/>
                            <w:bCs/>
                            <w:sz w:val="14"/>
                            <w:szCs w:val="14"/>
                          </w:rPr>
                          <w:t>Ventana de visualización</w:t>
                        </w:r>
                      </w:p>
                    </w:txbxContent>
                  </v:textbox>
                  <w10:wrap anchory="page"/>
                  <w10:anchorlock/>
                </v:shape>
              </w:pict>
            </w:r>
            <w:r>
              <w:rPr>
                <w:noProof/>
              </w:rPr>
              <w:pict w14:anchorId="6F44966F">
                <v:shape id="_x0000_s2147" type="#_x0000_t202" style="position:absolute;left:0;text-align:left;margin-left:211.05pt;margin-top:100.2pt;width:36.3pt;height:22.85pt;z-index:1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" stroked="f">
                  <v:textbox inset="0,0,0,0">
                    <w:txbxContent>
                      <w:p w14:paraId="1D01880A" w14:textId="342C85A5" w:rsidR="00374D93" w:rsidRPr="000D0706" w:rsidRDefault="001C2956" w:rsidP="00374D93">
                        <w:pPr>
                          <w:jc w:val="center"/>
                          <w:rPr>
                            <w:rFonts w:ascii="Arial" w:hAnsi="Arial" w:cs="Arial"/>
                            <w:b/>
                            <w:bCs/>
                            <w:sz w:val="16"/>
                            <w:szCs w:val="16"/>
                          </w:rPr>
                        </w:pPr>
                        <w:r w:rsidRPr="000D0706">
                          <w:rPr>
                            <w:rFonts w:ascii="Arial" w:hAnsi="Arial" w:cs="Arial"/>
                            <w:b/>
                            <w:bCs/>
                            <w:sz w:val="16"/>
                            <w:szCs w:val="16"/>
                          </w:rPr>
                          <w:t>Aleta de sujeción</w:t>
                        </w:r>
                      </w:p>
                    </w:txbxContent>
                  </v:textbox>
                  <w10:wrap anchory="page"/>
                  <w10:anchorlock/>
                </v:shape>
              </w:pict>
            </w:r>
            <w:r>
              <w:rPr>
                <w:noProof/>
              </w:rPr>
              <w:pict w14:anchorId="14E10D86">
                <v:shape id="_x0000_s2146" type="#_x0000_t202" style="position:absolute;left:0;text-align:left;margin-left:208.1pt;margin-top:68.7pt;width:41.2pt;height:22.85pt;z-index: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" stroked="f">
                  <v:textbox inset="0,0,0,0">
                    <w:txbxContent>
                      <w:p w14:paraId="5ECCB961" w14:textId="64DAD4D7" w:rsidR="00374D93" w:rsidRPr="00556D80" w:rsidRDefault="001C2956" w:rsidP="00374D93">
                        <w:pPr>
                          <w:jc w:val="center"/>
                          <w:rPr>
                            <w:rFonts w:ascii="Arial" w:hAnsi="Arial" w:cs="Arial"/>
                            <w:b/>
                            <w:bCs/>
                            <w:sz w:val="18"/>
                            <w:szCs w:val="18"/>
                          </w:rPr>
                        </w:pPr>
                        <w:r w:rsidRPr="001C2956">
                          <w:rPr>
                            <w:rFonts w:ascii="Arial" w:hAnsi="Arial" w:cs="Arial"/>
                            <w:b/>
                            <w:bCs/>
                            <w:sz w:val="18"/>
                            <w:szCs w:val="18"/>
                          </w:rPr>
                          <w:t>Émbolo</w:t>
                        </w:r>
                      </w:p>
                    </w:txbxContent>
                  </v:textbox>
                  <w10:wrap anchory="page"/>
                  <w10:anchorlock/>
                </v:shape>
              </w:pict>
            </w:r>
            <w:r>
              <w:rPr>
                <w:noProof/>
              </w:rPr>
              <w:pict w14:anchorId="15CF00C0">
                <v:shape id="Text Box 28" o:spid="_x0000_s2145" type="#_x0000_t202" style="position:absolute;left:0;text-align:left;margin-left:214.1pt;margin-top:177.2pt;width:97.75pt;height:22.85pt;z-index:1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" filled="f" stroked="f">
                  <v:textbox inset="0,0,0,0">
                    <w:txbxContent>
                      <w:p w14:paraId="65DCB523" w14:textId="6C8FC379" w:rsidR="00374D93" w:rsidRPr="00556D80" w:rsidRDefault="001C2956" w:rsidP="00374D93">
                        <w:pPr>
                          <w:rPr>
                            <w:rFonts w:ascii="Arial" w:hAnsi="Arial" w:cs="Arial"/>
                            <w:b/>
                            <w:bCs/>
                            <w:sz w:val="18"/>
                            <w:szCs w:val="18"/>
                          </w:rPr>
                        </w:pPr>
                        <w:r w:rsidRPr="001C2956">
                          <w:rPr>
                            <w:rFonts w:ascii="Arial" w:hAnsi="Arial" w:cs="Arial"/>
                            <w:b/>
                            <w:bCs/>
                            <w:sz w:val="18"/>
                            <w:szCs w:val="18"/>
                          </w:rPr>
                          <w:t>Aguja</w:t>
                        </w:r>
                      </w:p>
                    </w:txbxContent>
                  </v:textbox>
                  <w10:wrap anchory="page"/>
                  <w10:anchorlock/>
                </v:shape>
              </w:pict>
            </w:r>
            <w:r>
              <w:rPr>
                <w:noProof/>
              </w:rPr>
              <w:pict w14:anchorId="2EF79027">
                <v:shape id="Text Box 26" o:spid="_x0000_s2144" type="#_x0000_t202" style="position:absolute;left:0;text-align:left;margin-left:305.1pt;margin-top:137.7pt;width:97.75pt;height:22.85pt;z-index:1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" filled="f" stroked="f">
                  <v:textbox inset="0,0,0,0">
                    <w:txbxContent>
                      <w:p w14:paraId="5F1DF580" w14:textId="7E0B9A3D" w:rsidR="00374D93" w:rsidRPr="00556D80" w:rsidRDefault="001C2956" w:rsidP="00374D93">
                        <w:pPr>
                          <w:rPr>
                            <w:rFonts w:ascii="Arial" w:hAnsi="Arial" w:cs="Arial"/>
                            <w:b/>
                            <w:bCs/>
                            <w:sz w:val="18"/>
                            <w:szCs w:val="18"/>
                          </w:rPr>
                        </w:pPr>
                        <w:r w:rsidRPr="001C2956">
                          <w:rPr>
                            <w:rFonts w:ascii="Arial" w:hAnsi="Arial" w:cs="Arial"/>
                            <w:b/>
                            <w:bCs/>
                            <w:sz w:val="18"/>
                            <w:szCs w:val="18"/>
                          </w:rPr>
                          <w:t>Aguja</w:t>
                        </w:r>
                      </w:p>
                    </w:txbxContent>
                  </v:textbox>
                  <w10:wrap anchory="page"/>
                  <w10:anchorlock/>
                </v:shape>
              </w:pict>
            </w:r>
            <w:r>
              <w:rPr>
                <w:noProof/>
              </w:rPr>
              <w:pict w14:anchorId="1895F953">
                <v:shape id="Text Box 2" o:spid="_x0000_s2143" type="#_x0000_t202" style="position:absolute;left:0;text-align:left;margin-left:56.1pt;margin-top:139.15pt;width:97.75pt;height:22.85pt;z-index:1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" filled="f" stroked="f">
                  <v:textbox inset="0,0,0,0">
                    <w:txbxContent>
                      <w:p w14:paraId="1B601E06" w14:textId="6EE73F4C" w:rsidR="00374D93" w:rsidRPr="00556D80" w:rsidRDefault="001C2956" w:rsidP="00374D93">
                        <w:pPr>
                          <w:jc w:val="right"/>
                          <w:rPr>
                            <w:rFonts w:ascii="Arial" w:hAnsi="Arial" w:cs="Arial"/>
                            <w:b/>
                            <w:bCs/>
                            <w:sz w:val="18"/>
                            <w:szCs w:val="18"/>
                          </w:rPr>
                        </w:pPr>
                        <w:r w:rsidRPr="001C2956">
                          <w:rPr>
                            <w:rFonts w:ascii="Arial" w:hAnsi="Arial" w:cs="Arial"/>
                            <w:b/>
                            <w:bCs/>
                            <w:sz w:val="18"/>
                            <w:szCs w:val="18"/>
                          </w:rPr>
                          <w:t>Medicamento</w:t>
                        </w:r>
                      </w:p>
                    </w:txbxContent>
                  </v:textbox>
                  <w10:wrap anchory="page"/>
                  <w10:anchorlock/>
                </v:shape>
              </w:pict>
            </w:r>
            <w:r w:rsidR="00950FBE">
              <w:rPr>
                <w:noProof/>
                <w:lang w:val="en-US"/>
              </w:rPr>
              <w:pict w14:anchorId="70114AD9">
                <v:shape id="_x0000_i1027" type="#_x0000_t75" style="width:239.25pt;height:226.5pt;visibility:visible;mso-wrap-style:square">
                  <v:imagedata r:id="rId31" o:title="" cropleft="677f"/>
                </v:shape>
              </w:pict>
            </w:r>
          </w:p>
          <w:p w14:paraId="19C02115" w14:textId="77777777" w:rsidR="00374D93" w:rsidRPr="004F4CD0" w:rsidRDefault="00374D93" w:rsidP="00374D93">
            <w:pPr>
              <w:keepNext/>
              <w:jc w:val="center"/>
              <w:rPr>
                <w:lang w:val="es-ES_tradnl" w:eastAsia="ko-KR"/>
              </w:rPr>
            </w:pPr>
          </w:p>
        </w:tc>
      </w:tr>
      <w:tr w:rsidR="007F69B2" w:rsidRPr="004F4CD0" w14:paraId="4EF2E64B" w14:textId="77777777" w:rsidTr="00374D93">
        <w:trPr>
          <w:cantSplit/>
        </w:trPr>
        <w:tc>
          <w:tcPr>
            <w:tcW w:w="9289" w:type="dxa"/>
            <w:tcBorders>
              <w:top w:val="nil"/>
              <w:left w:val="single" w:sz="4" w:space="0" w:color="auto"/>
              <w:bottom w:val="single" w:sz="4" w:space="0" w:color="auto"/>
              <w:right w:val="single" w:sz="4" w:space="0" w:color="auto"/>
            </w:tcBorders>
            <w:shd w:val="clear" w:color="auto" w:fill="auto"/>
          </w:tcPr>
          <w:p w14:paraId="7BCEFDFE" w14:textId="62E47E7D" w:rsidR="007F69B2" w:rsidRPr="004F4CD0" w:rsidRDefault="007F69B2" w:rsidP="00DB3050">
            <w:pPr>
              <w:jc w:val="center"/>
              <w:rPr>
                <w:b/>
                <w:bCs/>
                <w:lang w:val="es-ES_tradnl"/>
              </w:rPr>
            </w:pPr>
            <w:r w:rsidRPr="004F4CD0">
              <w:rPr>
                <w:b/>
                <w:bCs/>
                <w:lang w:val="es-ES_tradnl" w:eastAsia="ko-KR"/>
              </w:rPr>
              <w:t>Figur</w:t>
            </w:r>
            <w:r w:rsidR="001C197B" w:rsidRPr="004F4CD0">
              <w:rPr>
                <w:b/>
                <w:bCs/>
                <w:lang w:val="es-ES_tradnl" w:eastAsia="ko-KR"/>
              </w:rPr>
              <w:t>a</w:t>
            </w:r>
            <w:r w:rsidRPr="004F4CD0">
              <w:rPr>
                <w:b/>
                <w:bCs/>
                <w:lang w:val="es-ES_tradnl" w:eastAsia="ko-KR"/>
              </w:rPr>
              <w:t xml:space="preserve"> A</w:t>
            </w:r>
          </w:p>
        </w:tc>
      </w:tr>
    </w:tbl>
    <w:p w14:paraId="5779B02C" w14:textId="77777777" w:rsidR="007F69B2" w:rsidRPr="004F4CD0" w:rsidRDefault="007F69B2" w:rsidP="007F69B2">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85"/>
        <w:gridCol w:w="6204"/>
      </w:tblGrid>
      <w:tr w:rsidR="007F69B2" w:rsidRPr="004F4CD0" w14:paraId="2D57A0F8" w14:textId="77777777" w:rsidTr="00DB3050">
        <w:trPr>
          <w:cantSplit/>
          <w:tblHeader/>
        </w:trPr>
        <w:tc>
          <w:tcPr>
            <w:tcW w:w="9064" w:type="dxa"/>
            <w:gridSpan w:val="2"/>
            <w:tcBorders>
              <w:bottom w:val="single" w:sz="4" w:space="0" w:color="auto"/>
            </w:tcBorders>
            <w:shd w:val="clear" w:color="auto" w:fill="auto"/>
          </w:tcPr>
          <w:p w14:paraId="72687B85" w14:textId="775D215F" w:rsidR="007F69B2" w:rsidRPr="004F4CD0" w:rsidRDefault="001021A6" w:rsidP="00DB3050">
            <w:pPr>
              <w:keepNext/>
              <w:suppressAutoHyphens/>
              <w:rPr>
                <w:b/>
                <w:bCs/>
                <w:lang w:val="es-ES_tradnl"/>
              </w:rPr>
            </w:pPr>
            <w:r w:rsidRPr="004F4CD0">
              <w:rPr>
                <w:b/>
                <w:bCs/>
                <w:lang w:val="es-ES_tradnl"/>
              </w:rPr>
              <w:lastRenderedPageBreak/>
              <w:t>Cómo preparar la inyección</w:t>
            </w:r>
          </w:p>
        </w:tc>
      </w:tr>
      <w:tr w:rsidR="007F69B2" w:rsidRPr="004F4CD0" w14:paraId="3CDF2C60" w14:textId="77777777" w:rsidTr="00DB3050">
        <w:trPr>
          <w:cantSplit/>
        </w:trPr>
        <w:tc>
          <w:tcPr>
            <w:tcW w:w="3010" w:type="dxa"/>
            <w:tcBorders>
              <w:bottom w:val="nil"/>
              <w:right w:val="nil"/>
            </w:tcBorders>
            <w:shd w:val="clear" w:color="auto" w:fill="auto"/>
            <w:vAlign w:val="center"/>
          </w:tcPr>
          <w:p w14:paraId="14F7022B" w14:textId="7D888492" w:rsidR="001C2956" w:rsidRPr="001C2956" w:rsidRDefault="00000000" w:rsidP="001C2956">
            <w:pPr>
              <w:keepNext/>
              <w:tabs>
                <w:tab w:val="clear" w:pos="567"/>
              </w:tabs>
              <w:suppressAutoHyphens/>
              <w:jc w:val="center"/>
              <w:rPr>
                <w:rFonts w:eastAsia="맑은 고딕"/>
                <w:lang w:val="en-GB" w:eastAsia="ko-KR"/>
              </w:rPr>
            </w:pPr>
            <w:r>
              <w:rPr>
                <w:noProof/>
              </w:rPr>
              <w:pict w14:anchorId="51E94853">
                <v:shape id="Text Box 43" o:spid="_x0000_s2108" type="#_x0000_t202" style="position:absolute;left:0;text-align:left;margin-left:32pt;margin-top:77.9pt;width:19.75pt;height:22.85pt;z-index: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5RDtgIAALk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" filled="f" stroked="f">
                  <v:textbox inset="0,0,0,0">
                    <w:txbxContent>
                      <w:p w14:paraId="49E93110" w14:textId="77777777" w:rsidR="001C2956" w:rsidRPr="003866BF" w:rsidRDefault="001C2956" w:rsidP="001C2956">
                        <w:pPr>
                          <w:jc w:val="center"/>
                          <w:rPr>
                            <w:rFonts w:ascii="Arial Narrow" w:hAnsi="Arial Narrow" w:cs="Arial"/>
                            <w:sz w:val="8"/>
                            <w:szCs w:val="8"/>
                          </w:rPr>
                        </w:pPr>
                        <w:r w:rsidRPr="003866BF">
                          <w:rPr>
                            <w:rFonts w:ascii="Arial Narrow" w:hAnsi="Arial Narrow" w:cs="Arial"/>
                            <w:sz w:val="8"/>
                            <w:szCs w:val="8"/>
                          </w:rPr>
                          <w:t>ALCOHOL WIPE</w:t>
                        </w:r>
                      </w:p>
                    </w:txbxContent>
                  </v:textbox>
                  <w10:wrap anchory="page"/>
                  <w10:anchorlock/>
                </v:shape>
              </w:pict>
            </w:r>
          </w:p>
          <w:p w14:paraId="631ADFC5" w14:textId="0069B45D" w:rsidR="001C2956" w:rsidRPr="001C2956" w:rsidRDefault="00000000" w:rsidP="001C2956">
            <w:pPr>
              <w:keepNext/>
              <w:tabs>
                <w:tab w:val="clear" w:pos="567"/>
              </w:tabs>
              <w:suppressAutoHyphens/>
              <w:jc w:val="center"/>
              <w:rPr>
                <w:rFonts w:eastAsia="맑은 고딕"/>
                <w:lang w:val="en-GB" w:eastAsia="ko-KR"/>
              </w:rPr>
            </w:pPr>
            <w:r>
              <w:rPr>
                <w:noProof/>
              </w:rPr>
              <w:pict w14:anchorId="6D480EB9">
                <v:shape id="Text Box 42" o:spid="_x0000_s2107" type="#_x0000_t202" style="position:absolute;left:0;text-align:left;margin-left:66.9pt;margin-top:209.45pt;width:68.25pt;height:33.05pt;z-index:24;visibility:visible;mso-wrap-style:square;mso-width-percent:0;mso-wrap-distance-left:9pt;mso-wrap-distance-top:3.6pt;mso-wrap-distance-right:9pt;mso-wrap-distance-bottom:3.6pt;mso-position-horizontal:absolute;mso-position-horizontal-relative:text;mso-position-vertical:absolute;mso-position-vertical-relative:page;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XJgtQIAAL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" filled="f" stroked="f">
                  <v:textbox inset="0,0,0,0">
                    <w:txbxContent>
                      <w:p w14:paraId="120C1B91" w14:textId="3B634635" w:rsidR="001C2956" w:rsidRPr="00237B1F" w:rsidRDefault="001C2956" w:rsidP="001C2956">
                        <w:pPr>
                          <w:rPr>
                            <w:rFonts w:ascii="Arial" w:hAnsi="Arial" w:cs="Arial"/>
                            <w:sz w:val="18"/>
                            <w:szCs w:val="18"/>
                          </w:rPr>
                        </w:pPr>
                        <w:r w:rsidRPr="001C2956">
                          <w:rPr>
                            <w:rFonts w:ascii="Arial" w:hAnsi="Arial" w:cs="Arial"/>
                            <w:sz w:val="18"/>
                            <w:szCs w:val="18"/>
                          </w:rPr>
                          <w:t>Recipiente para objetos punzocortantes</w:t>
                        </w:r>
                      </w:p>
                    </w:txbxContent>
                  </v:textbox>
                  <w10:wrap anchory="page"/>
                  <w10:anchorlock/>
                </v:shape>
              </w:pict>
            </w:r>
            <w:r>
              <w:rPr>
                <w:noProof/>
              </w:rPr>
              <w:pict w14:anchorId="09C5AC03">
                <v:shape id="Text Box 41" o:spid="_x0000_s2106" type="#_x0000_t202" style="position:absolute;left:0;text-align:left;margin-left:66.4pt;margin-top:157.75pt;width:68.25pt;height:22.85pt;z-index:2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" filled="f" stroked="f">
                  <v:textbox inset="0,0,0,0">
                    <w:txbxContent>
                      <w:p w14:paraId="758A519B" w14:textId="4B0B4B31" w:rsidR="001C2956" w:rsidRPr="00237B1F" w:rsidRDefault="001C2956" w:rsidP="001C2956">
                        <w:pPr>
                          <w:rPr>
                            <w:rFonts w:ascii="Arial" w:hAnsi="Arial" w:cs="Arial"/>
                            <w:sz w:val="18"/>
                            <w:szCs w:val="18"/>
                          </w:rPr>
                        </w:pPr>
                        <w:r w:rsidRPr="001C2956">
                          <w:rPr>
                            <w:rFonts w:ascii="Arial" w:hAnsi="Arial" w:cs="Arial"/>
                            <w:sz w:val="18"/>
                            <w:szCs w:val="18"/>
                          </w:rPr>
                          <w:t>Tirita</w:t>
                        </w:r>
                      </w:p>
                    </w:txbxContent>
                  </v:textbox>
                  <w10:wrap anchory="page"/>
                  <w10:anchorlock/>
                </v:shape>
              </w:pict>
            </w:r>
            <w:r>
              <w:rPr>
                <w:noProof/>
              </w:rPr>
              <w:pict w14:anchorId="14EE38C5">
                <v:shape id="Text Box 39" o:spid="_x0000_s2105" type="#_x0000_t202" style="position:absolute;left:0;text-align:left;margin-left:66.9pt;margin-top:79.2pt;width:75.75pt;height:22.85pt;z-index:2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" filled="f" stroked="f">
                  <v:textbox inset="0,0,0,0">
                    <w:txbxContent>
                      <w:p w14:paraId="56698F88" w14:textId="267F194B" w:rsidR="001C2956" w:rsidRPr="00237B1F" w:rsidRDefault="001C2956" w:rsidP="001C2956">
                        <w:pPr>
                          <w:rPr>
                            <w:rFonts w:ascii="Arial" w:hAnsi="Arial" w:cs="Arial"/>
                            <w:sz w:val="18"/>
                            <w:szCs w:val="18"/>
                          </w:rPr>
                        </w:pPr>
                        <w:r w:rsidRPr="001C2956">
                          <w:rPr>
                            <w:rFonts w:ascii="Arial" w:hAnsi="Arial" w:cs="Arial"/>
                            <w:sz w:val="18"/>
                            <w:szCs w:val="18"/>
                          </w:rPr>
                          <w:t>Toallita con alcohol</w:t>
                        </w:r>
                      </w:p>
                    </w:txbxContent>
                  </v:textbox>
                  <w10:wrap anchory="page"/>
                  <w10:anchorlock/>
                </v:shape>
              </w:pict>
            </w:r>
            <w:r>
              <w:rPr>
                <w:noProof/>
              </w:rPr>
              <w:pict w14:anchorId="2FB14F6B">
                <v:shape id="Text Box 40" o:spid="_x0000_s2104" type="#_x0000_t202" style="position:absolute;left:0;text-align:left;margin-left:66.35pt;margin-top:115.6pt;width:75.75pt;height:22.85pt;z-index:2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" filled="f" stroked="f">
                  <v:textbox inset="0,0,0,0">
                    <w:txbxContent>
                      <w:p w14:paraId="2AB447B9" w14:textId="77393468" w:rsidR="001C2956" w:rsidRPr="00237B1F" w:rsidRDefault="001C2956" w:rsidP="001C2956">
                        <w:pPr>
                          <w:rPr>
                            <w:rFonts w:ascii="Arial" w:hAnsi="Arial" w:cs="Arial"/>
                            <w:sz w:val="18"/>
                            <w:szCs w:val="18"/>
                          </w:rPr>
                        </w:pPr>
                        <w:r w:rsidRPr="001C2956">
                          <w:rPr>
                            <w:rFonts w:ascii="Arial" w:hAnsi="Arial" w:cs="Arial"/>
                            <w:sz w:val="18"/>
                            <w:szCs w:val="18"/>
                          </w:rPr>
                          <w:t>Torunda de algodón o gasa</w:t>
                        </w:r>
                      </w:p>
                    </w:txbxContent>
                  </v:textbox>
                  <w10:wrap anchory="page"/>
                  <w10:anchorlock/>
                </v:shape>
              </w:pict>
            </w:r>
            <w:r>
              <w:rPr>
                <w:noProof/>
              </w:rPr>
              <w:pict w14:anchorId="73FC8B68">
                <v:shape id="Text Box 38" o:spid="_x0000_s2103" type="#_x0000_t202" style="position:absolute;left:0;text-align:left;margin-left:66.6pt;margin-top:28.95pt;width:75.75pt;height:22.85pt;z-index: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" filled="f" stroked="f">
                  <v:textbox inset="0,0,0,0">
                    <w:txbxContent>
                      <w:p w14:paraId="61304C96" w14:textId="45C29D37" w:rsidR="001C2956" w:rsidRPr="00237B1F" w:rsidRDefault="001C2956" w:rsidP="001C2956">
                        <w:pPr>
                          <w:rPr>
                            <w:rFonts w:ascii="Arial" w:hAnsi="Arial" w:cs="Arial"/>
                            <w:sz w:val="18"/>
                            <w:szCs w:val="18"/>
                          </w:rPr>
                        </w:pPr>
                        <w:r w:rsidRPr="001C2956">
                          <w:rPr>
                            <w:rFonts w:ascii="Arial" w:hAnsi="Arial" w:cs="Arial"/>
                            <w:sz w:val="18"/>
                            <w:szCs w:val="18"/>
                          </w:rPr>
                          <w:t>Caja con la jeringa precargada</w:t>
                        </w:r>
                      </w:p>
                    </w:txbxContent>
                  </v:textbox>
                  <w10:wrap anchory="page"/>
                  <w10:anchorlock/>
                </v:shape>
              </w:pict>
            </w:r>
            <w:r w:rsidR="00950FBE">
              <w:rPr>
                <w:rFonts w:eastAsia="맑은 고딕"/>
                <w:noProof/>
                <w:lang w:val="en-US" w:eastAsia="zh-CN"/>
              </w:rPr>
              <w:pict w14:anchorId="3D00C0D0">
                <v:shape id="_x0000_i1028" type="#_x0000_t75" style="width:137.25pt;height:225pt;visibility:visible;mso-wrap-style:square">
                  <v:imagedata r:id="rId32" o:title=""/>
                </v:shape>
              </w:pict>
            </w:r>
          </w:p>
          <w:p w14:paraId="428F0A6A" w14:textId="77777777" w:rsidR="007F69B2" w:rsidRPr="004F4CD0" w:rsidRDefault="007F69B2" w:rsidP="00DB3050">
            <w:pPr>
              <w:keepNext/>
              <w:suppressAutoHyphens/>
              <w:jc w:val="center"/>
              <w:rPr>
                <w:lang w:val="es-ES_tradnl" w:eastAsia="ko-KR"/>
              </w:rPr>
            </w:pPr>
          </w:p>
        </w:tc>
        <w:tc>
          <w:tcPr>
            <w:tcW w:w="6054" w:type="dxa"/>
            <w:vMerge w:val="restart"/>
            <w:tcBorders>
              <w:left w:val="nil"/>
            </w:tcBorders>
            <w:shd w:val="clear" w:color="auto" w:fill="auto"/>
          </w:tcPr>
          <w:p w14:paraId="048F6E76" w14:textId="6074F999" w:rsidR="007F69B2" w:rsidRPr="004F4CD0" w:rsidRDefault="007F69B2" w:rsidP="00DB3050">
            <w:pPr>
              <w:keepNext/>
              <w:suppressAutoHyphens/>
              <w:ind w:left="284" w:hanging="284"/>
              <w:rPr>
                <w:b/>
                <w:bCs/>
                <w:lang w:val="es-ES_tradnl"/>
              </w:rPr>
            </w:pPr>
            <w:r w:rsidRPr="004F4CD0">
              <w:rPr>
                <w:b/>
                <w:bCs/>
                <w:lang w:val="es-ES_tradnl"/>
              </w:rPr>
              <w:t>1.</w:t>
            </w:r>
            <w:r w:rsidRPr="004F4CD0">
              <w:rPr>
                <w:b/>
                <w:bCs/>
                <w:lang w:val="es-ES_tradnl"/>
              </w:rPr>
              <w:tab/>
            </w:r>
            <w:r w:rsidR="00516BB4" w:rsidRPr="004F4CD0">
              <w:rPr>
                <w:b/>
                <w:bCs/>
                <w:lang w:val="es-ES_tradnl"/>
              </w:rPr>
              <w:t>Reúna</w:t>
            </w:r>
            <w:r w:rsidR="001A77D3" w:rsidRPr="004F4CD0">
              <w:rPr>
                <w:b/>
                <w:bCs/>
                <w:lang w:val="es-ES_tradnl"/>
              </w:rPr>
              <w:t xml:space="preserve"> los materiales para la inyección</w:t>
            </w:r>
            <w:r w:rsidRPr="004F4CD0">
              <w:rPr>
                <w:b/>
                <w:bCs/>
                <w:lang w:val="es-ES_tradnl"/>
              </w:rPr>
              <w:t>.</w:t>
            </w:r>
          </w:p>
          <w:p w14:paraId="0D8D5234" w14:textId="6D162D9C"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1a. </w:t>
            </w:r>
            <w:r w:rsidR="001A77D3" w:rsidRPr="000D0706">
              <w:rPr>
                <w:i w:val="0"/>
                <w:color w:val="auto"/>
                <w:lang w:val="es-ES_tradnl"/>
              </w:rPr>
              <w:t xml:space="preserve">Prepare una superficie limpia y </w:t>
            </w:r>
            <w:r w:rsidR="00516BB4" w:rsidRPr="004F4CD0">
              <w:rPr>
                <w:i w:val="0"/>
                <w:color w:val="auto"/>
                <w:lang w:val="es-ES_tradnl"/>
              </w:rPr>
              <w:t>plana</w:t>
            </w:r>
            <w:r w:rsidR="001A77D3" w:rsidRPr="000D0706">
              <w:rPr>
                <w:i w:val="0"/>
                <w:color w:val="auto"/>
                <w:lang w:val="es-ES_tradnl"/>
              </w:rPr>
              <w:t xml:space="preserve">, como una mesa o un mostrador, en un lugar bien iluminado. </w:t>
            </w:r>
          </w:p>
          <w:p w14:paraId="01974440" w14:textId="034F3E67" w:rsidR="007F69B2" w:rsidRPr="000D0706" w:rsidRDefault="007F69B2" w:rsidP="00DB3050">
            <w:pPr>
              <w:pStyle w:val="a7"/>
              <w:keepNext/>
              <w:suppressAutoHyphens/>
              <w:ind w:left="283"/>
              <w:rPr>
                <w:i w:val="0"/>
                <w:color w:val="auto"/>
                <w:lang w:val="es-ES_tradnl"/>
              </w:rPr>
            </w:pPr>
            <w:r w:rsidRPr="000D0706">
              <w:rPr>
                <w:i w:val="0"/>
                <w:color w:val="auto"/>
                <w:lang w:val="es-ES_tradnl"/>
              </w:rPr>
              <w:t>1b.</w:t>
            </w:r>
            <w:r w:rsidR="001A77D3" w:rsidRPr="000D0706">
              <w:rPr>
                <w:i w:val="0"/>
                <w:color w:val="auto"/>
                <w:lang w:val="es-ES_tradnl"/>
              </w:rPr>
              <w:t xml:space="preserve"> Saque la caja que contiene la jeringa precargada</w:t>
            </w:r>
            <w:r w:rsidRPr="000D0706">
              <w:rPr>
                <w:i w:val="0"/>
                <w:color w:val="auto"/>
                <w:lang w:val="es-ES_tradnl"/>
              </w:rPr>
              <w:t xml:space="preserve"> </w:t>
            </w:r>
            <w:r w:rsidR="001A77D3" w:rsidRPr="000D0706">
              <w:rPr>
                <w:i w:val="0"/>
                <w:color w:val="auto"/>
                <w:lang w:val="es-ES_tradnl"/>
              </w:rPr>
              <w:t>de la nevera</w:t>
            </w:r>
            <w:r w:rsidRPr="000D0706">
              <w:rPr>
                <w:i w:val="0"/>
                <w:color w:val="auto"/>
                <w:lang w:val="es-ES_tradnl"/>
              </w:rPr>
              <w:t>.</w:t>
            </w:r>
          </w:p>
          <w:p w14:paraId="2321F6EF" w14:textId="28AD8D96"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1c. </w:t>
            </w:r>
            <w:r w:rsidR="001A77D3" w:rsidRPr="000D0706">
              <w:rPr>
                <w:i w:val="0"/>
                <w:color w:val="auto"/>
                <w:lang w:val="es-ES_tradnl"/>
              </w:rPr>
              <w:t>Compruebe que dispone de los materiales siguientes</w:t>
            </w:r>
            <w:r w:rsidRPr="000D0706">
              <w:rPr>
                <w:i w:val="0"/>
                <w:color w:val="auto"/>
                <w:lang w:val="es-ES_tradnl"/>
              </w:rPr>
              <w:t xml:space="preserve"> (</w:t>
            </w:r>
            <w:r w:rsidR="001A77D3"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1A77D3" w:rsidRPr="000D0706">
              <w:rPr>
                <w:b/>
                <w:bCs/>
                <w:i w:val="0"/>
                <w:color w:val="auto"/>
                <w:lang w:val="es-ES_tradnl"/>
              </w:rPr>
              <w:t>a</w:t>
            </w:r>
            <w:r w:rsidRPr="000D0706">
              <w:rPr>
                <w:b/>
                <w:bCs/>
                <w:i w:val="0"/>
                <w:color w:val="auto"/>
                <w:lang w:val="es-ES_tradnl"/>
              </w:rPr>
              <w:t> B</w:t>
            </w:r>
            <w:r w:rsidRPr="000D0706">
              <w:rPr>
                <w:i w:val="0"/>
                <w:color w:val="auto"/>
                <w:lang w:val="es-ES_tradnl"/>
              </w:rPr>
              <w:t>):</w:t>
            </w:r>
          </w:p>
          <w:p w14:paraId="690B04B1" w14:textId="731E02F0" w:rsidR="007F69B2" w:rsidRPr="000D0706" w:rsidRDefault="001A77D3"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Caja con la jeringa precargada</w:t>
            </w:r>
          </w:p>
          <w:p w14:paraId="66BFE5C9" w14:textId="67B860AD" w:rsidR="007F69B2" w:rsidRPr="000D0706" w:rsidRDefault="001A77D3" w:rsidP="00DB3050">
            <w:pPr>
              <w:pStyle w:val="a7"/>
              <w:keepNext/>
              <w:suppressAutoHyphens/>
              <w:ind w:left="567"/>
              <w:rPr>
                <w:b/>
                <w:bCs/>
                <w:i w:val="0"/>
                <w:color w:val="auto"/>
                <w:lang w:val="es-ES_tradnl"/>
              </w:rPr>
            </w:pPr>
            <w:r w:rsidRPr="000D0706">
              <w:rPr>
                <w:b/>
                <w:bCs/>
                <w:i w:val="0"/>
                <w:color w:val="auto"/>
                <w:lang w:val="es-ES_tradnl"/>
              </w:rPr>
              <w:t>No se incluyen en la caja</w:t>
            </w:r>
            <w:r w:rsidR="007F69B2" w:rsidRPr="000D0706">
              <w:rPr>
                <w:b/>
                <w:bCs/>
                <w:i w:val="0"/>
                <w:color w:val="auto"/>
                <w:lang w:val="es-ES_tradnl"/>
              </w:rPr>
              <w:t>:</w:t>
            </w:r>
          </w:p>
          <w:p w14:paraId="6ADF2C54" w14:textId="1F762037" w:rsidR="007F69B2" w:rsidRPr="000D0706" w:rsidRDefault="001C197B"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Toallita</w:t>
            </w:r>
            <w:r w:rsidR="001A77D3" w:rsidRPr="000D0706">
              <w:rPr>
                <w:i w:val="0"/>
                <w:color w:val="auto"/>
                <w:lang w:val="es-ES_tradnl"/>
              </w:rPr>
              <w:t xml:space="preserve"> con alcohol</w:t>
            </w:r>
          </w:p>
          <w:p w14:paraId="0EB48A54" w14:textId="460FD287" w:rsidR="007F69B2" w:rsidRPr="000D0706" w:rsidRDefault="00A01496" w:rsidP="007F69B2">
            <w:pPr>
              <w:pStyle w:val="a7"/>
              <w:keepNext/>
              <w:numPr>
                <w:ilvl w:val="0"/>
                <w:numId w:val="57"/>
              </w:numPr>
              <w:tabs>
                <w:tab w:val="left" w:pos="851"/>
              </w:tabs>
              <w:suppressAutoHyphens/>
              <w:ind w:left="851" w:hanging="284"/>
              <w:rPr>
                <w:i w:val="0"/>
                <w:color w:val="auto"/>
                <w:lang w:val="es-ES_tradnl"/>
              </w:rPr>
            </w:pPr>
            <w:r w:rsidRPr="004F4CD0">
              <w:rPr>
                <w:i w:val="0"/>
                <w:color w:val="auto"/>
                <w:lang w:val="es-ES_tradnl"/>
              </w:rPr>
              <w:t>Torunda de a</w:t>
            </w:r>
            <w:r w:rsidR="001A77D3" w:rsidRPr="000D0706">
              <w:rPr>
                <w:i w:val="0"/>
                <w:color w:val="auto"/>
                <w:lang w:val="es-ES_tradnl"/>
              </w:rPr>
              <w:t>lgodón o gasa</w:t>
            </w:r>
          </w:p>
          <w:p w14:paraId="3F2B7D13" w14:textId="0FB0EB66" w:rsidR="007F69B2" w:rsidRPr="000D0706" w:rsidRDefault="001A77D3"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Tirita</w:t>
            </w:r>
          </w:p>
          <w:p w14:paraId="026A2377" w14:textId="2635C9C6" w:rsidR="007F69B2" w:rsidRPr="000D0706" w:rsidRDefault="00A01496" w:rsidP="007F69B2">
            <w:pPr>
              <w:pStyle w:val="a7"/>
              <w:keepNext/>
              <w:numPr>
                <w:ilvl w:val="0"/>
                <w:numId w:val="57"/>
              </w:numPr>
              <w:tabs>
                <w:tab w:val="left" w:pos="851"/>
              </w:tabs>
              <w:suppressAutoHyphens/>
              <w:ind w:left="851" w:hanging="284"/>
              <w:rPr>
                <w:i w:val="0"/>
                <w:color w:val="auto"/>
                <w:lang w:val="es-ES_tradnl"/>
              </w:rPr>
            </w:pPr>
            <w:r w:rsidRPr="004F4CD0">
              <w:rPr>
                <w:i w:val="0"/>
                <w:color w:val="auto"/>
                <w:lang w:val="es-ES_tradnl"/>
              </w:rPr>
              <w:t>Recipiente</w:t>
            </w:r>
            <w:r w:rsidR="001A77D3" w:rsidRPr="000D0706">
              <w:rPr>
                <w:i w:val="0"/>
                <w:color w:val="auto"/>
                <w:lang w:val="es-ES_tradnl"/>
              </w:rPr>
              <w:t xml:space="preserve"> para objetos punzocortantes</w:t>
            </w:r>
          </w:p>
        </w:tc>
      </w:tr>
      <w:tr w:rsidR="007F69B2" w:rsidRPr="004F4CD0" w14:paraId="1F07861F" w14:textId="77777777" w:rsidTr="00DB3050">
        <w:trPr>
          <w:cantSplit/>
        </w:trPr>
        <w:tc>
          <w:tcPr>
            <w:tcW w:w="3010" w:type="dxa"/>
            <w:tcBorders>
              <w:top w:val="nil"/>
              <w:left w:val="single" w:sz="4" w:space="0" w:color="auto"/>
              <w:bottom w:val="single" w:sz="4" w:space="0" w:color="auto"/>
              <w:right w:val="nil"/>
            </w:tcBorders>
            <w:shd w:val="clear" w:color="auto" w:fill="auto"/>
          </w:tcPr>
          <w:p w14:paraId="58B635CB" w14:textId="0BDFCB13" w:rsidR="007F69B2" w:rsidRPr="004F4CD0" w:rsidRDefault="007F69B2" w:rsidP="00DB3050">
            <w:pPr>
              <w:suppressAutoHyphens/>
              <w:jc w:val="center"/>
              <w:rPr>
                <w:b/>
                <w:bCs/>
                <w:lang w:val="es-ES_tradnl" w:eastAsia="ko-KR"/>
              </w:rPr>
            </w:pPr>
            <w:r w:rsidRPr="004F4CD0">
              <w:rPr>
                <w:b/>
                <w:bCs/>
                <w:lang w:val="es-ES_tradnl" w:eastAsia="ko-KR"/>
              </w:rPr>
              <w:t>Figur</w:t>
            </w:r>
            <w:r w:rsidR="00A74FC0" w:rsidRPr="004F4CD0">
              <w:rPr>
                <w:b/>
                <w:bCs/>
                <w:lang w:val="es-ES_tradnl" w:eastAsia="ko-KR"/>
              </w:rPr>
              <w:t>a</w:t>
            </w:r>
            <w:r w:rsidRPr="004F4CD0">
              <w:rPr>
                <w:b/>
                <w:bCs/>
                <w:lang w:val="es-ES_tradnl" w:eastAsia="ko-KR"/>
              </w:rPr>
              <w:t xml:space="preserve"> B</w:t>
            </w:r>
          </w:p>
        </w:tc>
        <w:tc>
          <w:tcPr>
            <w:tcW w:w="6054" w:type="dxa"/>
            <w:vMerge/>
            <w:tcBorders>
              <w:left w:val="nil"/>
              <w:bottom w:val="single" w:sz="4" w:space="0" w:color="auto"/>
            </w:tcBorders>
            <w:shd w:val="clear" w:color="auto" w:fill="auto"/>
          </w:tcPr>
          <w:p w14:paraId="613A9233" w14:textId="77777777" w:rsidR="007F69B2" w:rsidRPr="004F4CD0" w:rsidRDefault="007F69B2" w:rsidP="00DB3050">
            <w:pPr>
              <w:pStyle w:val="a7"/>
              <w:suppressAutoHyphens/>
              <w:rPr>
                <w:b/>
                <w:bCs/>
                <w:lang w:val="es-ES_tradnl"/>
              </w:rPr>
            </w:pPr>
          </w:p>
        </w:tc>
      </w:tr>
      <w:tr w:rsidR="007F69B2" w:rsidRPr="004F4CD0" w14:paraId="306DF2CB" w14:textId="77777777" w:rsidTr="00DB3050">
        <w:trPr>
          <w:cantSplit/>
        </w:trPr>
        <w:tc>
          <w:tcPr>
            <w:tcW w:w="3010" w:type="dxa"/>
            <w:tcBorders>
              <w:top w:val="single" w:sz="4" w:space="0" w:color="auto"/>
              <w:bottom w:val="nil"/>
              <w:right w:val="nil"/>
            </w:tcBorders>
            <w:shd w:val="clear" w:color="auto" w:fill="auto"/>
            <w:vAlign w:val="center"/>
          </w:tcPr>
          <w:p w14:paraId="7EB113B2" w14:textId="226A5294" w:rsidR="007F69B2" w:rsidRPr="004F4CD0" w:rsidRDefault="00000000" w:rsidP="00DB3050">
            <w:pPr>
              <w:keepNext/>
              <w:suppressAutoHyphens/>
              <w:jc w:val="center"/>
              <w:rPr>
                <w:lang w:val="es-ES_tradnl"/>
              </w:rPr>
            </w:pPr>
            <w:r>
              <w:rPr>
                <w:noProof/>
              </w:rPr>
              <w:pict w14:anchorId="080AD3C1">
                <v:shape id="Text Box 33" o:spid="_x0000_s2078" type="#_x0000_t202" style="position:absolute;left:0;text-align:left;margin-left:90.55pt;margin-top:124.2pt;width:68.25pt;height:22.85pt;z-index: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" filled="f" stroked="f">
                  <v:textbox inset="0,0,0,0">
                    <w:txbxContent>
                      <w:p w14:paraId="51364746" w14:textId="77777777" w:rsidR="00374D93" w:rsidRPr="00B15769" w:rsidRDefault="00374D93" w:rsidP="007F69B2">
                        <w:pPr>
                          <w:rPr>
                            <w:rFonts w:ascii="Arial" w:hAnsi="Arial" w:cs="Arial"/>
                            <w:b/>
                            <w:bCs/>
                            <w:sz w:val="10"/>
                            <w:szCs w:val="10"/>
                          </w:rPr>
                        </w:pPr>
                        <w:r w:rsidRPr="00B15769">
                          <w:rPr>
                            <w:rFonts w:ascii="Arial" w:hAnsi="Arial" w:cs="Arial"/>
                            <w:b/>
                            <w:bCs/>
                            <w:sz w:val="10"/>
                            <w:szCs w:val="10"/>
                          </w:rPr>
                          <w:t>EXP: MM YYYY</w:t>
                        </w:r>
                      </w:p>
                    </w:txbxContent>
                  </v:textbox>
                  <w10:wrap anchory="page"/>
                  <w10:anchorlock/>
                </v:shape>
              </w:pict>
            </w:r>
            <w:r>
              <w:rPr>
                <w:noProof/>
              </w:rPr>
              <w:pict w14:anchorId="3198556A">
                <v:shape id="Text Box 31" o:spid="_x0000_s2077" type="#_x0000_t202" style="position:absolute;left:0;text-align:left;margin-left:72.85pt;margin-top:57.9pt;width:68.25pt;height:22.85pt;z-index: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" filled="f" stroked="f">
                  <v:textbox inset="0,0,0,0">
                    <w:txbxContent>
                      <w:p w14:paraId="37A16CF5" w14:textId="77777777" w:rsidR="00374D93" w:rsidRPr="00B15769" w:rsidRDefault="00374D93" w:rsidP="007F69B2">
                        <w:pPr>
                          <w:rPr>
                            <w:rFonts w:ascii="Arial" w:hAnsi="Arial" w:cs="Arial"/>
                            <w:b/>
                            <w:bCs/>
                            <w:sz w:val="14"/>
                            <w:szCs w:val="14"/>
                          </w:rPr>
                        </w:pPr>
                        <w:r w:rsidRPr="00B15769">
                          <w:rPr>
                            <w:rFonts w:ascii="Arial" w:hAnsi="Arial" w:cs="Arial"/>
                            <w:b/>
                            <w:bCs/>
                            <w:sz w:val="14"/>
                            <w:szCs w:val="14"/>
                          </w:rPr>
                          <w:t>EXP: MM YYYY</w:t>
                        </w:r>
                      </w:p>
                    </w:txbxContent>
                  </v:textbox>
                  <w10:wrap anchory="page"/>
                  <w10:anchorlock/>
                </v:shape>
              </w:pict>
            </w:r>
          </w:p>
          <w:p w14:paraId="6A4D9BF5" w14:textId="2C273034" w:rsidR="007F69B2" w:rsidRPr="004F4CD0" w:rsidRDefault="00950FBE" w:rsidP="00DB3050">
            <w:pPr>
              <w:keepNext/>
              <w:suppressAutoHyphens/>
              <w:jc w:val="center"/>
              <w:rPr>
                <w:lang w:val="es-ES_tradnl"/>
              </w:rPr>
            </w:pPr>
            <w:r>
              <w:rPr>
                <w:noProof/>
                <w:lang w:val="en-US" w:eastAsia="zh-CN"/>
              </w:rPr>
              <w:pict w14:anchorId="6CEF1C8D">
                <v:shape id="_x0000_i1029" type="#_x0000_t75" style="width:138.75pt;height:153pt;visibility:visible;mso-wrap-style:square">
                  <v:imagedata r:id="rId33" o:title="" croptop="6858f"/>
                </v:shape>
              </w:pict>
            </w:r>
          </w:p>
          <w:p w14:paraId="3E64EF6E" w14:textId="77777777" w:rsidR="007F69B2" w:rsidRPr="004F4CD0" w:rsidRDefault="007F69B2" w:rsidP="00DB3050">
            <w:pPr>
              <w:keepNext/>
              <w:suppressAutoHyphens/>
              <w:jc w:val="center"/>
              <w:rPr>
                <w:lang w:val="es-ES_tradnl"/>
              </w:rPr>
            </w:pPr>
          </w:p>
        </w:tc>
        <w:tc>
          <w:tcPr>
            <w:tcW w:w="6054" w:type="dxa"/>
            <w:vMerge w:val="restart"/>
            <w:tcBorders>
              <w:top w:val="single" w:sz="4" w:space="0" w:color="auto"/>
              <w:left w:val="nil"/>
            </w:tcBorders>
            <w:shd w:val="clear" w:color="auto" w:fill="auto"/>
          </w:tcPr>
          <w:p w14:paraId="4142183E" w14:textId="56795989" w:rsidR="007F69B2" w:rsidRPr="004F4CD0" w:rsidRDefault="007F69B2" w:rsidP="00DB3050">
            <w:pPr>
              <w:keepNext/>
              <w:suppressAutoHyphens/>
              <w:ind w:left="284" w:hanging="284"/>
              <w:rPr>
                <w:b/>
                <w:bCs/>
                <w:lang w:val="es-ES_tradnl"/>
              </w:rPr>
            </w:pPr>
            <w:r w:rsidRPr="004F4CD0">
              <w:rPr>
                <w:b/>
                <w:bCs/>
                <w:lang w:val="es-ES_tradnl"/>
              </w:rPr>
              <w:t>2.</w:t>
            </w:r>
            <w:r w:rsidRPr="004F4CD0">
              <w:rPr>
                <w:b/>
                <w:bCs/>
                <w:lang w:val="es-ES_tradnl"/>
              </w:rPr>
              <w:tab/>
            </w:r>
            <w:r w:rsidR="004A2B99" w:rsidRPr="004F4CD0">
              <w:rPr>
                <w:b/>
                <w:bCs/>
                <w:lang w:val="es-ES_tradnl"/>
              </w:rPr>
              <w:t>Compruebe la fecha de caducidad en la caja</w:t>
            </w:r>
            <w:r w:rsidRPr="004F4CD0">
              <w:rPr>
                <w:b/>
                <w:bCs/>
                <w:lang w:val="es-ES_tradnl"/>
              </w:rPr>
              <w:t xml:space="preserve"> (</w:t>
            </w:r>
            <w:r w:rsidR="004A2B99" w:rsidRPr="004F4CD0">
              <w:rPr>
                <w:b/>
                <w:bCs/>
                <w:lang w:val="es-ES_tradnl"/>
              </w:rPr>
              <w:t>véase la</w:t>
            </w:r>
            <w:r w:rsidRPr="004F4CD0">
              <w:rPr>
                <w:b/>
                <w:bCs/>
                <w:lang w:val="es-ES_tradnl"/>
              </w:rPr>
              <w:t xml:space="preserve"> Figur</w:t>
            </w:r>
            <w:r w:rsidR="004A2B99" w:rsidRPr="004F4CD0">
              <w:rPr>
                <w:b/>
                <w:bCs/>
                <w:lang w:val="es-ES_tradnl"/>
              </w:rPr>
              <w:t>a</w:t>
            </w:r>
            <w:r w:rsidRPr="004F4CD0">
              <w:rPr>
                <w:b/>
                <w:bCs/>
                <w:lang w:val="es-ES_tradnl"/>
              </w:rPr>
              <w:t> C).</w:t>
            </w:r>
          </w:p>
          <w:p w14:paraId="2986AA64" w14:textId="025D6FC0" w:rsidR="001C197B" w:rsidRPr="000D0706" w:rsidRDefault="00833658" w:rsidP="00833658">
            <w:pPr>
              <w:pStyle w:val="a7"/>
              <w:keepNext/>
              <w:numPr>
                <w:ilvl w:val="0"/>
                <w:numId w:val="59"/>
              </w:numPr>
              <w:suppressAutoHyphens/>
              <w:ind w:left="568" w:hanging="284"/>
              <w:rPr>
                <w:i w:val="0"/>
                <w:color w:val="auto"/>
                <w:lang w:val="es-ES_tradnl" w:eastAsia="ko-KR"/>
              </w:rPr>
            </w:pPr>
            <w:r w:rsidRPr="000D0706">
              <w:rPr>
                <w:b/>
                <w:bCs/>
                <w:i w:val="0"/>
                <w:color w:val="auto"/>
                <w:lang w:val="es-ES_tradnl"/>
              </w:rPr>
              <w:t>No</w:t>
            </w:r>
            <w:r w:rsidRPr="000D0706">
              <w:rPr>
                <w:i w:val="0"/>
                <w:color w:val="auto"/>
                <w:lang w:val="es-ES_tradnl"/>
              </w:rPr>
              <w:t xml:space="preserve"> utilice este medicamento después de la fecha de caducidad. Si la fecha de caducidad ya ha pasado, devuelva la caja entera a la farmacia. </w:t>
            </w:r>
          </w:p>
          <w:p w14:paraId="2A0F84FF" w14:textId="05D465A1" w:rsidR="007F69B2" w:rsidRPr="000D0706" w:rsidRDefault="00833658" w:rsidP="000D0706">
            <w:pPr>
              <w:pStyle w:val="a7"/>
              <w:keepNext/>
              <w:numPr>
                <w:ilvl w:val="0"/>
                <w:numId w:val="59"/>
              </w:numPr>
              <w:suppressAutoHyphens/>
              <w:ind w:left="568" w:hanging="284"/>
              <w:rPr>
                <w:color w:val="auto"/>
                <w:lang w:val="es-ES_tradnl" w:eastAsia="ko-KR"/>
              </w:rPr>
            </w:pPr>
            <w:r w:rsidRPr="000D0706">
              <w:rPr>
                <w:i w:val="0"/>
                <w:color w:val="auto"/>
                <w:lang w:val="es-ES_tradnl"/>
              </w:rPr>
              <w:t xml:space="preserve">La fecha de caducidad impresa </w:t>
            </w:r>
            <w:r w:rsidR="00A01496" w:rsidRPr="004F4CD0">
              <w:rPr>
                <w:i w:val="0"/>
                <w:color w:val="auto"/>
                <w:lang w:val="es-ES_tradnl"/>
              </w:rPr>
              <w:t>hace referencia</w:t>
            </w:r>
            <w:r w:rsidRPr="000D0706">
              <w:rPr>
                <w:i w:val="0"/>
                <w:color w:val="auto"/>
                <w:lang w:val="es-ES_tradnl"/>
              </w:rPr>
              <w:t xml:space="preserve"> </w:t>
            </w:r>
            <w:r w:rsidR="00A01496" w:rsidRPr="004F4CD0">
              <w:rPr>
                <w:i w:val="0"/>
                <w:color w:val="auto"/>
                <w:lang w:val="es-ES_tradnl"/>
              </w:rPr>
              <w:t>a</w:t>
            </w:r>
            <w:r w:rsidRPr="000D0706">
              <w:rPr>
                <w:i w:val="0"/>
                <w:color w:val="auto"/>
                <w:lang w:val="es-ES_tradnl"/>
              </w:rPr>
              <w:t>l último día del mes que se indica.</w:t>
            </w:r>
          </w:p>
        </w:tc>
      </w:tr>
      <w:tr w:rsidR="007F69B2" w:rsidRPr="004F4CD0" w14:paraId="1A06B222" w14:textId="77777777" w:rsidTr="00DB3050">
        <w:trPr>
          <w:cantSplit/>
        </w:trPr>
        <w:tc>
          <w:tcPr>
            <w:tcW w:w="3010" w:type="dxa"/>
            <w:tcBorders>
              <w:top w:val="nil"/>
              <w:left w:val="single" w:sz="4" w:space="0" w:color="auto"/>
              <w:bottom w:val="single" w:sz="4" w:space="0" w:color="auto"/>
              <w:right w:val="nil"/>
            </w:tcBorders>
            <w:shd w:val="clear" w:color="auto" w:fill="auto"/>
          </w:tcPr>
          <w:p w14:paraId="05082C84" w14:textId="20481307" w:rsidR="007F69B2" w:rsidRPr="000D0706" w:rsidRDefault="007F69B2" w:rsidP="00DB3050">
            <w:pPr>
              <w:pStyle w:val="a7"/>
              <w:suppressAutoHyphens/>
              <w:jc w:val="center"/>
              <w:rPr>
                <w:i w:val="0"/>
                <w:iCs/>
                <w:noProof/>
                <w:color w:val="auto"/>
                <w:lang w:val="es-ES_tradnl"/>
              </w:rPr>
            </w:pPr>
            <w:r w:rsidRPr="000D0706">
              <w:rPr>
                <w:b/>
                <w:bCs/>
                <w:i w:val="0"/>
                <w:iCs/>
                <w:color w:val="auto"/>
                <w:lang w:val="es-ES_tradnl" w:eastAsia="ko-KR"/>
              </w:rPr>
              <w:t>Figur</w:t>
            </w:r>
            <w:r w:rsidR="00A74FC0" w:rsidRPr="000D0706">
              <w:rPr>
                <w:b/>
                <w:bCs/>
                <w:i w:val="0"/>
                <w:iCs/>
                <w:color w:val="auto"/>
                <w:lang w:val="es-ES_tradnl" w:eastAsia="ko-KR"/>
              </w:rPr>
              <w:t>a</w:t>
            </w:r>
            <w:r w:rsidRPr="000D0706">
              <w:rPr>
                <w:b/>
                <w:bCs/>
                <w:i w:val="0"/>
                <w:iCs/>
                <w:color w:val="auto"/>
                <w:lang w:val="es-ES_tradnl" w:eastAsia="ko-KR"/>
              </w:rPr>
              <w:t xml:space="preserve"> C</w:t>
            </w:r>
          </w:p>
        </w:tc>
        <w:tc>
          <w:tcPr>
            <w:tcW w:w="6054" w:type="dxa"/>
            <w:vMerge/>
            <w:tcBorders>
              <w:left w:val="nil"/>
              <w:bottom w:val="single" w:sz="4" w:space="0" w:color="auto"/>
            </w:tcBorders>
            <w:shd w:val="clear" w:color="auto" w:fill="auto"/>
          </w:tcPr>
          <w:p w14:paraId="25A08478" w14:textId="77777777" w:rsidR="007F69B2" w:rsidRPr="004F4CD0" w:rsidRDefault="007F69B2" w:rsidP="00DB3050">
            <w:pPr>
              <w:pStyle w:val="a7"/>
              <w:suppressAutoHyphens/>
              <w:rPr>
                <w:b/>
                <w:bCs/>
                <w:lang w:val="es-ES_tradnl"/>
              </w:rPr>
            </w:pPr>
          </w:p>
        </w:tc>
      </w:tr>
      <w:tr w:rsidR="007F69B2" w:rsidRPr="004F4CD0" w14:paraId="4D083006" w14:textId="77777777" w:rsidTr="00DB3050">
        <w:trPr>
          <w:cantSplit/>
        </w:trPr>
        <w:tc>
          <w:tcPr>
            <w:tcW w:w="3010" w:type="dxa"/>
            <w:tcBorders>
              <w:top w:val="single" w:sz="4" w:space="0" w:color="auto"/>
              <w:bottom w:val="nil"/>
              <w:right w:val="nil"/>
            </w:tcBorders>
            <w:shd w:val="clear" w:color="auto" w:fill="auto"/>
            <w:vAlign w:val="center"/>
          </w:tcPr>
          <w:p w14:paraId="0DEC8138" w14:textId="77777777" w:rsidR="007F69B2" w:rsidRPr="004F4CD0" w:rsidRDefault="007F69B2" w:rsidP="00DB3050">
            <w:pPr>
              <w:keepNext/>
              <w:suppressAutoHyphens/>
              <w:jc w:val="center"/>
              <w:rPr>
                <w:lang w:val="es-ES_tradnl"/>
              </w:rPr>
            </w:pPr>
          </w:p>
          <w:p w14:paraId="45260408" w14:textId="2D8CBB1D" w:rsidR="007F69B2" w:rsidRPr="004F4CD0" w:rsidRDefault="00950FBE" w:rsidP="00DB3050">
            <w:pPr>
              <w:keepNext/>
              <w:suppressAutoHyphens/>
              <w:jc w:val="center"/>
              <w:rPr>
                <w:lang w:val="es-ES_tradnl"/>
              </w:rPr>
            </w:pPr>
            <w:r>
              <w:rPr>
                <w:noProof/>
                <w:lang w:val="en-US" w:eastAsia="zh-CN"/>
              </w:rPr>
              <w:pict w14:anchorId="1D8C61B2">
                <v:shape id="_x0000_i1030" type="#_x0000_t75" alt="스케치, 그림, 클립아트, 만화 영화이(가) 표시된 사진&#10;&#10;자동 생성된 설명" style="width:139.5pt;height:171pt;visibility:visible;mso-wrap-style:square">
                  <v:imagedata r:id="rId34" o:title="스케치, 그림, 클립아트, 만화 영화이(가) 표시된 사진&#10;&#10;자동 생성된 설명"/>
                </v:shape>
              </w:pict>
            </w:r>
          </w:p>
          <w:p w14:paraId="5E7573B5" w14:textId="77777777" w:rsidR="007F69B2" w:rsidRPr="004F4CD0" w:rsidRDefault="007F69B2" w:rsidP="00DB3050">
            <w:pPr>
              <w:keepNext/>
              <w:suppressAutoHyphens/>
              <w:jc w:val="center"/>
              <w:rPr>
                <w:lang w:val="es-ES_tradnl" w:eastAsia="ko-KR"/>
              </w:rPr>
            </w:pPr>
          </w:p>
        </w:tc>
        <w:tc>
          <w:tcPr>
            <w:tcW w:w="6054" w:type="dxa"/>
            <w:vMerge w:val="restart"/>
            <w:tcBorders>
              <w:top w:val="single" w:sz="4" w:space="0" w:color="auto"/>
              <w:left w:val="nil"/>
            </w:tcBorders>
            <w:shd w:val="clear" w:color="auto" w:fill="auto"/>
          </w:tcPr>
          <w:p w14:paraId="5AE4C78F" w14:textId="755C28B7" w:rsidR="007F69B2" w:rsidRPr="004F4CD0" w:rsidRDefault="007F69B2" w:rsidP="00DB3050">
            <w:pPr>
              <w:keepNext/>
              <w:suppressAutoHyphens/>
              <w:ind w:left="284" w:hanging="284"/>
              <w:rPr>
                <w:b/>
                <w:bCs/>
                <w:lang w:val="es-ES_tradnl" w:eastAsia="ko-KR"/>
              </w:rPr>
            </w:pPr>
            <w:r w:rsidRPr="004F4CD0">
              <w:rPr>
                <w:b/>
                <w:bCs/>
                <w:lang w:val="es-ES_tradnl" w:eastAsia="ko-KR"/>
              </w:rPr>
              <w:t>3.</w:t>
            </w:r>
            <w:r w:rsidRPr="004F4CD0">
              <w:rPr>
                <w:b/>
                <w:bCs/>
                <w:lang w:val="es-ES_tradnl"/>
              </w:rPr>
              <w:tab/>
            </w:r>
            <w:r w:rsidR="00C868C8" w:rsidRPr="004F4CD0">
              <w:rPr>
                <w:b/>
                <w:bCs/>
                <w:lang w:val="es-ES_tradnl"/>
              </w:rPr>
              <w:t>Saque la jeringa precargada de la caja</w:t>
            </w:r>
            <w:r w:rsidRPr="004F4CD0">
              <w:rPr>
                <w:b/>
                <w:bCs/>
                <w:lang w:val="es-ES_tradnl" w:eastAsia="ko-KR"/>
              </w:rPr>
              <w:t>.</w:t>
            </w:r>
          </w:p>
          <w:p w14:paraId="15C8ACDE" w14:textId="6E094AE2"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3a. </w:t>
            </w:r>
            <w:r w:rsidR="00C868C8" w:rsidRPr="000D0706">
              <w:rPr>
                <w:i w:val="0"/>
                <w:color w:val="auto"/>
                <w:lang w:val="es-ES_tradnl"/>
              </w:rPr>
              <w:t>Abra la caja</w:t>
            </w:r>
            <w:r w:rsidRPr="000D0706">
              <w:rPr>
                <w:i w:val="0"/>
                <w:color w:val="auto"/>
                <w:lang w:val="es-ES_tradnl"/>
              </w:rPr>
              <w:t xml:space="preserve">. </w:t>
            </w:r>
            <w:r w:rsidR="00E53158" w:rsidRPr="004F4CD0">
              <w:rPr>
                <w:i w:val="0"/>
                <w:color w:val="auto"/>
                <w:lang w:val="es-ES_tradnl"/>
              </w:rPr>
              <w:t>Sostenga</w:t>
            </w:r>
            <w:r w:rsidR="00C868C8" w:rsidRPr="000D0706">
              <w:rPr>
                <w:i w:val="0"/>
                <w:color w:val="auto"/>
                <w:lang w:val="es-ES_tradnl"/>
              </w:rPr>
              <w:t xml:space="preserve"> la jeringa precargada</w:t>
            </w:r>
            <w:r w:rsidR="00E53158" w:rsidRPr="004F4CD0">
              <w:rPr>
                <w:i w:val="0"/>
                <w:color w:val="auto"/>
                <w:lang w:val="es-ES_tradnl"/>
              </w:rPr>
              <w:t xml:space="preserve"> por el cuerpo</w:t>
            </w:r>
            <w:r w:rsidR="00C868C8" w:rsidRPr="000D0706">
              <w:rPr>
                <w:i w:val="0"/>
                <w:color w:val="auto"/>
                <w:lang w:val="es-ES_tradnl"/>
              </w:rPr>
              <w:t xml:space="preserve"> y tire hacia arriba para sacarla de</w:t>
            </w:r>
            <w:r w:rsidR="001C5F9E" w:rsidRPr="004F4CD0">
              <w:rPr>
                <w:i w:val="0"/>
                <w:color w:val="auto"/>
                <w:lang w:val="es-ES_tradnl"/>
              </w:rPr>
              <w:t xml:space="preserve"> </w:t>
            </w:r>
            <w:r w:rsidR="00C868C8" w:rsidRPr="000D0706">
              <w:rPr>
                <w:i w:val="0"/>
                <w:color w:val="auto"/>
                <w:lang w:val="es-ES_tradnl"/>
              </w:rPr>
              <w:t>la caja</w:t>
            </w:r>
            <w:r w:rsidRPr="000D0706">
              <w:rPr>
                <w:i w:val="0"/>
                <w:color w:val="auto"/>
                <w:lang w:val="es-ES_tradnl"/>
              </w:rPr>
              <w:t xml:space="preserve"> (</w:t>
            </w:r>
            <w:r w:rsidR="00C868C8"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C868C8" w:rsidRPr="000D0706">
              <w:rPr>
                <w:b/>
                <w:bCs/>
                <w:i w:val="0"/>
                <w:color w:val="auto"/>
                <w:lang w:val="es-ES_tradnl"/>
              </w:rPr>
              <w:t>a</w:t>
            </w:r>
            <w:r w:rsidRPr="000D0706">
              <w:rPr>
                <w:b/>
                <w:bCs/>
                <w:i w:val="0"/>
                <w:color w:val="auto"/>
                <w:lang w:val="es-ES_tradnl"/>
              </w:rPr>
              <w:t> D</w:t>
            </w:r>
            <w:r w:rsidRPr="000D0706">
              <w:rPr>
                <w:i w:val="0"/>
                <w:color w:val="auto"/>
                <w:lang w:val="es-ES_tradnl"/>
              </w:rPr>
              <w:t>).</w:t>
            </w:r>
          </w:p>
          <w:p w14:paraId="4E9C740C" w14:textId="23A6D90B" w:rsidR="007F69B2" w:rsidRPr="000D0706" w:rsidRDefault="00C868C8"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 xml:space="preserve">No </w:t>
            </w:r>
            <w:r w:rsidRPr="000D0706">
              <w:rPr>
                <w:i w:val="0"/>
                <w:color w:val="auto"/>
                <w:lang w:val="es-ES_tradnl"/>
              </w:rPr>
              <w:t>la agarre por la cabeza del émbolo, el émbolo, el protector de seguridad, las al</w:t>
            </w:r>
            <w:r w:rsidR="00B00E06" w:rsidRPr="004F4CD0">
              <w:rPr>
                <w:i w:val="0"/>
                <w:color w:val="auto"/>
                <w:lang w:val="es-ES_tradnl"/>
              </w:rPr>
              <w:t>et</w:t>
            </w:r>
            <w:r w:rsidRPr="000D0706">
              <w:rPr>
                <w:i w:val="0"/>
                <w:color w:val="auto"/>
                <w:lang w:val="es-ES_tradnl"/>
              </w:rPr>
              <w:t>as o el capuchón de la aguja.</w:t>
            </w:r>
          </w:p>
          <w:p w14:paraId="6600F01B" w14:textId="4148107B" w:rsidR="007F69B2" w:rsidRPr="000D0706" w:rsidRDefault="00C868C8" w:rsidP="000D0706">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 xml:space="preserve">No </w:t>
            </w:r>
            <w:r w:rsidRPr="000D0706">
              <w:rPr>
                <w:i w:val="0"/>
                <w:color w:val="auto"/>
                <w:lang w:val="es-ES_tradnl"/>
              </w:rPr>
              <w:t>tire nunca del émbolo</w:t>
            </w:r>
            <w:r w:rsidR="001C5F9E" w:rsidRPr="004F4CD0">
              <w:rPr>
                <w:i w:val="0"/>
                <w:color w:val="auto"/>
                <w:lang w:val="es-ES_tradnl"/>
              </w:rPr>
              <w:t xml:space="preserve"> hacia atrás</w:t>
            </w:r>
            <w:r w:rsidRPr="000D0706">
              <w:rPr>
                <w:i w:val="0"/>
                <w:color w:val="auto"/>
                <w:lang w:val="es-ES_tradnl"/>
              </w:rPr>
              <w:t>.</w:t>
            </w:r>
          </w:p>
        </w:tc>
      </w:tr>
      <w:tr w:rsidR="007F69B2" w:rsidRPr="004F4CD0" w14:paraId="50FF9F37" w14:textId="77777777" w:rsidTr="00DB3050">
        <w:trPr>
          <w:cantSplit/>
        </w:trPr>
        <w:tc>
          <w:tcPr>
            <w:tcW w:w="3010" w:type="dxa"/>
            <w:tcBorders>
              <w:top w:val="nil"/>
              <w:left w:val="single" w:sz="4" w:space="0" w:color="auto"/>
              <w:bottom w:val="single" w:sz="4" w:space="0" w:color="auto"/>
              <w:right w:val="nil"/>
            </w:tcBorders>
            <w:shd w:val="clear" w:color="auto" w:fill="auto"/>
          </w:tcPr>
          <w:p w14:paraId="4E272574" w14:textId="214C1554" w:rsidR="007F69B2" w:rsidRPr="004F4CD0" w:rsidRDefault="007F69B2" w:rsidP="00DB3050">
            <w:pPr>
              <w:suppressAutoHyphens/>
              <w:jc w:val="center"/>
              <w:rPr>
                <w:b/>
                <w:bCs/>
                <w:lang w:val="es-ES_tradnl"/>
              </w:rPr>
            </w:pPr>
            <w:r w:rsidRPr="004F4CD0">
              <w:rPr>
                <w:b/>
                <w:bCs/>
                <w:lang w:val="es-ES_tradnl" w:eastAsia="ko-KR"/>
              </w:rPr>
              <w:t>Figur</w:t>
            </w:r>
            <w:r w:rsidR="00C868C8" w:rsidRPr="004F4CD0">
              <w:rPr>
                <w:b/>
                <w:bCs/>
                <w:lang w:val="es-ES_tradnl" w:eastAsia="ko-KR"/>
              </w:rPr>
              <w:t>a</w:t>
            </w:r>
            <w:r w:rsidRPr="004F4CD0">
              <w:rPr>
                <w:b/>
                <w:bCs/>
                <w:lang w:val="es-ES_tradnl" w:eastAsia="ko-KR"/>
              </w:rPr>
              <w:t xml:space="preserve"> D</w:t>
            </w:r>
          </w:p>
        </w:tc>
        <w:tc>
          <w:tcPr>
            <w:tcW w:w="6054" w:type="dxa"/>
            <w:vMerge/>
            <w:tcBorders>
              <w:left w:val="nil"/>
              <w:bottom w:val="single" w:sz="4" w:space="0" w:color="auto"/>
            </w:tcBorders>
            <w:shd w:val="clear" w:color="auto" w:fill="auto"/>
          </w:tcPr>
          <w:p w14:paraId="4ED4B3B9" w14:textId="77777777" w:rsidR="007F69B2" w:rsidRPr="004F4CD0" w:rsidRDefault="007F69B2" w:rsidP="00DB3050">
            <w:pPr>
              <w:pStyle w:val="a7"/>
              <w:suppressAutoHyphens/>
              <w:rPr>
                <w:b/>
                <w:bCs/>
                <w:lang w:val="es-ES_tradnl" w:eastAsia="ko-KR"/>
              </w:rPr>
            </w:pPr>
          </w:p>
        </w:tc>
      </w:tr>
      <w:tr w:rsidR="007F69B2" w:rsidRPr="004F4CD0" w14:paraId="50043192" w14:textId="77777777" w:rsidTr="00DB3050">
        <w:trPr>
          <w:cantSplit/>
        </w:trPr>
        <w:tc>
          <w:tcPr>
            <w:tcW w:w="3010" w:type="dxa"/>
            <w:tcBorders>
              <w:top w:val="single" w:sz="4" w:space="0" w:color="auto"/>
              <w:bottom w:val="nil"/>
              <w:right w:val="nil"/>
            </w:tcBorders>
            <w:shd w:val="clear" w:color="auto" w:fill="auto"/>
            <w:vAlign w:val="center"/>
          </w:tcPr>
          <w:p w14:paraId="798BE71B" w14:textId="0186DCE1" w:rsidR="007F69B2" w:rsidRPr="004F4CD0" w:rsidRDefault="00000000" w:rsidP="00DB3050">
            <w:pPr>
              <w:keepNext/>
              <w:jc w:val="center"/>
              <w:rPr>
                <w:lang w:val="es-ES_tradnl"/>
              </w:rPr>
            </w:pPr>
            <w:r>
              <w:rPr>
                <w:noProof/>
              </w:rPr>
              <w:lastRenderedPageBreak/>
              <w:pict w14:anchorId="19984474">
                <v:shape id="Text Box 29" o:spid="_x0000_s2076" type="#_x0000_t202" style="position:absolute;left:0;text-align:left;margin-left:80.4pt;margin-top:110.35pt;width:61.35pt;height:20.75pt;z-index: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" filled="f" stroked="f">
                  <v:textbox inset="0,0,0,0">
                    <w:txbxContent>
                      <w:p w14:paraId="43030EEE" w14:textId="4DF724A1" w:rsidR="00374D93" w:rsidRPr="00D723EF" w:rsidRDefault="001C2956" w:rsidP="007F69B2">
                        <w:pPr>
                          <w:rPr>
                            <w:rFonts w:ascii="Arial" w:hAnsi="Arial" w:cs="Arial"/>
                            <w:b/>
                            <w:bCs/>
                            <w:sz w:val="11"/>
                            <w:szCs w:val="11"/>
                          </w:rPr>
                        </w:pPr>
                        <w:r w:rsidRPr="001C2956">
                          <w:rPr>
                            <w:rFonts w:ascii="Arial" w:hAnsi="Arial" w:cs="Arial"/>
                            <w:b/>
                            <w:bCs/>
                            <w:sz w:val="11"/>
                            <w:szCs w:val="11"/>
                          </w:rPr>
                          <w:t>CAD: MM/AAAA</w:t>
                        </w:r>
                        <w:r>
                          <w:rPr>
                            <w:rFonts w:ascii="Arial" w:hAnsi="Arial" w:cs="Arial"/>
                            <w:b/>
                            <w:bCs/>
                            <w:sz w:val="11"/>
                            <w:szCs w:val="11"/>
                          </w:rPr>
                          <w:t xml:space="preserve"> </w:t>
                        </w:r>
                      </w:p>
                    </w:txbxContent>
                  </v:textbox>
                  <w10:wrap anchory="page"/>
                  <w10:anchorlock/>
                </v:shape>
              </w:pict>
            </w:r>
          </w:p>
          <w:p w14:paraId="072DE6C1" w14:textId="40FB363A" w:rsidR="007F69B2" w:rsidRPr="004F4CD0" w:rsidRDefault="00950FBE" w:rsidP="00DB3050">
            <w:pPr>
              <w:keepNext/>
              <w:jc w:val="center"/>
              <w:rPr>
                <w:lang w:val="es-ES_tradnl"/>
              </w:rPr>
            </w:pPr>
            <w:r>
              <w:rPr>
                <w:noProof/>
                <w:lang w:val="en-US" w:eastAsia="zh-CN"/>
              </w:rPr>
              <w:pict w14:anchorId="46D6FED6">
                <v:shape id="_x0000_i1031" type="#_x0000_t75" style="width:132pt;height:162pt;visibility:visible;mso-wrap-style:square">
                  <v:imagedata r:id="rId35" o:title=""/>
                </v:shape>
              </w:pict>
            </w:r>
          </w:p>
          <w:p w14:paraId="06FA3BFB"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shd w:val="clear" w:color="auto" w:fill="auto"/>
          </w:tcPr>
          <w:p w14:paraId="48DBB2B2" w14:textId="65F80E5C" w:rsidR="007F69B2" w:rsidRPr="004F4CD0" w:rsidRDefault="007F69B2" w:rsidP="00DB3050">
            <w:pPr>
              <w:keepNext/>
              <w:suppressAutoHyphens/>
              <w:ind w:left="284" w:hanging="284"/>
              <w:rPr>
                <w:b/>
                <w:bCs/>
                <w:lang w:val="es-ES_tradnl"/>
              </w:rPr>
            </w:pPr>
            <w:r w:rsidRPr="004F4CD0">
              <w:rPr>
                <w:b/>
                <w:bCs/>
                <w:lang w:val="es-ES_tradnl" w:eastAsia="ko-KR"/>
              </w:rPr>
              <w:t>4</w:t>
            </w:r>
            <w:r w:rsidRPr="004F4CD0">
              <w:rPr>
                <w:b/>
                <w:bCs/>
                <w:lang w:val="es-ES_tradnl"/>
              </w:rPr>
              <w:t>.</w:t>
            </w:r>
            <w:r w:rsidRPr="004F4CD0">
              <w:rPr>
                <w:b/>
                <w:bCs/>
                <w:lang w:val="es-ES_tradnl"/>
              </w:rPr>
              <w:tab/>
              <w:t>Ins</w:t>
            </w:r>
            <w:r w:rsidR="00F20F44" w:rsidRPr="004F4CD0">
              <w:rPr>
                <w:b/>
                <w:bCs/>
                <w:lang w:val="es-ES_tradnl"/>
              </w:rPr>
              <w:t>peccione la jeringa precargada</w:t>
            </w:r>
            <w:r w:rsidRPr="004F4CD0">
              <w:rPr>
                <w:b/>
                <w:bCs/>
                <w:lang w:val="es-ES_tradnl"/>
              </w:rPr>
              <w:t>.</w:t>
            </w:r>
          </w:p>
          <w:p w14:paraId="2F633E71" w14:textId="1EA1FA04" w:rsidR="007F69B2" w:rsidRPr="000D0706" w:rsidRDefault="007F69B2" w:rsidP="00DB3050">
            <w:pPr>
              <w:pStyle w:val="a7"/>
              <w:keepNext/>
              <w:suppressAutoHyphens/>
              <w:ind w:left="283"/>
              <w:rPr>
                <w:i w:val="0"/>
                <w:color w:val="auto"/>
                <w:lang w:val="es-ES_tradnl"/>
              </w:rPr>
            </w:pPr>
            <w:r w:rsidRPr="000D0706">
              <w:rPr>
                <w:i w:val="0"/>
                <w:color w:val="auto"/>
                <w:lang w:val="es-ES_tradnl" w:eastAsia="ko-KR"/>
              </w:rPr>
              <w:t>4</w:t>
            </w:r>
            <w:r w:rsidRPr="000D0706">
              <w:rPr>
                <w:i w:val="0"/>
                <w:color w:val="auto"/>
                <w:lang w:val="es-ES_tradnl"/>
              </w:rPr>
              <w:t xml:space="preserve">a. </w:t>
            </w:r>
            <w:r w:rsidR="001C5F9E" w:rsidRPr="004F4CD0">
              <w:rPr>
                <w:i w:val="0"/>
                <w:color w:val="auto"/>
                <w:lang w:val="es-ES_tradnl"/>
              </w:rPr>
              <w:t>Observe</w:t>
            </w:r>
            <w:r w:rsidR="00F97905" w:rsidRPr="000D0706">
              <w:rPr>
                <w:i w:val="0"/>
                <w:color w:val="auto"/>
                <w:lang w:val="es-ES_tradnl"/>
              </w:rPr>
              <w:t xml:space="preserve"> la jeringa precargada y compruebe que </w:t>
            </w:r>
            <w:r w:rsidR="00E53158" w:rsidRPr="004F4CD0">
              <w:rPr>
                <w:i w:val="0"/>
                <w:color w:val="auto"/>
                <w:lang w:val="es-ES_tradnl"/>
              </w:rPr>
              <w:t>con</w:t>
            </w:r>
            <w:r w:rsidR="00F97905" w:rsidRPr="000D0706">
              <w:rPr>
                <w:i w:val="0"/>
                <w:color w:val="auto"/>
                <w:lang w:val="es-ES_tradnl"/>
              </w:rPr>
              <w:t xml:space="preserve">tiene el medicamento correcto </w:t>
            </w:r>
            <w:r w:rsidRPr="000D0706">
              <w:rPr>
                <w:i w:val="0"/>
                <w:color w:val="auto"/>
                <w:lang w:val="es-ES_tradnl"/>
              </w:rPr>
              <w:t>(Stoboclo).</w:t>
            </w:r>
          </w:p>
          <w:p w14:paraId="0D5F3E7C" w14:textId="497A0F3C"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4b. </w:t>
            </w:r>
            <w:r w:rsidR="00F97905" w:rsidRPr="000D0706">
              <w:rPr>
                <w:i w:val="0"/>
                <w:color w:val="auto"/>
                <w:lang w:val="es-ES_tradnl"/>
              </w:rPr>
              <w:t xml:space="preserve">Compruebe que </w:t>
            </w:r>
            <w:r w:rsidR="00E53158" w:rsidRPr="004F4CD0">
              <w:rPr>
                <w:i w:val="0"/>
                <w:color w:val="auto"/>
                <w:lang w:val="es-ES_tradnl"/>
              </w:rPr>
              <w:t>l</w:t>
            </w:r>
            <w:r w:rsidR="00F97905" w:rsidRPr="000D0706">
              <w:rPr>
                <w:i w:val="0"/>
                <w:color w:val="auto"/>
                <w:lang w:val="es-ES_tradnl"/>
              </w:rPr>
              <w:t>a jeringa precargada no está</w:t>
            </w:r>
            <w:r w:rsidRPr="000D0706">
              <w:rPr>
                <w:i w:val="0"/>
                <w:color w:val="auto"/>
                <w:lang w:val="es-ES_tradnl"/>
              </w:rPr>
              <w:t xml:space="preserve"> </w:t>
            </w:r>
            <w:r w:rsidR="00E60FC3" w:rsidRPr="004F4CD0">
              <w:rPr>
                <w:i w:val="0"/>
                <w:color w:val="auto"/>
                <w:lang w:val="es-ES_tradnl"/>
              </w:rPr>
              <w:t xml:space="preserve">agrietada ni </w:t>
            </w:r>
            <w:r w:rsidR="00F97905" w:rsidRPr="000D0706">
              <w:rPr>
                <w:i w:val="0"/>
                <w:color w:val="auto"/>
                <w:lang w:val="es-ES_tradnl"/>
              </w:rPr>
              <w:t>dañada.</w:t>
            </w:r>
          </w:p>
          <w:p w14:paraId="19ECCED3" w14:textId="1F071FC1"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4c. </w:t>
            </w:r>
            <w:r w:rsidR="00F97905" w:rsidRPr="000D0706">
              <w:rPr>
                <w:i w:val="0"/>
                <w:color w:val="auto"/>
                <w:lang w:val="es-ES_tradnl"/>
              </w:rPr>
              <w:t>Compruebe la fecha de caducidad en la etiqueta de la jeringa precargada</w:t>
            </w:r>
            <w:r w:rsidRPr="000D0706">
              <w:rPr>
                <w:i w:val="0"/>
                <w:color w:val="auto"/>
                <w:lang w:val="es-ES_tradnl"/>
              </w:rPr>
              <w:t xml:space="preserve"> (</w:t>
            </w:r>
            <w:r w:rsidR="00F97905"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F97905" w:rsidRPr="000D0706">
              <w:rPr>
                <w:b/>
                <w:bCs/>
                <w:i w:val="0"/>
                <w:color w:val="auto"/>
                <w:lang w:val="es-ES_tradnl"/>
              </w:rPr>
              <w:t>a</w:t>
            </w:r>
            <w:r w:rsidRPr="000D0706">
              <w:rPr>
                <w:b/>
                <w:bCs/>
                <w:i w:val="0"/>
                <w:color w:val="auto"/>
                <w:lang w:val="es-ES_tradnl"/>
              </w:rPr>
              <w:t> </w:t>
            </w:r>
            <w:r w:rsidRPr="000D0706">
              <w:rPr>
                <w:b/>
                <w:bCs/>
                <w:i w:val="0"/>
                <w:color w:val="auto"/>
                <w:lang w:val="es-ES_tradnl" w:eastAsia="ko-KR"/>
              </w:rPr>
              <w:t>E</w:t>
            </w:r>
            <w:r w:rsidRPr="000D0706">
              <w:rPr>
                <w:i w:val="0"/>
                <w:color w:val="auto"/>
                <w:lang w:val="es-ES_tradnl"/>
              </w:rPr>
              <w:t>).</w:t>
            </w:r>
          </w:p>
          <w:p w14:paraId="2CC73BD6" w14:textId="0C0F302E" w:rsidR="007F69B2" w:rsidRPr="000D0706" w:rsidRDefault="00F97905"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la utilice si falta el capuchón de la aguja o si no est</w:t>
            </w:r>
            <w:r w:rsidR="00E53158" w:rsidRPr="004F4CD0">
              <w:rPr>
                <w:i w:val="0"/>
                <w:color w:val="auto"/>
                <w:lang w:val="es-ES_tradnl"/>
              </w:rPr>
              <w:t>á</w:t>
            </w:r>
            <w:r w:rsidRPr="000D0706">
              <w:rPr>
                <w:i w:val="0"/>
                <w:color w:val="auto"/>
                <w:lang w:val="es-ES_tradnl"/>
              </w:rPr>
              <w:t xml:space="preserve"> bien acoplado.</w:t>
            </w:r>
          </w:p>
          <w:p w14:paraId="724F49A5" w14:textId="67EE0C08" w:rsidR="007F69B2" w:rsidRPr="000D0706" w:rsidRDefault="00F97905"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la utilice si</w:t>
            </w:r>
            <w:r w:rsidR="00E53158" w:rsidRPr="004F4CD0">
              <w:rPr>
                <w:i w:val="0"/>
                <w:color w:val="auto"/>
                <w:lang w:val="es-ES_tradnl"/>
              </w:rPr>
              <w:t xml:space="preserve"> </w:t>
            </w:r>
            <w:r w:rsidRPr="000D0706">
              <w:rPr>
                <w:i w:val="0"/>
                <w:color w:val="auto"/>
                <w:lang w:val="es-ES_tradnl"/>
              </w:rPr>
              <w:t>la fecha de caducidad</w:t>
            </w:r>
            <w:r w:rsidR="00E53158" w:rsidRPr="004F4CD0">
              <w:rPr>
                <w:i w:val="0"/>
                <w:color w:val="auto"/>
                <w:lang w:val="es-ES_tradnl"/>
              </w:rPr>
              <w:t xml:space="preserve"> ya ha pasado</w:t>
            </w:r>
            <w:r w:rsidRPr="000D0706">
              <w:rPr>
                <w:i w:val="0"/>
                <w:color w:val="auto"/>
                <w:lang w:val="es-ES_tradnl"/>
              </w:rPr>
              <w:t>.</w:t>
            </w:r>
          </w:p>
          <w:p w14:paraId="66C93507" w14:textId="5C15877F" w:rsidR="007F69B2" w:rsidRPr="000D0706" w:rsidRDefault="00F97905"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agite la jeringa precargada</w:t>
            </w:r>
            <w:r w:rsidR="007F69B2" w:rsidRPr="000D0706">
              <w:rPr>
                <w:i w:val="0"/>
                <w:color w:val="auto"/>
                <w:lang w:val="es-ES_tradnl"/>
              </w:rPr>
              <w:t>.</w:t>
            </w:r>
          </w:p>
        </w:tc>
      </w:tr>
      <w:tr w:rsidR="007F69B2" w:rsidRPr="004F4CD0" w14:paraId="73572C16" w14:textId="77777777" w:rsidTr="00DB3050">
        <w:trPr>
          <w:cantSplit/>
        </w:trPr>
        <w:tc>
          <w:tcPr>
            <w:tcW w:w="3010" w:type="dxa"/>
            <w:tcBorders>
              <w:top w:val="nil"/>
              <w:left w:val="single" w:sz="4" w:space="0" w:color="auto"/>
              <w:bottom w:val="single" w:sz="4" w:space="0" w:color="auto"/>
              <w:right w:val="nil"/>
            </w:tcBorders>
            <w:shd w:val="clear" w:color="auto" w:fill="auto"/>
          </w:tcPr>
          <w:p w14:paraId="4BEE9AAF" w14:textId="5DA88F5A" w:rsidR="007F69B2" w:rsidRPr="004F4CD0" w:rsidRDefault="007F69B2" w:rsidP="00DB3050">
            <w:pPr>
              <w:jc w:val="center"/>
              <w:rPr>
                <w:b/>
                <w:bCs/>
                <w:lang w:val="es-ES_tradnl"/>
              </w:rPr>
            </w:pPr>
            <w:r w:rsidRPr="004F4CD0">
              <w:rPr>
                <w:b/>
                <w:bCs/>
                <w:lang w:val="es-ES_tradnl" w:eastAsia="ko-KR"/>
              </w:rPr>
              <w:t>Figur</w:t>
            </w:r>
            <w:r w:rsidR="00F20F44" w:rsidRPr="004F4CD0">
              <w:rPr>
                <w:b/>
                <w:bCs/>
                <w:lang w:val="es-ES_tradnl" w:eastAsia="ko-KR"/>
              </w:rPr>
              <w:t>a</w:t>
            </w:r>
            <w:r w:rsidRPr="004F4CD0">
              <w:rPr>
                <w:b/>
                <w:bCs/>
                <w:lang w:val="es-ES_tradnl" w:eastAsia="ko-KR"/>
              </w:rPr>
              <w:t xml:space="preserve"> E</w:t>
            </w:r>
          </w:p>
        </w:tc>
        <w:tc>
          <w:tcPr>
            <w:tcW w:w="6054" w:type="dxa"/>
            <w:vMerge/>
            <w:tcBorders>
              <w:left w:val="nil"/>
              <w:bottom w:val="single" w:sz="4" w:space="0" w:color="auto"/>
            </w:tcBorders>
            <w:shd w:val="clear" w:color="auto" w:fill="auto"/>
          </w:tcPr>
          <w:p w14:paraId="1BB113F4" w14:textId="77777777" w:rsidR="007F69B2" w:rsidRPr="004F4CD0" w:rsidRDefault="007F69B2" w:rsidP="00DB3050">
            <w:pPr>
              <w:pStyle w:val="a7"/>
              <w:suppressAutoHyphens/>
              <w:rPr>
                <w:b/>
                <w:bCs/>
                <w:lang w:val="es-ES_tradnl"/>
              </w:rPr>
            </w:pPr>
          </w:p>
        </w:tc>
      </w:tr>
      <w:tr w:rsidR="007F69B2" w:rsidRPr="004F4CD0" w14:paraId="23DEE0BA" w14:textId="77777777" w:rsidTr="00DB3050">
        <w:trPr>
          <w:cantSplit/>
        </w:trPr>
        <w:tc>
          <w:tcPr>
            <w:tcW w:w="3010" w:type="dxa"/>
            <w:tcBorders>
              <w:top w:val="single" w:sz="4" w:space="0" w:color="auto"/>
              <w:bottom w:val="nil"/>
              <w:right w:val="nil"/>
            </w:tcBorders>
            <w:shd w:val="clear" w:color="auto" w:fill="auto"/>
            <w:vAlign w:val="center"/>
          </w:tcPr>
          <w:p w14:paraId="72434DE3" w14:textId="77777777" w:rsidR="007F69B2" w:rsidRPr="004F4CD0" w:rsidRDefault="007F69B2" w:rsidP="00DB3050">
            <w:pPr>
              <w:keepNext/>
              <w:jc w:val="center"/>
              <w:rPr>
                <w:lang w:val="es-ES_tradnl"/>
              </w:rPr>
            </w:pPr>
          </w:p>
          <w:p w14:paraId="1B0FEE16" w14:textId="1FF7BE99" w:rsidR="007F69B2" w:rsidRPr="004F4CD0" w:rsidRDefault="00950FBE" w:rsidP="00DB3050">
            <w:pPr>
              <w:keepNext/>
              <w:jc w:val="center"/>
              <w:rPr>
                <w:lang w:val="es-ES_tradnl"/>
              </w:rPr>
            </w:pPr>
            <w:r>
              <w:rPr>
                <w:noProof/>
                <w:lang w:val="en-US" w:eastAsia="zh-CN"/>
              </w:rPr>
              <w:pict w14:anchorId="72256745">
                <v:shape id="_x0000_i1032" type="#_x0000_t75" alt="스케치, 그림, 일러스트레이션, 검이(가) 표시된 사진&#10;&#10;자동 생성된 설명" style="width:131.25pt;height:161.25pt;visibility:visible;mso-wrap-style:square">
                  <v:imagedata r:id="rId36" o:title="스케치, 그림, 일러스트레이션, 검이(가) 표시된 사진&#10;&#10;자동 생성된 설명"/>
                </v:shape>
              </w:pict>
            </w:r>
          </w:p>
          <w:p w14:paraId="4D2D75C4"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shd w:val="clear" w:color="auto" w:fill="auto"/>
          </w:tcPr>
          <w:p w14:paraId="640BCDBF" w14:textId="0B519009" w:rsidR="007F69B2" w:rsidRPr="004F4CD0" w:rsidRDefault="007F69B2" w:rsidP="00DB3050">
            <w:pPr>
              <w:keepNext/>
              <w:suppressAutoHyphens/>
              <w:ind w:left="284" w:hanging="284"/>
              <w:rPr>
                <w:b/>
                <w:bCs/>
                <w:lang w:val="es-ES_tradnl" w:eastAsia="ko-KR"/>
              </w:rPr>
            </w:pPr>
            <w:r w:rsidRPr="004F4CD0">
              <w:rPr>
                <w:b/>
                <w:bCs/>
                <w:lang w:val="es-ES_tradnl" w:eastAsia="ko-KR"/>
              </w:rPr>
              <w:t>5.</w:t>
            </w:r>
            <w:r w:rsidRPr="004F4CD0">
              <w:rPr>
                <w:b/>
                <w:bCs/>
                <w:lang w:val="es-ES_tradnl"/>
              </w:rPr>
              <w:tab/>
              <w:t>Inspec</w:t>
            </w:r>
            <w:r w:rsidR="00D34FD1" w:rsidRPr="004F4CD0">
              <w:rPr>
                <w:b/>
                <w:bCs/>
                <w:lang w:val="es-ES_tradnl" w:eastAsia="ko-KR"/>
              </w:rPr>
              <w:t>cione el medicamento.</w:t>
            </w:r>
          </w:p>
          <w:p w14:paraId="33E107A8" w14:textId="6F25DE2A" w:rsidR="007F69B2" w:rsidRPr="000D0706" w:rsidRDefault="007F69B2" w:rsidP="00DB3050">
            <w:pPr>
              <w:pStyle w:val="a7"/>
              <w:keepNext/>
              <w:suppressAutoHyphens/>
              <w:ind w:left="283"/>
              <w:rPr>
                <w:i w:val="0"/>
                <w:color w:val="auto"/>
                <w:lang w:val="es-ES_tradnl" w:eastAsia="ko-KR"/>
              </w:rPr>
            </w:pPr>
            <w:r w:rsidRPr="000D0706">
              <w:rPr>
                <w:i w:val="0"/>
                <w:color w:val="auto"/>
                <w:lang w:val="es-ES_tradnl" w:eastAsia="ko-KR"/>
              </w:rPr>
              <w:t xml:space="preserve">5a. </w:t>
            </w:r>
            <w:r w:rsidR="00873D3A" w:rsidRPr="000D0706">
              <w:rPr>
                <w:i w:val="0"/>
                <w:color w:val="auto"/>
                <w:lang w:val="es-ES_tradnl"/>
              </w:rPr>
              <w:t>Inspeccione el medicamento y confirme que el líquido es transparente, de incoloro a amarillo pálido, y que no contiene</w:t>
            </w:r>
            <w:r w:rsidR="002E692F" w:rsidRPr="000D0706">
              <w:rPr>
                <w:i w:val="0"/>
                <w:color w:val="auto"/>
                <w:lang w:val="es-ES_tradnl"/>
              </w:rPr>
              <w:t xml:space="preserve"> </w:t>
            </w:r>
            <w:r w:rsidR="00873D3A" w:rsidRPr="000D0706">
              <w:rPr>
                <w:i w:val="0"/>
                <w:color w:val="auto"/>
                <w:lang w:val="es-ES_tradnl" w:eastAsia="ko-KR"/>
              </w:rPr>
              <w:t>partículas ni copos visibles</w:t>
            </w:r>
            <w:r w:rsidRPr="000D0706">
              <w:rPr>
                <w:i w:val="0"/>
                <w:color w:val="auto"/>
                <w:lang w:val="es-ES_tradnl" w:eastAsia="ko-KR"/>
              </w:rPr>
              <w:t xml:space="preserve"> (</w:t>
            </w:r>
            <w:r w:rsidR="00873D3A" w:rsidRPr="000D0706">
              <w:rPr>
                <w:i w:val="0"/>
                <w:color w:val="auto"/>
                <w:lang w:val="es-ES_tradnl" w:eastAsia="ko-KR"/>
              </w:rPr>
              <w:t>véase la</w:t>
            </w:r>
            <w:r w:rsidRPr="000D0706">
              <w:rPr>
                <w:i w:val="0"/>
                <w:color w:val="auto"/>
                <w:lang w:val="es-ES_tradnl" w:eastAsia="ko-KR"/>
              </w:rPr>
              <w:t xml:space="preserve"> </w:t>
            </w:r>
            <w:r w:rsidRPr="000D0706">
              <w:rPr>
                <w:b/>
                <w:bCs/>
                <w:i w:val="0"/>
                <w:color w:val="auto"/>
                <w:lang w:val="es-ES_tradnl" w:eastAsia="ko-KR"/>
              </w:rPr>
              <w:t>Figur</w:t>
            </w:r>
            <w:r w:rsidR="00873D3A" w:rsidRPr="000D0706">
              <w:rPr>
                <w:b/>
                <w:bCs/>
                <w:i w:val="0"/>
                <w:color w:val="auto"/>
                <w:lang w:val="es-ES_tradnl" w:eastAsia="ko-KR"/>
              </w:rPr>
              <w:t>a</w:t>
            </w:r>
            <w:r w:rsidRPr="000D0706">
              <w:rPr>
                <w:b/>
                <w:bCs/>
                <w:i w:val="0"/>
                <w:color w:val="auto"/>
                <w:lang w:val="es-ES_tradnl" w:eastAsia="ko-KR"/>
              </w:rPr>
              <w:t> F</w:t>
            </w:r>
            <w:r w:rsidRPr="000D0706">
              <w:rPr>
                <w:i w:val="0"/>
                <w:color w:val="auto"/>
                <w:lang w:val="es-ES_tradnl" w:eastAsia="ko-KR"/>
              </w:rPr>
              <w:t>).</w:t>
            </w:r>
          </w:p>
          <w:p w14:paraId="5AEF87C1" w14:textId="60151F5C" w:rsidR="007F69B2" w:rsidRPr="000D0706" w:rsidRDefault="00873D3A"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utilice la jeringa precargada si </w:t>
            </w:r>
            <w:r w:rsidR="00E53158" w:rsidRPr="004F4CD0">
              <w:rPr>
                <w:i w:val="0"/>
                <w:color w:val="auto"/>
                <w:lang w:val="es-ES_tradnl"/>
              </w:rPr>
              <w:t>e</w:t>
            </w:r>
            <w:r w:rsidRPr="000D0706">
              <w:rPr>
                <w:i w:val="0"/>
                <w:color w:val="auto"/>
                <w:lang w:val="es-ES_tradnl"/>
              </w:rPr>
              <w:t>l líquido</w:t>
            </w:r>
            <w:r w:rsidR="00E53158" w:rsidRPr="004F4CD0">
              <w:rPr>
                <w:i w:val="0"/>
                <w:color w:val="auto"/>
                <w:lang w:val="es-ES_tradnl"/>
              </w:rPr>
              <w:t xml:space="preserve"> </w:t>
            </w:r>
            <w:r w:rsidRPr="000D0706">
              <w:rPr>
                <w:i w:val="0"/>
                <w:color w:val="auto"/>
                <w:lang w:val="es-ES_tradnl"/>
              </w:rPr>
              <w:t>está</w:t>
            </w:r>
            <w:r w:rsidR="00E53158" w:rsidRPr="004F4CD0">
              <w:rPr>
                <w:i w:val="0"/>
                <w:color w:val="auto"/>
                <w:lang w:val="es-ES_tradnl"/>
              </w:rPr>
              <w:t xml:space="preserve"> descolorido,</w:t>
            </w:r>
            <w:r w:rsidRPr="000D0706">
              <w:rPr>
                <w:i w:val="0"/>
                <w:color w:val="auto"/>
                <w:lang w:val="es-ES_tradnl"/>
              </w:rPr>
              <w:t xml:space="preserve"> turbio o contiene partículas o copos visibles.</w:t>
            </w:r>
          </w:p>
          <w:p w14:paraId="3237DB25" w14:textId="7CBB8DA8" w:rsidR="007F69B2" w:rsidRPr="004F4CD0" w:rsidRDefault="00873D3A" w:rsidP="007F69B2">
            <w:pPr>
              <w:pStyle w:val="a7"/>
              <w:keepNext/>
              <w:numPr>
                <w:ilvl w:val="0"/>
                <w:numId w:val="59"/>
              </w:numPr>
              <w:tabs>
                <w:tab w:val="left" w:pos="851"/>
              </w:tabs>
              <w:suppressAutoHyphens/>
              <w:ind w:left="851" w:hanging="284"/>
              <w:rPr>
                <w:lang w:val="es-ES_tradnl"/>
              </w:rPr>
            </w:pPr>
            <w:r w:rsidRPr="000D0706">
              <w:rPr>
                <w:i w:val="0"/>
                <w:color w:val="auto"/>
                <w:lang w:val="es-ES_tradnl"/>
              </w:rPr>
              <w:t>Puede que observe burbujas de aire en el líquido</w:t>
            </w:r>
            <w:r w:rsidR="007F69B2" w:rsidRPr="000D0706">
              <w:rPr>
                <w:i w:val="0"/>
                <w:color w:val="auto"/>
                <w:lang w:val="es-ES_tradnl"/>
              </w:rPr>
              <w:t xml:space="preserve">. </w:t>
            </w:r>
            <w:r w:rsidRPr="000D0706">
              <w:rPr>
                <w:i w:val="0"/>
                <w:color w:val="auto"/>
                <w:lang w:val="es-ES_tradnl"/>
              </w:rPr>
              <w:t>Es normal</w:t>
            </w:r>
            <w:r w:rsidRPr="004F4CD0">
              <w:rPr>
                <w:lang w:val="es-ES_tradnl"/>
              </w:rPr>
              <w:t>.</w:t>
            </w:r>
          </w:p>
        </w:tc>
      </w:tr>
      <w:tr w:rsidR="007F69B2" w:rsidRPr="004F4CD0" w14:paraId="12EA7C16" w14:textId="77777777" w:rsidTr="00DB3050">
        <w:trPr>
          <w:cantSplit/>
        </w:trPr>
        <w:tc>
          <w:tcPr>
            <w:tcW w:w="3010" w:type="dxa"/>
            <w:tcBorders>
              <w:top w:val="nil"/>
              <w:left w:val="single" w:sz="4" w:space="0" w:color="auto"/>
              <w:bottom w:val="single" w:sz="4" w:space="0" w:color="auto"/>
              <w:right w:val="nil"/>
            </w:tcBorders>
            <w:shd w:val="clear" w:color="auto" w:fill="auto"/>
          </w:tcPr>
          <w:p w14:paraId="38600195" w14:textId="1936643B" w:rsidR="007F69B2" w:rsidRPr="004F4CD0" w:rsidRDefault="007F69B2" w:rsidP="00DB3050">
            <w:pPr>
              <w:jc w:val="center"/>
              <w:rPr>
                <w:b/>
                <w:bCs/>
                <w:lang w:val="es-ES_tradnl"/>
              </w:rPr>
            </w:pPr>
            <w:r w:rsidRPr="004F4CD0">
              <w:rPr>
                <w:b/>
                <w:bCs/>
                <w:lang w:val="es-ES_tradnl" w:eastAsia="ko-KR"/>
              </w:rPr>
              <w:t>Figur</w:t>
            </w:r>
            <w:r w:rsidR="00873D3A" w:rsidRPr="004F4CD0">
              <w:rPr>
                <w:b/>
                <w:bCs/>
                <w:lang w:val="es-ES_tradnl" w:eastAsia="ko-KR"/>
              </w:rPr>
              <w:t>a</w:t>
            </w:r>
            <w:r w:rsidRPr="004F4CD0">
              <w:rPr>
                <w:b/>
                <w:bCs/>
                <w:lang w:val="es-ES_tradnl" w:eastAsia="ko-KR"/>
              </w:rPr>
              <w:t xml:space="preserve"> F</w:t>
            </w:r>
          </w:p>
        </w:tc>
        <w:tc>
          <w:tcPr>
            <w:tcW w:w="6054" w:type="dxa"/>
            <w:vMerge/>
            <w:tcBorders>
              <w:left w:val="nil"/>
              <w:bottom w:val="single" w:sz="4" w:space="0" w:color="auto"/>
            </w:tcBorders>
            <w:shd w:val="clear" w:color="auto" w:fill="auto"/>
          </w:tcPr>
          <w:p w14:paraId="56298BF1" w14:textId="77777777" w:rsidR="007F69B2" w:rsidRPr="004F4CD0" w:rsidRDefault="007F69B2" w:rsidP="00DB3050">
            <w:pPr>
              <w:pStyle w:val="a7"/>
              <w:suppressAutoHyphens/>
              <w:rPr>
                <w:b/>
                <w:bCs/>
                <w:lang w:val="es-ES_tradnl" w:eastAsia="ko-KR"/>
              </w:rPr>
            </w:pPr>
          </w:p>
        </w:tc>
      </w:tr>
      <w:tr w:rsidR="007F69B2" w:rsidRPr="004F4CD0" w14:paraId="27BBD1F4" w14:textId="77777777" w:rsidTr="00DB3050">
        <w:trPr>
          <w:cantSplit/>
        </w:trPr>
        <w:tc>
          <w:tcPr>
            <w:tcW w:w="3010" w:type="dxa"/>
            <w:tcBorders>
              <w:top w:val="single" w:sz="4" w:space="0" w:color="auto"/>
              <w:left w:val="single" w:sz="4" w:space="0" w:color="auto"/>
              <w:bottom w:val="nil"/>
              <w:right w:val="nil"/>
            </w:tcBorders>
            <w:shd w:val="clear" w:color="auto" w:fill="auto"/>
            <w:vAlign w:val="center"/>
          </w:tcPr>
          <w:p w14:paraId="48A7222C" w14:textId="77777777" w:rsidR="007F69B2" w:rsidRPr="004F4CD0" w:rsidRDefault="007F69B2" w:rsidP="00DB3050">
            <w:pPr>
              <w:keepNext/>
              <w:jc w:val="center"/>
              <w:rPr>
                <w:lang w:val="es-ES_tradnl"/>
              </w:rPr>
            </w:pPr>
          </w:p>
          <w:p w14:paraId="4ED6C514" w14:textId="239CB576" w:rsidR="007F69B2" w:rsidRPr="004F4CD0" w:rsidRDefault="00000000" w:rsidP="00DB3050">
            <w:pPr>
              <w:keepNext/>
              <w:jc w:val="center"/>
              <w:rPr>
                <w:lang w:val="es-ES_tradnl"/>
              </w:rPr>
            </w:pPr>
            <w:r>
              <w:rPr>
                <w:noProof/>
              </w:rPr>
              <w:pict w14:anchorId="4A5B1761">
                <v:shape id="Text Box 27" o:spid="_x0000_s2075" type="#_x0000_t202" style="position:absolute;left:0;text-align:left;margin-left:72.6pt;margin-top:32.1pt;width:54pt;height:32.85pt;z-index: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" filled="f" stroked="f">
                  <v:textbox inset="0,0,0,0">
                    <w:txbxContent>
                      <w:p w14:paraId="7F62B545" w14:textId="77777777" w:rsidR="00374D93" w:rsidRPr="00D723EF" w:rsidRDefault="00374D93" w:rsidP="007F69B2">
                        <w:pPr>
                          <w:jc w:val="center"/>
                          <w:rPr>
                            <w:rFonts w:ascii="Arial" w:hAnsi="Arial" w:cs="Arial"/>
                            <w:b/>
                            <w:bCs/>
                            <w:sz w:val="24"/>
                            <w:szCs w:val="24"/>
                          </w:rPr>
                        </w:pPr>
                        <w:r w:rsidRPr="00D723EF">
                          <w:rPr>
                            <w:rFonts w:ascii="Arial" w:hAnsi="Arial" w:cs="Arial"/>
                            <w:b/>
                            <w:bCs/>
                            <w:sz w:val="24"/>
                            <w:szCs w:val="24"/>
                          </w:rPr>
                          <w:t>30 minutes</w:t>
                        </w:r>
                      </w:p>
                    </w:txbxContent>
                  </v:textbox>
                  <w10:wrap anchory="page"/>
                  <w10:anchorlock/>
                </v:shape>
              </w:pict>
            </w:r>
            <w:r w:rsidR="00950FBE">
              <w:rPr>
                <w:noProof/>
                <w:lang w:val="en-US" w:eastAsia="zh-CN"/>
              </w:rPr>
              <w:pict w14:anchorId="5C1FA3EE">
                <v:shape id="_x0000_i1033" type="#_x0000_t75" style="width:130.5pt;height:141.75pt;visibility:visible;mso-wrap-style:square">
                  <v:imagedata r:id="rId37" o:title=""/>
                </v:shape>
              </w:pict>
            </w:r>
          </w:p>
          <w:p w14:paraId="20537AF7"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shd w:val="clear" w:color="auto" w:fill="auto"/>
          </w:tcPr>
          <w:p w14:paraId="3DA12262" w14:textId="0F7C61F4" w:rsidR="007F69B2" w:rsidRPr="004F4CD0" w:rsidRDefault="007F69B2" w:rsidP="00DB3050">
            <w:pPr>
              <w:keepNext/>
              <w:suppressAutoHyphens/>
              <w:ind w:left="284" w:hanging="284"/>
              <w:rPr>
                <w:b/>
                <w:bCs/>
                <w:lang w:val="es-ES_tradnl"/>
              </w:rPr>
            </w:pPr>
            <w:r w:rsidRPr="004F4CD0">
              <w:rPr>
                <w:b/>
                <w:bCs/>
                <w:lang w:val="es-ES_tradnl" w:eastAsia="ko-KR"/>
              </w:rPr>
              <w:t>6</w:t>
            </w:r>
            <w:r w:rsidRPr="004F4CD0">
              <w:rPr>
                <w:b/>
                <w:bCs/>
                <w:lang w:val="es-ES_tradnl"/>
              </w:rPr>
              <w:t>.</w:t>
            </w:r>
            <w:r w:rsidRPr="004F4CD0">
              <w:rPr>
                <w:b/>
                <w:bCs/>
                <w:lang w:val="es-ES_tradnl"/>
              </w:rPr>
              <w:tab/>
            </w:r>
            <w:r w:rsidR="00EF09DE" w:rsidRPr="004F4CD0">
              <w:rPr>
                <w:b/>
                <w:bCs/>
                <w:lang w:val="es-ES_tradnl"/>
              </w:rPr>
              <w:t>Espere 30 minutos</w:t>
            </w:r>
            <w:r w:rsidRPr="004F4CD0">
              <w:rPr>
                <w:b/>
                <w:bCs/>
                <w:lang w:val="es-ES_tradnl"/>
              </w:rPr>
              <w:t>.</w:t>
            </w:r>
          </w:p>
          <w:p w14:paraId="69B0DC78" w14:textId="372B8AA0" w:rsidR="007F69B2" w:rsidRPr="000D0706" w:rsidRDefault="007F69B2" w:rsidP="00DB3050">
            <w:pPr>
              <w:pStyle w:val="a7"/>
              <w:keepNext/>
              <w:suppressAutoHyphens/>
              <w:ind w:left="283"/>
              <w:rPr>
                <w:i w:val="0"/>
                <w:color w:val="auto"/>
                <w:lang w:val="es-ES_tradnl"/>
              </w:rPr>
            </w:pPr>
            <w:r w:rsidRPr="000D0706">
              <w:rPr>
                <w:i w:val="0"/>
                <w:color w:val="auto"/>
                <w:lang w:val="es-ES_tradnl" w:eastAsia="ko-KR"/>
              </w:rPr>
              <w:t>6</w:t>
            </w:r>
            <w:r w:rsidRPr="000D0706">
              <w:rPr>
                <w:i w:val="0"/>
                <w:color w:val="auto"/>
                <w:lang w:val="es-ES_tradnl"/>
              </w:rPr>
              <w:t xml:space="preserve">a. </w:t>
            </w:r>
            <w:r w:rsidR="00226745" w:rsidRPr="000D0706">
              <w:rPr>
                <w:i w:val="0"/>
                <w:color w:val="auto"/>
                <w:lang w:val="es-ES_tradnl"/>
              </w:rPr>
              <w:t xml:space="preserve">Deje la jeringa precargada fuera de la caja a temperatura ambiente durante 30 minutos </w:t>
            </w:r>
            <w:r w:rsidRPr="000D0706">
              <w:rPr>
                <w:i w:val="0"/>
                <w:color w:val="auto"/>
                <w:lang w:val="es-ES_tradnl"/>
              </w:rPr>
              <w:t>(</w:t>
            </w:r>
            <w:r w:rsidR="00226745" w:rsidRPr="000D0706">
              <w:rPr>
                <w:i w:val="0"/>
                <w:color w:val="auto"/>
                <w:lang w:val="es-ES_tradnl"/>
              </w:rPr>
              <w:t>entre</w:t>
            </w:r>
            <w:r w:rsidR="00DE22E1" w:rsidRPr="004F4CD0">
              <w:rPr>
                <w:i w:val="0"/>
                <w:color w:val="auto"/>
                <w:lang w:val="es-ES_tradnl"/>
              </w:rPr>
              <w:t xml:space="preserve"> </w:t>
            </w:r>
            <w:r w:rsidRPr="000D0706">
              <w:rPr>
                <w:i w:val="0"/>
                <w:color w:val="auto"/>
                <w:lang w:val="es-ES_tradnl"/>
              </w:rPr>
              <w:t xml:space="preserve">20 °C </w:t>
            </w:r>
            <w:r w:rsidR="00226745" w:rsidRPr="000D0706">
              <w:rPr>
                <w:i w:val="0"/>
                <w:color w:val="auto"/>
                <w:lang w:val="es-ES_tradnl"/>
              </w:rPr>
              <w:t>y</w:t>
            </w:r>
            <w:r w:rsidRPr="000D0706">
              <w:rPr>
                <w:i w:val="0"/>
                <w:color w:val="auto"/>
                <w:lang w:val="es-ES_tradnl"/>
              </w:rPr>
              <w:t xml:space="preserve"> 25 °C) </w:t>
            </w:r>
            <w:r w:rsidR="00226745" w:rsidRPr="000D0706">
              <w:rPr>
                <w:i w:val="0"/>
                <w:color w:val="auto"/>
                <w:lang w:val="es-ES_tradnl"/>
              </w:rPr>
              <w:t>para que se caliente</w:t>
            </w:r>
            <w:r w:rsidRPr="000D0706">
              <w:rPr>
                <w:i w:val="0"/>
                <w:color w:val="auto"/>
                <w:lang w:val="es-ES_tradnl"/>
              </w:rPr>
              <w:t xml:space="preserve"> (</w:t>
            </w:r>
            <w:r w:rsidR="00226745"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226745" w:rsidRPr="000D0706">
              <w:rPr>
                <w:b/>
                <w:bCs/>
                <w:i w:val="0"/>
                <w:color w:val="auto"/>
                <w:lang w:val="es-ES_tradnl"/>
              </w:rPr>
              <w:t>a</w:t>
            </w:r>
            <w:r w:rsidRPr="000D0706">
              <w:rPr>
                <w:b/>
                <w:bCs/>
                <w:i w:val="0"/>
                <w:color w:val="auto"/>
                <w:lang w:val="es-ES_tradnl"/>
              </w:rPr>
              <w:t> </w:t>
            </w:r>
            <w:r w:rsidRPr="000D0706">
              <w:rPr>
                <w:b/>
                <w:bCs/>
                <w:i w:val="0"/>
                <w:color w:val="auto"/>
                <w:lang w:val="es-ES_tradnl" w:eastAsia="ko-KR"/>
              </w:rPr>
              <w:t>G</w:t>
            </w:r>
            <w:r w:rsidRPr="000D0706">
              <w:rPr>
                <w:i w:val="0"/>
                <w:color w:val="auto"/>
                <w:lang w:val="es-ES_tradnl"/>
              </w:rPr>
              <w:t>).</w:t>
            </w:r>
          </w:p>
          <w:p w14:paraId="4106E3C0" w14:textId="4990581D" w:rsidR="007F69B2" w:rsidRPr="000D0706" w:rsidRDefault="00226745"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caliente la jeringa precargada </w:t>
            </w:r>
            <w:r w:rsidR="00DE22E1" w:rsidRPr="004F4CD0">
              <w:rPr>
                <w:i w:val="0"/>
                <w:color w:val="auto"/>
                <w:lang w:val="es-ES_tradnl"/>
              </w:rPr>
              <w:t xml:space="preserve">con </w:t>
            </w:r>
            <w:r w:rsidRPr="000D0706">
              <w:rPr>
                <w:i w:val="0"/>
                <w:color w:val="auto"/>
                <w:lang w:val="es-ES_tradnl"/>
              </w:rPr>
              <w:t>fuente</w:t>
            </w:r>
            <w:r w:rsidR="00DE22E1" w:rsidRPr="004F4CD0">
              <w:rPr>
                <w:i w:val="0"/>
                <w:color w:val="auto"/>
                <w:lang w:val="es-ES_tradnl"/>
              </w:rPr>
              <w:t>s</w:t>
            </w:r>
            <w:r w:rsidRPr="000D0706">
              <w:rPr>
                <w:i w:val="0"/>
                <w:color w:val="auto"/>
                <w:lang w:val="es-ES_tradnl"/>
              </w:rPr>
              <w:t xml:space="preserve"> de calor como agua caliente o </w:t>
            </w:r>
            <w:r w:rsidR="00DE22E1" w:rsidRPr="004F4CD0">
              <w:rPr>
                <w:i w:val="0"/>
                <w:color w:val="auto"/>
                <w:lang w:val="es-ES_tradnl"/>
              </w:rPr>
              <w:t>un</w:t>
            </w:r>
            <w:r w:rsidRPr="000D0706">
              <w:rPr>
                <w:i w:val="0"/>
                <w:color w:val="auto"/>
                <w:lang w:val="es-ES_tradnl"/>
              </w:rPr>
              <w:t xml:space="preserve"> microondas.</w:t>
            </w:r>
          </w:p>
          <w:p w14:paraId="405C15C4" w14:textId="58047E2F" w:rsidR="007F69B2" w:rsidRPr="000D0706" w:rsidRDefault="00226745" w:rsidP="007F69B2">
            <w:pPr>
              <w:pStyle w:val="a7"/>
              <w:keepNext/>
              <w:numPr>
                <w:ilvl w:val="0"/>
                <w:numId w:val="59"/>
              </w:numPr>
              <w:tabs>
                <w:tab w:val="left" w:pos="851"/>
              </w:tabs>
              <w:suppressAutoHyphens/>
              <w:ind w:left="851" w:hanging="284"/>
              <w:rPr>
                <w:b/>
                <w:bCs/>
                <w:i w:val="0"/>
                <w:color w:val="auto"/>
                <w:lang w:val="es-ES_tradnl" w:eastAsia="ko-KR"/>
              </w:rPr>
            </w:pPr>
            <w:r w:rsidRPr="000D0706">
              <w:rPr>
                <w:i w:val="0"/>
                <w:color w:val="auto"/>
                <w:lang w:val="es-ES_tradnl"/>
              </w:rPr>
              <w:t>Si la jeringa no alcanza la temperatura ambiente, la inyección puede ser molesta.</w:t>
            </w:r>
          </w:p>
        </w:tc>
      </w:tr>
      <w:tr w:rsidR="007F69B2" w:rsidRPr="004F4CD0" w14:paraId="36103FFE" w14:textId="77777777" w:rsidTr="00DB3050">
        <w:trPr>
          <w:cantSplit/>
        </w:trPr>
        <w:tc>
          <w:tcPr>
            <w:tcW w:w="3010" w:type="dxa"/>
            <w:tcBorders>
              <w:top w:val="nil"/>
              <w:left w:val="single" w:sz="4" w:space="0" w:color="auto"/>
              <w:bottom w:val="single" w:sz="4" w:space="0" w:color="auto"/>
              <w:right w:val="nil"/>
            </w:tcBorders>
            <w:shd w:val="clear" w:color="auto" w:fill="auto"/>
          </w:tcPr>
          <w:p w14:paraId="6B7237A2" w14:textId="6AFE1282" w:rsidR="007F69B2" w:rsidRPr="004F4CD0" w:rsidRDefault="007F69B2" w:rsidP="00DB3050">
            <w:pPr>
              <w:jc w:val="center"/>
              <w:rPr>
                <w:b/>
                <w:bCs/>
                <w:lang w:val="es-ES_tradnl" w:eastAsia="ko-KR"/>
              </w:rPr>
            </w:pPr>
            <w:r w:rsidRPr="004F4CD0">
              <w:rPr>
                <w:b/>
                <w:bCs/>
                <w:lang w:val="es-ES_tradnl" w:eastAsia="ko-KR"/>
              </w:rPr>
              <w:t>Figur</w:t>
            </w:r>
            <w:r w:rsidR="00EF09DE" w:rsidRPr="004F4CD0">
              <w:rPr>
                <w:b/>
                <w:bCs/>
                <w:lang w:val="es-ES_tradnl" w:eastAsia="ko-KR"/>
              </w:rPr>
              <w:t>a</w:t>
            </w:r>
            <w:r w:rsidRPr="004F4CD0">
              <w:rPr>
                <w:b/>
                <w:bCs/>
                <w:lang w:val="es-ES_tradnl" w:eastAsia="ko-KR"/>
              </w:rPr>
              <w:t xml:space="preserve"> G</w:t>
            </w:r>
          </w:p>
        </w:tc>
        <w:tc>
          <w:tcPr>
            <w:tcW w:w="6054" w:type="dxa"/>
            <w:vMerge/>
            <w:tcBorders>
              <w:left w:val="nil"/>
              <w:bottom w:val="single" w:sz="4" w:space="0" w:color="auto"/>
            </w:tcBorders>
            <w:shd w:val="clear" w:color="auto" w:fill="auto"/>
          </w:tcPr>
          <w:p w14:paraId="17CD3252" w14:textId="77777777" w:rsidR="007F69B2" w:rsidRPr="004F4CD0" w:rsidRDefault="007F69B2" w:rsidP="00DB3050">
            <w:pPr>
              <w:pStyle w:val="a7"/>
              <w:suppressAutoHyphens/>
              <w:rPr>
                <w:b/>
                <w:bCs/>
                <w:lang w:val="es-ES_tradnl" w:eastAsia="ko-KR"/>
              </w:rPr>
            </w:pPr>
          </w:p>
        </w:tc>
      </w:tr>
      <w:tr w:rsidR="007F69B2" w:rsidRPr="004F4CD0" w14:paraId="2434B40A" w14:textId="77777777" w:rsidTr="00DB3050">
        <w:trPr>
          <w:cantSplit/>
        </w:trPr>
        <w:tc>
          <w:tcPr>
            <w:tcW w:w="3010" w:type="dxa"/>
            <w:tcBorders>
              <w:top w:val="single" w:sz="4" w:space="0" w:color="auto"/>
              <w:bottom w:val="nil"/>
              <w:right w:val="nil"/>
            </w:tcBorders>
            <w:shd w:val="clear" w:color="auto" w:fill="auto"/>
            <w:vAlign w:val="center"/>
          </w:tcPr>
          <w:p w14:paraId="2873C2B3" w14:textId="5AE5FAD2" w:rsidR="007F69B2" w:rsidRPr="004F4CD0" w:rsidRDefault="00000000" w:rsidP="00DB3050">
            <w:pPr>
              <w:keepNext/>
              <w:jc w:val="center"/>
              <w:rPr>
                <w:lang w:val="es-ES_tradnl"/>
              </w:rPr>
            </w:pPr>
            <w:r>
              <w:rPr>
                <w:noProof/>
              </w:rPr>
              <w:lastRenderedPageBreak/>
              <w:pict w14:anchorId="39F72F7F">
                <v:shape id="Text Box 25" o:spid="_x0000_s2074" type="#_x0000_t202" style="position:absolute;left:0;text-align:left;margin-left:48.65pt;margin-top:45.65pt;width:123.05pt;height:29.5pt;z-index: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" filled="f" stroked="f">
                  <v:textbox inset="0,0,0,0">
                    <w:txbxContent>
                      <w:p w14:paraId="5A7CEB4A" w14:textId="4D4CD153" w:rsidR="00374D93" w:rsidRPr="00876F60" w:rsidRDefault="00374D93" w:rsidP="007F69B2">
                        <w:pPr>
                          <w:rPr>
                            <w:rFonts w:ascii="Arial" w:hAnsi="Arial" w:cs="Arial"/>
                            <w:b/>
                            <w:bCs/>
                            <w:sz w:val="21"/>
                            <w:szCs w:val="21"/>
                          </w:rPr>
                        </w:pPr>
                        <w:r>
                          <w:t>Self-injection and Caregiver</w:t>
                        </w:r>
                      </w:p>
                    </w:txbxContent>
                  </v:textbox>
                  <w10:wrap anchory="page"/>
                  <w10:anchorlock/>
                </v:shape>
              </w:pict>
            </w:r>
            <w:r>
              <w:rPr>
                <w:noProof/>
              </w:rPr>
              <w:pict w14:anchorId="5B4F4AC9">
                <v:shape id="Text Box 23" o:spid="_x0000_s2073" type="#_x0000_t202" style="position:absolute;left:0;text-align:left;margin-left:49.9pt;margin-top:9.15pt;width:91.85pt;height:58.5pt;z-index: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" filled="f" stroked="f">
                  <v:textbox inset="0,0,0,0">
                    <w:txbxContent>
                      <w:p w14:paraId="1D6CC298" w14:textId="18F1C2E5" w:rsidR="00374D93" w:rsidRPr="00876F60" w:rsidRDefault="00374D93" w:rsidP="007F69B2">
                        <w:pPr>
                          <w:rPr>
                            <w:rFonts w:ascii="Arial" w:hAnsi="Arial" w:cs="Arial"/>
                            <w:b/>
                            <w:bCs/>
                            <w:sz w:val="21"/>
                            <w:szCs w:val="21"/>
                          </w:rPr>
                        </w:pPr>
                        <w:r>
                          <w:t>Caregiver and HCP ONLY</w:t>
                        </w:r>
                      </w:p>
                    </w:txbxContent>
                  </v:textbox>
                  <w10:wrap anchory="page"/>
                  <w10:anchorlock/>
                </v:shape>
              </w:pict>
            </w:r>
          </w:p>
          <w:p w14:paraId="7C01152E" w14:textId="3EEB9433" w:rsidR="007F69B2" w:rsidRPr="004F4CD0" w:rsidRDefault="00950FBE" w:rsidP="00DB3050">
            <w:pPr>
              <w:keepNext/>
              <w:jc w:val="center"/>
              <w:rPr>
                <w:lang w:val="es-ES_tradnl"/>
              </w:rPr>
            </w:pPr>
            <w:r>
              <w:rPr>
                <w:noProof/>
                <w:lang w:val="en-US" w:eastAsia="zh-CN"/>
              </w:rPr>
              <w:pict w14:anchorId="65A67BE3">
                <v:shape id="_x0000_i1034" type="#_x0000_t75" style="width:117.75pt;height:202.5pt;visibility:visible;mso-wrap-style:square">
                  <v:imagedata r:id="rId38" o:title="" croptop="1246f" cropbottom="917f" cropleft="1351f" cropright="1899f"/>
                </v:shape>
              </w:pict>
            </w:r>
          </w:p>
          <w:p w14:paraId="509682D7"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shd w:val="clear" w:color="auto" w:fill="auto"/>
          </w:tcPr>
          <w:p w14:paraId="39265922" w14:textId="26F9B717" w:rsidR="007F69B2" w:rsidRPr="004F4CD0" w:rsidRDefault="007F69B2" w:rsidP="00DB3050">
            <w:pPr>
              <w:keepNext/>
              <w:suppressAutoHyphens/>
              <w:ind w:left="284" w:hanging="284"/>
              <w:rPr>
                <w:b/>
                <w:bCs/>
                <w:lang w:val="es-ES_tradnl"/>
              </w:rPr>
            </w:pPr>
            <w:r w:rsidRPr="004F4CD0">
              <w:rPr>
                <w:b/>
                <w:bCs/>
                <w:lang w:val="es-ES_tradnl"/>
              </w:rPr>
              <w:t>7.</w:t>
            </w:r>
            <w:r w:rsidRPr="004F4CD0">
              <w:rPr>
                <w:b/>
                <w:bCs/>
                <w:lang w:val="es-ES_tradnl"/>
              </w:rPr>
              <w:tab/>
            </w:r>
            <w:r w:rsidR="00231395" w:rsidRPr="004F4CD0">
              <w:rPr>
                <w:b/>
                <w:bCs/>
                <w:lang w:val="es-ES_tradnl"/>
              </w:rPr>
              <w:t>Seleccione un lugar adecuado para la inyección</w:t>
            </w:r>
            <w:r w:rsidRPr="004F4CD0">
              <w:rPr>
                <w:b/>
                <w:bCs/>
                <w:lang w:val="es-ES_tradnl"/>
              </w:rPr>
              <w:t xml:space="preserve"> (</w:t>
            </w:r>
            <w:r w:rsidR="00231395" w:rsidRPr="004F4CD0">
              <w:rPr>
                <w:b/>
                <w:bCs/>
                <w:lang w:val="es-ES_tradnl"/>
              </w:rPr>
              <w:t>véase la</w:t>
            </w:r>
            <w:r w:rsidRPr="004F4CD0">
              <w:rPr>
                <w:b/>
                <w:bCs/>
                <w:lang w:val="es-ES_tradnl"/>
              </w:rPr>
              <w:t xml:space="preserve"> Figur</w:t>
            </w:r>
            <w:r w:rsidR="00231395" w:rsidRPr="004F4CD0">
              <w:rPr>
                <w:b/>
                <w:bCs/>
                <w:lang w:val="es-ES_tradnl"/>
              </w:rPr>
              <w:t>a</w:t>
            </w:r>
            <w:r w:rsidRPr="004F4CD0">
              <w:rPr>
                <w:b/>
                <w:bCs/>
                <w:lang w:val="es-ES_tradnl"/>
              </w:rPr>
              <w:t> H).</w:t>
            </w:r>
          </w:p>
          <w:p w14:paraId="0F363DD4" w14:textId="2DA1DBAE"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7a. </w:t>
            </w:r>
            <w:r w:rsidR="00231395" w:rsidRPr="000D0706">
              <w:rPr>
                <w:i w:val="0"/>
                <w:color w:val="auto"/>
                <w:lang w:val="es-ES_tradnl"/>
              </w:rPr>
              <w:t>La inyección se puede administrar en</w:t>
            </w:r>
            <w:r w:rsidRPr="000D0706">
              <w:rPr>
                <w:i w:val="0"/>
                <w:color w:val="auto"/>
                <w:lang w:val="es-ES_tradnl"/>
              </w:rPr>
              <w:t xml:space="preserve">: </w:t>
            </w:r>
          </w:p>
          <w:p w14:paraId="2EEEA4A4" w14:textId="05E169A0" w:rsidR="007F69B2" w:rsidRPr="000D0706" w:rsidRDefault="00C256A9"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la parte superior del muslo;</w:t>
            </w:r>
          </w:p>
          <w:p w14:paraId="142EEB04" w14:textId="5DB08024" w:rsidR="007F69B2" w:rsidRPr="000D0706" w:rsidRDefault="00C256A9"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el abdomen</w:t>
            </w:r>
            <w:r w:rsidR="007F69B2" w:rsidRPr="000D0706">
              <w:rPr>
                <w:i w:val="0"/>
                <w:color w:val="auto"/>
                <w:lang w:val="es-ES_tradnl"/>
              </w:rPr>
              <w:t xml:space="preserve">, </w:t>
            </w:r>
            <w:r w:rsidRPr="000D0706">
              <w:rPr>
                <w:i w:val="0"/>
                <w:color w:val="auto"/>
                <w:lang w:val="es-ES_tradnl"/>
              </w:rPr>
              <w:t>excepto en un área de 5 cm alrededor del ombligo;</w:t>
            </w:r>
          </w:p>
          <w:p w14:paraId="66FABE36" w14:textId="48B2405B" w:rsidR="007F69B2" w:rsidRPr="000D0706" w:rsidRDefault="00C256A9" w:rsidP="007F69B2">
            <w:pPr>
              <w:pStyle w:val="a7"/>
              <w:keepNext/>
              <w:numPr>
                <w:ilvl w:val="0"/>
                <w:numId w:val="57"/>
              </w:numPr>
              <w:tabs>
                <w:tab w:val="left" w:pos="851"/>
              </w:tabs>
              <w:suppressAutoHyphens/>
              <w:ind w:left="851" w:hanging="284"/>
              <w:rPr>
                <w:i w:val="0"/>
                <w:color w:val="auto"/>
                <w:lang w:val="es-ES_tradnl"/>
              </w:rPr>
            </w:pPr>
            <w:r w:rsidRPr="000D0706">
              <w:rPr>
                <w:i w:val="0"/>
                <w:color w:val="auto"/>
                <w:lang w:val="es-ES_tradnl"/>
              </w:rPr>
              <w:t>la cara externa de la parte superior del brazo (solo si la inyección la administra un cuidador o profesional sanitario).</w:t>
            </w:r>
          </w:p>
          <w:p w14:paraId="3C5FFB94" w14:textId="50D7F911" w:rsidR="007F69B2" w:rsidRPr="000D0706" w:rsidRDefault="00995ABE"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se debe administrar la inyección en lunares, cicatrices, cardenales </w:t>
            </w:r>
            <w:r w:rsidR="00E53158" w:rsidRPr="000D0706">
              <w:rPr>
                <w:i w:val="0"/>
                <w:color w:val="auto"/>
                <w:lang w:val="es-ES_tradnl"/>
              </w:rPr>
              <w:t xml:space="preserve">ni </w:t>
            </w:r>
            <w:r w:rsidRPr="000D0706">
              <w:rPr>
                <w:i w:val="0"/>
                <w:color w:val="auto"/>
                <w:lang w:val="es-ES_tradnl"/>
              </w:rPr>
              <w:t>en zonas donde la piel esté sensible, enrojecida, endurecida o agrietada.</w:t>
            </w:r>
          </w:p>
          <w:p w14:paraId="49432E10" w14:textId="6AFDAAA0" w:rsidR="007F69B2" w:rsidRPr="000D0706" w:rsidRDefault="00322C4A"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se debe administrar la inyección a través de la ropa</w:t>
            </w:r>
            <w:r w:rsidR="007F69B2" w:rsidRPr="000D0706">
              <w:rPr>
                <w:i w:val="0"/>
                <w:color w:val="auto"/>
                <w:lang w:val="es-ES_tradnl"/>
              </w:rPr>
              <w:t>.</w:t>
            </w:r>
          </w:p>
          <w:p w14:paraId="314AF8BA" w14:textId="5208A5B0" w:rsidR="007F69B2" w:rsidRPr="000D0706" w:rsidRDefault="007F69B2" w:rsidP="00597B7F">
            <w:pPr>
              <w:pStyle w:val="a7"/>
              <w:keepNext/>
              <w:suppressAutoHyphens/>
              <w:ind w:left="283"/>
              <w:rPr>
                <w:i w:val="0"/>
                <w:color w:val="auto"/>
                <w:lang w:val="es-ES_tradnl" w:eastAsia="ko-KR"/>
              </w:rPr>
            </w:pPr>
            <w:r w:rsidRPr="000D0706">
              <w:rPr>
                <w:i w:val="0"/>
                <w:color w:val="auto"/>
                <w:lang w:val="es-ES_tradnl"/>
              </w:rPr>
              <w:t xml:space="preserve">7b. </w:t>
            </w:r>
            <w:r w:rsidR="00322C4A" w:rsidRPr="000D0706">
              <w:rPr>
                <w:i w:val="0"/>
                <w:color w:val="auto"/>
                <w:lang w:val="es-ES_tradnl"/>
              </w:rPr>
              <w:t xml:space="preserve">Elija un lugar distinto para cada inyección </w:t>
            </w:r>
            <w:r w:rsidR="00597B7F" w:rsidRPr="004F4CD0">
              <w:rPr>
                <w:i w:val="0"/>
                <w:color w:val="auto"/>
                <w:lang w:val="es-ES_tradnl"/>
              </w:rPr>
              <w:t xml:space="preserve">a una distancia mínima de </w:t>
            </w:r>
            <w:r w:rsidR="00322C4A" w:rsidRPr="000D0706">
              <w:rPr>
                <w:i w:val="0"/>
                <w:color w:val="auto"/>
                <w:lang w:val="es-ES_tradnl"/>
              </w:rPr>
              <w:t xml:space="preserve">2,5 cm </w:t>
            </w:r>
            <w:r w:rsidR="00E53158" w:rsidRPr="004F4CD0">
              <w:rPr>
                <w:i w:val="0"/>
                <w:color w:val="auto"/>
                <w:lang w:val="es-ES_tradnl"/>
              </w:rPr>
              <w:t xml:space="preserve">del lugar </w:t>
            </w:r>
            <w:r w:rsidR="00322C4A" w:rsidRPr="000D0706">
              <w:rPr>
                <w:i w:val="0"/>
                <w:color w:val="auto"/>
                <w:lang w:val="es-ES_tradnl"/>
              </w:rPr>
              <w:t>utilizad</w:t>
            </w:r>
            <w:r w:rsidR="00E53158" w:rsidRPr="004F4CD0">
              <w:rPr>
                <w:i w:val="0"/>
                <w:color w:val="auto"/>
                <w:lang w:val="es-ES_tradnl"/>
              </w:rPr>
              <w:t>o</w:t>
            </w:r>
            <w:r w:rsidR="00322C4A" w:rsidRPr="000D0706">
              <w:rPr>
                <w:i w:val="0"/>
                <w:color w:val="auto"/>
                <w:lang w:val="es-ES_tradnl"/>
              </w:rPr>
              <w:t xml:space="preserve"> para la última inyección.</w:t>
            </w:r>
          </w:p>
        </w:tc>
      </w:tr>
      <w:tr w:rsidR="007F69B2" w:rsidRPr="004F4CD0" w14:paraId="477F8B2B" w14:textId="77777777" w:rsidTr="00DB3050">
        <w:trPr>
          <w:cantSplit/>
        </w:trPr>
        <w:tc>
          <w:tcPr>
            <w:tcW w:w="3010" w:type="dxa"/>
            <w:tcBorders>
              <w:top w:val="nil"/>
              <w:left w:val="single" w:sz="4" w:space="0" w:color="auto"/>
              <w:bottom w:val="single" w:sz="4" w:space="0" w:color="auto"/>
              <w:right w:val="nil"/>
            </w:tcBorders>
            <w:shd w:val="clear" w:color="auto" w:fill="auto"/>
          </w:tcPr>
          <w:p w14:paraId="14EBAD84" w14:textId="5B81041C" w:rsidR="007F69B2" w:rsidRPr="004F4CD0" w:rsidRDefault="007F69B2" w:rsidP="00DB3050">
            <w:pPr>
              <w:jc w:val="center"/>
              <w:rPr>
                <w:b/>
                <w:bCs/>
                <w:lang w:val="es-ES_tradnl"/>
              </w:rPr>
            </w:pPr>
            <w:r w:rsidRPr="004F4CD0">
              <w:rPr>
                <w:b/>
                <w:bCs/>
                <w:lang w:val="es-ES_tradnl" w:eastAsia="ko-KR"/>
              </w:rPr>
              <w:t>Figur</w:t>
            </w:r>
            <w:r w:rsidR="00260AE2" w:rsidRPr="004F4CD0">
              <w:rPr>
                <w:b/>
                <w:bCs/>
                <w:lang w:val="es-ES_tradnl" w:eastAsia="ko-KR"/>
              </w:rPr>
              <w:t>a</w:t>
            </w:r>
            <w:r w:rsidRPr="004F4CD0">
              <w:rPr>
                <w:b/>
                <w:bCs/>
                <w:lang w:val="es-ES_tradnl" w:eastAsia="ko-KR"/>
              </w:rPr>
              <w:t xml:space="preserve"> H</w:t>
            </w:r>
          </w:p>
        </w:tc>
        <w:tc>
          <w:tcPr>
            <w:tcW w:w="6054" w:type="dxa"/>
            <w:vMerge/>
            <w:tcBorders>
              <w:left w:val="nil"/>
              <w:bottom w:val="single" w:sz="4" w:space="0" w:color="auto"/>
            </w:tcBorders>
            <w:shd w:val="clear" w:color="auto" w:fill="auto"/>
          </w:tcPr>
          <w:p w14:paraId="306C582D" w14:textId="77777777" w:rsidR="007F69B2" w:rsidRPr="000D0706" w:rsidRDefault="007F69B2" w:rsidP="00DB3050">
            <w:pPr>
              <w:pStyle w:val="a7"/>
              <w:suppressAutoHyphens/>
              <w:rPr>
                <w:b/>
                <w:bCs/>
                <w:i w:val="0"/>
                <w:color w:val="auto"/>
                <w:lang w:val="es-ES_tradnl"/>
              </w:rPr>
            </w:pPr>
          </w:p>
        </w:tc>
      </w:tr>
      <w:tr w:rsidR="007F69B2" w:rsidRPr="004F4CD0" w14:paraId="7D61CF04" w14:textId="77777777" w:rsidTr="00DB3050">
        <w:trPr>
          <w:cantSplit/>
        </w:trPr>
        <w:tc>
          <w:tcPr>
            <w:tcW w:w="3010" w:type="dxa"/>
            <w:tcBorders>
              <w:top w:val="single" w:sz="4" w:space="0" w:color="auto"/>
              <w:bottom w:val="nil"/>
              <w:right w:val="nil"/>
            </w:tcBorders>
            <w:shd w:val="clear" w:color="auto" w:fill="auto"/>
            <w:vAlign w:val="center"/>
          </w:tcPr>
          <w:p w14:paraId="030ABBC7" w14:textId="77777777" w:rsidR="007F69B2" w:rsidRPr="004F4CD0" w:rsidRDefault="007F69B2" w:rsidP="00DB3050">
            <w:pPr>
              <w:keepNext/>
              <w:jc w:val="center"/>
              <w:rPr>
                <w:lang w:val="es-ES_tradnl"/>
              </w:rPr>
            </w:pPr>
          </w:p>
          <w:p w14:paraId="4DD27BE3" w14:textId="69101D2C" w:rsidR="007F69B2" w:rsidRPr="004F4CD0" w:rsidRDefault="00950FBE" w:rsidP="00DB3050">
            <w:pPr>
              <w:keepNext/>
              <w:jc w:val="center"/>
              <w:rPr>
                <w:lang w:val="es-ES_tradnl"/>
              </w:rPr>
            </w:pPr>
            <w:r>
              <w:rPr>
                <w:noProof/>
                <w:lang w:val="en-US" w:eastAsia="zh-CN"/>
              </w:rPr>
              <w:pict w14:anchorId="2FA1B100">
                <v:shape id="_x0000_i1035" type="#_x0000_t75" alt="스케치, 그림, 라인 아트, 아동 미술이(가) 표시된 사진&#10;&#10;자동 생성된 설명" style="width:119.25pt;height:147.75pt;visibility:visible;mso-wrap-style:square">
                  <v:imagedata r:id="rId39" o:title="스케치, 그림, 라인 아트, 아동 미술이(가) 표시된 사진&#10;&#10;자동 생성된 설명"/>
                </v:shape>
              </w:pict>
            </w:r>
          </w:p>
          <w:p w14:paraId="1EE78EF5"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shd w:val="clear" w:color="auto" w:fill="auto"/>
          </w:tcPr>
          <w:p w14:paraId="34640F2B" w14:textId="6A39113C" w:rsidR="007F69B2" w:rsidRPr="004F4CD0" w:rsidRDefault="007F69B2" w:rsidP="00DB3050">
            <w:pPr>
              <w:keepNext/>
              <w:suppressAutoHyphens/>
              <w:ind w:left="284" w:hanging="284"/>
              <w:rPr>
                <w:b/>
                <w:bCs/>
                <w:lang w:val="es-ES_tradnl"/>
              </w:rPr>
            </w:pPr>
            <w:r w:rsidRPr="004F4CD0">
              <w:rPr>
                <w:b/>
                <w:bCs/>
                <w:lang w:val="es-ES_tradnl"/>
              </w:rPr>
              <w:t>8.</w:t>
            </w:r>
            <w:r w:rsidRPr="004F4CD0">
              <w:rPr>
                <w:b/>
                <w:bCs/>
                <w:lang w:val="es-ES_tradnl"/>
              </w:rPr>
              <w:tab/>
            </w:r>
            <w:r w:rsidR="00260AE2" w:rsidRPr="004F4CD0">
              <w:rPr>
                <w:b/>
                <w:bCs/>
                <w:lang w:val="es-ES_tradnl"/>
              </w:rPr>
              <w:t>Lávese las manos</w:t>
            </w:r>
            <w:r w:rsidRPr="004F4CD0">
              <w:rPr>
                <w:b/>
                <w:bCs/>
                <w:lang w:val="es-ES_tradnl"/>
              </w:rPr>
              <w:t>.</w:t>
            </w:r>
          </w:p>
          <w:p w14:paraId="7DA6A701" w14:textId="2AC93654"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8a. </w:t>
            </w:r>
            <w:r w:rsidR="00B21A86" w:rsidRPr="000D0706">
              <w:rPr>
                <w:i w:val="0"/>
                <w:color w:val="auto"/>
                <w:lang w:val="es-ES_tradnl"/>
              </w:rPr>
              <w:t xml:space="preserve">Lávese las manos con agua y jabón y séqueselas bien </w:t>
            </w:r>
            <w:r w:rsidRPr="000D0706">
              <w:rPr>
                <w:i w:val="0"/>
                <w:color w:val="auto"/>
                <w:lang w:val="es-ES_tradnl"/>
              </w:rPr>
              <w:t>(</w:t>
            </w:r>
            <w:r w:rsidR="00B21A86"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B21A86" w:rsidRPr="000D0706">
              <w:rPr>
                <w:b/>
                <w:bCs/>
                <w:i w:val="0"/>
                <w:color w:val="auto"/>
                <w:lang w:val="es-ES_tradnl"/>
              </w:rPr>
              <w:t>a</w:t>
            </w:r>
            <w:r w:rsidRPr="000D0706">
              <w:rPr>
                <w:b/>
                <w:bCs/>
                <w:i w:val="0"/>
                <w:color w:val="auto"/>
                <w:lang w:val="es-ES_tradnl"/>
              </w:rPr>
              <w:t> I</w:t>
            </w:r>
            <w:r w:rsidRPr="000D0706">
              <w:rPr>
                <w:i w:val="0"/>
                <w:color w:val="auto"/>
                <w:lang w:val="es-ES_tradnl"/>
              </w:rPr>
              <w:t>).</w:t>
            </w:r>
          </w:p>
        </w:tc>
      </w:tr>
      <w:tr w:rsidR="007F69B2" w:rsidRPr="004F4CD0" w14:paraId="39793E4D" w14:textId="77777777" w:rsidTr="00DB3050">
        <w:trPr>
          <w:cantSplit/>
        </w:trPr>
        <w:tc>
          <w:tcPr>
            <w:tcW w:w="3010" w:type="dxa"/>
            <w:tcBorders>
              <w:top w:val="nil"/>
              <w:left w:val="single" w:sz="4" w:space="0" w:color="auto"/>
              <w:bottom w:val="single" w:sz="4" w:space="0" w:color="auto"/>
              <w:right w:val="nil"/>
            </w:tcBorders>
            <w:shd w:val="clear" w:color="auto" w:fill="auto"/>
          </w:tcPr>
          <w:p w14:paraId="2C4FBDD2" w14:textId="0DF607FE" w:rsidR="007F69B2" w:rsidRPr="004F4CD0" w:rsidRDefault="007F69B2" w:rsidP="00DB3050">
            <w:pPr>
              <w:jc w:val="center"/>
              <w:rPr>
                <w:b/>
                <w:bCs/>
                <w:lang w:val="es-ES_tradnl"/>
              </w:rPr>
            </w:pPr>
            <w:r w:rsidRPr="004F4CD0">
              <w:rPr>
                <w:b/>
                <w:bCs/>
                <w:lang w:val="es-ES_tradnl" w:eastAsia="ko-KR"/>
              </w:rPr>
              <w:t>Figur</w:t>
            </w:r>
            <w:r w:rsidR="00260AE2" w:rsidRPr="004F4CD0">
              <w:rPr>
                <w:b/>
                <w:bCs/>
                <w:lang w:val="es-ES_tradnl" w:eastAsia="ko-KR"/>
              </w:rPr>
              <w:t>a</w:t>
            </w:r>
            <w:r w:rsidRPr="004F4CD0">
              <w:rPr>
                <w:b/>
                <w:bCs/>
                <w:lang w:val="es-ES_tradnl" w:eastAsia="ko-KR"/>
              </w:rPr>
              <w:t xml:space="preserve"> I</w:t>
            </w:r>
          </w:p>
        </w:tc>
        <w:tc>
          <w:tcPr>
            <w:tcW w:w="6054" w:type="dxa"/>
            <w:vMerge/>
            <w:tcBorders>
              <w:left w:val="nil"/>
              <w:bottom w:val="single" w:sz="4" w:space="0" w:color="auto"/>
            </w:tcBorders>
            <w:shd w:val="clear" w:color="auto" w:fill="auto"/>
          </w:tcPr>
          <w:p w14:paraId="0A31F463" w14:textId="77777777" w:rsidR="007F69B2" w:rsidRPr="004F4CD0" w:rsidRDefault="007F69B2" w:rsidP="00DB3050">
            <w:pPr>
              <w:pStyle w:val="a7"/>
              <w:suppressAutoHyphens/>
              <w:rPr>
                <w:b/>
                <w:bCs/>
                <w:lang w:val="es-ES_tradnl"/>
              </w:rPr>
            </w:pPr>
          </w:p>
        </w:tc>
      </w:tr>
      <w:tr w:rsidR="007F69B2" w:rsidRPr="004F4CD0" w14:paraId="4DF4062F" w14:textId="77777777" w:rsidTr="00DB3050">
        <w:trPr>
          <w:cantSplit/>
        </w:trPr>
        <w:tc>
          <w:tcPr>
            <w:tcW w:w="3010" w:type="dxa"/>
            <w:tcBorders>
              <w:top w:val="single" w:sz="4" w:space="0" w:color="auto"/>
              <w:bottom w:val="nil"/>
              <w:right w:val="nil"/>
            </w:tcBorders>
            <w:shd w:val="clear" w:color="auto" w:fill="auto"/>
            <w:vAlign w:val="center"/>
          </w:tcPr>
          <w:p w14:paraId="7B57DC9F" w14:textId="77777777" w:rsidR="007F69B2" w:rsidRPr="004F4CD0" w:rsidRDefault="007F69B2" w:rsidP="00DB3050">
            <w:pPr>
              <w:keepNext/>
              <w:jc w:val="center"/>
              <w:rPr>
                <w:lang w:val="es-ES_tradnl"/>
              </w:rPr>
            </w:pPr>
          </w:p>
          <w:p w14:paraId="74B7B8FE" w14:textId="0014E5E7" w:rsidR="007F69B2" w:rsidRPr="004F4CD0" w:rsidRDefault="00950FBE" w:rsidP="00DB3050">
            <w:pPr>
              <w:keepNext/>
              <w:jc w:val="center"/>
              <w:rPr>
                <w:lang w:val="es-ES_tradnl"/>
              </w:rPr>
            </w:pPr>
            <w:r>
              <w:rPr>
                <w:noProof/>
                <w:lang w:val="en-US" w:eastAsia="zh-CN"/>
              </w:rPr>
              <w:pict w14:anchorId="243AD548">
                <v:shape id="_x0000_i1036" type="#_x0000_t75" alt="라인 아트, 스케치, 클립아트, 컬러링북이(가) 표시된 사진&#10;&#10;자동 생성된 설명" style="width:120.75pt;height:148.5pt;visibility:visible;mso-wrap-style:square">
                  <v:imagedata r:id="rId40" o:title="라인 아트, 스케치, 클립아트, 컬러링북이(가) 표시된 사진&#10;&#10;자동 생성된 설명"/>
                </v:shape>
              </w:pict>
            </w:r>
          </w:p>
          <w:p w14:paraId="4740E494" w14:textId="77777777" w:rsidR="007F69B2" w:rsidRPr="004F4CD0" w:rsidRDefault="007F69B2" w:rsidP="00DB3050">
            <w:pPr>
              <w:keepNext/>
              <w:jc w:val="center"/>
              <w:rPr>
                <w:lang w:val="es-ES_tradnl" w:eastAsia="ko-KR"/>
              </w:rPr>
            </w:pPr>
          </w:p>
        </w:tc>
        <w:tc>
          <w:tcPr>
            <w:tcW w:w="6054" w:type="dxa"/>
            <w:vMerge w:val="restart"/>
            <w:tcBorders>
              <w:top w:val="single" w:sz="4" w:space="0" w:color="auto"/>
              <w:left w:val="nil"/>
            </w:tcBorders>
            <w:shd w:val="clear" w:color="auto" w:fill="auto"/>
          </w:tcPr>
          <w:p w14:paraId="1F8DE8CB" w14:textId="3DE107D7" w:rsidR="007F69B2" w:rsidRPr="004F4CD0" w:rsidRDefault="007F69B2" w:rsidP="00DB3050">
            <w:pPr>
              <w:keepNext/>
              <w:suppressAutoHyphens/>
              <w:ind w:left="284" w:hanging="284"/>
              <w:rPr>
                <w:b/>
                <w:bCs/>
                <w:lang w:val="es-ES_tradnl" w:eastAsia="ko-KR"/>
              </w:rPr>
            </w:pPr>
            <w:r w:rsidRPr="004F4CD0">
              <w:rPr>
                <w:b/>
                <w:bCs/>
                <w:lang w:val="es-ES_tradnl" w:eastAsia="ko-KR"/>
              </w:rPr>
              <w:t>9.</w:t>
            </w:r>
            <w:r w:rsidRPr="004F4CD0">
              <w:rPr>
                <w:b/>
                <w:bCs/>
                <w:lang w:val="es-ES_tradnl"/>
              </w:rPr>
              <w:tab/>
            </w:r>
            <w:r w:rsidR="00CB10E0" w:rsidRPr="004F4CD0">
              <w:rPr>
                <w:b/>
                <w:bCs/>
                <w:lang w:val="es-ES_tradnl" w:eastAsia="ko-KR"/>
              </w:rPr>
              <w:t>Limpie el lugar de inyección</w:t>
            </w:r>
            <w:r w:rsidRPr="004F4CD0">
              <w:rPr>
                <w:b/>
                <w:bCs/>
                <w:lang w:val="es-ES_tradnl" w:eastAsia="ko-KR"/>
              </w:rPr>
              <w:t>.</w:t>
            </w:r>
          </w:p>
          <w:p w14:paraId="22288439" w14:textId="4E444DE9" w:rsidR="007F69B2" w:rsidRPr="000D0706" w:rsidRDefault="007F69B2" w:rsidP="00DB3050">
            <w:pPr>
              <w:pStyle w:val="a7"/>
              <w:keepNext/>
              <w:suppressAutoHyphens/>
              <w:ind w:left="283"/>
              <w:rPr>
                <w:i w:val="0"/>
                <w:iCs/>
                <w:color w:val="auto"/>
                <w:lang w:val="es-ES_tradnl"/>
              </w:rPr>
            </w:pPr>
            <w:r w:rsidRPr="000D0706">
              <w:rPr>
                <w:i w:val="0"/>
                <w:iCs/>
                <w:color w:val="auto"/>
                <w:lang w:val="es-ES_tradnl"/>
              </w:rPr>
              <w:t xml:space="preserve">9a. </w:t>
            </w:r>
            <w:r w:rsidR="00CB10E0" w:rsidRPr="000D0706">
              <w:rPr>
                <w:i w:val="0"/>
                <w:iCs/>
                <w:color w:val="auto"/>
                <w:lang w:val="es-ES_tradnl"/>
              </w:rPr>
              <w:t xml:space="preserve">Limpie el lugar de inyección con una toallita </w:t>
            </w:r>
            <w:r w:rsidR="00303B36" w:rsidRPr="004F4CD0">
              <w:rPr>
                <w:i w:val="0"/>
                <w:iCs/>
                <w:color w:val="auto"/>
                <w:lang w:val="es-ES_tradnl"/>
              </w:rPr>
              <w:t>con</w:t>
            </w:r>
            <w:r w:rsidR="00CB10E0" w:rsidRPr="000D0706">
              <w:rPr>
                <w:i w:val="0"/>
                <w:iCs/>
                <w:color w:val="auto"/>
                <w:lang w:val="es-ES_tradnl"/>
              </w:rPr>
              <w:t xml:space="preserve"> alcohol realizando un movimiento circular </w:t>
            </w:r>
            <w:r w:rsidRPr="000D0706">
              <w:rPr>
                <w:i w:val="0"/>
                <w:iCs/>
                <w:color w:val="auto"/>
                <w:lang w:val="es-ES_tradnl"/>
              </w:rPr>
              <w:t>(</w:t>
            </w:r>
            <w:r w:rsidR="00CB10E0" w:rsidRPr="000D0706">
              <w:rPr>
                <w:i w:val="0"/>
                <w:iCs/>
                <w:color w:val="auto"/>
                <w:lang w:val="es-ES_tradnl"/>
              </w:rPr>
              <w:t>véase la</w:t>
            </w:r>
            <w:r w:rsidRPr="000D0706">
              <w:rPr>
                <w:i w:val="0"/>
                <w:iCs/>
                <w:color w:val="auto"/>
                <w:lang w:val="es-ES_tradnl"/>
              </w:rPr>
              <w:t xml:space="preserve"> </w:t>
            </w:r>
            <w:r w:rsidRPr="000D0706">
              <w:rPr>
                <w:b/>
                <w:bCs/>
                <w:i w:val="0"/>
                <w:iCs/>
                <w:color w:val="auto"/>
                <w:lang w:val="es-ES_tradnl"/>
              </w:rPr>
              <w:t>Figur</w:t>
            </w:r>
            <w:r w:rsidR="00CB10E0" w:rsidRPr="000D0706">
              <w:rPr>
                <w:b/>
                <w:bCs/>
                <w:i w:val="0"/>
                <w:iCs/>
                <w:color w:val="auto"/>
                <w:lang w:val="es-ES_tradnl"/>
              </w:rPr>
              <w:t>a</w:t>
            </w:r>
            <w:r w:rsidRPr="000D0706">
              <w:rPr>
                <w:b/>
                <w:bCs/>
                <w:i w:val="0"/>
                <w:iCs/>
                <w:color w:val="auto"/>
                <w:lang w:val="es-ES_tradnl"/>
              </w:rPr>
              <w:t> J</w:t>
            </w:r>
            <w:r w:rsidRPr="000D0706">
              <w:rPr>
                <w:i w:val="0"/>
                <w:iCs/>
                <w:color w:val="auto"/>
                <w:lang w:val="es-ES_tradnl"/>
              </w:rPr>
              <w:t>).</w:t>
            </w:r>
          </w:p>
          <w:p w14:paraId="53E2FD64" w14:textId="28EB85A8" w:rsidR="00303B36" w:rsidRPr="004F4CD0" w:rsidRDefault="007F69B2" w:rsidP="00303B36">
            <w:pPr>
              <w:pStyle w:val="a7"/>
              <w:keepNext/>
              <w:suppressAutoHyphens/>
              <w:ind w:left="283"/>
              <w:rPr>
                <w:lang w:val="es-ES_tradnl"/>
              </w:rPr>
            </w:pPr>
            <w:r w:rsidRPr="000D0706">
              <w:rPr>
                <w:i w:val="0"/>
                <w:iCs/>
                <w:color w:val="auto"/>
                <w:lang w:val="es-ES_tradnl"/>
              </w:rPr>
              <w:t xml:space="preserve">9b. </w:t>
            </w:r>
            <w:r w:rsidR="00CB10E0" w:rsidRPr="000D0706">
              <w:rPr>
                <w:i w:val="0"/>
                <w:iCs/>
                <w:color w:val="auto"/>
                <w:lang w:val="es-ES_tradnl"/>
              </w:rPr>
              <w:t>Deje que la piel se seque antes de administrar la inyección.</w:t>
            </w:r>
          </w:p>
          <w:p w14:paraId="50BBC150" w14:textId="36658400" w:rsidR="007F69B2" w:rsidRPr="004F4CD0" w:rsidRDefault="00CB10E0" w:rsidP="007F69B2">
            <w:pPr>
              <w:pStyle w:val="a7"/>
              <w:keepNext/>
              <w:numPr>
                <w:ilvl w:val="0"/>
                <w:numId w:val="59"/>
              </w:numPr>
              <w:tabs>
                <w:tab w:val="left" w:pos="851"/>
              </w:tabs>
              <w:suppressAutoHyphens/>
              <w:ind w:left="851" w:hanging="284"/>
              <w:rPr>
                <w:lang w:val="es-ES_tradnl"/>
              </w:rPr>
            </w:pPr>
            <w:r w:rsidRPr="000D0706">
              <w:rPr>
                <w:b/>
                <w:bCs/>
                <w:i w:val="0"/>
                <w:iCs/>
                <w:color w:val="auto"/>
                <w:lang w:val="es-ES_tradnl"/>
              </w:rPr>
              <w:t xml:space="preserve">No </w:t>
            </w:r>
            <w:r w:rsidRPr="000D0706">
              <w:rPr>
                <w:i w:val="0"/>
                <w:iCs/>
                <w:color w:val="auto"/>
                <w:lang w:val="es-ES_tradnl"/>
              </w:rPr>
              <w:t>sople ni vuelva a tocar el lugar de inyección antes de administrar la inyección.</w:t>
            </w:r>
          </w:p>
        </w:tc>
      </w:tr>
      <w:tr w:rsidR="007F69B2" w:rsidRPr="004F4CD0" w14:paraId="729EE896" w14:textId="77777777" w:rsidTr="00DB3050">
        <w:trPr>
          <w:cantSplit/>
        </w:trPr>
        <w:tc>
          <w:tcPr>
            <w:tcW w:w="3010" w:type="dxa"/>
            <w:tcBorders>
              <w:top w:val="nil"/>
              <w:left w:val="single" w:sz="4" w:space="0" w:color="auto"/>
              <w:bottom w:val="single" w:sz="4" w:space="0" w:color="auto"/>
              <w:right w:val="nil"/>
            </w:tcBorders>
            <w:shd w:val="clear" w:color="auto" w:fill="auto"/>
          </w:tcPr>
          <w:p w14:paraId="259E1709" w14:textId="253F482D" w:rsidR="007F69B2" w:rsidRPr="004F4CD0" w:rsidRDefault="007F69B2" w:rsidP="00DB3050">
            <w:pPr>
              <w:jc w:val="center"/>
              <w:rPr>
                <w:b/>
                <w:bCs/>
                <w:lang w:val="es-ES_tradnl"/>
              </w:rPr>
            </w:pPr>
            <w:r w:rsidRPr="004F4CD0">
              <w:rPr>
                <w:b/>
                <w:bCs/>
                <w:lang w:val="es-ES_tradnl" w:eastAsia="ko-KR"/>
              </w:rPr>
              <w:t>Figur</w:t>
            </w:r>
            <w:r w:rsidR="00CB10E0" w:rsidRPr="004F4CD0">
              <w:rPr>
                <w:b/>
                <w:bCs/>
                <w:lang w:val="es-ES_tradnl" w:eastAsia="ko-KR"/>
              </w:rPr>
              <w:t>a</w:t>
            </w:r>
            <w:r w:rsidRPr="004F4CD0">
              <w:rPr>
                <w:b/>
                <w:bCs/>
                <w:lang w:val="es-ES_tradnl" w:eastAsia="ko-KR"/>
              </w:rPr>
              <w:t xml:space="preserve"> J</w:t>
            </w:r>
          </w:p>
        </w:tc>
        <w:tc>
          <w:tcPr>
            <w:tcW w:w="6054" w:type="dxa"/>
            <w:vMerge/>
            <w:tcBorders>
              <w:left w:val="nil"/>
              <w:bottom w:val="single" w:sz="4" w:space="0" w:color="auto"/>
            </w:tcBorders>
            <w:shd w:val="clear" w:color="auto" w:fill="auto"/>
          </w:tcPr>
          <w:p w14:paraId="3CE68591" w14:textId="77777777" w:rsidR="007F69B2" w:rsidRPr="004F4CD0" w:rsidRDefault="007F69B2" w:rsidP="00DB3050">
            <w:pPr>
              <w:pStyle w:val="a7"/>
              <w:suppressAutoHyphens/>
              <w:rPr>
                <w:b/>
                <w:bCs/>
                <w:lang w:val="es-ES_tradnl" w:eastAsia="ko-KR"/>
              </w:rPr>
            </w:pPr>
          </w:p>
        </w:tc>
      </w:tr>
    </w:tbl>
    <w:p w14:paraId="554DA552" w14:textId="77777777" w:rsidR="007F69B2" w:rsidRPr="004F4CD0" w:rsidRDefault="007F69B2" w:rsidP="007F69B2">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991"/>
        <w:gridCol w:w="6073"/>
      </w:tblGrid>
      <w:tr w:rsidR="007F69B2" w:rsidRPr="004F4CD0" w14:paraId="199E8F5D" w14:textId="77777777" w:rsidTr="00DB3050">
        <w:trPr>
          <w:cantSplit/>
          <w:tblHeader/>
        </w:trPr>
        <w:tc>
          <w:tcPr>
            <w:tcW w:w="9064" w:type="dxa"/>
            <w:gridSpan w:val="2"/>
            <w:tcBorders>
              <w:bottom w:val="single" w:sz="4" w:space="0" w:color="auto"/>
            </w:tcBorders>
            <w:shd w:val="clear" w:color="auto" w:fill="auto"/>
          </w:tcPr>
          <w:p w14:paraId="1ECC2B1C" w14:textId="7720FEE3" w:rsidR="007F69B2" w:rsidRPr="004F4CD0" w:rsidRDefault="00C24ABC" w:rsidP="00DB3050">
            <w:pPr>
              <w:keepNext/>
              <w:rPr>
                <w:b/>
                <w:bCs/>
                <w:lang w:val="es-ES_tradnl"/>
              </w:rPr>
            </w:pPr>
            <w:r w:rsidRPr="004F4CD0">
              <w:rPr>
                <w:b/>
                <w:bCs/>
                <w:lang w:val="es-ES_tradnl"/>
              </w:rPr>
              <w:lastRenderedPageBreak/>
              <w:t>Cómo administrar la inyección</w:t>
            </w:r>
          </w:p>
        </w:tc>
      </w:tr>
      <w:tr w:rsidR="007F69B2" w:rsidRPr="004F4CD0" w14:paraId="53D23160" w14:textId="77777777" w:rsidTr="00DB3050">
        <w:trPr>
          <w:cantSplit/>
        </w:trPr>
        <w:tc>
          <w:tcPr>
            <w:tcW w:w="2991" w:type="dxa"/>
            <w:tcBorders>
              <w:top w:val="single" w:sz="4" w:space="0" w:color="auto"/>
              <w:left w:val="single" w:sz="4" w:space="0" w:color="auto"/>
              <w:bottom w:val="nil"/>
              <w:right w:val="nil"/>
            </w:tcBorders>
            <w:shd w:val="clear" w:color="auto" w:fill="auto"/>
          </w:tcPr>
          <w:p w14:paraId="72EEB37B" w14:textId="77777777" w:rsidR="007F69B2" w:rsidRPr="004F4CD0" w:rsidRDefault="007F69B2" w:rsidP="00DB3050">
            <w:pPr>
              <w:keepNext/>
              <w:jc w:val="center"/>
              <w:rPr>
                <w:lang w:val="es-ES_tradnl" w:eastAsia="ko-KR"/>
              </w:rPr>
            </w:pPr>
          </w:p>
          <w:p w14:paraId="4A686793" w14:textId="5DB04D07" w:rsidR="007F69B2" w:rsidRPr="004F4CD0" w:rsidRDefault="00950FBE" w:rsidP="00DB3050">
            <w:pPr>
              <w:keepNext/>
              <w:jc w:val="center"/>
              <w:rPr>
                <w:lang w:val="es-ES_tradnl" w:eastAsia="ko-KR"/>
              </w:rPr>
            </w:pPr>
            <w:r>
              <w:rPr>
                <w:noProof/>
                <w:lang w:val="en-US" w:eastAsia="zh-CN"/>
              </w:rPr>
              <w:pict w14:anchorId="30663FF4">
                <v:shape id="_x0000_i1037" type="#_x0000_t75" alt="스케치, 그림, 라인 아트, 클립아트이(가) 표시된 사진&#10;&#10;자동 생성된 설명" style="width:132pt;height:163.5pt;visibility:visible;mso-wrap-style:square">
                  <v:imagedata r:id="rId41" o:title="스케치, 그림, 라인 아트, 클립아트이(가) 표시된 사진&#10;&#10;자동 생성된 설명"/>
                </v:shape>
              </w:pict>
            </w:r>
          </w:p>
          <w:p w14:paraId="225A4FD7" w14:textId="77777777" w:rsidR="007F69B2" w:rsidRPr="004F4CD0" w:rsidRDefault="007F69B2" w:rsidP="00DB3050">
            <w:pPr>
              <w:keepNext/>
              <w:jc w:val="center"/>
              <w:rPr>
                <w:lang w:val="es-ES_tradnl" w:eastAsia="ko-KR"/>
              </w:rPr>
            </w:pPr>
          </w:p>
        </w:tc>
        <w:tc>
          <w:tcPr>
            <w:tcW w:w="6073" w:type="dxa"/>
            <w:vMerge w:val="restart"/>
            <w:tcBorders>
              <w:top w:val="single" w:sz="4" w:space="0" w:color="auto"/>
              <w:left w:val="nil"/>
              <w:bottom w:val="nil"/>
              <w:right w:val="single" w:sz="4" w:space="0" w:color="auto"/>
            </w:tcBorders>
            <w:shd w:val="clear" w:color="auto" w:fill="auto"/>
          </w:tcPr>
          <w:p w14:paraId="7DB5B1FC" w14:textId="1729611F" w:rsidR="007F69B2" w:rsidRPr="004F4CD0" w:rsidRDefault="007F69B2" w:rsidP="00DB3050">
            <w:pPr>
              <w:keepNext/>
              <w:suppressAutoHyphens/>
              <w:ind w:left="284" w:hanging="284"/>
              <w:rPr>
                <w:b/>
                <w:bCs/>
                <w:lang w:val="es-ES_tradnl"/>
              </w:rPr>
            </w:pPr>
            <w:r w:rsidRPr="004F4CD0">
              <w:rPr>
                <w:b/>
                <w:bCs/>
                <w:lang w:val="es-ES_tradnl"/>
              </w:rPr>
              <w:t>10.</w:t>
            </w:r>
            <w:r w:rsidRPr="004F4CD0">
              <w:rPr>
                <w:lang w:val="es-ES_tradnl"/>
              </w:rPr>
              <w:t xml:space="preserve"> </w:t>
            </w:r>
            <w:r w:rsidRPr="004F4CD0">
              <w:rPr>
                <w:b/>
                <w:bCs/>
                <w:lang w:val="es-ES_tradnl"/>
              </w:rPr>
              <w:t>R</w:t>
            </w:r>
            <w:r w:rsidR="00C24ABC" w:rsidRPr="004F4CD0">
              <w:rPr>
                <w:b/>
                <w:bCs/>
                <w:lang w:val="es-ES_tradnl"/>
              </w:rPr>
              <w:t>etire el capuchón</w:t>
            </w:r>
            <w:r w:rsidRPr="004F4CD0">
              <w:rPr>
                <w:b/>
                <w:bCs/>
                <w:lang w:val="es-ES_tradnl"/>
              </w:rPr>
              <w:t>.</w:t>
            </w:r>
          </w:p>
          <w:p w14:paraId="3E7A0A4E" w14:textId="5BD3730E"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10a. </w:t>
            </w:r>
            <w:r w:rsidR="00E53158" w:rsidRPr="004F4CD0">
              <w:rPr>
                <w:i w:val="0"/>
                <w:color w:val="auto"/>
                <w:lang w:val="es-ES_tradnl"/>
              </w:rPr>
              <w:t>Sostenga</w:t>
            </w:r>
            <w:r w:rsidR="001D4DE4" w:rsidRPr="000D0706">
              <w:rPr>
                <w:i w:val="0"/>
                <w:color w:val="auto"/>
                <w:lang w:val="es-ES_tradnl"/>
              </w:rPr>
              <w:t xml:space="preserve"> la jeringa precargada por el cuerpo con una mano, entre el dedo pulgar y el dedo índice. Con la otra mano, tire </w:t>
            </w:r>
            <w:r w:rsidR="00E53158" w:rsidRPr="004F4CD0">
              <w:rPr>
                <w:i w:val="0"/>
                <w:color w:val="auto"/>
                <w:lang w:val="es-ES_tradnl"/>
              </w:rPr>
              <w:t xml:space="preserve">con cuidado </w:t>
            </w:r>
            <w:r w:rsidR="001D4DE4" w:rsidRPr="000D0706">
              <w:rPr>
                <w:i w:val="0"/>
                <w:color w:val="auto"/>
                <w:lang w:val="es-ES_tradnl"/>
              </w:rPr>
              <w:t xml:space="preserve">del capuchón de la aguja en sentido horizontal para retirarlo </w:t>
            </w:r>
            <w:r w:rsidRPr="000D0706">
              <w:rPr>
                <w:i w:val="0"/>
                <w:color w:val="auto"/>
                <w:lang w:val="es-ES_tradnl"/>
              </w:rPr>
              <w:t>(</w:t>
            </w:r>
            <w:r w:rsidR="001D4DE4"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1D4DE4" w:rsidRPr="000D0706">
              <w:rPr>
                <w:b/>
                <w:bCs/>
                <w:i w:val="0"/>
                <w:color w:val="auto"/>
                <w:lang w:val="es-ES_tradnl"/>
              </w:rPr>
              <w:t>a</w:t>
            </w:r>
            <w:r w:rsidRPr="000D0706">
              <w:rPr>
                <w:b/>
                <w:bCs/>
                <w:i w:val="0"/>
                <w:color w:val="auto"/>
                <w:lang w:val="es-ES_tradnl"/>
              </w:rPr>
              <w:t> K</w:t>
            </w:r>
            <w:r w:rsidRPr="000D0706">
              <w:rPr>
                <w:i w:val="0"/>
                <w:color w:val="auto"/>
                <w:lang w:val="es-ES_tradnl"/>
              </w:rPr>
              <w:t>).</w:t>
            </w:r>
          </w:p>
          <w:p w14:paraId="6AEA329E" w14:textId="38DD5101"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w:t>
            </w:r>
            <w:r w:rsidR="00E53158" w:rsidRPr="004F4CD0">
              <w:rPr>
                <w:i w:val="0"/>
                <w:color w:val="auto"/>
                <w:lang w:val="es-ES_tradnl"/>
              </w:rPr>
              <w:t>sostenga</w:t>
            </w:r>
            <w:r w:rsidRPr="000D0706">
              <w:rPr>
                <w:i w:val="0"/>
                <w:color w:val="auto"/>
                <w:lang w:val="es-ES_tradnl"/>
              </w:rPr>
              <w:t xml:space="preserve"> el émbolo mientras retira el capuchón.</w:t>
            </w:r>
          </w:p>
          <w:p w14:paraId="35A4C0E6" w14:textId="676675D3"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Puede que observe una gota de líquido en la punta de la aguja. Es normal.</w:t>
            </w:r>
          </w:p>
          <w:p w14:paraId="0C8907CE" w14:textId="06A67BA2"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10b. </w:t>
            </w:r>
            <w:r w:rsidR="00181826" w:rsidRPr="004F4CD0">
              <w:rPr>
                <w:i w:val="0"/>
                <w:color w:val="auto"/>
                <w:lang w:val="es-ES_tradnl"/>
              </w:rPr>
              <w:t>Deseche</w:t>
            </w:r>
            <w:r w:rsidR="001D4DE4" w:rsidRPr="000D0706">
              <w:rPr>
                <w:i w:val="0"/>
                <w:color w:val="auto"/>
                <w:lang w:val="es-ES_tradnl"/>
              </w:rPr>
              <w:t xml:space="preserve"> inmediatamente el capuchón </w:t>
            </w:r>
            <w:r w:rsidR="00181826" w:rsidRPr="004F4CD0">
              <w:rPr>
                <w:i w:val="0"/>
                <w:color w:val="auto"/>
                <w:lang w:val="es-ES_tradnl"/>
              </w:rPr>
              <w:t>en</w:t>
            </w:r>
            <w:r w:rsidR="001D4DE4" w:rsidRPr="000D0706">
              <w:rPr>
                <w:i w:val="0"/>
                <w:color w:val="auto"/>
                <w:lang w:val="es-ES_tradnl"/>
              </w:rPr>
              <w:t xml:space="preserve"> un </w:t>
            </w:r>
            <w:r w:rsidR="00181826" w:rsidRPr="004F4CD0">
              <w:rPr>
                <w:i w:val="0"/>
                <w:color w:val="auto"/>
                <w:lang w:val="es-ES_tradnl"/>
              </w:rPr>
              <w:t>recipiente</w:t>
            </w:r>
            <w:r w:rsidR="001D4DE4" w:rsidRPr="000D0706">
              <w:rPr>
                <w:i w:val="0"/>
                <w:color w:val="auto"/>
                <w:lang w:val="es-ES_tradnl"/>
              </w:rPr>
              <w:t xml:space="preserve"> para objetos </w:t>
            </w:r>
            <w:r w:rsidR="00ED1F20" w:rsidRPr="000D0706">
              <w:rPr>
                <w:i w:val="0"/>
                <w:color w:val="auto"/>
                <w:lang w:val="es-ES_tradnl"/>
              </w:rPr>
              <w:t>punzocortantes</w:t>
            </w:r>
            <w:r w:rsidR="001D4DE4" w:rsidRPr="000D0706">
              <w:rPr>
                <w:i w:val="0"/>
                <w:color w:val="auto"/>
                <w:lang w:val="es-ES_tradnl"/>
              </w:rPr>
              <w:t xml:space="preserve"> </w:t>
            </w:r>
            <w:r w:rsidRPr="000D0706">
              <w:rPr>
                <w:i w:val="0"/>
                <w:color w:val="auto"/>
                <w:lang w:val="es-ES_tradnl"/>
              </w:rPr>
              <w:t>(</w:t>
            </w:r>
            <w:r w:rsidR="001D4DE4" w:rsidRPr="000D0706">
              <w:rPr>
                <w:i w:val="0"/>
                <w:color w:val="auto"/>
                <w:lang w:val="es-ES_tradnl"/>
              </w:rPr>
              <w:t>véa</w:t>
            </w:r>
            <w:r w:rsidR="00181826" w:rsidRPr="004F4CD0">
              <w:rPr>
                <w:i w:val="0"/>
                <w:color w:val="auto"/>
                <w:lang w:val="es-ES_tradnl"/>
              </w:rPr>
              <w:t>n</w:t>
            </w:r>
            <w:r w:rsidR="001D4DE4" w:rsidRPr="000D0706">
              <w:rPr>
                <w:i w:val="0"/>
                <w:color w:val="auto"/>
                <w:lang w:val="es-ES_tradnl"/>
              </w:rPr>
              <w:t>se el</w:t>
            </w:r>
            <w:r w:rsidRPr="000D0706">
              <w:rPr>
                <w:i w:val="0"/>
                <w:color w:val="auto"/>
                <w:lang w:val="es-ES_tradnl"/>
              </w:rPr>
              <w:t xml:space="preserve"> </w:t>
            </w:r>
            <w:r w:rsidR="001D4DE4" w:rsidRPr="000D0706">
              <w:rPr>
                <w:b/>
                <w:bCs/>
                <w:i w:val="0"/>
                <w:color w:val="auto"/>
                <w:lang w:val="es-ES_tradnl"/>
              </w:rPr>
              <w:t>Paso</w:t>
            </w:r>
            <w:r w:rsidRPr="000D0706">
              <w:rPr>
                <w:b/>
                <w:bCs/>
                <w:i w:val="0"/>
                <w:color w:val="auto"/>
                <w:lang w:val="es-ES_tradnl"/>
              </w:rPr>
              <w:t> 15</w:t>
            </w:r>
            <w:r w:rsidRPr="000D0706">
              <w:rPr>
                <w:i w:val="0"/>
                <w:color w:val="auto"/>
                <w:lang w:val="es-ES_tradnl"/>
              </w:rPr>
              <w:t xml:space="preserve"> </w:t>
            </w:r>
            <w:r w:rsidR="001D4DE4" w:rsidRPr="000D0706">
              <w:rPr>
                <w:i w:val="0"/>
                <w:color w:val="auto"/>
                <w:lang w:val="es-ES_tradnl"/>
              </w:rPr>
              <w:t>y la</w:t>
            </w:r>
            <w:r w:rsidRPr="000D0706">
              <w:rPr>
                <w:i w:val="0"/>
                <w:color w:val="auto"/>
                <w:lang w:val="es-ES_tradnl"/>
              </w:rPr>
              <w:t xml:space="preserve"> </w:t>
            </w:r>
            <w:r w:rsidRPr="000D0706">
              <w:rPr>
                <w:b/>
                <w:bCs/>
                <w:i w:val="0"/>
                <w:color w:val="auto"/>
                <w:lang w:val="es-ES_tradnl"/>
              </w:rPr>
              <w:t>Figur</w:t>
            </w:r>
            <w:r w:rsidR="001D4DE4" w:rsidRPr="000D0706">
              <w:rPr>
                <w:b/>
                <w:bCs/>
                <w:i w:val="0"/>
                <w:color w:val="auto"/>
                <w:lang w:val="es-ES_tradnl"/>
              </w:rPr>
              <w:t>a</w:t>
            </w:r>
            <w:r w:rsidRPr="000D0706">
              <w:rPr>
                <w:b/>
                <w:bCs/>
                <w:i w:val="0"/>
                <w:color w:val="auto"/>
                <w:lang w:val="es-ES_tradnl"/>
              </w:rPr>
              <w:t> K</w:t>
            </w:r>
            <w:r w:rsidRPr="000D0706">
              <w:rPr>
                <w:i w:val="0"/>
                <w:color w:val="auto"/>
                <w:lang w:val="es-ES_tradnl"/>
              </w:rPr>
              <w:t>).</w:t>
            </w:r>
          </w:p>
          <w:p w14:paraId="7FFD31EA" w14:textId="7F417688"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utilice la jeringa precargada si se le cae después de haber retirado el capuchón de la aguja. En tal caso, use una jeringa precargada nueva.</w:t>
            </w:r>
          </w:p>
          <w:p w14:paraId="2F70D42C" w14:textId="3A9AB688"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Retire el capuchón de la aguja solo cuando esté listo para administrar la inyección.</w:t>
            </w:r>
          </w:p>
          <w:p w14:paraId="168860B2" w14:textId="6FB4FB71" w:rsidR="007F69B2" w:rsidRPr="000D0706" w:rsidRDefault="001D4DE4"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intente volver a poner el capuchón de la aguja </w:t>
            </w:r>
            <w:r w:rsidR="00181826" w:rsidRPr="004F4CD0">
              <w:rPr>
                <w:i w:val="0"/>
                <w:color w:val="auto"/>
                <w:lang w:val="es-ES_tradnl"/>
              </w:rPr>
              <w:t>en</w:t>
            </w:r>
            <w:r w:rsidRPr="000D0706">
              <w:rPr>
                <w:i w:val="0"/>
                <w:color w:val="auto"/>
                <w:lang w:val="es-ES_tradnl"/>
              </w:rPr>
              <w:t xml:space="preserve"> la jeringa precargada.</w:t>
            </w:r>
          </w:p>
          <w:p w14:paraId="08F255CC" w14:textId="77920D38" w:rsidR="007F69B2" w:rsidRPr="000D0706" w:rsidRDefault="001D4DE4" w:rsidP="007F69B2">
            <w:pPr>
              <w:pStyle w:val="a7"/>
              <w:keepNext/>
              <w:numPr>
                <w:ilvl w:val="0"/>
                <w:numId w:val="59"/>
              </w:numPr>
              <w:tabs>
                <w:tab w:val="left" w:pos="851"/>
              </w:tabs>
              <w:suppressAutoHyphens/>
              <w:ind w:left="851" w:hanging="284"/>
              <w:rPr>
                <w:i w:val="0"/>
                <w:color w:val="auto"/>
                <w:lang w:val="es-ES_tradnl" w:eastAsia="ko-KR"/>
              </w:rPr>
            </w:pPr>
            <w:r w:rsidRPr="000D0706">
              <w:rPr>
                <w:b/>
                <w:bCs/>
                <w:i w:val="0"/>
                <w:color w:val="auto"/>
                <w:lang w:val="es-ES_tradnl"/>
              </w:rPr>
              <w:t>No</w:t>
            </w:r>
            <w:r w:rsidRPr="000D0706">
              <w:rPr>
                <w:i w:val="0"/>
                <w:color w:val="auto"/>
                <w:lang w:val="es-ES_tradnl"/>
              </w:rPr>
              <w:t xml:space="preserve"> toque la aguja. De lo contrario, podría pincharse.</w:t>
            </w:r>
          </w:p>
        </w:tc>
      </w:tr>
      <w:tr w:rsidR="007F69B2" w:rsidRPr="004F4CD0" w14:paraId="57FC49BA" w14:textId="77777777" w:rsidTr="00DB3050">
        <w:trPr>
          <w:cantSplit/>
        </w:trPr>
        <w:tc>
          <w:tcPr>
            <w:tcW w:w="2991" w:type="dxa"/>
            <w:tcBorders>
              <w:top w:val="nil"/>
              <w:left w:val="single" w:sz="4" w:space="0" w:color="auto"/>
              <w:bottom w:val="single" w:sz="4" w:space="0" w:color="auto"/>
              <w:right w:val="nil"/>
            </w:tcBorders>
            <w:shd w:val="clear" w:color="auto" w:fill="auto"/>
          </w:tcPr>
          <w:p w14:paraId="41BD078B" w14:textId="18C50766" w:rsidR="007F69B2" w:rsidRPr="004F4CD0" w:rsidRDefault="007F69B2" w:rsidP="00DB3050">
            <w:pPr>
              <w:jc w:val="center"/>
              <w:rPr>
                <w:b/>
                <w:bCs/>
                <w:lang w:val="es-ES_tradnl" w:eastAsia="ko-KR"/>
              </w:rPr>
            </w:pPr>
            <w:r w:rsidRPr="004F4CD0">
              <w:rPr>
                <w:b/>
                <w:bCs/>
                <w:lang w:val="es-ES_tradnl" w:eastAsia="ko-KR"/>
              </w:rPr>
              <w:t>Figur</w:t>
            </w:r>
            <w:r w:rsidR="001D4DE4" w:rsidRPr="004F4CD0">
              <w:rPr>
                <w:b/>
                <w:bCs/>
                <w:lang w:val="es-ES_tradnl" w:eastAsia="ko-KR"/>
              </w:rPr>
              <w:t>a</w:t>
            </w:r>
            <w:r w:rsidRPr="004F4CD0">
              <w:rPr>
                <w:b/>
                <w:bCs/>
                <w:lang w:val="es-ES_tradnl" w:eastAsia="ko-KR"/>
              </w:rPr>
              <w:t xml:space="preserve"> K</w:t>
            </w:r>
          </w:p>
        </w:tc>
        <w:tc>
          <w:tcPr>
            <w:tcW w:w="6073" w:type="dxa"/>
            <w:vMerge/>
            <w:tcBorders>
              <w:top w:val="nil"/>
              <w:left w:val="nil"/>
              <w:bottom w:val="single" w:sz="4" w:space="0" w:color="auto"/>
              <w:right w:val="single" w:sz="4" w:space="0" w:color="auto"/>
            </w:tcBorders>
            <w:shd w:val="clear" w:color="auto" w:fill="auto"/>
          </w:tcPr>
          <w:p w14:paraId="0BD726E8" w14:textId="77777777" w:rsidR="007F69B2" w:rsidRPr="000D0706" w:rsidRDefault="007F69B2" w:rsidP="00DB3050">
            <w:pPr>
              <w:pStyle w:val="a7"/>
              <w:suppressAutoHyphens/>
              <w:rPr>
                <w:b/>
                <w:bCs/>
                <w:i w:val="0"/>
                <w:color w:val="auto"/>
                <w:lang w:val="es-ES_tradnl"/>
              </w:rPr>
            </w:pPr>
          </w:p>
        </w:tc>
      </w:tr>
      <w:tr w:rsidR="007F69B2" w:rsidRPr="004F4CD0" w14:paraId="20247ABC" w14:textId="77777777" w:rsidTr="00DB3050">
        <w:trPr>
          <w:cantSplit/>
        </w:trPr>
        <w:tc>
          <w:tcPr>
            <w:tcW w:w="2991" w:type="dxa"/>
            <w:tcBorders>
              <w:top w:val="single" w:sz="4" w:space="0" w:color="auto"/>
              <w:left w:val="single" w:sz="4" w:space="0" w:color="auto"/>
              <w:bottom w:val="nil"/>
              <w:right w:val="nil"/>
            </w:tcBorders>
            <w:shd w:val="clear" w:color="auto" w:fill="auto"/>
            <w:vAlign w:val="center"/>
          </w:tcPr>
          <w:p w14:paraId="04A54E4C" w14:textId="2D257E9A" w:rsidR="007F69B2" w:rsidRPr="004F4CD0" w:rsidRDefault="00000000" w:rsidP="00DB3050">
            <w:pPr>
              <w:keepNext/>
              <w:jc w:val="center"/>
              <w:rPr>
                <w:lang w:val="es-ES_tradnl"/>
              </w:rPr>
            </w:pPr>
            <w:r>
              <w:rPr>
                <w:noProof/>
              </w:rPr>
              <w:pict w14:anchorId="5CC5D912">
                <v:shape id="Text Box 21" o:spid="_x0000_s2072" type="#_x0000_t202" style="position:absolute;left:0;text-align:left;margin-left:113.95pt;margin-top:151.35pt;width:26.1pt;height:36.85pt;z-index:9;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" filled="f" stroked="f">
                  <v:textbox inset="0,0,0,0">
                    <w:txbxContent>
                      <w:p w14:paraId="609F6CFF" w14:textId="77777777" w:rsidR="00374D93" w:rsidRPr="00D723EF" w:rsidRDefault="00374D93" w:rsidP="007F69B2">
                        <w:pPr>
                          <w:rPr>
                            <w:rFonts w:ascii="Arial" w:hAnsi="Arial" w:cs="Arial"/>
                            <w:b/>
                            <w:bCs/>
                            <w:sz w:val="24"/>
                            <w:szCs w:val="24"/>
                          </w:rPr>
                        </w:pPr>
                        <w:r>
                          <w:rPr>
                            <w:rFonts w:ascii="Arial" w:hAnsi="Arial" w:cs="Arial"/>
                            <w:b/>
                            <w:bCs/>
                            <w:sz w:val="24"/>
                            <w:szCs w:val="24"/>
                          </w:rPr>
                          <w:t>45°</w:t>
                        </w:r>
                      </w:p>
                    </w:txbxContent>
                  </v:textbox>
                  <w10:wrap anchory="page"/>
                  <w10:anchorlock/>
                </v:shape>
              </w:pict>
            </w:r>
            <w:r>
              <w:rPr>
                <w:noProof/>
              </w:rPr>
              <w:pict w14:anchorId="2C9298A6">
                <v:shape id="Text Box 19" o:spid="_x0000_s2071" type="#_x0000_t202" style="position:absolute;left:0;text-align:left;margin-left:54.65pt;margin-top:42.25pt;width:54pt;height:36.85pt;z-index: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" filled="f" stroked="f">
                  <v:textbox inset="0,0,0,0">
                    <w:txbxContent>
                      <w:p w14:paraId="367AA468" w14:textId="77777777" w:rsidR="00374D93" w:rsidRPr="00D723EF" w:rsidRDefault="00374D93" w:rsidP="007F69B2">
                        <w:pPr>
                          <w:rPr>
                            <w:rFonts w:ascii="Arial" w:hAnsi="Arial" w:cs="Arial"/>
                            <w:b/>
                            <w:bCs/>
                            <w:sz w:val="24"/>
                            <w:szCs w:val="24"/>
                          </w:rPr>
                        </w:pPr>
                        <w:r>
                          <w:rPr>
                            <w:rFonts w:ascii="Arial" w:hAnsi="Arial" w:cs="Arial"/>
                            <w:b/>
                            <w:bCs/>
                            <w:sz w:val="24"/>
                            <w:szCs w:val="24"/>
                          </w:rPr>
                          <w:t>45°</w:t>
                        </w:r>
                      </w:p>
                    </w:txbxContent>
                  </v:textbox>
                  <w10:wrap anchory="page"/>
                  <w10:anchorlock/>
                </v:shape>
              </w:pict>
            </w:r>
            <w:r>
              <w:rPr>
                <w:noProof/>
              </w:rPr>
              <w:pict w14:anchorId="6A2B8907">
                <v:shape id="Text Box 17" o:spid="_x0000_s2070" type="#_x0000_t202" style="position:absolute;left:0;text-align:left;margin-left:43.95pt;margin-top:123.8pt;width:50pt;height:31.5pt;z-index:7;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" filled="f" stroked="f">
                  <v:textbox inset="0,0,0,0">
                    <w:txbxContent>
                      <w:p w14:paraId="56BFA58F" w14:textId="499C7A10" w:rsidR="00374D93" w:rsidRPr="007F69B2" w:rsidRDefault="00A90132" w:rsidP="007F69B2">
                        <w:pPr>
                          <w:jc w:val="center"/>
                          <w:rPr>
                            <w:rFonts w:ascii="Arial" w:hAnsi="Arial" w:cs="Arial"/>
                            <w:b/>
                            <w:bCs/>
                            <w:color w:val="FFFFFF"/>
                            <w:sz w:val="24"/>
                            <w:szCs w:val="24"/>
                          </w:rPr>
                        </w:pPr>
                        <w:r w:rsidRPr="00A90132">
                          <w:rPr>
                            <w:rFonts w:ascii="Arial" w:hAnsi="Arial" w:cs="Arial"/>
                            <w:b/>
                            <w:bCs/>
                            <w:color w:val="FFFFFF"/>
                            <w:sz w:val="24"/>
                            <w:szCs w:val="24"/>
                          </w:rPr>
                          <w:t>O BIEN</w:t>
                        </w:r>
                        <w:r>
                          <w:rPr>
                            <w:rFonts w:ascii="Arial" w:hAnsi="Arial" w:cs="Arial"/>
                            <w:b/>
                            <w:bCs/>
                            <w:color w:val="FFFFFF"/>
                            <w:sz w:val="24"/>
                            <w:szCs w:val="24"/>
                          </w:rPr>
                          <w:t xml:space="preserve"> </w:t>
                        </w:r>
                      </w:p>
                    </w:txbxContent>
                  </v:textbox>
                  <w10:wrap anchory="page"/>
                  <w10:anchorlock/>
                </v:shape>
              </w:pict>
            </w:r>
          </w:p>
          <w:p w14:paraId="54B97866" w14:textId="4B7A73FF" w:rsidR="007F69B2" w:rsidRPr="004F4CD0" w:rsidRDefault="00950FBE" w:rsidP="00DB3050">
            <w:pPr>
              <w:keepNext/>
              <w:jc w:val="center"/>
              <w:rPr>
                <w:lang w:val="es-ES_tradnl"/>
              </w:rPr>
            </w:pPr>
            <w:r>
              <w:rPr>
                <w:noProof/>
                <w:lang w:val="en-US" w:eastAsia="zh-CN"/>
              </w:rPr>
              <w:pict w14:anchorId="396AA64C">
                <v:shape id="_x0000_i1038" type="#_x0000_t75" style="width:135.75pt;height:232.5pt;visibility:visible;mso-wrap-style:square">
                  <v:imagedata r:id="rId42" o:title="" croptop="1682f" cropbottom="1135f" cropleft="1893f" cropright="2129f"/>
                </v:shape>
              </w:pict>
            </w:r>
          </w:p>
          <w:p w14:paraId="6A4CC322" w14:textId="77777777" w:rsidR="007F69B2" w:rsidRPr="004F4CD0" w:rsidRDefault="007F69B2" w:rsidP="00DB3050">
            <w:pPr>
              <w:keepNext/>
              <w:jc w:val="center"/>
              <w:rPr>
                <w:lang w:val="es-ES_tradnl" w:eastAsia="ko-KR"/>
              </w:rPr>
            </w:pPr>
          </w:p>
        </w:tc>
        <w:tc>
          <w:tcPr>
            <w:tcW w:w="6073" w:type="dxa"/>
            <w:vMerge w:val="restart"/>
            <w:tcBorders>
              <w:top w:val="single" w:sz="4" w:space="0" w:color="auto"/>
              <w:left w:val="nil"/>
              <w:bottom w:val="nil"/>
              <w:right w:val="single" w:sz="4" w:space="0" w:color="auto"/>
            </w:tcBorders>
            <w:shd w:val="clear" w:color="auto" w:fill="auto"/>
          </w:tcPr>
          <w:p w14:paraId="1DE6E6A4" w14:textId="3B52573C" w:rsidR="007F69B2" w:rsidRPr="004F4CD0" w:rsidRDefault="007F69B2" w:rsidP="00DB3050">
            <w:pPr>
              <w:keepNext/>
              <w:suppressAutoHyphens/>
              <w:ind w:left="284" w:hanging="284"/>
              <w:rPr>
                <w:b/>
                <w:bCs/>
                <w:lang w:val="es-ES_tradnl" w:eastAsia="ko-KR"/>
              </w:rPr>
            </w:pPr>
            <w:r w:rsidRPr="004F4CD0">
              <w:rPr>
                <w:b/>
                <w:bCs/>
                <w:lang w:val="es-ES_tradnl" w:eastAsia="ko-KR"/>
              </w:rPr>
              <w:t xml:space="preserve">11. </w:t>
            </w:r>
            <w:r w:rsidR="00D22527" w:rsidRPr="004F4CD0">
              <w:rPr>
                <w:b/>
                <w:bCs/>
                <w:lang w:val="es-ES_tradnl"/>
              </w:rPr>
              <w:t>Inserte la jeringa precargada en el lugar de inyección</w:t>
            </w:r>
            <w:r w:rsidRPr="004F4CD0">
              <w:rPr>
                <w:b/>
                <w:bCs/>
                <w:lang w:val="es-ES_tradnl" w:eastAsia="ko-KR"/>
              </w:rPr>
              <w:t>.</w:t>
            </w:r>
          </w:p>
          <w:p w14:paraId="6F0AA5A9" w14:textId="77777777" w:rsidR="00E53158" w:rsidRPr="004F4CD0" w:rsidRDefault="007F69B2" w:rsidP="00DB3050">
            <w:pPr>
              <w:pStyle w:val="a7"/>
              <w:keepNext/>
              <w:suppressAutoHyphens/>
              <w:ind w:left="283"/>
              <w:rPr>
                <w:i w:val="0"/>
                <w:color w:val="auto"/>
                <w:lang w:val="es-ES_tradnl"/>
              </w:rPr>
            </w:pPr>
            <w:r w:rsidRPr="000D0706">
              <w:rPr>
                <w:i w:val="0"/>
                <w:color w:val="auto"/>
                <w:lang w:val="es-ES_tradnl"/>
              </w:rPr>
              <w:t xml:space="preserve">11a. </w:t>
            </w:r>
            <w:r w:rsidR="003D5CDF" w:rsidRPr="000D0706">
              <w:rPr>
                <w:i w:val="0"/>
                <w:color w:val="auto"/>
                <w:lang w:val="es-ES_tradnl"/>
              </w:rPr>
              <w:t>Sostenga</w:t>
            </w:r>
            <w:r w:rsidR="00D22527" w:rsidRPr="000D0706">
              <w:rPr>
                <w:i w:val="0"/>
                <w:color w:val="auto"/>
                <w:lang w:val="es-ES_tradnl"/>
              </w:rPr>
              <w:t xml:space="preserve"> la jeringa precargada por el cuerpo con una mano, entre el dedo pulgar y el dedo índice.</w:t>
            </w:r>
          </w:p>
          <w:p w14:paraId="0D394061" w14:textId="7F110964"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11b. </w:t>
            </w:r>
            <w:r w:rsidR="00D22527" w:rsidRPr="000D0706">
              <w:rPr>
                <w:i w:val="0"/>
                <w:color w:val="auto"/>
                <w:lang w:val="es-ES_tradnl"/>
              </w:rPr>
              <w:t>Con la otra mano, pellizque suavemente</w:t>
            </w:r>
            <w:r w:rsidR="003D5CDF" w:rsidRPr="000D0706">
              <w:rPr>
                <w:i w:val="0"/>
                <w:color w:val="auto"/>
                <w:lang w:val="es-ES_tradnl"/>
              </w:rPr>
              <w:t xml:space="preserve"> la piel limpia entre el dedo pulgar y el dedo índice</w:t>
            </w:r>
            <w:r w:rsidRPr="000D0706">
              <w:rPr>
                <w:i w:val="0"/>
                <w:color w:val="auto"/>
                <w:lang w:val="es-ES_tradnl"/>
              </w:rPr>
              <w:t xml:space="preserve">. </w:t>
            </w:r>
            <w:r w:rsidR="003D5CDF" w:rsidRPr="000D0706">
              <w:rPr>
                <w:b/>
                <w:bCs/>
                <w:i w:val="0"/>
                <w:color w:val="auto"/>
                <w:lang w:val="es-ES_tradnl"/>
              </w:rPr>
              <w:t>N</w:t>
            </w:r>
            <w:r w:rsidRPr="000D0706">
              <w:rPr>
                <w:b/>
                <w:bCs/>
                <w:i w:val="0"/>
                <w:color w:val="auto"/>
                <w:lang w:val="es-ES_tradnl"/>
              </w:rPr>
              <w:t>o</w:t>
            </w:r>
            <w:r w:rsidRPr="000D0706">
              <w:rPr>
                <w:i w:val="0"/>
                <w:color w:val="auto"/>
                <w:lang w:val="es-ES_tradnl"/>
              </w:rPr>
              <w:t xml:space="preserve"> </w:t>
            </w:r>
            <w:r w:rsidR="00181826" w:rsidRPr="004F4CD0">
              <w:rPr>
                <w:i w:val="0"/>
                <w:color w:val="auto"/>
                <w:lang w:val="es-ES_tradnl"/>
              </w:rPr>
              <w:t xml:space="preserve">la </w:t>
            </w:r>
            <w:r w:rsidR="003D5CDF" w:rsidRPr="000D0706">
              <w:rPr>
                <w:i w:val="0"/>
                <w:color w:val="auto"/>
                <w:lang w:val="es-ES_tradnl"/>
              </w:rPr>
              <w:t>apriete</w:t>
            </w:r>
            <w:r w:rsidR="00181826" w:rsidRPr="004F4CD0">
              <w:rPr>
                <w:i w:val="0"/>
                <w:color w:val="auto"/>
                <w:lang w:val="es-ES_tradnl"/>
              </w:rPr>
              <w:t xml:space="preserve"> fuertemente</w:t>
            </w:r>
            <w:r w:rsidRPr="000D0706">
              <w:rPr>
                <w:i w:val="0"/>
                <w:color w:val="auto"/>
                <w:lang w:val="es-ES_tradnl"/>
              </w:rPr>
              <w:t>.</w:t>
            </w:r>
          </w:p>
          <w:p w14:paraId="6867913E" w14:textId="2135D1BA" w:rsidR="007F69B2" w:rsidRPr="000D0706" w:rsidRDefault="007F69B2" w:rsidP="00DB3050">
            <w:pPr>
              <w:pStyle w:val="a7"/>
              <w:keepNext/>
              <w:suppressAutoHyphens/>
              <w:ind w:left="283"/>
              <w:rPr>
                <w:i w:val="0"/>
                <w:color w:val="auto"/>
                <w:lang w:val="es-ES_tradnl"/>
              </w:rPr>
            </w:pPr>
            <w:r w:rsidRPr="000D0706">
              <w:rPr>
                <w:iCs/>
                <w:color w:val="auto"/>
                <w:lang w:val="es-ES_tradnl"/>
              </w:rPr>
              <w:t>Not</w:t>
            </w:r>
            <w:r w:rsidR="003D5CDF" w:rsidRPr="000D0706">
              <w:rPr>
                <w:iCs/>
                <w:color w:val="auto"/>
                <w:lang w:val="es-ES_tradnl"/>
              </w:rPr>
              <w:t>a</w:t>
            </w:r>
            <w:r w:rsidRPr="000D0706">
              <w:rPr>
                <w:i w:val="0"/>
                <w:color w:val="auto"/>
                <w:lang w:val="es-ES_tradnl"/>
              </w:rPr>
              <w:t xml:space="preserve">: </w:t>
            </w:r>
            <w:r w:rsidR="003D5CDF" w:rsidRPr="000D0706">
              <w:rPr>
                <w:i w:val="0"/>
                <w:color w:val="auto"/>
                <w:lang w:val="es-ES_tradnl"/>
              </w:rPr>
              <w:t>Es importante seguir pellizcando la piel mientras se inserta la aguja bajo la piel (en la zona grasa), pero no se debe insertar más profundamente (en el músculo).</w:t>
            </w:r>
          </w:p>
          <w:p w14:paraId="683BE6B7" w14:textId="0AC06E97"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11c. </w:t>
            </w:r>
            <w:r w:rsidR="003D5CDF" w:rsidRPr="000D0706">
              <w:rPr>
                <w:i w:val="0"/>
                <w:color w:val="auto"/>
                <w:lang w:val="es-ES_tradnl"/>
              </w:rPr>
              <w:t xml:space="preserve">Con un movimiento rápido, como al lanzar un dardo, inserte la aguja entera en el pliegue de piel </w:t>
            </w:r>
            <w:r w:rsidR="00181826" w:rsidRPr="004F4CD0">
              <w:rPr>
                <w:i w:val="0"/>
                <w:color w:val="auto"/>
                <w:lang w:val="es-ES_tradnl"/>
              </w:rPr>
              <w:t>en</w:t>
            </w:r>
            <w:r w:rsidR="003D5CDF" w:rsidRPr="000D0706">
              <w:rPr>
                <w:i w:val="0"/>
                <w:color w:val="auto"/>
                <w:lang w:val="es-ES_tradnl"/>
              </w:rPr>
              <w:t xml:space="preserve"> un ángulo de 45</w:t>
            </w:r>
            <w:r w:rsidR="00E53158" w:rsidRPr="004F4CD0">
              <w:rPr>
                <w:i w:val="0"/>
                <w:color w:val="auto"/>
                <w:lang w:val="es-ES_tradnl"/>
              </w:rPr>
              <w:t> </w:t>
            </w:r>
            <w:r w:rsidR="003D5CDF" w:rsidRPr="000D0706">
              <w:rPr>
                <w:i w:val="0"/>
                <w:color w:val="auto"/>
                <w:lang w:val="es-ES_tradnl"/>
              </w:rPr>
              <w:t xml:space="preserve">grados </w:t>
            </w:r>
            <w:r w:rsidRPr="000D0706">
              <w:rPr>
                <w:i w:val="0"/>
                <w:color w:val="auto"/>
                <w:lang w:val="es-ES_tradnl"/>
              </w:rPr>
              <w:t>(</w:t>
            </w:r>
            <w:r w:rsidR="003D5CDF"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3D5CDF" w:rsidRPr="000D0706">
              <w:rPr>
                <w:b/>
                <w:bCs/>
                <w:i w:val="0"/>
                <w:color w:val="auto"/>
                <w:lang w:val="es-ES_tradnl"/>
              </w:rPr>
              <w:t>a</w:t>
            </w:r>
            <w:r w:rsidRPr="000D0706">
              <w:rPr>
                <w:b/>
                <w:bCs/>
                <w:i w:val="0"/>
                <w:color w:val="auto"/>
                <w:lang w:val="es-ES_tradnl"/>
              </w:rPr>
              <w:t> L</w:t>
            </w:r>
            <w:r w:rsidRPr="000D0706">
              <w:rPr>
                <w:i w:val="0"/>
                <w:color w:val="auto"/>
                <w:lang w:val="es-ES_tradnl"/>
              </w:rPr>
              <w:t>).</w:t>
            </w:r>
          </w:p>
          <w:p w14:paraId="5D0EE999" w14:textId="178321CB" w:rsidR="007F69B2" w:rsidRPr="000D0706" w:rsidRDefault="003D5CDF" w:rsidP="007F69B2">
            <w:pPr>
              <w:pStyle w:val="a7"/>
              <w:keepNext/>
              <w:numPr>
                <w:ilvl w:val="0"/>
                <w:numId w:val="59"/>
              </w:numPr>
              <w:tabs>
                <w:tab w:val="left" w:pos="851"/>
              </w:tabs>
              <w:suppressAutoHyphens/>
              <w:ind w:left="851" w:hanging="284"/>
              <w:rPr>
                <w:i w:val="0"/>
                <w:color w:val="auto"/>
                <w:lang w:val="es-ES_tradnl" w:eastAsia="ko-KR"/>
              </w:rPr>
            </w:pPr>
            <w:r w:rsidRPr="000D0706">
              <w:rPr>
                <w:b/>
                <w:bCs/>
                <w:i w:val="0"/>
                <w:color w:val="auto"/>
                <w:lang w:val="es-ES_tradnl"/>
              </w:rPr>
              <w:t>No tire nunca del émbolo</w:t>
            </w:r>
            <w:r w:rsidR="00181826" w:rsidRPr="004F4CD0">
              <w:rPr>
                <w:b/>
                <w:bCs/>
                <w:i w:val="0"/>
                <w:color w:val="auto"/>
                <w:lang w:val="es-ES_tradnl"/>
              </w:rPr>
              <w:t xml:space="preserve"> hacia atrás</w:t>
            </w:r>
            <w:r w:rsidRPr="000D0706">
              <w:rPr>
                <w:b/>
                <w:bCs/>
                <w:i w:val="0"/>
                <w:color w:val="auto"/>
                <w:lang w:val="es-ES_tradnl"/>
              </w:rPr>
              <w:t>.</w:t>
            </w:r>
          </w:p>
        </w:tc>
      </w:tr>
      <w:tr w:rsidR="007F69B2" w:rsidRPr="004F4CD0" w14:paraId="4E8B9070" w14:textId="77777777" w:rsidTr="00DB3050">
        <w:trPr>
          <w:cantSplit/>
        </w:trPr>
        <w:tc>
          <w:tcPr>
            <w:tcW w:w="2991" w:type="dxa"/>
            <w:tcBorders>
              <w:top w:val="nil"/>
              <w:left w:val="single" w:sz="4" w:space="0" w:color="auto"/>
              <w:bottom w:val="single" w:sz="4" w:space="0" w:color="auto"/>
              <w:right w:val="nil"/>
            </w:tcBorders>
            <w:shd w:val="clear" w:color="auto" w:fill="auto"/>
          </w:tcPr>
          <w:p w14:paraId="32854435" w14:textId="77856634" w:rsidR="007F69B2" w:rsidRPr="004F4CD0" w:rsidRDefault="007F69B2" w:rsidP="00DB3050">
            <w:pPr>
              <w:jc w:val="center"/>
              <w:rPr>
                <w:b/>
                <w:bCs/>
                <w:lang w:val="es-ES_tradnl" w:eastAsia="ko-KR"/>
              </w:rPr>
            </w:pPr>
            <w:r w:rsidRPr="004F4CD0">
              <w:rPr>
                <w:b/>
                <w:bCs/>
                <w:lang w:val="es-ES_tradnl" w:eastAsia="ko-KR"/>
              </w:rPr>
              <w:t>Figur</w:t>
            </w:r>
            <w:r w:rsidR="003D5CDF" w:rsidRPr="004F4CD0">
              <w:rPr>
                <w:b/>
                <w:bCs/>
                <w:lang w:val="es-ES_tradnl" w:eastAsia="ko-KR"/>
              </w:rPr>
              <w:t>a</w:t>
            </w:r>
            <w:r w:rsidRPr="004F4CD0">
              <w:rPr>
                <w:b/>
                <w:bCs/>
                <w:lang w:val="es-ES_tradnl" w:eastAsia="ko-KR"/>
              </w:rPr>
              <w:t xml:space="preserve"> L</w:t>
            </w:r>
          </w:p>
        </w:tc>
        <w:tc>
          <w:tcPr>
            <w:tcW w:w="6073" w:type="dxa"/>
            <w:vMerge/>
            <w:tcBorders>
              <w:top w:val="nil"/>
              <w:left w:val="nil"/>
              <w:bottom w:val="single" w:sz="4" w:space="0" w:color="auto"/>
              <w:right w:val="single" w:sz="4" w:space="0" w:color="auto"/>
            </w:tcBorders>
            <w:shd w:val="clear" w:color="auto" w:fill="auto"/>
          </w:tcPr>
          <w:p w14:paraId="3D966ACA" w14:textId="77777777" w:rsidR="007F69B2" w:rsidRPr="004F4CD0" w:rsidRDefault="007F69B2" w:rsidP="00DB3050">
            <w:pPr>
              <w:pStyle w:val="a7"/>
              <w:suppressAutoHyphens/>
              <w:rPr>
                <w:b/>
                <w:bCs/>
                <w:lang w:val="es-ES_tradnl" w:eastAsia="ko-KR"/>
              </w:rPr>
            </w:pPr>
          </w:p>
        </w:tc>
      </w:tr>
      <w:tr w:rsidR="007F69B2" w:rsidRPr="004F4CD0" w14:paraId="118781DE" w14:textId="77777777" w:rsidTr="00DB3050">
        <w:trPr>
          <w:cantSplit/>
        </w:trPr>
        <w:tc>
          <w:tcPr>
            <w:tcW w:w="2991" w:type="dxa"/>
            <w:tcBorders>
              <w:top w:val="single" w:sz="4" w:space="0" w:color="auto"/>
              <w:left w:val="single" w:sz="4" w:space="0" w:color="auto"/>
              <w:bottom w:val="nil"/>
              <w:right w:val="nil"/>
            </w:tcBorders>
            <w:shd w:val="clear" w:color="auto" w:fill="auto"/>
            <w:vAlign w:val="center"/>
          </w:tcPr>
          <w:p w14:paraId="5B30F659" w14:textId="77777777" w:rsidR="007F69B2" w:rsidRPr="004F4CD0" w:rsidRDefault="007F69B2" w:rsidP="00DB3050">
            <w:pPr>
              <w:keepNext/>
              <w:jc w:val="center"/>
              <w:rPr>
                <w:lang w:val="es-ES_tradnl"/>
              </w:rPr>
            </w:pPr>
          </w:p>
          <w:p w14:paraId="00679020" w14:textId="78189A7E" w:rsidR="007F69B2" w:rsidRPr="004F4CD0" w:rsidRDefault="00950FBE" w:rsidP="00DB3050">
            <w:pPr>
              <w:keepNext/>
              <w:jc w:val="center"/>
              <w:rPr>
                <w:lang w:val="es-ES_tradnl"/>
              </w:rPr>
            </w:pPr>
            <w:r>
              <w:rPr>
                <w:noProof/>
                <w:lang w:val="en-US" w:eastAsia="zh-CN"/>
              </w:rPr>
              <w:pict w14:anchorId="74D059F9">
                <v:shape id="_x0000_i1039" type="#_x0000_t75" alt="스케치, 그림, 클립아트, 라인 아트이(가) 표시된 사진&#10;&#10;자동 생성된 설명" style="width:129.75pt;height:159.75pt;visibility:visible;mso-wrap-style:square">
                  <v:imagedata r:id="rId43" o:title="스케치, 그림, 클립아트, 라인 아트이(가) 표시된 사진&#10;&#10;자동 생성된 설명"/>
                </v:shape>
              </w:pict>
            </w:r>
          </w:p>
          <w:p w14:paraId="2010BC4C" w14:textId="77777777" w:rsidR="007F69B2" w:rsidRPr="004F4CD0" w:rsidRDefault="007F69B2" w:rsidP="00DB3050">
            <w:pPr>
              <w:keepNext/>
              <w:jc w:val="center"/>
              <w:rPr>
                <w:lang w:val="es-ES_tradnl" w:eastAsia="ko-KR"/>
              </w:rPr>
            </w:pPr>
          </w:p>
        </w:tc>
        <w:tc>
          <w:tcPr>
            <w:tcW w:w="6073" w:type="dxa"/>
            <w:vMerge w:val="restart"/>
            <w:tcBorders>
              <w:top w:val="single" w:sz="4" w:space="0" w:color="auto"/>
              <w:left w:val="nil"/>
              <w:bottom w:val="nil"/>
              <w:right w:val="single" w:sz="4" w:space="0" w:color="auto"/>
            </w:tcBorders>
            <w:shd w:val="clear" w:color="auto" w:fill="auto"/>
          </w:tcPr>
          <w:p w14:paraId="3D146A94" w14:textId="7B4C68C6" w:rsidR="007F69B2" w:rsidRPr="004F4CD0" w:rsidRDefault="007F69B2" w:rsidP="00DB3050">
            <w:pPr>
              <w:keepNext/>
              <w:suppressAutoHyphens/>
              <w:ind w:left="284" w:hanging="284"/>
              <w:rPr>
                <w:b/>
                <w:bCs/>
                <w:lang w:val="es-ES_tradnl"/>
              </w:rPr>
            </w:pPr>
            <w:r w:rsidRPr="004F4CD0">
              <w:rPr>
                <w:b/>
                <w:bCs/>
                <w:lang w:val="es-ES_tradnl"/>
              </w:rPr>
              <w:t xml:space="preserve">12. </w:t>
            </w:r>
            <w:r w:rsidR="003A3348" w:rsidRPr="004F4CD0">
              <w:rPr>
                <w:b/>
                <w:bCs/>
                <w:lang w:val="es-ES_tradnl"/>
              </w:rPr>
              <w:t>Administre la inyección</w:t>
            </w:r>
            <w:r w:rsidRPr="004F4CD0">
              <w:rPr>
                <w:b/>
                <w:bCs/>
                <w:lang w:val="es-ES_tradnl"/>
              </w:rPr>
              <w:t>.</w:t>
            </w:r>
          </w:p>
          <w:p w14:paraId="5349961E" w14:textId="4A0473E5"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12a. </w:t>
            </w:r>
            <w:r w:rsidR="003A3348" w:rsidRPr="000D0706">
              <w:rPr>
                <w:i w:val="0"/>
                <w:color w:val="auto"/>
                <w:lang w:val="es-ES_tradnl"/>
              </w:rPr>
              <w:t>Una vez que haya insertado la aguja, suelte el pliegue de piel.</w:t>
            </w:r>
          </w:p>
          <w:p w14:paraId="4910DB62" w14:textId="6496F8B5"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12b. </w:t>
            </w:r>
            <w:r w:rsidR="003A3348" w:rsidRPr="000D0706">
              <w:rPr>
                <w:i w:val="0"/>
                <w:color w:val="auto"/>
                <w:lang w:val="es-ES_tradnl"/>
              </w:rPr>
              <w:t xml:space="preserve">Empuje lentamente el émbolo </w:t>
            </w:r>
            <w:r w:rsidR="003A3348" w:rsidRPr="000D0706">
              <w:rPr>
                <w:b/>
                <w:bCs/>
                <w:i w:val="0"/>
                <w:color w:val="auto"/>
                <w:lang w:val="es-ES_tradnl"/>
              </w:rPr>
              <w:t xml:space="preserve">hasta el </w:t>
            </w:r>
            <w:r w:rsidR="004752FB" w:rsidRPr="000D0706">
              <w:rPr>
                <w:b/>
                <w:bCs/>
                <w:i w:val="0"/>
                <w:color w:val="auto"/>
                <w:lang w:val="es-ES_tradnl"/>
              </w:rPr>
              <w:t>tope</w:t>
            </w:r>
            <w:r w:rsidR="003A3348" w:rsidRPr="000D0706">
              <w:rPr>
                <w:i w:val="0"/>
                <w:color w:val="auto"/>
                <w:lang w:val="es-ES_tradnl"/>
              </w:rPr>
              <w:t xml:space="preserve"> </w:t>
            </w:r>
            <w:r w:rsidR="00422CA0" w:rsidRPr="004F4CD0">
              <w:rPr>
                <w:i w:val="0"/>
                <w:color w:val="auto"/>
                <w:lang w:val="es-ES_tradnl"/>
              </w:rPr>
              <w:t>hasta</w:t>
            </w:r>
            <w:r w:rsidR="003A3348" w:rsidRPr="000D0706">
              <w:rPr>
                <w:i w:val="0"/>
                <w:color w:val="auto"/>
                <w:lang w:val="es-ES_tradnl"/>
              </w:rPr>
              <w:t xml:space="preserve"> administrar la dosis entera del medicamento </w:t>
            </w:r>
            <w:r w:rsidR="00422CA0" w:rsidRPr="004F4CD0">
              <w:rPr>
                <w:i w:val="0"/>
                <w:color w:val="auto"/>
                <w:lang w:val="es-ES_tradnl"/>
              </w:rPr>
              <w:t>y</w:t>
            </w:r>
            <w:r w:rsidR="003A3348" w:rsidRPr="000D0706">
              <w:rPr>
                <w:i w:val="0"/>
                <w:color w:val="auto"/>
                <w:lang w:val="es-ES_tradnl"/>
              </w:rPr>
              <w:t xml:space="preserve"> que la jeringa esté vacía </w:t>
            </w:r>
            <w:r w:rsidRPr="000D0706">
              <w:rPr>
                <w:i w:val="0"/>
                <w:color w:val="auto"/>
                <w:lang w:val="es-ES_tradnl"/>
              </w:rPr>
              <w:t>(</w:t>
            </w:r>
            <w:r w:rsidR="003A3348"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3A3348" w:rsidRPr="000D0706">
              <w:rPr>
                <w:b/>
                <w:bCs/>
                <w:i w:val="0"/>
                <w:color w:val="auto"/>
                <w:lang w:val="es-ES_tradnl"/>
              </w:rPr>
              <w:t>a</w:t>
            </w:r>
            <w:r w:rsidRPr="000D0706">
              <w:rPr>
                <w:b/>
                <w:bCs/>
                <w:i w:val="0"/>
                <w:color w:val="auto"/>
                <w:lang w:val="es-ES_tradnl"/>
              </w:rPr>
              <w:t> M</w:t>
            </w:r>
            <w:r w:rsidRPr="000D0706">
              <w:rPr>
                <w:i w:val="0"/>
                <w:color w:val="auto"/>
                <w:lang w:val="es-ES_tradnl"/>
              </w:rPr>
              <w:t>).</w:t>
            </w:r>
          </w:p>
          <w:p w14:paraId="26BD1A51" w14:textId="38CE927D" w:rsidR="007F69B2" w:rsidRPr="000D0706" w:rsidRDefault="003A3348"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w:t>
            </w:r>
            <w:r w:rsidR="004752FB" w:rsidRPr="000D0706">
              <w:rPr>
                <w:i w:val="0"/>
                <w:color w:val="auto"/>
                <w:lang w:val="es-ES_tradnl"/>
              </w:rPr>
              <w:t>debe cambiar</w:t>
            </w:r>
            <w:r w:rsidRPr="000D0706">
              <w:rPr>
                <w:i w:val="0"/>
                <w:color w:val="auto"/>
                <w:lang w:val="es-ES_tradnl"/>
              </w:rPr>
              <w:t xml:space="preserve"> la posición de la jeringa precargada </w:t>
            </w:r>
            <w:r w:rsidR="004752FB" w:rsidRPr="000D0706">
              <w:rPr>
                <w:i w:val="0"/>
                <w:color w:val="auto"/>
                <w:lang w:val="es-ES_tradnl"/>
              </w:rPr>
              <w:t>después de haber iniciado la inyección.</w:t>
            </w:r>
          </w:p>
          <w:p w14:paraId="3FA7557D" w14:textId="1EEC763C" w:rsidR="007F69B2" w:rsidRPr="000D0706" w:rsidRDefault="004752FB" w:rsidP="00422CA0">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 xml:space="preserve">Si no empuja el émbolo hasta el tope, el protector de seguridad no se </w:t>
            </w:r>
            <w:r w:rsidR="00422CA0" w:rsidRPr="004F4CD0">
              <w:rPr>
                <w:i w:val="0"/>
                <w:color w:val="auto"/>
                <w:lang w:val="es-ES_tradnl"/>
              </w:rPr>
              <w:t xml:space="preserve">extenderá para cubrir </w:t>
            </w:r>
            <w:r w:rsidRPr="000D0706">
              <w:rPr>
                <w:i w:val="0"/>
                <w:color w:val="auto"/>
                <w:lang w:val="es-ES_tradnl"/>
              </w:rPr>
              <w:t>la aguja al extraerla.</w:t>
            </w:r>
          </w:p>
        </w:tc>
      </w:tr>
      <w:tr w:rsidR="007F69B2" w:rsidRPr="004F4CD0" w14:paraId="78291A47" w14:textId="77777777" w:rsidTr="00DB3050">
        <w:trPr>
          <w:cantSplit/>
        </w:trPr>
        <w:tc>
          <w:tcPr>
            <w:tcW w:w="2991" w:type="dxa"/>
            <w:tcBorders>
              <w:top w:val="nil"/>
              <w:left w:val="single" w:sz="4" w:space="0" w:color="auto"/>
              <w:bottom w:val="single" w:sz="4" w:space="0" w:color="auto"/>
              <w:right w:val="nil"/>
            </w:tcBorders>
            <w:shd w:val="clear" w:color="auto" w:fill="auto"/>
          </w:tcPr>
          <w:p w14:paraId="168DD2E1" w14:textId="7C88F447" w:rsidR="007F69B2" w:rsidRPr="004F4CD0" w:rsidRDefault="007F69B2" w:rsidP="00DB3050">
            <w:pPr>
              <w:jc w:val="center"/>
              <w:rPr>
                <w:b/>
                <w:bCs/>
                <w:lang w:val="es-ES_tradnl"/>
              </w:rPr>
            </w:pPr>
            <w:r w:rsidRPr="004F4CD0">
              <w:rPr>
                <w:b/>
                <w:bCs/>
                <w:lang w:val="es-ES_tradnl" w:eastAsia="ko-KR"/>
              </w:rPr>
              <w:t>Figur</w:t>
            </w:r>
            <w:r w:rsidR="004752FB" w:rsidRPr="004F4CD0">
              <w:rPr>
                <w:b/>
                <w:bCs/>
                <w:lang w:val="es-ES_tradnl" w:eastAsia="ko-KR"/>
              </w:rPr>
              <w:t>a</w:t>
            </w:r>
            <w:r w:rsidRPr="004F4CD0">
              <w:rPr>
                <w:b/>
                <w:bCs/>
                <w:lang w:val="es-ES_tradnl" w:eastAsia="ko-KR"/>
              </w:rPr>
              <w:t xml:space="preserve"> M</w:t>
            </w:r>
          </w:p>
        </w:tc>
        <w:tc>
          <w:tcPr>
            <w:tcW w:w="6073" w:type="dxa"/>
            <w:vMerge/>
            <w:tcBorders>
              <w:top w:val="nil"/>
              <w:left w:val="nil"/>
              <w:bottom w:val="single" w:sz="4" w:space="0" w:color="auto"/>
              <w:right w:val="single" w:sz="4" w:space="0" w:color="auto"/>
            </w:tcBorders>
            <w:shd w:val="clear" w:color="auto" w:fill="auto"/>
          </w:tcPr>
          <w:p w14:paraId="59DFC22D" w14:textId="77777777" w:rsidR="007F69B2" w:rsidRPr="004F4CD0" w:rsidRDefault="007F69B2" w:rsidP="00DB3050">
            <w:pPr>
              <w:pStyle w:val="a7"/>
              <w:suppressAutoHyphens/>
              <w:rPr>
                <w:b/>
                <w:bCs/>
                <w:lang w:val="es-ES_tradnl"/>
              </w:rPr>
            </w:pPr>
          </w:p>
        </w:tc>
      </w:tr>
      <w:tr w:rsidR="005E41B1" w:rsidRPr="004F4CD0" w14:paraId="70EAC1AB" w14:textId="77777777" w:rsidTr="00DB3050">
        <w:trPr>
          <w:cantSplit/>
        </w:trPr>
        <w:tc>
          <w:tcPr>
            <w:tcW w:w="2991" w:type="dxa"/>
            <w:tcBorders>
              <w:top w:val="single" w:sz="4" w:space="0" w:color="auto"/>
              <w:left w:val="single" w:sz="4" w:space="0" w:color="auto"/>
              <w:bottom w:val="nil"/>
              <w:right w:val="nil"/>
            </w:tcBorders>
            <w:shd w:val="clear" w:color="auto" w:fill="auto"/>
            <w:vAlign w:val="center"/>
          </w:tcPr>
          <w:p w14:paraId="5BE1FF24" w14:textId="77777777" w:rsidR="007F69B2" w:rsidRPr="004F4CD0" w:rsidRDefault="007F69B2" w:rsidP="00DB3050">
            <w:pPr>
              <w:keepNext/>
              <w:jc w:val="center"/>
              <w:rPr>
                <w:lang w:val="es-ES_tradnl"/>
              </w:rPr>
            </w:pPr>
          </w:p>
          <w:p w14:paraId="0805F0E8" w14:textId="03C20F8E" w:rsidR="007F69B2" w:rsidRPr="004F4CD0" w:rsidRDefault="00950FBE" w:rsidP="00DB3050">
            <w:pPr>
              <w:keepNext/>
              <w:jc w:val="center"/>
              <w:rPr>
                <w:lang w:val="es-ES_tradnl"/>
              </w:rPr>
            </w:pPr>
            <w:r>
              <w:rPr>
                <w:noProof/>
                <w:lang w:val="en-US" w:eastAsia="zh-CN"/>
              </w:rPr>
              <w:pict w14:anchorId="05B17429">
                <v:shape id="_x0000_i1040" type="#_x0000_t75" alt="스케치, 만화 영화, 그림, 디자인이(가) 표시된 사진&#10;&#10;자동 생성된 설명" style="width:131.25pt;height:162pt;visibility:visible;mso-wrap-style:square">
                  <v:imagedata r:id="rId44" o:title="스케치, 만화 영화, 그림, 디자인이(가) 표시된 사진&#10;&#10;자동 생성된 설명"/>
                </v:shape>
              </w:pict>
            </w:r>
          </w:p>
          <w:p w14:paraId="66F7AC2D" w14:textId="77777777" w:rsidR="007F69B2" w:rsidRPr="004F4CD0" w:rsidRDefault="007F69B2" w:rsidP="00DB3050">
            <w:pPr>
              <w:keepNext/>
              <w:jc w:val="center"/>
              <w:rPr>
                <w:lang w:val="es-ES_tradnl" w:eastAsia="ko-KR"/>
              </w:rPr>
            </w:pPr>
          </w:p>
        </w:tc>
        <w:tc>
          <w:tcPr>
            <w:tcW w:w="6073" w:type="dxa"/>
            <w:vMerge w:val="restart"/>
            <w:tcBorders>
              <w:top w:val="single" w:sz="4" w:space="0" w:color="auto"/>
              <w:left w:val="nil"/>
              <w:bottom w:val="nil"/>
              <w:right w:val="single" w:sz="4" w:space="0" w:color="auto"/>
            </w:tcBorders>
            <w:shd w:val="clear" w:color="auto" w:fill="auto"/>
          </w:tcPr>
          <w:p w14:paraId="46952785" w14:textId="4D8855BA" w:rsidR="007F69B2" w:rsidRPr="004F4CD0" w:rsidRDefault="007F69B2" w:rsidP="00DB3050">
            <w:pPr>
              <w:keepNext/>
              <w:suppressAutoHyphens/>
              <w:ind w:left="284" w:hanging="284"/>
              <w:rPr>
                <w:b/>
                <w:bCs/>
                <w:lang w:val="es-ES_tradnl"/>
              </w:rPr>
            </w:pPr>
            <w:r w:rsidRPr="004F4CD0">
              <w:rPr>
                <w:b/>
                <w:bCs/>
                <w:lang w:val="es-ES_tradnl"/>
              </w:rPr>
              <w:t xml:space="preserve">13. </w:t>
            </w:r>
            <w:r w:rsidR="004752FB" w:rsidRPr="004F4CD0">
              <w:rPr>
                <w:b/>
                <w:bCs/>
                <w:lang w:val="es-ES_tradnl"/>
              </w:rPr>
              <w:t>Retire la jeringa precargada del lugar de inyección</w:t>
            </w:r>
            <w:r w:rsidRPr="004F4CD0">
              <w:rPr>
                <w:b/>
                <w:bCs/>
                <w:lang w:val="es-ES_tradnl"/>
              </w:rPr>
              <w:t>.</w:t>
            </w:r>
          </w:p>
          <w:p w14:paraId="6319E5BE" w14:textId="4292970B"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13a. </w:t>
            </w:r>
            <w:r w:rsidR="004752FB" w:rsidRPr="000D0706">
              <w:rPr>
                <w:i w:val="0"/>
                <w:color w:val="auto"/>
                <w:lang w:val="es-ES_tradnl"/>
              </w:rPr>
              <w:t xml:space="preserve">Una vez que la jeringa precargada esté vacía, </w:t>
            </w:r>
            <w:r w:rsidR="00756A76" w:rsidRPr="004F4CD0">
              <w:rPr>
                <w:i w:val="0"/>
                <w:color w:val="auto"/>
                <w:lang w:val="es-ES_tradnl"/>
              </w:rPr>
              <w:t>levante</w:t>
            </w:r>
            <w:r w:rsidR="004752FB" w:rsidRPr="000D0706">
              <w:rPr>
                <w:i w:val="0"/>
                <w:color w:val="auto"/>
                <w:lang w:val="es-ES_tradnl"/>
              </w:rPr>
              <w:t xml:space="preserve"> </w:t>
            </w:r>
            <w:r w:rsidR="005E41B1" w:rsidRPr="004F4CD0">
              <w:rPr>
                <w:i w:val="0"/>
                <w:color w:val="auto"/>
                <w:lang w:val="es-ES_tradnl"/>
              </w:rPr>
              <w:t>el</w:t>
            </w:r>
            <w:r w:rsidR="004752FB" w:rsidRPr="000D0706">
              <w:rPr>
                <w:i w:val="0"/>
                <w:color w:val="auto"/>
                <w:lang w:val="es-ES_tradnl"/>
              </w:rPr>
              <w:t xml:space="preserve"> dedo pulgar del émbolo mientras saca </w:t>
            </w:r>
            <w:r w:rsidR="00756A76" w:rsidRPr="004F4CD0">
              <w:rPr>
                <w:i w:val="0"/>
                <w:color w:val="auto"/>
                <w:lang w:val="es-ES_tradnl"/>
              </w:rPr>
              <w:t xml:space="preserve">lentamente </w:t>
            </w:r>
            <w:r w:rsidR="004752FB" w:rsidRPr="000D0706">
              <w:rPr>
                <w:i w:val="0"/>
                <w:color w:val="auto"/>
                <w:lang w:val="es-ES_tradnl"/>
              </w:rPr>
              <w:t xml:space="preserve">la aguja de la piel hasta que el protector de aguja la cubra por completo </w:t>
            </w:r>
            <w:r w:rsidRPr="000D0706">
              <w:rPr>
                <w:i w:val="0"/>
                <w:color w:val="auto"/>
                <w:lang w:val="es-ES_tradnl"/>
              </w:rPr>
              <w:t>(</w:t>
            </w:r>
            <w:r w:rsidR="004752FB"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4752FB" w:rsidRPr="000D0706">
              <w:rPr>
                <w:b/>
                <w:bCs/>
                <w:i w:val="0"/>
                <w:color w:val="auto"/>
                <w:lang w:val="es-ES_tradnl"/>
              </w:rPr>
              <w:t>a</w:t>
            </w:r>
            <w:r w:rsidRPr="000D0706">
              <w:rPr>
                <w:b/>
                <w:bCs/>
                <w:i w:val="0"/>
                <w:color w:val="auto"/>
                <w:lang w:val="es-ES_tradnl"/>
              </w:rPr>
              <w:t> N</w:t>
            </w:r>
            <w:r w:rsidRPr="000D0706">
              <w:rPr>
                <w:i w:val="0"/>
                <w:color w:val="auto"/>
                <w:lang w:val="es-ES_tradnl"/>
              </w:rPr>
              <w:t>).</w:t>
            </w:r>
          </w:p>
          <w:p w14:paraId="738F8E59" w14:textId="38DC69C2" w:rsidR="007F69B2" w:rsidRPr="000D0706" w:rsidRDefault="004752FB"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 xml:space="preserve">Si la aguja no está cubierta, deseche con cuidado la jeringa </w:t>
            </w:r>
            <w:r w:rsidR="007F69B2" w:rsidRPr="000D0706">
              <w:rPr>
                <w:i w:val="0"/>
                <w:color w:val="auto"/>
                <w:lang w:val="es-ES_tradnl"/>
              </w:rPr>
              <w:t>(</w:t>
            </w:r>
            <w:r w:rsidRPr="000D0706">
              <w:rPr>
                <w:i w:val="0"/>
                <w:color w:val="auto"/>
                <w:lang w:val="es-ES_tradnl"/>
              </w:rPr>
              <w:t>véase el</w:t>
            </w:r>
            <w:r w:rsidR="007F69B2" w:rsidRPr="000D0706">
              <w:rPr>
                <w:i w:val="0"/>
                <w:color w:val="auto"/>
                <w:lang w:val="es-ES_tradnl"/>
              </w:rPr>
              <w:t xml:space="preserve"> </w:t>
            </w:r>
            <w:r w:rsidRPr="000D0706">
              <w:rPr>
                <w:b/>
                <w:bCs/>
                <w:i w:val="0"/>
                <w:color w:val="auto"/>
                <w:lang w:val="es-ES_tradnl"/>
              </w:rPr>
              <w:t>Paso</w:t>
            </w:r>
            <w:r w:rsidR="007F69B2" w:rsidRPr="000D0706">
              <w:rPr>
                <w:b/>
                <w:bCs/>
                <w:i w:val="0"/>
                <w:color w:val="auto"/>
                <w:lang w:val="es-ES_tradnl"/>
              </w:rPr>
              <w:t xml:space="preserve"> 15. </w:t>
            </w:r>
            <w:r w:rsidR="00E55865" w:rsidRPr="000D0706">
              <w:rPr>
                <w:b/>
                <w:bCs/>
                <w:i w:val="0"/>
                <w:color w:val="auto"/>
                <w:lang w:val="es-ES_tradnl"/>
              </w:rPr>
              <w:t xml:space="preserve">Deseche de </w:t>
            </w:r>
            <w:r w:rsidR="007F69B2" w:rsidRPr="000D0706">
              <w:rPr>
                <w:b/>
                <w:bCs/>
                <w:i w:val="0"/>
                <w:color w:val="auto"/>
                <w:lang w:val="es-ES_tradnl"/>
              </w:rPr>
              <w:t>Stoboclo</w:t>
            </w:r>
            <w:r w:rsidR="007F69B2" w:rsidRPr="000D0706">
              <w:rPr>
                <w:i w:val="0"/>
                <w:color w:val="auto"/>
                <w:lang w:val="es-ES_tradnl"/>
              </w:rPr>
              <w:t>).</w:t>
            </w:r>
          </w:p>
          <w:p w14:paraId="6554F4D9" w14:textId="6CDF379E" w:rsidR="007F69B2" w:rsidRPr="000D0706" w:rsidRDefault="004752FB"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intente volver a colocar el capuchón de la aguja </w:t>
            </w:r>
            <w:r w:rsidR="00756A76" w:rsidRPr="004F4CD0">
              <w:rPr>
                <w:i w:val="0"/>
                <w:color w:val="auto"/>
                <w:lang w:val="es-ES_tradnl"/>
              </w:rPr>
              <w:t>en</w:t>
            </w:r>
            <w:r w:rsidRPr="000D0706">
              <w:rPr>
                <w:i w:val="0"/>
                <w:color w:val="auto"/>
                <w:lang w:val="es-ES_tradnl"/>
              </w:rPr>
              <w:t xml:space="preserve"> la jeringa precargada.</w:t>
            </w:r>
          </w:p>
          <w:p w14:paraId="0742273D" w14:textId="78AFEE03" w:rsidR="007F69B2" w:rsidRPr="000D0706" w:rsidRDefault="004752FB"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debe reutilizar la jeringa precargada.</w:t>
            </w:r>
          </w:p>
          <w:p w14:paraId="0FE8130C" w14:textId="23364CCD" w:rsidR="007F69B2" w:rsidRPr="000D0706" w:rsidRDefault="004752FB" w:rsidP="007F69B2">
            <w:pPr>
              <w:pStyle w:val="a7"/>
              <w:keepNext/>
              <w:numPr>
                <w:ilvl w:val="0"/>
                <w:numId w:val="59"/>
              </w:numPr>
              <w:tabs>
                <w:tab w:val="left" w:pos="851"/>
              </w:tabs>
              <w:suppressAutoHyphens/>
              <w:ind w:left="851" w:hanging="284"/>
              <w:rPr>
                <w:i w:val="0"/>
                <w:color w:val="auto"/>
                <w:lang w:val="es-ES_tradnl"/>
              </w:rPr>
            </w:pPr>
            <w:r w:rsidRPr="000D0706">
              <w:rPr>
                <w:b/>
                <w:bCs/>
                <w:i w:val="0"/>
                <w:color w:val="auto"/>
                <w:lang w:val="es-ES_tradnl"/>
              </w:rPr>
              <w:t>No</w:t>
            </w:r>
            <w:r w:rsidRPr="000D0706">
              <w:rPr>
                <w:i w:val="0"/>
                <w:color w:val="auto"/>
                <w:lang w:val="es-ES_tradnl"/>
              </w:rPr>
              <w:t xml:space="preserve"> frote el lugar de inyección.</w:t>
            </w:r>
          </w:p>
        </w:tc>
      </w:tr>
      <w:tr w:rsidR="007F69B2" w:rsidRPr="004F4CD0" w14:paraId="0F464896" w14:textId="77777777" w:rsidTr="00DB3050">
        <w:trPr>
          <w:cantSplit/>
        </w:trPr>
        <w:tc>
          <w:tcPr>
            <w:tcW w:w="2991" w:type="dxa"/>
            <w:tcBorders>
              <w:top w:val="nil"/>
              <w:left w:val="single" w:sz="4" w:space="0" w:color="auto"/>
              <w:bottom w:val="single" w:sz="4" w:space="0" w:color="auto"/>
              <w:right w:val="nil"/>
            </w:tcBorders>
            <w:shd w:val="clear" w:color="auto" w:fill="auto"/>
          </w:tcPr>
          <w:p w14:paraId="19CA8BEA" w14:textId="63A59D24" w:rsidR="007F69B2" w:rsidRPr="004F4CD0" w:rsidRDefault="007F69B2" w:rsidP="00DB3050">
            <w:pPr>
              <w:jc w:val="center"/>
              <w:rPr>
                <w:b/>
                <w:bCs/>
                <w:lang w:val="es-ES_tradnl"/>
              </w:rPr>
            </w:pPr>
            <w:r w:rsidRPr="004F4CD0">
              <w:rPr>
                <w:b/>
                <w:bCs/>
                <w:lang w:val="es-ES_tradnl" w:eastAsia="ko-KR"/>
              </w:rPr>
              <w:t>Figur</w:t>
            </w:r>
            <w:r w:rsidR="004752FB" w:rsidRPr="004F4CD0">
              <w:rPr>
                <w:b/>
                <w:bCs/>
                <w:lang w:val="es-ES_tradnl" w:eastAsia="ko-KR"/>
              </w:rPr>
              <w:t>a</w:t>
            </w:r>
            <w:r w:rsidRPr="004F4CD0">
              <w:rPr>
                <w:b/>
                <w:bCs/>
                <w:lang w:val="es-ES_tradnl" w:eastAsia="ko-KR"/>
              </w:rPr>
              <w:t xml:space="preserve"> N</w:t>
            </w:r>
          </w:p>
        </w:tc>
        <w:tc>
          <w:tcPr>
            <w:tcW w:w="6073" w:type="dxa"/>
            <w:vMerge/>
            <w:tcBorders>
              <w:top w:val="nil"/>
              <w:left w:val="nil"/>
              <w:bottom w:val="single" w:sz="4" w:space="0" w:color="auto"/>
              <w:right w:val="single" w:sz="4" w:space="0" w:color="auto"/>
            </w:tcBorders>
            <w:shd w:val="clear" w:color="auto" w:fill="auto"/>
          </w:tcPr>
          <w:p w14:paraId="0A663D31" w14:textId="77777777" w:rsidR="007F69B2" w:rsidRPr="000D0706" w:rsidRDefault="007F69B2" w:rsidP="00DB3050">
            <w:pPr>
              <w:pStyle w:val="a7"/>
              <w:suppressAutoHyphens/>
              <w:rPr>
                <w:b/>
                <w:bCs/>
                <w:i w:val="0"/>
                <w:color w:val="auto"/>
                <w:lang w:val="es-ES_tradnl"/>
              </w:rPr>
            </w:pPr>
          </w:p>
        </w:tc>
      </w:tr>
    </w:tbl>
    <w:p w14:paraId="165B566C" w14:textId="77777777" w:rsidR="007F69B2" w:rsidRPr="004F4CD0" w:rsidRDefault="007F69B2" w:rsidP="007F69B2">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3011"/>
        <w:gridCol w:w="6053"/>
      </w:tblGrid>
      <w:tr w:rsidR="005E41B1" w:rsidRPr="004F4CD0" w14:paraId="0DFA57B4" w14:textId="77777777" w:rsidTr="00DB3050">
        <w:trPr>
          <w:cantSplit/>
          <w:tblHeader/>
        </w:trPr>
        <w:tc>
          <w:tcPr>
            <w:tcW w:w="9064" w:type="dxa"/>
            <w:gridSpan w:val="2"/>
            <w:shd w:val="clear" w:color="auto" w:fill="auto"/>
          </w:tcPr>
          <w:p w14:paraId="490F1BFD" w14:textId="65D5283C" w:rsidR="007F69B2" w:rsidRPr="004F4CD0" w:rsidRDefault="004752FB" w:rsidP="00DB3050">
            <w:pPr>
              <w:keepNext/>
              <w:rPr>
                <w:b/>
                <w:bCs/>
                <w:lang w:val="es-ES_tradnl"/>
              </w:rPr>
            </w:pPr>
            <w:r w:rsidRPr="004F4CD0">
              <w:rPr>
                <w:b/>
                <w:bCs/>
                <w:lang w:val="es-ES_tradnl"/>
              </w:rPr>
              <w:t>Después de la inyección</w:t>
            </w:r>
          </w:p>
        </w:tc>
      </w:tr>
      <w:tr w:rsidR="005E41B1" w:rsidRPr="004F4CD0" w14:paraId="11AF8A82" w14:textId="77777777" w:rsidTr="00DB3050">
        <w:trPr>
          <w:cantSplit/>
        </w:trPr>
        <w:tc>
          <w:tcPr>
            <w:tcW w:w="3011" w:type="dxa"/>
            <w:tcBorders>
              <w:bottom w:val="single" w:sz="4" w:space="0" w:color="auto"/>
              <w:right w:val="nil"/>
            </w:tcBorders>
            <w:shd w:val="clear" w:color="auto" w:fill="auto"/>
          </w:tcPr>
          <w:p w14:paraId="30518AA9" w14:textId="77777777" w:rsidR="007F69B2" w:rsidRPr="004F4CD0" w:rsidRDefault="007F69B2" w:rsidP="00DB3050">
            <w:pPr>
              <w:rPr>
                <w:lang w:val="es-ES_tradnl" w:eastAsia="ko-KR"/>
              </w:rPr>
            </w:pPr>
          </w:p>
          <w:p w14:paraId="43415261" w14:textId="77777777" w:rsidR="007F69B2" w:rsidRPr="004F4CD0" w:rsidRDefault="007F69B2" w:rsidP="00DB3050">
            <w:pPr>
              <w:rPr>
                <w:lang w:val="es-ES_tradnl" w:eastAsia="ko-KR"/>
              </w:rPr>
            </w:pPr>
          </w:p>
        </w:tc>
        <w:tc>
          <w:tcPr>
            <w:tcW w:w="6053" w:type="dxa"/>
            <w:tcBorders>
              <w:left w:val="nil"/>
              <w:bottom w:val="single" w:sz="4" w:space="0" w:color="auto"/>
            </w:tcBorders>
            <w:shd w:val="clear" w:color="auto" w:fill="auto"/>
          </w:tcPr>
          <w:p w14:paraId="3C023D0A" w14:textId="001F3E6D" w:rsidR="007F69B2" w:rsidRPr="004F4CD0" w:rsidRDefault="007F69B2" w:rsidP="00DB3050">
            <w:pPr>
              <w:keepNext/>
              <w:suppressAutoHyphens/>
              <w:ind w:left="284" w:hanging="284"/>
              <w:rPr>
                <w:b/>
                <w:bCs/>
                <w:lang w:val="es-ES_tradnl"/>
              </w:rPr>
            </w:pPr>
            <w:r w:rsidRPr="004F4CD0">
              <w:rPr>
                <w:b/>
                <w:bCs/>
                <w:lang w:val="es-ES_tradnl"/>
              </w:rPr>
              <w:t xml:space="preserve">14. </w:t>
            </w:r>
            <w:r w:rsidR="00E47356" w:rsidRPr="004F4CD0">
              <w:rPr>
                <w:b/>
                <w:bCs/>
                <w:lang w:val="es-ES_tradnl"/>
              </w:rPr>
              <w:t>Cuide el lugar de inyección.</w:t>
            </w:r>
          </w:p>
          <w:p w14:paraId="3CEC6E64" w14:textId="205D9FB1"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14a. </w:t>
            </w:r>
            <w:r w:rsidR="00E47356" w:rsidRPr="000D0706">
              <w:rPr>
                <w:i w:val="0"/>
                <w:color w:val="auto"/>
                <w:lang w:val="es-ES_tradnl"/>
              </w:rPr>
              <w:t>En caso de sangrado, presione suavemente, sin frotar, sobre el lugar de inyección con un</w:t>
            </w:r>
            <w:r w:rsidR="00756A76" w:rsidRPr="004F4CD0">
              <w:rPr>
                <w:i w:val="0"/>
                <w:color w:val="auto"/>
                <w:lang w:val="es-ES_tradnl"/>
              </w:rPr>
              <w:t>a torunda de</w:t>
            </w:r>
            <w:r w:rsidR="00E47356" w:rsidRPr="000D0706">
              <w:rPr>
                <w:i w:val="0"/>
                <w:color w:val="auto"/>
                <w:lang w:val="es-ES_tradnl"/>
              </w:rPr>
              <w:t xml:space="preserve"> algodón o una gasa</w:t>
            </w:r>
            <w:r w:rsidR="00390515" w:rsidRPr="000D0706">
              <w:rPr>
                <w:i w:val="0"/>
                <w:color w:val="auto"/>
                <w:lang w:val="es-ES_tradnl"/>
              </w:rPr>
              <w:t xml:space="preserve"> y coloque una tirita si es necesario.</w:t>
            </w:r>
          </w:p>
        </w:tc>
      </w:tr>
      <w:tr w:rsidR="005E41B1" w:rsidRPr="004F4CD0" w14:paraId="36967B31" w14:textId="77777777" w:rsidTr="00DB3050">
        <w:trPr>
          <w:cantSplit/>
        </w:trPr>
        <w:tc>
          <w:tcPr>
            <w:tcW w:w="3011" w:type="dxa"/>
            <w:tcBorders>
              <w:bottom w:val="nil"/>
              <w:right w:val="nil"/>
            </w:tcBorders>
            <w:shd w:val="clear" w:color="auto" w:fill="auto"/>
          </w:tcPr>
          <w:p w14:paraId="0B6A782F" w14:textId="77777777" w:rsidR="007F69B2" w:rsidRPr="004F4CD0" w:rsidRDefault="007F69B2" w:rsidP="00DB3050">
            <w:pPr>
              <w:keepNext/>
              <w:jc w:val="center"/>
              <w:rPr>
                <w:lang w:val="es-ES_tradnl"/>
              </w:rPr>
            </w:pPr>
          </w:p>
          <w:p w14:paraId="0E9159A0" w14:textId="2A0AFCF3" w:rsidR="007F69B2" w:rsidRPr="004F4CD0" w:rsidRDefault="00950FBE" w:rsidP="00DB3050">
            <w:pPr>
              <w:keepNext/>
              <w:jc w:val="center"/>
              <w:rPr>
                <w:lang w:val="es-ES_tradnl"/>
              </w:rPr>
            </w:pPr>
            <w:r>
              <w:rPr>
                <w:noProof/>
                <w:lang w:val="en-US" w:eastAsia="zh-CN"/>
              </w:rPr>
              <w:pict w14:anchorId="73BCB8D0">
                <v:shape id="Picture 1" o:spid="_x0000_i1041" type="#_x0000_t75" alt="스케치, 그림, 클립아트, 라인 아트이(가) 표시된 사진&#10;&#10;자동 생성된 설명" style="width:138pt;height:168.75pt;visibility:visible;mso-wrap-style:square">
                  <v:imagedata r:id="rId45" o:title="스케치, 그림, 클립아트, 라인 아트이(가) 표시된 사진&#10;&#10;자동 생성된 설명"/>
                </v:shape>
              </w:pict>
            </w:r>
          </w:p>
          <w:p w14:paraId="79280B97" w14:textId="77777777" w:rsidR="007F69B2" w:rsidRPr="004F4CD0" w:rsidRDefault="007F69B2" w:rsidP="00DB3050">
            <w:pPr>
              <w:keepNext/>
              <w:jc w:val="center"/>
              <w:rPr>
                <w:lang w:val="es-ES_tradnl" w:eastAsia="ko-KR"/>
              </w:rPr>
            </w:pPr>
          </w:p>
        </w:tc>
        <w:tc>
          <w:tcPr>
            <w:tcW w:w="6053" w:type="dxa"/>
            <w:vMerge w:val="restart"/>
            <w:tcBorders>
              <w:left w:val="nil"/>
            </w:tcBorders>
            <w:shd w:val="clear" w:color="auto" w:fill="auto"/>
          </w:tcPr>
          <w:p w14:paraId="1051901A" w14:textId="15A1A8C3" w:rsidR="007F69B2" w:rsidRPr="004F4CD0" w:rsidRDefault="007F69B2" w:rsidP="00DB3050">
            <w:pPr>
              <w:keepNext/>
              <w:suppressAutoHyphens/>
              <w:ind w:left="284" w:hanging="284"/>
              <w:rPr>
                <w:b/>
                <w:bCs/>
                <w:lang w:val="es-ES_tradnl"/>
              </w:rPr>
            </w:pPr>
            <w:r w:rsidRPr="004F4CD0">
              <w:rPr>
                <w:b/>
                <w:bCs/>
                <w:lang w:val="es-ES_tradnl"/>
              </w:rPr>
              <w:t xml:space="preserve">15. </w:t>
            </w:r>
            <w:r w:rsidR="00390515" w:rsidRPr="004F4CD0">
              <w:rPr>
                <w:b/>
                <w:bCs/>
                <w:lang w:val="es-ES_tradnl"/>
              </w:rPr>
              <w:t>Deseche la jeringa precargada</w:t>
            </w:r>
            <w:r w:rsidR="00E55865" w:rsidRPr="004F4CD0">
              <w:rPr>
                <w:b/>
                <w:bCs/>
                <w:lang w:val="es-ES_tradnl"/>
              </w:rPr>
              <w:t xml:space="preserve"> de Stoboclo</w:t>
            </w:r>
            <w:r w:rsidRPr="004F4CD0">
              <w:rPr>
                <w:b/>
                <w:bCs/>
                <w:lang w:val="es-ES_tradnl"/>
              </w:rPr>
              <w:t>.</w:t>
            </w:r>
          </w:p>
          <w:p w14:paraId="2411ECD2" w14:textId="292DAF80" w:rsidR="007F69B2" w:rsidRPr="000D0706" w:rsidRDefault="007F69B2" w:rsidP="00DB3050">
            <w:pPr>
              <w:pStyle w:val="a7"/>
              <w:keepNext/>
              <w:suppressAutoHyphens/>
              <w:ind w:left="283"/>
              <w:rPr>
                <w:i w:val="0"/>
                <w:color w:val="auto"/>
                <w:lang w:val="es-ES_tradnl"/>
              </w:rPr>
            </w:pPr>
            <w:r w:rsidRPr="000D0706">
              <w:rPr>
                <w:i w:val="0"/>
                <w:color w:val="auto"/>
                <w:lang w:val="es-ES_tradnl"/>
              </w:rPr>
              <w:t xml:space="preserve">15a. </w:t>
            </w:r>
            <w:r w:rsidR="00723DA5" w:rsidRPr="004F4CD0">
              <w:rPr>
                <w:i w:val="0"/>
                <w:color w:val="auto"/>
                <w:lang w:val="es-ES_tradnl"/>
              </w:rPr>
              <w:t>Deposite</w:t>
            </w:r>
            <w:r w:rsidR="00D50E69" w:rsidRPr="000D0706">
              <w:rPr>
                <w:i w:val="0"/>
                <w:color w:val="auto"/>
                <w:lang w:val="es-ES_tradnl"/>
              </w:rPr>
              <w:t xml:space="preserve"> la jeringa precargada </w:t>
            </w:r>
            <w:r w:rsidR="005E41B1" w:rsidRPr="004F4CD0">
              <w:rPr>
                <w:i w:val="0"/>
                <w:color w:val="auto"/>
                <w:lang w:val="es-ES_tradnl"/>
              </w:rPr>
              <w:t xml:space="preserve">usada </w:t>
            </w:r>
            <w:r w:rsidR="00723DA5" w:rsidRPr="004F4CD0">
              <w:rPr>
                <w:i w:val="0"/>
                <w:color w:val="auto"/>
                <w:lang w:val="es-ES_tradnl"/>
              </w:rPr>
              <w:t>en</w:t>
            </w:r>
            <w:r w:rsidR="00D50E69" w:rsidRPr="000D0706">
              <w:rPr>
                <w:i w:val="0"/>
                <w:color w:val="auto"/>
                <w:lang w:val="es-ES_tradnl"/>
              </w:rPr>
              <w:t xml:space="preserve"> un </w:t>
            </w:r>
            <w:r w:rsidR="00723DA5" w:rsidRPr="004F4CD0">
              <w:rPr>
                <w:i w:val="0"/>
                <w:color w:val="auto"/>
                <w:lang w:val="es-ES_tradnl"/>
              </w:rPr>
              <w:t>recipiente</w:t>
            </w:r>
            <w:r w:rsidR="00D50E69" w:rsidRPr="000D0706">
              <w:rPr>
                <w:i w:val="0"/>
                <w:color w:val="auto"/>
                <w:lang w:val="es-ES_tradnl"/>
              </w:rPr>
              <w:t xml:space="preserve"> para objetos punzocortantes inmediatamente después de usarla </w:t>
            </w:r>
            <w:r w:rsidRPr="000D0706">
              <w:rPr>
                <w:i w:val="0"/>
                <w:color w:val="auto"/>
                <w:lang w:val="es-ES_tradnl"/>
              </w:rPr>
              <w:t>(</w:t>
            </w:r>
            <w:r w:rsidR="00D50E69" w:rsidRPr="000D0706">
              <w:rPr>
                <w:i w:val="0"/>
                <w:color w:val="auto"/>
                <w:lang w:val="es-ES_tradnl"/>
              </w:rPr>
              <w:t>véase la</w:t>
            </w:r>
            <w:r w:rsidRPr="000D0706">
              <w:rPr>
                <w:i w:val="0"/>
                <w:color w:val="auto"/>
                <w:lang w:val="es-ES_tradnl"/>
              </w:rPr>
              <w:t xml:space="preserve"> </w:t>
            </w:r>
            <w:r w:rsidRPr="000D0706">
              <w:rPr>
                <w:b/>
                <w:bCs/>
                <w:i w:val="0"/>
                <w:color w:val="auto"/>
                <w:lang w:val="es-ES_tradnl"/>
              </w:rPr>
              <w:t>Figur</w:t>
            </w:r>
            <w:r w:rsidR="00D50E69" w:rsidRPr="000D0706">
              <w:rPr>
                <w:b/>
                <w:bCs/>
                <w:i w:val="0"/>
                <w:color w:val="auto"/>
                <w:lang w:val="es-ES_tradnl"/>
              </w:rPr>
              <w:t>a</w:t>
            </w:r>
            <w:r w:rsidRPr="000D0706">
              <w:rPr>
                <w:b/>
                <w:bCs/>
                <w:i w:val="0"/>
                <w:color w:val="auto"/>
                <w:lang w:val="es-ES_tradnl"/>
              </w:rPr>
              <w:t> O</w:t>
            </w:r>
            <w:r w:rsidRPr="000D0706">
              <w:rPr>
                <w:i w:val="0"/>
                <w:color w:val="auto"/>
                <w:lang w:val="es-ES_tradnl"/>
              </w:rPr>
              <w:t>).</w:t>
            </w:r>
          </w:p>
          <w:p w14:paraId="5EB6F0AE" w14:textId="426D5B91" w:rsidR="007F69B2" w:rsidRPr="000D0706" w:rsidRDefault="007F69B2" w:rsidP="00DB3050">
            <w:pPr>
              <w:pStyle w:val="a7"/>
              <w:keepNext/>
              <w:suppressAutoHyphens/>
              <w:ind w:left="283"/>
              <w:rPr>
                <w:i w:val="0"/>
                <w:color w:val="auto"/>
                <w:lang w:val="es-ES_tradnl"/>
              </w:rPr>
            </w:pPr>
            <w:r w:rsidRPr="000D0706">
              <w:rPr>
                <w:i w:val="0"/>
                <w:color w:val="auto"/>
                <w:lang w:val="es-ES_tradnl"/>
              </w:rPr>
              <w:t>15b.</w:t>
            </w:r>
            <w:r w:rsidRPr="000D0706">
              <w:rPr>
                <w:b/>
                <w:bCs/>
                <w:i w:val="0"/>
                <w:color w:val="auto"/>
                <w:lang w:val="es-ES_tradnl"/>
              </w:rPr>
              <w:t xml:space="preserve"> </w:t>
            </w:r>
            <w:r w:rsidR="00D50E69" w:rsidRPr="000D0706">
              <w:rPr>
                <w:b/>
                <w:bCs/>
                <w:i w:val="0"/>
                <w:color w:val="auto"/>
                <w:lang w:val="es-ES_tradnl"/>
              </w:rPr>
              <w:t>No</w:t>
            </w:r>
            <w:r w:rsidR="00D50E69" w:rsidRPr="000D0706">
              <w:rPr>
                <w:i w:val="0"/>
                <w:color w:val="auto"/>
                <w:lang w:val="es-ES_tradnl"/>
              </w:rPr>
              <w:t xml:space="preserve"> tire</w:t>
            </w:r>
            <w:r w:rsidRPr="000D0706">
              <w:rPr>
                <w:i w:val="0"/>
                <w:color w:val="auto"/>
                <w:lang w:val="es-ES_tradnl"/>
              </w:rPr>
              <w:t xml:space="preserve"> (</w:t>
            </w:r>
            <w:r w:rsidR="00D50E69" w:rsidRPr="000D0706">
              <w:rPr>
                <w:i w:val="0"/>
                <w:color w:val="auto"/>
                <w:lang w:val="es-ES_tradnl"/>
              </w:rPr>
              <w:t>deseche</w:t>
            </w:r>
            <w:r w:rsidRPr="000D0706">
              <w:rPr>
                <w:i w:val="0"/>
                <w:color w:val="auto"/>
                <w:lang w:val="es-ES_tradnl"/>
              </w:rPr>
              <w:t xml:space="preserve">) </w:t>
            </w:r>
            <w:r w:rsidR="00D50E69" w:rsidRPr="000D0706">
              <w:rPr>
                <w:i w:val="0"/>
                <w:color w:val="auto"/>
                <w:lang w:val="es-ES_tradnl"/>
              </w:rPr>
              <w:t xml:space="preserve">la jeringa precargada </w:t>
            </w:r>
            <w:r w:rsidR="00B948BC" w:rsidRPr="000D0706">
              <w:rPr>
                <w:i w:val="0"/>
                <w:color w:val="auto"/>
                <w:lang w:val="es-ES_tradnl"/>
              </w:rPr>
              <w:t>a</w:t>
            </w:r>
            <w:r w:rsidR="00D50E69" w:rsidRPr="000D0706">
              <w:rPr>
                <w:i w:val="0"/>
                <w:color w:val="auto"/>
                <w:lang w:val="es-ES_tradnl"/>
              </w:rPr>
              <w:t xml:space="preserve"> la basura</w:t>
            </w:r>
            <w:r w:rsidR="00015C0B" w:rsidRPr="004F4CD0">
              <w:rPr>
                <w:i w:val="0"/>
                <w:color w:val="auto"/>
                <w:lang w:val="es-ES_tradnl"/>
              </w:rPr>
              <w:t xml:space="preserve"> doméstica</w:t>
            </w:r>
            <w:r w:rsidR="00D50E69" w:rsidRPr="000D0706">
              <w:rPr>
                <w:i w:val="0"/>
                <w:color w:val="auto"/>
                <w:lang w:val="es-ES_tradnl"/>
              </w:rPr>
              <w:t>.</w:t>
            </w:r>
          </w:p>
          <w:p w14:paraId="2B3C2C7D" w14:textId="449359DA" w:rsidR="007F69B2" w:rsidRPr="000D0706" w:rsidRDefault="00D50E69" w:rsidP="007F69B2">
            <w:pPr>
              <w:pStyle w:val="a7"/>
              <w:keepNext/>
              <w:numPr>
                <w:ilvl w:val="0"/>
                <w:numId w:val="59"/>
              </w:numPr>
              <w:tabs>
                <w:tab w:val="left" w:pos="851"/>
              </w:tabs>
              <w:suppressAutoHyphens/>
              <w:ind w:left="851" w:hanging="284"/>
              <w:rPr>
                <w:bCs/>
                <w:i w:val="0"/>
                <w:color w:val="auto"/>
                <w:lang w:val="es-ES_tradnl"/>
              </w:rPr>
            </w:pPr>
            <w:r w:rsidRPr="000D0706">
              <w:rPr>
                <w:bCs/>
                <w:i w:val="0"/>
                <w:color w:val="auto"/>
                <w:lang w:val="es-ES_tradnl"/>
              </w:rPr>
              <w:t xml:space="preserve">Mantenga la jeringa y el </w:t>
            </w:r>
            <w:r w:rsidR="00015C0B" w:rsidRPr="004F4CD0">
              <w:rPr>
                <w:bCs/>
                <w:i w:val="0"/>
                <w:color w:val="auto"/>
                <w:lang w:val="es-ES_tradnl"/>
              </w:rPr>
              <w:t>recipiente</w:t>
            </w:r>
            <w:r w:rsidRPr="000D0706">
              <w:rPr>
                <w:bCs/>
                <w:i w:val="0"/>
                <w:color w:val="auto"/>
                <w:lang w:val="es-ES_tradnl"/>
              </w:rPr>
              <w:t xml:space="preserve"> para objetos punzocortantes fuera de la vista y del alcance de los niños.</w:t>
            </w:r>
          </w:p>
          <w:p w14:paraId="3E8372C1" w14:textId="2703B21D" w:rsidR="007F69B2" w:rsidRPr="000D0706" w:rsidRDefault="00B948BC"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 xml:space="preserve">Si no dispone de un </w:t>
            </w:r>
            <w:r w:rsidR="00015C0B" w:rsidRPr="004F4CD0">
              <w:rPr>
                <w:bCs/>
                <w:i w:val="0"/>
                <w:color w:val="auto"/>
                <w:lang w:val="es-ES_tradnl"/>
              </w:rPr>
              <w:t>recipiente</w:t>
            </w:r>
            <w:r w:rsidRPr="000D0706">
              <w:rPr>
                <w:bCs/>
                <w:i w:val="0"/>
                <w:color w:val="auto"/>
                <w:lang w:val="es-ES_tradnl"/>
              </w:rPr>
              <w:t xml:space="preserve"> para objetos punzocortantes, puede utilizar un </w:t>
            </w:r>
            <w:r w:rsidR="00015C0B" w:rsidRPr="004F4CD0">
              <w:rPr>
                <w:bCs/>
                <w:i w:val="0"/>
                <w:color w:val="auto"/>
                <w:lang w:val="es-ES_tradnl"/>
              </w:rPr>
              <w:t>recipiente</w:t>
            </w:r>
            <w:r w:rsidRPr="000D0706">
              <w:rPr>
                <w:bCs/>
                <w:i w:val="0"/>
                <w:color w:val="auto"/>
                <w:lang w:val="es-ES_tradnl"/>
              </w:rPr>
              <w:t xml:space="preserve"> para residuos domésticos </w:t>
            </w:r>
            <w:r w:rsidR="00FF10EE" w:rsidRPr="000D0706">
              <w:rPr>
                <w:bCs/>
                <w:i w:val="0"/>
                <w:color w:val="auto"/>
                <w:lang w:val="es-ES_tradnl"/>
              </w:rPr>
              <w:t>con cierre</w:t>
            </w:r>
            <w:r w:rsidRPr="000D0706">
              <w:rPr>
                <w:bCs/>
                <w:i w:val="0"/>
                <w:color w:val="auto"/>
                <w:lang w:val="es-ES_tradnl"/>
              </w:rPr>
              <w:t xml:space="preserve"> </w:t>
            </w:r>
            <w:r w:rsidR="00015C0B" w:rsidRPr="004F4CD0">
              <w:rPr>
                <w:bCs/>
                <w:i w:val="0"/>
                <w:color w:val="auto"/>
                <w:lang w:val="es-ES_tradnl"/>
              </w:rPr>
              <w:t>e</w:t>
            </w:r>
            <w:r w:rsidRPr="000D0706">
              <w:rPr>
                <w:bCs/>
                <w:i w:val="0"/>
                <w:color w:val="auto"/>
                <w:lang w:val="es-ES_tradnl"/>
              </w:rPr>
              <w:t xml:space="preserve"> </w:t>
            </w:r>
            <w:r w:rsidR="00015C0B" w:rsidRPr="004F4CD0">
              <w:rPr>
                <w:bCs/>
                <w:i w:val="0"/>
                <w:color w:val="auto"/>
                <w:lang w:val="es-ES_tradnl"/>
              </w:rPr>
              <w:t>imperforable</w:t>
            </w:r>
            <w:r w:rsidRPr="000D0706">
              <w:rPr>
                <w:bCs/>
                <w:i w:val="0"/>
                <w:color w:val="auto"/>
                <w:lang w:val="es-ES_tradnl"/>
              </w:rPr>
              <w:t>.</w:t>
            </w:r>
          </w:p>
          <w:p w14:paraId="53D62A8E" w14:textId="65914FAC" w:rsidR="007F69B2" w:rsidRPr="000D0706" w:rsidRDefault="00B948BC"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Por su seguridad y salud y</w:t>
            </w:r>
            <w:r w:rsidR="00443362" w:rsidRPr="000D0706">
              <w:rPr>
                <w:i w:val="0"/>
                <w:color w:val="auto"/>
                <w:lang w:val="es-ES_tradnl"/>
              </w:rPr>
              <w:t xml:space="preserve"> </w:t>
            </w:r>
            <w:r w:rsidRPr="000D0706">
              <w:rPr>
                <w:i w:val="0"/>
                <w:color w:val="auto"/>
                <w:lang w:val="es-ES_tradnl"/>
              </w:rPr>
              <w:t>la</w:t>
            </w:r>
            <w:r w:rsidR="00B00E06" w:rsidRPr="004F4CD0">
              <w:rPr>
                <w:i w:val="0"/>
                <w:color w:val="auto"/>
                <w:lang w:val="es-ES_tradnl"/>
              </w:rPr>
              <w:t>s</w:t>
            </w:r>
            <w:r w:rsidRPr="000D0706">
              <w:rPr>
                <w:i w:val="0"/>
                <w:color w:val="auto"/>
                <w:lang w:val="es-ES_tradnl"/>
              </w:rPr>
              <w:t xml:space="preserve"> de otras personas</w:t>
            </w:r>
            <w:r w:rsidR="00443362" w:rsidRPr="000D0706">
              <w:rPr>
                <w:i w:val="0"/>
                <w:color w:val="auto"/>
                <w:lang w:val="es-ES_tradnl"/>
              </w:rPr>
              <w:t xml:space="preserve">, nunca se deben reutilizar las agujas y jeringas usadas. </w:t>
            </w:r>
            <w:r w:rsidR="00FF10EE" w:rsidRPr="000D0706">
              <w:rPr>
                <w:i w:val="0"/>
                <w:color w:val="auto"/>
                <w:lang w:val="es-ES_tradnl"/>
              </w:rPr>
              <w:t>La eliminación del medicamento no utilizado y de todos los materiales que hayan estado en contacto con él se realizará de acuerdo con la normativa local.</w:t>
            </w:r>
          </w:p>
          <w:p w14:paraId="5A2B7E9F" w14:textId="27E47CA3" w:rsidR="007F69B2" w:rsidRPr="000D0706" w:rsidRDefault="00FF10EE" w:rsidP="007F69B2">
            <w:pPr>
              <w:pStyle w:val="a7"/>
              <w:keepNext/>
              <w:numPr>
                <w:ilvl w:val="0"/>
                <w:numId w:val="59"/>
              </w:numPr>
              <w:tabs>
                <w:tab w:val="left" w:pos="851"/>
              </w:tabs>
              <w:suppressAutoHyphens/>
              <w:ind w:left="851" w:hanging="284"/>
              <w:rPr>
                <w:i w:val="0"/>
                <w:color w:val="auto"/>
                <w:lang w:val="es-ES_tradnl"/>
              </w:rPr>
            </w:pPr>
            <w:r w:rsidRPr="000D0706">
              <w:rPr>
                <w:i w:val="0"/>
                <w:color w:val="auto"/>
                <w:lang w:val="es-ES_tradnl"/>
              </w:rPr>
              <w:t xml:space="preserve">Los medicamentos </w:t>
            </w:r>
            <w:r w:rsidRPr="000D0706">
              <w:rPr>
                <w:b/>
                <w:bCs/>
                <w:i w:val="0"/>
                <w:color w:val="auto"/>
                <w:lang w:val="es-ES_tradnl"/>
              </w:rPr>
              <w:t>no</w:t>
            </w:r>
            <w:r w:rsidRPr="000D0706">
              <w:rPr>
                <w:i w:val="0"/>
                <w:color w:val="auto"/>
                <w:lang w:val="es-ES_tradnl"/>
              </w:rPr>
              <w:t xml:space="preserve"> se deben tirar por los desagües ni a la basura. Pregunte a su farmacéutico cómo deshacerse de los medicamentos que ya no necesita. De esta forma, ayudará a proteger el medio ambiente.</w:t>
            </w:r>
          </w:p>
        </w:tc>
      </w:tr>
      <w:tr w:rsidR="007F69B2" w:rsidRPr="004F4CD0" w14:paraId="74F2B8A1" w14:textId="77777777" w:rsidTr="00DB3050">
        <w:trPr>
          <w:cantSplit/>
        </w:trPr>
        <w:tc>
          <w:tcPr>
            <w:tcW w:w="3011" w:type="dxa"/>
            <w:tcBorders>
              <w:top w:val="nil"/>
              <w:left w:val="single" w:sz="4" w:space="0" w:color="auto"/>
              <w:bottom w:val="single" w:sz="4" w:space="0" w:color="auto"/>
              <w:right w:val="nil"/>
            </w:tcBorders>
            <w:shd w:val="clear" w:color="auto" w:fill="auto"/>
          </w:tcPr>
          <w:p w14:paraId="57783CC4" w14:textId="645A8A6F" w:rsidR="007F69B2" w:rsidRPr="004F4CD0" w:rsidRDefault="007F69B2" w:rsidP="00DB3050">
            <w:pPr>
              <w:jc w:val="center"/>
              <w:rPr>
                <w:b/>
                <w:bCs/>
                <w:lang w:val="es-ES_tradnl"/>
              </w:rPr>
            </w:pPr>
            <w:r w:rsidRPr="004F4CD0">
              <w:rPr>
                <w:b/>
                <w:bCs/>
                <w:lang w:val="es-ES_tradnl" w:eastAsia="ko-KR"/>
              </w:rPr>
              <w:t>Figur</w:t>
            </w:r>
            <w:r w:rsidR="00AD3736" w:rsidRPr="004F4CD0">
              <w:rPr>
                <w:b/>
                <w:bCs/>
                <w:lang w:val="es-ES_tradnl" w:eastAsia="ko-KR"/>
              </w:rPr>
              <w:t>a</w:t>
            </w:r>
            <w:r w:rsidRPr="004F4CD0">
              <w:rPr>
                <w:b/>
                <w:bCs/>
                <w:lang w:val="es-ES_tradnl" w:eastAsia="ko-KR"/>
              </w:rPr>
              <w:t xml:space="preserve"> O</w:t>
            </w:r>
          </w:p>
        </w:tc>
        <w:tc>
          <w:tcPr>
            <w:tcW w:w="6053" w:type="dxa"/>
            <w:vMerge/>
            <w:tcBorders>
              <w:left w:val="nil"/>
              <w:bottom w:val="single" w:sz="4" w:space="0" w:color="auto"/>
            </w:tcBorders>
            <w:shd w:val="clear" w:color="auto" w:fill="auto"/>
          </w:tcPr>
          <w:p w14:paraId="3AC00E55" w14:textId="77777777" w:rsidR="007F69B2" w:rsidRPr="004F4CD0" w:rsidRDefault="007F69B2" w:rsidP="00DB3050">
            <w:pPr>
              <w:pStyle w:val="a7"/>
              <w:suppressAutoHyphens/>
              <w:rPr>
                <w:b/>
                <w:bCs/>
                <w:lang w:val="es-ES_tradnl"/>
              </w:rPr>
            </w:pPr>
          </w:p>
        </w:tc>
      </w:tr>
    </w:tbl>
    <w:p w14:paraId="1EA1EBF5" w14:textId="77777777" w:rsidR="007F69B2" w:rsidRPr="004F4CD0" w:rsidRDefault="007F69B2" w:rsidP="007F69B2">
      <w:pPr>
        <w:rPr>
          <w:lang w:val="es-ES_tradnl" w:eastAsia="ko-KR"/>
        </w:rPr>
      </w:pPr>
    </w:p>
    <w:p w14:paraId="23B46E07" w14:textId="7470C48F" w:rsidR="00796DEC" w:rsidRDefault="00796DEC" w:rsidP="000D0706">
      <w:pPr>
        <w:keepNext/>
        <w:numPr>
          <w:ilvl w:val="12"/>
          <w:numId w:val="0"/>
        </w:numPr>
        <w:ind w:left="567" w:hanging="567"/>
        <w:rPr>
          <w:highlight w:val="lightGray"/>
          <w:lang w:val="es-ES_tradnl"/>
        </w:rPr>
      </w:pPr>
    </w:p>
    <w:sectPr w:rsidR="00796DEC" w:rsidSect="00037465">
      <w:footerReference w:type="default" r:id="rId46"/>
      <w:footerReference w:type="first" r:id="rId47"/>
      <w:endnotePr>
        <w:numFmt w:val="decimal"/>
      </w:endnotePr>
      <w:pgSz w:w="11907" w:h="16840" w:code="9"/>
      <w:pgMar w:top="1134" w:right="1417" w:bottom="1134"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662C3" w14:textId="77777777" w:rsidR="00D66C61" w:rsidRDefault="00D66C61">
      <w:r>
        <w:separator/>
      </w:r>
    </w:p>
  </w:endnote>
  <w:endnote w:type="continuationSeparator" w:id="0">
    <w:p w14:paraId="36BC5478" w14:textId="77777777" w:rsidR="00D66C61" w:rsidRDefault="00D6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AEDA2" w14:textId="064FDCEA" w:rsidR="00374D93" w:rsidRPr="00224FB9" w:rsidRDefault="00374D93" w:rsidP="00D364A0">
    <w:pPr>
      <w:jc w:val="center"/>
      <w:rPr>
        <w:rFonts w:ascii="Arial" w:hAnsi="Arial" w:cs="Arial"/>
        <w:sz w:val="16"/>
        <w:szCs w:val="16"/>
      </w:rPr>
    </w:pPr>
    <w:r w:rsidRPr="00D364A0">
      <w:fldChar w:fldCharType="begin"/>
    </w:r>
    <w:r w:rsidRPr="00D364A0">
      <w:instrText xml:space="preserve"> EQ </w:instrText>
    </w:r>
    <w:r w:rsidRPr="00D364A0">
      <w:fldChar w:fldCharType="end"/>
    </w:r>
    <w:r w:rsidRPr="00224FB9">
      <w:rPr>
        <w:rFonts w:ascii="Arial" w:hAnsi="Arial" w:cs="Arial"/>
        <w:sz w:val="16"/>
      </w:rPr>
      <w:fldChar w:fldCharType="begin"/>
    </w:r>
    <w:r w:rsidRPr="00224FB9">
      <w:rPr>
        <w:rFonts w:ascii="Arial" w:hAnsi="Arial" w:cs="Arial"/>
        <w:sz w:val="16"/>
      </w:rPr>
      <w:instrText xml:space="preserve">PAGE  </w:instrText>
    </w:r>
    <w:r w:rsidRPr="00224FB9">
      <w:rPr>
        <w:rFonts w:ascii="Arial" w:hAnsi="Arial" w:cs="Arial"/>
        <w:sz w:val="16"/>
      </w:rPr>
      <w:fldChar w:fldCharType="separate"/>
    </w:r>
    <w:r w:rsidR="002116B6">
      <w:rPr>
        <w:rFonts w:ascii="Arial" w:hAnsi="Arial" w:cs="Arial"/>
        <w:noProof/>
        <w:sz w:val="16"/>
      </w:rPr>
      <w:t>38</w:t>
    </w:r>
    <w:r w:rsidRPr="00224FB9">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08428" w14:textId="77777777" w:rsidR="00374D93" w:rsidRPr="00D364A0" w:rsidRDefault="00374D93">
    <w:pPr>
      <w:pStyle w:val="a4"/>
      <w:tabs>
        <w:tab w:val="clear" w:pos="8930"/>
        <w:tab w:val="right" w:pos="8931"/>
      </w:tabs>
      <w:ind w:right="96"/>
      <w:jc w:val="center"/>
    </w:pPr>
    <w:r>
      <w:fldChar w:fldCharType="begin"/>
    </w:r>
    <w:r>
      <w:instrText xml:space="preserve"> EQ </w:instrText>
    </w:r>
    <w:r>
      <w:fldChar w:fldCharType="end"/>
    </w:r>
    <w:r w:rsidRPr="00D364A0">
      <w:fldChar w:fldCharType="begin"/>
    </w:r>
    <w:r w:rsidRPr="00D364A0">
      <w:instrText xml:space="preserve">PAGE  </w:instrText>
    </w:r>
    <w:r w:rsidRPr="00D364A0">
      <w:fldChar w:fldCharType="separate"/>
    </w:r>
    <w:r w:rsidRPr="00D364A0">
      <w:t>1</w:t>
    </w:r>
    <w:r w:rsidRPr="00D364A0">
      <w:fldChar w:fldCharType="end"/>
    </w:r>
  </w:p>
  <w:p w14:paraId="303D73E5" w14:textId="77777777" w:rsidR="00374D93" w:rsidRDefault="00374D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D3920" w14:textId="77777777" w:rsidR="00D66C61" w:rsidRDefault="00D66C61">
      <w:r>
        <w:separator/>
      </w:r>
    </w:p>
  </w:footnote>
  <w:footnote w:type="continuationSeparator" w:id="0">
    <w:p w14:paraId="17950F39" w14:textId="77777777" w:rsidR="00D66C61" w:rsidRDefault="00D66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E6ABD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그림 1333421081" o:spid="_x0000_i1025" type="#_x0000_t75" alt="BT_1000x858px" style="width:15.6pt;height:13.6pt;visibility:visible;mso-wrap-style:square">
            <v:imagedata r:id="rId1" o:title="BT_1000x858px"/>
          </v:shape>
        </w:pict>
      </mc:Choice>
      <mc:Fallback>
        <w:drawing>
          <wp:inline distT="0" distB="0" distL="0" distR="0" wp14:anchorId="6B7E5E76" wp14:editId="69FAD67E">
            <wp:extent cx="198120" cy="172720"/>
            <wp:effectExtent l="0" t="0" r="0" b="0"/>
            <wp:docPr id="1333421081" name="그림 1333421081"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BT_1000x858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mc:Fallback>
    </mc:AlternateConten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E1EED"/>
    <w:multiLevelType w:val="hybridMultilevel"/>
    <w:tmpl w:val="D7AC980E"/>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813D5"/>
    <w:multiLevelType w:val="multilevel"/>
    <w:tmpl w:val="191246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4A6773D"/>
    <w:multiLevelType w:val="hybridMultilevel"/>
    <w:tmpl w:val="4A806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67DDD"/>
    <w:multiLevelType w:val="multilevel"/>
    <w:tmpl w:val="964C81C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650"/>
        </w:tabs>
        <w:ind w:left="1650" w:hanging="57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17330C"/>
    <w:multiLevelType w:val="hybridMultilevel"/>
    <w:tmpl w:val="0CBE5796"/>
    <w:lvl w:ilvl="0" w:tplc="6F0CADF2">
      <w:start w:val="1"/>
      <w:numFmt w:val="bullet"/>
      <w:lvlText w:val=""/>
      <w:lvlJc w:val="left"/>
      <w:pPr>
        <w:tabs>
          <w:tab w:val="num" w:pos="567"/>
        </w:tabs>
        <w:ind w:left="567" w:hanging="56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752751F"/>
    <w:multiLevelType w:val="hybridMultilevel"/>
    <w:tmpl w:val="01486464"/>
    <w:lvl w:ilvl="0" w:tplc="5C745E6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EA338F"/>
    <w:multiLevelType w:val="hybridMultilevel"/>
    <w:tmpl w:val="F96C5A32"/>
    <w:lvl w:ilvl="0" w:tplc="1C847424">
      <w:start w:val="1"/>
      <w:numFmt w:val="decimal"/>
      <w:lvlText w:val="%1."/>
      <w:lvlJc w:val="left"/>
      <w:pPr>
        <w:ind w:left="930" w:hanging="570"/>
      </w:pPr>
      <w:rPr>
        <w:rFonts w:hint="default"/>
      </w:rPr>
    </w:lvl>
    <w:lvl w:ilvl="1" w:tplc="E752FB18">
      <w:numFmt w:val="bullet"/>
      <w:lvlText w:val="•"/>
      <w:lvlJc w:val="left"/>
      <w:pPr>
        <w:ind w:left="1650" w:hanging="57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F5F67"/>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1">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83E57"/>
    <w:multiLevelType w:val="hybridMultilevel"/>
    <w:tmpl w:val="ADC88608"/>
    <w:lvl w:ilvl="0" w:tplc="F408600E">
      <w:start w:val="1"/>
      <w:numFmt w:val="bullet"/>
      <w:pStyle w:val="BULLETED"/>
      <w:lvlText w:val=""/>
      <w:lvlJc w:val="left"/>
      <w:pPr>
        <w:ind w:left="3366" w:hanging="360"/>
      </w:pPr>
      <w:rPr>
        <w:rFonts w:ascii="Symbol" w:hAnsi="Symbol" w:hint="default"/>
      </w:rPr>
    </w:lvl>
    <w:lvl w:ilvl="1" w:tplc="04090003" w:tentative="1">
      <w:start w:val="1"/>
      <w:numFmt w:val="bullet"/>
      <w:lvlText w:val="o"/>
      <w:lvlJc w:val="left"/>
      <w:pPr>
        <w:ind w:left="4086" w:hanging="360"/>
      </w:pPr>
      <w:rPr>
        <w:rFonts w:ascii="Courier New" w:hAnsi="Courier New" w:hint="default"/>
      </w:rPr>
    </w:lvl>
    <w:lvl w:ilvl="2" w:tplc="04090005" w:tentative="1">
      <w:start w:val="1"/>
      <w:numFmt w:val="bullet"/>
      <w:lvlText w:val=""/>
      <w:lvlJc w:val="left"/>
      <w:pPr>
        <w:ind w:left="4806" w:hanging="360"/>
      </w:pPr>
      <w:rPr>
        <w:rFonts w:ascii="Wingdings" w:hAnsi="Wingdings" w:hint="default"/>
      </w:rPr>
    </w:lvl>
    <w:lvl w:ilvl="3" w:tplc="04090001" w:tentative="1">
      <w:start w:val="1"/>
      <w:numFmt w:val="bullet"/>
      <w:lvlText w:val=""/>
      <w:lvlJc w:val="left"/>
      <w:pPr>
        <w:ind w:left="5526" w:hanging="360"/>
      </w:pPr>
      <w:rPr>
        <w:rFonts w:ascii="Symbol" w:hAnsi="Symbol" w:hint="default"/>
      </w:rPr>
    </w:lvl>
    <w:lvl w:ilvl="4" w:tplc="04090003" w:tentative="1">
      <w:start w:val="1"/>
      <w:numFmt w:val="bullet"/>
      <w:lvlText w:val="o"/>
      <w:lvlJc w:val="left"/>
      <w:pPr>
        <w:ind w:left="6246" w:hanging="360"/>
      </w:pPr>
      <w:rPr>
        <w:rFonts w:ascii="Courier New" w:hAnsi="Courier New" w:hint="default"/>
      </w:rPr>
    </w:lvl>
    <w:lvl w:ilvl="5" w:tplc="04090005" w:tentative="1">
      <w:start w:val="1"/>
      <w:numFmt w:val="bullet"/>
      <w:lvlText w:val=""/>
      <w:lvlJc w:val="left"/>
      <w:pPr>
        <w:ind w:left="6966" w:hanging="360"/>
      </w:pPr>
      <w:rPr>
        <w:rFonts w:ascii="Wingdings" w:hAnsi="Wingdings" w:hint="default"/>
      </w:rPr>
    </w:lvl>
    <w:lvl w:ilvl="6" w:tplc="04090001" w:tentative="1">
      <w:start w:val="1"/>
      <w:numFmt w:val="bullet"/>
      <w:lvlText w:val=""/>
      <w:lvlJc w:val="left"/>
      <w:pPr>
        <w:ind w:left="7686" w:hanging="360"/>
      </w:pPr>
      <w:rPr>
        <w:rFonts w:ascii="Symbol" w:hAnsi="Symbol" w:hint="default"/>
      </w:rPr>
    </w:lvl>
    <w:lvl w:ilvl="7" w:tplc="04090003" w:tentative="1">
      <w:start w:val="1"/>
      <w:numFmt w:val="bullet"/>
      <w:lvlText w:val="o"/>
      <w:lvlJc w:val="left"/>
      <w:pPr>
        <w:ind w:left="8406" w:hanging="360"/>
      </w:pPr>
      <w:rPr>
        <w:rFonts w:ascii="Courier New" w:hAnsi="Courier New" w:hint="default"/>
      </w:rPr>
    </w:lvl>
    <w:lvl w:ilvl="8" w:tplc="04090005" w:tentative="1">
      <w:start w:val="1"/>
      <w:numFmt w:val="bullet"/>
      <w:lvlText w:val=""/>
      <w:lvlJc w:val="left"/>
      <w:pPr>
        <w:ind w:left="9126" w:hanging="360"/>
      </w:pPr>
      <w:rPr>
        <w:rFonts w:ascii="Wingdings" w:hAnsi="Wingdings" w:hint="default"/>
      </w:rPr>
    </w:lvl>
  </w:abstractNum>
  <w:abstractNum w:abstractNumId="11" w15:restartNumberingAfterBreak="0">
    <w:nsid w:val="0D342350"/>
    <w:multiLevelType w:val="hybridMultilevel"/>
    <w:tmpl w:val="5986C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71552F"/>
    <w:multiLevelType w:val="hybridMultilevel"/>
    <w:tmpl w:val="8B6C59DE"/>
    <w:lvl w:ilvl="0" w:tplc="4B86CA72">
      <w:start w:val="3"/>
      <w:numFmt w:val="decimal"/>
      <w:lvlText w:val="%1."/>
      <w:lvlJc w:val="left"/>
      <w:pPr>
        <w:tabs>
          <w:tab w:val="num" w:pos="570"/>
        </w:tabs>
        <w:ind w:left="57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72384D"/>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3FF43EA"/>
    <w:multiLevelType w:val="multilevel"/>
    <w:tmpl w:val="71FA00F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12"/>
        </w:tabs>
        <w:ind w:left="712"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149124FC"/>
    <w:multiLevelType w:val="hybridMultilevel"/>
    <w:tmpl w:val="36CA3318"/>
    <w:lvl w:ilvl="0" w:tplc="976C8E14">
      <w:start w:val="1"/>
      <w:numFmt w:val="bullet"/>
      <w:lvlText w:val="-"/>
      <w:lvlJc w:val="left"/>
      <w:pPr>
        <w:tabs>
          <w:tab w:val="num" w:pos="567"/>
        </w:tabs>
        <w:ind w:left="567" w:hanging="567"/>
      </w:pPr>
      <w:rPr>
        <w:rFonts w:ascii="Times New Roman" w:hAnsi="Times New Roman"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8120DB0"/>
    <w:multiLevelType w:val="hybridMultilevel"/>
    <w:tmpl w:val="75B29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2D04BE"/>
    <w:multiLevelType w:val="singleLevel"/>
    <w:tmpl w:val="422AA7F0"/>
    <w:lvl w:ilvl="0">
      <w:start w:val="1"/>
      <w:numFmt w:val="decimal"/>
      <w:lvlText w:val="%1."/>
      <w:lvlJc w:val="left"/>
      <w:pPr>
        <w:tabs>
          <w:tab w:val="num" w:pos="567"/>
        </w:tabs>
        <w:ind w:left="567" w:hanging="567"/>
      </w:pPr>
      <w:rPr>
        <w:rFonts w:hint="default"/>
      </w:rPr>
    </w:lvl>
  </w:abstractNum>
  <w:abstractNum w:abstractNumId="18" w15:restartNumberingAfterBreak="0">
    <w:nsid w:val="1E2B16E3"/>
    <w:multiLevelType w:val="multilevel"/>
    <w:tmpl w:val="8BA4933C"/>
    <w:lvl w:ilvl="0">
      <w:start w:val="6"/>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1F5E15C4"/>
    <w:multiLevelType w:val="hybridMultilevel"/>
    <w:tmpl w:val="7CD67E44"/>
    <w:lvl w:ilvl="0" w:tplc="2252F12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1"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07B46F8"/>
    <w:multiLevelType w:val="hybridMultilevel"/>
    <w:tmpl w:val="BA386FA2"/>
    <w:lvl w:ilvl="0" w:tplc="6096C72A">
      <w:start w:val="5"/>
      <w:numFmt w:val="decimal"/>
      <w:lvlText w:val="%1."/>
      <w:lvlJc w:val="left"/>
      <w:pPr>
        <w:tabs>
          <w:tab w:val="num" w:pos="570"/>
        </w:tabs>
        <w:ind w:left="57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A054C"/>
    <w:multiLevelType w:val="hybridMultilevel"/>
    <w:tmpl w:val="C41E6E4C"/>
    <w:lvl w:ilvl="0" w:tplc="56742BDE">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0F2362"/>
    <w:multiLevelType w:val="hybridMultilevel"/>
    <w:tmpl w:val="D7D835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79F2CC0"/>
    <w:multiLevelType w:val="hybridMultilevel"/>
    <w:tmpl w:val="0E3EB9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521463"/>
    <w:multiLevelType w:val="singleLevel"/>
    <w:tmpl w:val="2C7009F4"/>
    <w:lvl w:ilvl="0">
      <w:start w:val="1"/>
      <w:numFmt w:val="bullet"/>
      <w:pStyle w:val="TextBullet"/>
      <w:lvlText w:val=""/>
      <w:lvlJc w:val="left"/>
      <w:pPr>
        <w:tabs>
          <w:tab w:val="num" w:pos="360"/>
        </w:tabs>
        <w:ind w:left="360" w:hanging="360"/>
      </w:pPr>
      <w:rPr>
        <w:rFonts w:ascii="Symbol" w:hAnsi="Symbol" w:hint="default"/>
      </w:rPr>
    </w:lvl>
  </w:abstractNum>
  <w:abstractNum w:abstractNumId="27" w15:restartNumberingAfterBreak="0">
    <w:nsid w:val="2BC43FC8"/>
    <w:multiLevelType w:val="hybridMultilevel"/>
    <w:tmpl w:val="D5664704"/>
    <w:lvl w:ilvl="0" w:tplc="99444C4E">
      <w:start w:val="1"/>
      <w:numFmt w:val="bullet"/>
      <w:lvlText w:val=""/>
      <w:lvlJc w:val="left"/>
      <w:pPr>
        <w:ind w:left="567" w:hanging="56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C0D31CB"/>
    <w:multiLevelType w:val="singleLevel"/>
    <w:tmpl w:val="726AC426"/>
    <w:lvl w:ilvl="0">
      <w:numFmt w:val="bullet"/>
      <w:lvlText w:val=""/>
      <w:lvlJc w:val="left"/>
      <w:pPr>
        <w:tabs>
          <w:tab w:val="num" w:pos="567"/>
        </w:tabs>
        <w:ind w:left="567" w:hanging="567"/>
      </w:pPr>
      <w:rPr>
        <w:rFonts w:ascii="Symbol" w:hAnsi="Symbol" w:hint="default"/>
      </w:rPr>
    </w:lvl>
  </w:abstractNum>
  <w:abstractNum w:abstractNumId="29" w15:restartNumberingAfterBreak="0">
    <w:nsid w:val="2C4F210F"/>
    <w:multiLevelType w:val="hybridMultilevel"/>
    <w:tmpl w:val="0F1855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E5E0729"/>
    <w:multiLevelType w:val="hybridMultilevel"/>
    <w:tmpl w:val="C40C7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F3F4851"/>
    <w:multiLevelType w:val="hybridMultilevel"/>
    <w:tmpl w:val="1966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38F848AA"/>
    <w:multiLevelType w:val="hybridMultilevel"/>
    <w:tmpl w:val="CD9A1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2A500FF"/>
    <w:multiLevelType w:val="hybridMultilevel"/>
    <w:tmpl w:val="17DCC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3E32B8E"/>
    <w:multiLevelType w:val="hybridMultilevel"/>
    <w:tmpl w:val="AF8C2B84"/>
    <w:lvl w:ilvl="0" w:tplc="08090001">
      <w:start w:val="1"/>
      <w:numFmt w:val="bullet"/>
      <w:lvlText w:val=""/>
      <w:lvlJc w:val="left"/>
      <w:pPr>
        <w:ind w:left="360" w:hanging="360"/>
      </w:pPr>
      <w:rPr>
        <w:rFonts w:ascii="Symbol" w:hAnsi="Symbol" w:hint="default"/>
      </w:rPr>
    </w:lvl>
    <w:lvl w:ilvl="1" w:tplc="DF1EFFA0">
      <w:numFmt w:val="bullet"/>
      <w:lvlText w:val="•"/>
      <w:lvlJc w:val="left"/>
      <w:pPr>
        <w:ind w:left="1290" w:hanging="570"/>
      </w:pPr>
      <w:rPr>
        <w:rFonts w:ascii="Times New Roman" w:eastAsia="Times New Roman" w:hAnsi="Times New Roman" w:cs="Times New Roman"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7" w15:restartNumberingAfterBreak="0">
    <w:nsid w:val="4DEB733F"/>
    <w:multiLevelType w:val="hybridMultilevel"/>
    <w:tmpl w:val="E7229F22"/>
    <w:lvl w:ilvl="0" w:tplc="E4FE8280">
      <w:start w:val="1"/>
      <w:numFmt w:val="bullet"/>
      <w:lvlText w:val=""/>
      <w:lvlJc w:val="left"/>
      <w:pPr>
        <w:tabs>
          <w:tab w:val="num" w:pos="567"/>
        </w:tabs>
        <w:ind w:left="567" w:hanging="567"/>
      </w:pPr>
      <w:rPr>
        <w:rFonts w:ascii="Symbol" w:hAnsi="Symbol" w:cs="Times New Roman"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46159E"/>
    <w:multiLevelType w:val="hybridMultilevel"/>
    <w:tmpl w:val="2F22B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61C34AA"/>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C283ACA"/>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3305B0"/>
    <w:multiLevelType w:val="hybridMultilevel"/>
    <w:tmpl w:val="58BCB07C"/>
    <w:lvl w:ilvl="0" w:tplc="FBA4825A">
      <w:start w:val="1"/>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3917BC4"/>
    <w:multiLevelType w:val="hybridMultilevel"/>
    <w:tmpl w:val="DF72A556"/>
    <w:lvl w:ilvl="0" w:tplc="57606294">
      <w:numFmt w:val="bullet"/>
      <w:lvlText w:val="-"/>
      <w:lvlJc w:val="left"/>
      <w:pPr>
        <w:ind w:left="72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395350"/>
    <w:multiLevelType w:val="hybridMultilevel"/>
    <w:tmpl w:val="ACC0B8C4"/>
    <w:lvl w:ilvl="0" w:tplc="6F0CAD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247730"/>
    <w:multiLevelType w:val="singleLevel"/>
    <w:tmpl w:val="15F0F994"/>
    <w:lvl w:ilvl="0">
      <w:start w:val="4"/>
      <w:numFmt w:val="decimal"/>
      <w:lvlText w:val="%1."/>
      <w:lvlJc w:val="left"/>
      <w:pPr>
        <w:tabs>
          <w:tab w:val="num" w:pos="570"/>
        </w:tabs>
        <w:ind w:left="570" w:hanging="570"/>
      </w:pPr>
      <w:rPr>
        <w:rFonts w:hint="default"/>
      </w:rPr>
    </w:lvl>
  </w:abstractNum>
  <w:abstractNum w:abstractNumId="45" w15:restartNumberingAfterBreak="0">
    <w:nsid w:val="6863746B"/>
    <w:multiLevelType w:val="hybridMultilevel"/>
    <w:tmpl w:val="D6261E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8FA1801"/>
    <w:multiLevelType w:val="multilevel"/>
    <w:tmpl w:val="13BC7E6A"/>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A712CC1"/>
    <w:multiLevelType w:val="hybridMultilevel"/>
    <w:tmpl w:val="4B3A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6DF4775E"/>
    <w:multiLevelType w:val="hybridMultilevel"/>
    <w:tmpl w:val="29E6BE3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5142FA"/>
    <w:multiLevelType w:val="hybridMultilevel"/>
    <w:tmpl w:val="ACF01E30"/>
    <w:lvl w:ilvl="0" w:tplc="9AAEAA58">
      <w:start w:val="1"/>
      <w:numFmt w:val="bullet"/>
      <w:lvlText w:val=""/>
      <w:lvlJc w:val="left"/>
      <w:pPr>
        <w:tabs>
          <w:tab w:val="num" w:pos="567"/>
        </w:tabs>
        <w:ind w:left="567" w:hanging="567"/>
      </w:pPr>
      <w:rPr>
        <w:rFonts w:ascii="Symbol" w:hAnsi="Symbol" w:hint="default"/>
        <w:sz w:val="20"/>
        <w:szCs w:val="20"/>
      </w:rPr>
    </w:lvl>
    <w:lvl w:ilvl="1" w:tplc="08090001">
      <w:start w:val="1"/>
      <w:numFmt w:val="bullet"/>
      <w:lvlText w:val=""/>
      <w:lvlJc w:val="left"/>
      <w:pPr>
        <w:tabs>
          <w:tab w:val="num" w:pos="1440"/>
        </w:tabs>
        <w:ind w:left="144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337D0"/>
    <w:multiLevelType w:val="hybridMultilevel"/>
    <w:tmpl w:val="B42CA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B70F1E"/>
    <w:multiLevelType w:val="hybridMultilevel"/>
    <w:tmpl w:val="F99A3FF8"/>
    <w:lvl w:ilvl="0" w:tplc="9AAEAA58">
      <w:start w:val="1"/>
      <w:numFmt w:val="bullet"/>
      <w:lvlText w:val=""/>
      <w:lvlJc w:val="left"/>
      <w:pPr>
        <w:tabs>
          <w:tab w:val="num" w:pos="567"/>
        </w:tabs>
        <w:ind w:left="567" w:hanging="567"/>
      </w:pPr>
      <w:rPr>
        <w:rFonts w:ascii="Symbol" w:hAnsi="Symbol"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397293"/>
    <w:multiLevelType w:val="hybridMultilevel"/>
    <w:tmpl w:val="9B187E6E"/>
    <w:lvl w:ilvl="0" w:tplc="1C9CF4A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942F9"/>
    <w:multiLevelType w:val="hybridMultilevel"/>
    <w:tmpl w:val="6FD483DA"/>
    <w:lvl w:ilvl="0" w:tplc="2252F12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4CF77A7"/>
    <w:multiLevelType w:val="hybridMultilevel"/>
    <w:tmpl w:val="E2F45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4D6052E"/>
    <w:multiLevelType w:val="multilevel"/>
    <w:tmpl w:val="B93CE608"/>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9686FB5"/>
    <w:multiLevelType w:val="hybridMultilevel"/>
    <w:tmpl w:val="E00CD632"/>
    <w:lvl w:ilvl="0" w:tplc="EE167B40">
      <w:start w:val="6"/>
      <w:numFmt w:val="bullet"/>
      <w:lvlText w:val="•"/>
      <w:lvlJc w:val="left"/>
      <w:pPr>
        <w:ind w:left="1080" w:hanging="720"/>
      </w:pPr>
      <w:rPr>
        <w:rFonts w:ascii="Times New Roman" w:eastAsia="Arial"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110206">
    <w:abstractNumId w:val="48"/>
  </w:num>
  <w:num w:numId="2" w16cid:durableId="138231408">
    <w:abstractNumId w:val="33"/>
  </w:num>
  <w:num w:numId="3" w16cid:durableId="1559199049">
    <w:abstractNumId w:val="21"/>
  </w:num>
  <w:num w:numId="4" w16cid:durableId="1148353065">
    <w:abstractNumId w:val="20"/>
  </w:num>
  <w:num w:numId="5" w16cid:durableId="28377131">
    <w:abstractNumId w:val="14"/>
  </w:num>
  <w:num w:numId="6" w16cid:durableId="1316177939">
    <w:abstractNumId w:val="56"/>
  </w:num>
  <w:num w:numId="7" w16cid:durableId="955403094">
    <w:abstractNumId w:val="18"/>
  </w:num>
  <w:num w:numId="8" w16cid:durableId="1100104935">
    <w:abstractNumId w:val="46"/>
  </w:num>
  <w:num w:numId="9" w16cid:durableId="1135758003">
    <w:abstractNumId w:val="26"/>
  </w:num>
  <w:num w:numId="10" w16cid:durableId="924916556">
    <w:abstractNumId w:val="2"/>
  </w:num>
  <w:num w:numId="11" w16cid:durableId="195969409">
    <w:abstractNumId w:val="0"/>
    <w:lvlOverride w:ilvl="0">
      <w:lvl w:ilvl="0">
        <w:start w:val="1"/>
        <w:numFmt w:val="bullet"/>
        <w:lvlText w:val="-"/>
        <w:legacy w:legacy="1" w:legacySpace="0" w:legacyIndent="360"/>
        <w:lvlJc w:val="left"/>
        <w:pPr>
          <w:ind w:left="360" w:hanging="360"/>
        </w:pPr>
      </w:lvl>
    </w:lvlOverride>
  </w:num>
  <w:num w:numId="12" w16cid:durableId="556547719">
    <w:abstractNumId w:val="44"/>
  </w:num>
  <w:num w:numId="13" w16cid:durableId="132649071">
    <w:abstractNumId w:val="30"/>
  </w:num>
  <w:num w:numId="14" w16cid:durableId="956984468">
    <w:abstractNumId w:val="52"/>
  </w:num>
  <w:num w:numId="15" w16cid:durableId="775566015">
    <w:abstractNumId w:val="15"/>
  </w:num>
  <w:num w:numId="16" w16cid:durableId="720522805">
    <w:abstractNumId w:val="50"/>
  </w:num>
  <w:num w:numId="17" w16cid:durableId="549147113">
    <w:abstractNumId w:val="37"/>
  </w:num>
  <w:num w:numId="18" w16cid:durableId="388383368">
    <w:abstractNumId w:val="17"/>
  </w:num>
  <w:num w:numId="19" w16cid:durableId="629434057">
    <w:abstractNumId w:val="28"/>
  </w:num>
  <w:num w:numId="20" w16cid:durableId="172695667">
    <w:abstractNumId w:val="4"/>
  </w:num>
  <w:num w:numId="21" w16cid:durableId="691027825">
    <w:abstractNumId w:val="45"/>
  </w:num>
  <w:num w:numId="22" w16cid:durableId="807624522">
    <w:abstractNumId w:val="23"/>
  </w:num>
  <w:num w:numId="23" w16cid:durableId="1972402377">
    <w:abstractNumId w:val="24"/>
  </w:num>
  <w:num w:numId="24" w16cid:durableId="284190783">
    <w:abstractNumId w:val="49"/>
  </w:num>
  <w:num w:numId="25" w16cid:durableId="2014063227">
    <w:abstractNumId w:val="8"/>
  </w:num>
  <w:num w:numId="26" w16cid:durableId="1088427170">
    <w:abstractNumId w:val="9"/>
  </w:num>
  <w:num w:numId="27" w16cid:durableId="1308047121">
    <w:abstractNumId w:val="0"/>
    <w:lvlOverride w:ilvl="0">
      <w:lvl w:ilvl="0">
        <w:start w:val="1"/>
        <w:numFmt w:val="bullet"/>
        <w:lvlText w:val="-"/>
        <w:legacy w:legacy="1" w:legacySpace="0" w:legacyIndent="360"/>
        <w:lvlJc w:val="left"/>
        <w:pPr>
          <w:ind w:left="360" w:hanging="360"/>
        </w:pPr>
      </w:lvl>
    </w:lvlOverride>
  </w:num>
  <w:num w:numId="28" w16cid:durableId="2088644790">
    <w:abstractNumId w:val="38"/>
  </w:num>
  <w:num w:numId="29" w16cid:durableId="1202130319">
    <w:abstractNumId w:val="12"/>
  </w:num>
  <w:num w:numId="30" w16cid:durableId="2105567095">
    <w:abstractNumId w:val="51"/>
  </w:num>
  <w:num w:numId="31" w16cid:durableId="1731464889">
    <w:abstractNumId w:val="10"/>
  </w:num>
  <w:num w:numId="32" w16cid:durableId="142431900">
    <w:abstractNumId w:val="27"/>
  </w:num>
  <w:num w:numId="33" w16cid:durableId="1720670127">
    <w:abstractNumId w:val="43"/>
  </w:num>
  <w:num w:numId="34" w16cid:durableId="1090538554">
    <w:abstractNumId w:val="5"/>
  </w:num>
  <w:num w:numId="35" w16cid:durableId="259221508">
    <w:abstractNumId w:val="11"/>
  </w:num>
  <w:num w:numId="36" w16cid:durableId="1615095982">
    <w:abstractNumId w:val="34"/>
  </w:num>
  <w:num w:numId="37" w16cid:durableId="459493071">
    <w:abstractNumId w:val="36"/>
  </w:num>
  <w:num w:numId="38" w16cid:durableId="2111318132">
    <w:abstractNumId w:val="47"/>
  </w:num>
  <w:num w:numId="39" w16cid:durableId="1075123513">
    <w:abstractNumId w:val="16"/>
  </w:num>
  <w:num w:numId="40" w16cid:durableId="371004744">
    <w:abstractNumId w:val="32"/>
  </w:num>
  <w:num w:numId="41" w16cid:durableId="643704052">
    <w:abstractNumId w:val="22"/>
  </w:num>
  <w:num w:numId="42" w16cid:durableId="2052731549">
    <w:abstractNumId w:val="7"/>
  </w:num>
  <w:num w:numId="43" w16cid:durableId="1067730326">
    <w:abstractNumId w:val="55"/>
  </w:num>
  <w:num w:numId="44" w16cid:durableId="680745617">
    <w:abstractNumId w:val="3"/>
  </w:num>
  <w:num w:numId="45" w16cid:durableId="1309092355">
    <w:abstractNumId w:val="35"/>
  </w:num>
  <w:num w:numId="46" w16cid:durableId="640235456">
    <w:abstractNumId w:val="6"/>
  </w:num>
  <w:num w:numId="47" w16cid:durableId="193732433">
    <w:abstractNumId w:val="39"/>
  </w:num>
  <w:num w:numId="48" w16cid:durableId="1378773408">
    <w:abstractNumId w:val="19"/>
  </w:num>
  <w:num w:numId="49" w16cid:durableId="26150586">
    <w:abstractNumId w:val="54"/>
  </w:num>
  <w:num w:numId="50" w16cid:durableId="1197425746">
    <w:abstractNumId w:val="53"/>
  </w:num>
  <w:num w:numId="51" w16cid:durableId="1658069868">
    <w:abstractNumId w:val="40"/>
  </w:num>
  <w:num w:numId="52" w16cid:durableId="557285029">
    <w:abstractNumId w:val="13"/>
  </w:num>
  <w:num w:numId="53" w16cid:durableId="179203275">
    <w:abstractNumId w:val="31"/>
  </w:num>
  <w:num w:numId="54" w16cid:durableId="642856740">
    <w:abstractNumId w:val="29"/>
  </w:num>
  <w:num w:numId="55" w16cid:durableId="1354650047">
    <w:abstractNumId w:val="25"/>
  </w:num>
  <w:num w:numId="56" w16cid:durableId="1519660962">
    <w:abstractNumId w:val="41"/>
  </w:num>
  <w:num w:numId="57" w16cid:durableId="461852304">
    <w:abstractNumId w:val="42"/>
  </w:num>
  <w:num w:numId="58" w16cid:durableId="1922174866">
    <w:abstractNumId w:val="1"/>
  </w:num>
  <w:num w:numId="59" w16cid:durableId="2133940006">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es-ES" w:vendorID="64" w:dllVersion="6" w:nlCheck="1" w:checkStyle="0"/>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n-IN" w:vendorID="64" w:dllVersion="0" w:nlCheck="1" w:checkStyle="0"/>
  <w:activeWritingStyle w:appName="MSWord" w:lang="es-ES_tradnl" w:vendorID="64" w:dllVersion="0" w:nlCheck="1" w:checkStyle="0"/>
  <w:activeWritingStyle w:appName="MSWord" w:lang="es-ES_tradnl" w:vendorID="64" w:dllVersion="6"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b-NO" w:vendorID="666" w:dllVersion="513" w:checkStyle="1"/>
  <w:activeWritingStyle w:appName="MSWord" w:lang="pt-PT" w:vendorID="13" w:dllVersion="513" w:checkStyle="1"/>
  <w:activeWritingStyle w:appName="MSWord" w:lang="fi-FI" w:vendorID="666" w:dllVersion="513" w:checkStyle="1"/>
  <w:activeWritingStyle w:appName="MSWord" w:lang="nl-NL" w:vendorID="1" w:dllVersion="512" w:checkStyle="1"/>
  <w:activeWritingStyle w:appName="MSWord" w:lang="pt-BR" w:vendorID="1" w:dllVersion="513" w:checkStyle="1"/>
  <w:activeWritingStyle w:appName="MSWord" w:lang="da-DK" w:vendorID="666" w:dllVersion="513" w:checkStyle="1"/>
  <w:activeWritingStyle w:appName="MSWord" w:lang="sv-SE" w:vendorID="22" w:dllVersion="513" w:checkStyle="1"/>
  <w:activeWritingStyle w:appName="MSWord" w:lang="da-DK"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153"/>
  </w:hdrShapeDefaults>
  <w:footnotePr>
    <w:footnote w:id="-1"/>
    <w:footnote w:id="0"/>
  </w:footnotePr>
  <w:endnotePr>
    <w:numFmt w:val="decimal"/>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Registered" w:val="-1"/>
    <w:docVar w:name="Version" w:val="0"/>
  </w:docVars>
  <w:rsids>
    <w:rsidRoot w:val="00920C0C"/>
    <w:rsid w:val="00000139"/>
    <w:rsid w:val="00000B8B"/>
    <w:rsid w:val="000014D0"/>
    <w:rsid w:val="00002311"/>
    <w:rsid w:val="000034E1"/>
    <w:rsid w:val="00005938"/>
    <w:rsid w:val="00005A1A"/>
    <w:rsid w:val="000139CB"/>
    <w:rsid w:val="00013F3A"/>
    <w:rsid w:val="00014F4A"/>
    <w:rsid w:val="00015C0B"/>
    <w:rsid w:val="00016C89"/>
    <w:rsid w:val="0001794F"/>
    <w:rsid w:val="00017D88"/>
    <w:rsid w:val="00020257"/>
    <w:rsid w:val="0002185E"/>
    <w:rsid w:val="00022A78"/>
    <w:rsid w:val="00022F7A"/>
    <w:rsid w:val="000239F8"/>
    <w:rsid w:val="00023BE0"/>
    <w:rsid w:val="00024B36"/>
    <w:rsid w:val="000267A0"/>
    <w:rsid w:val="00026C48"/>
    <w:rsid w:val="00027E6B"/>
    <w:rsid w:val="000304BA"/>
    <w:rsid w:val="00030536"/>
    <w:rsid w:val="000308F1"/>
    <w:rsid w:val="00030FC6"/>
    <w:rsid w:val="0003165E"/>
    <w:rsid w:val="000331D8"/>
    <w:rsid w:val="00033F55"/>
    <w:rsid w:val="000343CA"/>
    <w:rsid w:val="00037145"/>
    <w:rsid w:val="00037465"/>
    <w:rsid w:val="00042C47"/>
    <w:rsid w:val="0004321A"/>
    <w:rsid w:val="00043BA2"/>
    <w:rsid w:val="00046171"/>
    <w:rsid w:val="000471F1"/>
    <w:rsid w:val="00047748"/>
    <w:rsid w:val="00053150"/>
    <w:rsid w:val="00053CE5"/>
    <w:rsid w:val="0005683F"/>
    <w:rsid w:val="000636A8"/>
    <w:rsid w:val="0006658D"/>
    <w:rsid w:val="000675CA"/>
    <w:rsid w:val="0006772A"/>
    <w:rsid w:val="000702E8"/>
    <w:rsid w:val="00070483"/>
    <w:rsid w:val="0007108D"/>
    <w:rsid w:val="00071108"/>
    <w:rsid w:val="00073A3B"/>
    <w:rsid w:val="00074BAC"/>
    <w:rsid w:val="0007656E"/>
    <w:rsid w:val="00076B25"/>
    <w:rsid w:val="0008020A"/>
    <w:rsid w:val="000806DD"/>
    <w:rsid w:val="00080C15"/>
    <w:rsid w:val="00081A47"/>
    <w:rsid w:val="000828BF"/>
    <w:rsid w:val="0008478A"/>
    <w:rsid w:val="00084EAB"/>
    <w:rsid w:val="00084ED6"/>
    <w:rsid w:val="00085792"/>
    <w:rsid w:val="00086B9E"/>
    <w:rsid w:val="00086F4D"/>
    <w:rsid w:val="00087883"/>
    <w:rsid w:val="000901B5"/>
    <w:rsid w:val="00091513"/>
    <w:rsid w:val="0009329A"/>
    <w:rsid w:val="00096097"/>
    <w:rsid w:val="000A1C5A"/>
    <w:rsid w:val="000A6641"/>
    <w:rsid w:val="000A7A9A"/>
    <w:rsid w:val="000A7D42"/>
    <w:rsid w:val="000B1429"/>
    <w:rsid w:val="000B4740"/>
    <w:rsid w:val="000B7C9E"/>
    <w:rsid w:val="000C454F"/>
    <w:rsid w:val="000C6AB1"/>
    <w:rsid w:val="000D0706"/>
    <w:rsid w:val="000D121E"/>
    <w:rsid w:val="000D29E9"/>
    <w:rsid w:val="000D3F93"/>
    <w:rsid w:val="000D5C39"/>
    <w:rsid w:val="000D6C0B"/>
    <w:rsid w:val="000E0610"/>
    <w:rsid w:val="000E129B"/>
    <w:rsid w:val="000E3DC2"/>
    <w:rsid w:val="000E4004"/>
    <w:rsid w:val="000E4C92"/>
    <w:rsid w:val="000E53BA"/>
    <w:rsid w:val="000E57A6"/>
    <w:rsid w:val="000E6C1F"/>
    <w:rsid w:val="000E78EA"/>
    <w:rsid w:val="000F0F39"/>
    <w:rsid w:val="000F2042"/>
    <w:rsid w:val="000F3A5B"/>
    <w:rsid w:val="000F42F5"/>
    <w:rsid w:val="001017D1"/>
    <w:rsid w:val="001019D8"/>
    <w:rsid w:val="00101D75"/>
    <w:rsid w:val="00101E2E"/>
    <w:rsid w:val="001021A6"/>
    <w:rsid w:val="00104562"/>
    <w:rsid w:val="00105FE9"/>
    <w:rsid w:val="00106C0F"/>
    <w:rsid w:val="00110044"/>
    <w:rsid w:val="0011117C"/>
    <w:rsid w:val="0011220E"/>
    <w:rsid w:val="001176A6"/>
    <w:rsid w:val="00117EA1"/>
    <w:rsid w:val="00120834"/>
    <w:rsid w:val="001218D8"/>
    <w:rsid w:val="00121C30"/>
    <w:rsid w:val="00123F5B"/>
    <w:rsid w:val="0012465F"/>
    <w:rsid w:val="00126F6B"/>
    <w:rsid w:val="00130980"/>
    <w:rsid w:val="00130DA4"/>
    <w:rsid w:val="00130E73"/>
    <w:rsid w:val="00131255"/>
    <w:rsid w:val="0013214E"/>
    <w:rsid w:val="00132CCE"/>
    <w:rsid w:val="00140BD1"/>
    <w:rsid w:val="00142605"/>
    <w:rsid w:val="001434DB"/>
    <w:rsid w:val="0014407A"/>
    <w:rsid w:val="001444F9"/>
    <w:rsid w:val="00145F0F"/>
    <w:rsid w:val="00145F24"/>
    <w:rsid w:val="00146B38"/>
    <w:rsid w:val="00147095"/>
    <w:rsid w:val="00151538"/>
    <w:rsid w:val="00151B64"/>
    <w:rsid w:val="00152FC4"/>
    <w:rsid w:val="00153917"/>
    <w:rsid w:val="001541F7"/>
    <w:rsid w:val="00154ABB"/>
    <w:rsid w:val="001550AA"/>
    <w:rsid w:val="00155A9E"/>
    <w:rsid w:val="001571D5"/>
    <w:rsid w:val="00157DA9"/>
    <w:rsid w:val="00161EEB"/>
    <w:rsid w:val="00164B93"/>
    <w:rsid w:val="001704E7"/>
    <w:rsid w:val="00170558"/>
    <w:rsid w:val="001712A0"/>
    <w:rsid w:val="0017147C"/>
    <w:rsid w:val="00171B00"/>
    <w:rsid w:val="001735EA"/>
    <w:rsid w:val="001746CE"/>
    <w:rsid w:val="00174ABF"/>
    <w:rsid w:val="0017528A"/>
    <w:rsid w:val="00176FD0"/>
    <w:rsid w:val="00177EBD"/>
    <w:rsid w:val="0018177D"/>
    <w:rsid w:val="00181826"/>
    <w:rsid w:val="00181C4E"/>
    <w:rsid w:val="0018450B"/>
    <w:rsid w:val="0018530D"/>
    <w:rsid w:val="0018683C"/>
    <w:rsid w:val="00190E15"/>
    <w:rsid w:val="0019129C"/>
    <w:rsid w:val="00192094"/>
    <w:rsid w:val="00192516"/>
    <w:rsid w:val="0019272C"/>
    <w:rsid w:val="001A06C8"/>
    <w:rsid w:val="001A0B55"/>
    <w:rsid w:val="001A2A51"/>
    <w:rsid w:val="001A347A"/>
    <w:rsid w:val="001A371B"/>
    <w:rsid w:val="001A52A5"/>
    <w:rsid w:val="001A5931"/>
    <w:rsid w:val="001A5A88"/>
    <w:rsid w:val="001A6F24"/>
    <w:rsid w:val="001A77D3"/>
    <w:rsid w:val="001B2529"/>
    <w:rsid w:val="001B2B97"/>
    <w:rsid w:val="001B3E6F"/>
    <w:rsid w:val="001B6C45"/>
    <w:rsid w:val="001C0176"/>
    <w:rsid w:val="001C0D2C"/>
    <w:rsid w:val="001C197B"/>
    <w:rsid w:val="001C201B"/>
    <w:rsid w:val="001C2651"/>
    <w:rsid w:val="001C27D0"/>
    <w:rsid w:val="001C2956"/>
    <w:rsid w:val="001C38B9"/>
    <w:rsid w:val="001C5F9E"/>
    <w:rsid w:val="001C6D37"/>
    <w:rsid w:val="001C704C"/>
    <w:rsid w:val="001D03FE"/>
    <w:rsid w:val="001D053D"/>
    <w:rsid w:val="001D13A5"/>
    <w:rsid w:val="001D1E25"/>
    <w:rsid w:val="001D26E4"/>
    <w:rsid w:val="001D272E"/>
    <w:rsid w:val="001D47FC"/>
    <w:rsid w:val="001D4DE4"/>
    <w:rsid w:val="001D7336"/>
    <w:rsid w:val="001D7520"/>
    <w:rsid w:val="001D7EBF"/>
    <w:rsid w:val="001E1124"/>
    <w:rsid w:val="001E1D64"/>
    <w:rsid w:val="001E5F45"/>
    <w:rsid w:val="001F01DB"/>
    <w:rsid w:val="001F24BD"/>
    <w:rsid w:val="00200E31"/>
    <w:rsid w:val="00202DF8"/>
    <w:rsid w:val="00203018"/>
    <w:rsid w:val="0020712E"/>
    <w:rsid w:val="002075FB"/>
    <w:rsid w:val="0021038D"/>
    <w:rsid w:val="00210844"/>
    <w:rsid w:val="002116B6"/>
    <w:rsid w:val="00216A2F"/>
    <w:rsid w:val="002176A4"/>
    <w:rsid w:val="00220C70"/>
    <w:rsid w:val="00222B2B"/>
    <w:rsid w:val="00223986"/>
    <w:rsid w:val="00224831"/>
    <w:rsid w:val="00224FB9"/>
    <w:rsid w:val="00225894"/>
    <w:rsid w:val="00226058"/>
    <w:rsid w:val="00226745"/>
    <w:rsid w:val="00227A8E"/>
    <w:rsid w:val="00231395"/>
    <w:rsid w:val="00233FFD"/>
    <w:rsid w:val="0023460F"/>
    <w:rsid w:val="00237B97"/>
    <w:rsid w:val="002409B1"/>
    <w:rsid w:val="00241EEB"/>
    <w:rsid w:val="0024391D"/>
    <w:rsid w:val="00243D11"/>
    <w:rsid w:val="00245576"/>
    <w:rsid w:val="002476C3"/>
    <w:rsid w:val="002479B4"/>
    <w:rsid w:val="00250AC1"/>
    <w:rsid w:val="00252372"/>
    <w:rsid w:val="002534FB"/>
    <w:rsid w:val="00253972"/>
    <w:rsid w:val="00254B43"/>
    <w:rsid w:val="00254CFD"/>
    <w:rsid w:val="0025669A"/>
    <w:rsid w:val="00256D12"/>
    <w:rsid w:val="002578B0"/>
    <w:rsid w:val="00260AE2"/>
    <w:rsid w:val="00260CC3"/>
    <w:rsid w:val="0026164B"/>
    <w:rsid w:val="00261835"/>
    <w:rsid w:val="00262479"/>
    <w:rsid w:val="00262FEC"/>
    <w:rsid w:val="002638A2"/>
    <w:rsid w:val="00263E8A"/>
    <w:rsid w:val="0026400B"/>
    <w:rsid w:val="0026611A"/>
    <w:rsid w:val="00267FAC"/>
    <w:rsid w:val="0027072E"/>
    <w:rsid w:val="00271BA8"/>
    <w:rsid w:val="00271ECF"/>
    <w:rsid w:val="00271F9A"/>
    <w:rsid w:val="002723A8"/>
    <w:rsid w:val="00272E90"/>
    <w:rsid w:val="002730D9"/>
    <w:rsid w:val="00276DB5"/>
    <w:rsid w:val="0028028F"/>
    <w:rsid w:val="00282101"/>
    <w:rsid w:val="002839B3"/>
    <w:rsid w:val="00283B8E"/>
    <w:rsid w:val="00284602"/>
    <w:rsid w:val="00284A41"/>
    <w:rsid w:val="00284CA9"/>
    <w:rsid w:val="00284FBB"/>
    <w:rsid w:val="002851D7"/>
    <w:rsid w:val="00285ECC"/>
    <w:rsid w:val="00286D15"/>
    <w:rsid w:val="00286F93"/>
    <w:rsid w:val="002872B0"/>
    <w:rsid w:val="002908C3"/>
    <w:rsid w:val="00290A80"/>
    <w:rsid w:val="00290AE0"/>
    <w:rsid w:val="002926C0"/>
    <w:rsid w:val="0029617F"/>
    <w:rsid w:val="002966DF"/>
    <w:rsid w:val="002A0A86"/>
    <w:rsid w:val="002A385F"/>
    <w:rsid w:val="002A40AD"/>
    <w:rsid w:val="002A5F7F"/>
    <w:rsid w:val="002B1704"/>
    <w:rsid w:val="002B1D4E"/>
    <w:rsid w:val="002B4B55"/>
    <w:rsid w:val="002B525F"/>
    <w:rsid w:val="002B7455"/>
    <w:rsid w:val="002C07EC"/>
    <w:rsid w:val="002C1D27"/>
    <w:rsid w:val="002C23AB"/>
    <w:rsid w:val="002C2616"/>
    <w:rsid w:val="002C7BCD"/>
    <w:rsid w:val="002D003E"/>
    <w:rsid w:val="002D1FE1"/>
    <w:rsid w:val="002D27AA"/>
    <w:rsid w:val="002D2C1E"/>
    <w:rsid w:val="002D45C7"/>
    <w:rsid w:val="002D5916"/>
    <w:rsid w:val="002D682E"/>
    <w:rsid w:val="002E1AF1"/>
    <w:rsid w:val="002E1C81"/>
    <w:rsid w:val="002E2281"/>
    <w:rsid w:val="002E3196"/>
    <w:rsid w:val="002E540C"/>
    <w:rsid w:val="002E5861"/>
    <w:rsid w:val="002E5C1E"/>
    <w:rsid w:val="002E5DBA"/>
    <w:rsid w:val="002E692F"/>
    <w:rsid w:val="002E7CDB"/>
    <w:rsid w:val="002F111F"/>
    <w:rsid w:val="002F1576"/>
    <w:rsid w:val="002F3326"/>
    <w:rsid w:val="002F357A"/>
    <w:rsid w:val="002F463A"/>
    <w:rsid w:val="002F5859"/>
    <w:rsid w:val="002F61D8"/>
    <w:rsid w:val="002F6B21"/>
    <w:rsid w:val="00300F45"/>
    <w:rsid w:val="00301C6B"/>
    <w:rsid w:val="00303011"/>
    <w:rsid w:val="00303B36"/>
    <w:rsid w:val="003050CD"/>
    <w:rsid w:val="00306FD3"/>
    <w:rsid w:val="00311824"/>
    <w:rsid w:val="00311899"/>
    <w:rsid w:val="003123D9"/>
    <w:rsid w:val="0031467B"/>
    <w:rsid w:val="00322C4A"/>
    <w:rsid w:val="00323A98"/>
    <w:rsid w:val="0032438E"/>
    <w:rsid w:val="00325458"/>
    <w:rsid w:val="00330331"/>
    <w:rsid w:val="00333488"/>
    <w:rsid w:val="003343C1"/>
    <w:rsid w:val="00334F3C"/>
    <w:rsid w:val="0033590D"/>
    <w:rsid w:val="00336B20"/>
    <w:rsid w:val="00341752"/>
    <w:rsid w:val="0034359F"/>
    <w:rsid w:val="003445BC"/>
    <w:rsid w:val="0034537A"/>
    <w:rsid w:val="00346142"/>
    <w:rsid w:val="00346342"/>
    <w:rsid w:val="0034742F"/>
    <w:rsid w:val="0034753A"/>
    <w:rsid w:val="00356435"/>
    <w:rsid w:val="00357068"/>
    <w:rsid w:val="00361470"/>
    <w:rsid w:val="00365253"/>
    <w:rsid w:val="00365A14"/>
    <w:rsid w:val="003661F1"/>
    <w:rsid w:val="00370D00"/>
    <w:rsid w:val="00370F37"/>
    <w:rsid w:val="003737E8"/>
    <w:rsid w:val="00374D93"/>
    <w:rsid w:val="00375FAA"/>
    <w:rsid w:val="003805B7"/>
    <w:rsid w:val="003809E4"/>
    <w:rsid w:val="00382BC2"/>
    <w:rsid w:val="003839D5"/>
    <w:rsid w:val="00384B6F"/>
    <w:rsid w:val="00385059"/>
    <w:rsid w:val="003856CA"/>
    <w:rsid w:val="00386DFE"/>
    <w:rsid w:val="00387068"/>
    <w:rsid w:val="0038750B"/>
    <w:rsid w:val="003901DF"/>
    <w:rsid w:val="00390515"/>
    <w:rsid w:val="003909DE"/>
    <w:rsid w:val="00390CB7"/>
    <w:rsid w:val="00391BDF"/>
    <w:rsid w:val="00392382"/>
    <w:rsid w:val="00392653"/>
    <w:rsid w:val="003946CC"/>
    <w:rsid w:val="00394CCD"/>
    <w:rsid w:val="00395165"/>
    <w:rsid w:val="00395FD8"/>
    <w:rsid w:val="0039643F"/>
    <w:rsid w:val="003974A9"/>
    <w:rsid w:val="00397619"/>
    <w:rsid w:val="00397BD6"/>
    <w:rsid w:val="003A0EB1"/>
    <w:rsid w:val="003A3348"/>
    <w:rsid w:val="003B0291"/>
    <w:rsid w:val="003B1662"/>
    <w:rsid w:val="003B271B"/>
    <w:rsid w:val="003B39F4"/>
    <w:rsid w:val="003B4B70"/>
    <w:rsid w:val="003B4DE8"/>
    <w:rsid w:val="003B7343"/>
    <w:rsid w:val="003B7A5C"/>
    <w:rsid w:val="003C0814"/>
    <w:rsid w:val="003C0DAF"/>
    <w:rsid w:val="003C410D"/>
    <w:rsid w:val="003C508C"/>
    <w:rsid w:val="003C6810"/>
    <w:rsid w:val="003C6C78"/>
    <w:rsid w:val="003C7EFB"/>
    <w:rsid w:val="003D00E6"/>
    <w:rsid w:val="003D0FA7"/>
    <w:rsid w:val="003D5CDF"/>
    <w:rsid w:val="003D5E2C"/>
    <w:rsid w:val="003D5F37"/>
    <w:rsid w:val="003E24B7"/>
    <w:rsid w:val="003E2C78"/>
    <w:rsid w:val="003E3A13"/>
    <w:rsid w:val="003E3A3B"/>
    <w:rsid w:val="003E6568"/>
    <w:rsid w:val="003E6FBB"/>
    <w:rsid w:val="003F0642"/>
    <w:rsid w:val="003F0A34"/>
    <w:rsid w:val="003F2741"/>
    <w:rsid w:val="003F2F3E"/>
    <w:rsid w:val="003F5BA9"/>
    <w:rsid w:val="003F62C9"/>
    <w:rsid w:val="0040061E"/>
    <w:rsid w:val="00402AAF"/>
    <w:rsid w:val="004030F8"/>
    <w:rsid w:val="00403517"/>
    <w:rsid w:val="004039DB"/>
    <w:rsid w:val="0040450D"/>
    <w:rsid w:val="004050DB"/>
    <w:rsid w:val="00405385"/>
    <w:rsid w:val="004103A2"/>
    <w:rsid w:val="0041270A"/>
    <w:rsid w:val="004144B8"/>
    <w:rsid w:val="00415D15"/>
    <w:rsid w:val="00415DB2"/>
    <w:rsid w:val="004168DC"/>
    <w:rsid w:val="004175FE"/>
    <w:rsid w:val="004207B8"/>
    <w:rsid w:val="00420B9A"/>
    <w:rsid w:val="00422CA0"/>
    <w:rsid w:val="00423D1F"/>
    <w:rsid w:val="00426451"/>
    <w:rsid w:val="00427567"/>
    <w:rsid w:val="00427F72"/>
    <w:rsid w:val="00431758"/>
    <w:rsid w:val="00434AA6"/>
    <w:rsid w:val="00434EFF"/>
    <w:rsid w:val="00435442"/>
    <w:rsid w:val="004374A8"/>
    <w:rsid w:val="0043765E"/>
    <w:rsid w:val="00440713"/>
    <w:rsid w:val="0044133D"/>
    <w:rsid w:val="00443362"/>
    <w:rsid w:val="004439BF"/>
    <w:rsid w:val="00443D59"/>
    <w:rsid w:val="004444D9"/>
    <w:rsid w:val="004466EA"/>
    <w:rsid w:val="004469C3"/>
    <w:rsid w:val="00447E6B"/>
    <w:rsid w:val="004522BA"/>
    <w:rsid w:val="0045537A"/>
    <w:rsid w:val="00455EE8"/>
    <w:rsid w:val="0045645D"/>
    <w:rsid w:val="00456592"/>
    <w:rsid w:val="004609FB"/>
    <w:rsid w:val="00460A0C"/>
    <w:rsid w:val="0046107E"/>
    <w:rsid w:val="004664DA"/>
    <w:rsid w:val="0046689F"/>
    <w:rsid w:val="00467221"/>
    <w:rsid w:val="0047019C"/>
    <w:rsid w:val="00470735"/>
    <w:rsid w:val="004736CC"/>
    <w:rsid w:val="004752FB"/>
    <w:rsid w:val="0047673E"/>
    <w:rsid w:val="00480F37"/>
    <w:rsid w:val="00482FB2"/>
    <w:rsid w:val="00485985"/>
    <w:rsid w:val="00486695"/>
    <w:rsid w:val="004917C4"/>
    <w:rsid w:val="00492B8B"/>
    <w:rsid w:val="0049304D"/>
    <w:rsid w:val="00494A5A"/>
    <w:rsid w:val="004971CF"/>
    <w:rsid w:val="004A0EC7"/>
    <w:rsid w:val="004A23FC"/>
    <w:rsid w:val="004A2B99"/>
    <w:rsid w:val="004A31C2"/>
    <w:rsid w:val="004A4658"/>
    <w:rsid w:val="004A5CC6"/>
    <w:rsid w:val="004A70D0"/>
    <w:rsid w:val="004B015E"/>
    <w:rsid w:val="004B2367"/>
    <w:rsid w:val="004B3107"/>
    <w:rsid w:val="004B39BB"/>
    <w:rsid w:val="004B5455"/>
    <w:rsid w:val="004B7A56"/>
    <w:rsid w:val="004C046F"/>
    <w:rsid w:val="004C10B2"/>
    <w:rsid w:val="004C1DEE"/>
    <w:rsid w:val="004C2642"/>
    <w:rsid w:val="004C37A6"/>
    <w:rsid w:val="004C4930"/>
    <w:rsid w:val="004D05A3"/>
    <w:rsid w:val="004D175A"/>
    <w:rsid w:val="004D4AE0"/>
    <w:rsid w:val="004D7E06"/>
    <w:rsid w:val="004E0B94"/>
    <w:rsid w:val="004E0DE6"/>
    <w:rsid w:val="004E2181"/>
    <w:rsid w:val="004E300A"/>
    <w:rsid w:val="004E3BD3"/>
    <w:rsid w:val="004E4D49"/>
    <w:rsid w:val="004E6103"/>
    <w:rsid w:val="004E7E55"/>
    <w:rsid w:val="004F1E02"/>
    <w:rsid w:val="004F4CD0"/>
    <w:rsid w:val="004F7580"/>
    <w:rsid w:val="00502193"/>
    <w:rsid w:val="00502346"/>
    <w:rsid w:val="005023EA"/>
    <w:rsid w:val="00503EAF"/>
    <w:rsid w:val="0050412D"/>
    <w:rsid w:val="0050626B"/>
    <w:rsid w:val="0050635E"/>
    <w:rsid w:val="00506539"/>
    <w:rsid w:val="00511EFE"/>
    <w:rsid w:val="0051227B"/>
    <w:rsid w:val="00512B71"/>
    <w:rsid w:val="00513A66"/>
    <w:rsid w:val="00513AC0"/>
    <w:rsid w:val="00513D77"/>
    <w:rsid w:val="00513F9D"/>
    <w:rsid w:val="00515D72"/>
    <w:rsid w:val="005163F3"/>
    <w:rsid w:val="00516BB4"/>
    <w:rsid w:val="005207CE"/>
    <w:rsid w:val="0052167B"/>
    <w:rsid w:val="00521E30"/>
    <w:rsid w:val="0052280D"/>
    <w:rsid w:val="005239E8"/>
    <w:rsid w:val="005300A6"/>
    <w:rsid w:val="00531950"/>
    <w:rsid w:val="00531E6E"/>
    <w:rsid w:val="00531FCD"/>
    <w:rsid w:val="00532614"/>
    <w:rsid w:val="0053262B"/>
    <w:rsid w:val="0053394E"/>
    <w:rsid w:val="00534818"/>
    <w:rsid w:val="005378E2"/>
    <w:rsid w:val="00537D4D"/>
    <w:rsid w:val="00540270"/>
    <w:rsid w:val="00540CC2"/>
    <w:rsid w:val="00541997"/>
    <w:rsid w:val="00542618"/>
    <w:rsid w:val="00543A49"/>
    <w:rsid w:val="0054401F"/>
    <w:rsid w:val="00545E71"/>
    <w:rsid w:val="00546236"/>
    <w:rsid w:val="0054637A"/>
    <w:rsid w:val="005469FE"/>
    <w:rsid w:val="00546B5A"/>
    <w:rsid w:val="0055112C"/>
    <w:rsid w:val="0055215B"/>
    <w:rsid w:val="005527CB"/>
    <w:rsid w:val="00552F53"/>
    <w:rsid w:val="00553ECF"/>
    <w:rsid w:val="005542A6"/>
    <w:rsid w:val="00555733"/>
    <w:rsid w:val="00555C84"/>
    <w:rsid w:val="005564EF"/>
    <w:rsid w:val="00556CD9"/>
    <w:rsid w:val="00556EDC"/>
    <w:rsid w:val="00557EB8"/>
    <w:rsid w:val="00560275"/>
    <w:rsid w:val="00564C83"/>
    <w:rsid w:val="00565075"/>
    <w:rsid w:val="005660AA"/>
    <w:rsid w:val="00566553"/>
    <w:rsid w:val="00570BE6"/>
    <w:rsid w:val="00570F8A"/>
    <w:rsid w:val="005712B1"/>
    <w:rsid w:val="005713C3"/>
    <w:rsid w:val="00572031"/>
    <w:rsid w:val="00573A7B"/>
    <w:rsid w:val="005748C1"/>
    <w:rsid w:val="0057506B"/>
    <w:rsid w:val="005765CB"/>
    <w:rsid w:val="00576EF9"/>
    <w:rsid w:val="005773C3"/>
    <w:rsid w:val="00577D3D"/>
    <w:rsid w:val="00580267"/>
    <w:rsid w:val="0058246E"/>
    <w:rsid w:val="00583511"/>
    <w:rsid w:val="00584322"/>
    <w:rsid w:val="005844F0"/>
    <w:rsid w:val="00585EB7"/>
    <w:rsid w:val="00590205"/>
    <w:rsid w:val="0059029C"/>
    <w:rsid w:val="005912A2"/>
    <w:rsid w:val="00591C49"/>
    <w:rsid w:val="005943F9"/>
    <w:rsid w:val="00595BBB"/>
    <w:rsid w:val="00597B7F"/>
    <w:rsid w:val="00597CB3"/>
    <w:rsid w:val="005A07F5"/>
    <w:rsid w:val="005A4886"/>
    <w:rsid w:val="005A4963"/>
    <w:rsid w:val="005B3534"/>
    <w:rsid w:val="005B3BA7"/>
    <w:rsid w:val="005B5976"/>
    <w:rsid w:val="005B6E10"/>
    <w:rsid w:val="005B768D"/>
    <w:rsid w:val="005B7A51"/>
    <w:rsid w:val="005B7D63"/>
    <w:rsid w:val="005C041F"/>
    <w:rsid w:val="005C2D22"/>
    <w:rsid w:val="005C305E"/>
    <w:rsid w:val="005C41B7"/>
    <w:rsid w:val="005C47A5"/>
    <w:rsid w:val="005D370F"/>
    <w:rsid w:val="005D7ABD"/>
    <w:rsid w:val="005E41B1"/>
    <w:rsid w:val="005E5A84"/>
    <w:rsid w:val="005E6022"/>
    <w:rsid w:val="005F6B3F"/>
    <w:rsid w:val="005F719A"/>
    <w:rsid w:val="005F7D81"/>
    <w:rsid w:val="00601935"/>
    <w:rsid w:val="00601A36"/>
    <w:rsid w:val="00603171"/>
    <w:rsid w:val="0060439F"/>
    <w:rsid w:val="006050AD"/>
    <w:rsid w:val="00605B82"/>
    <w:rsid w:val="006065CF"/>
    <w:rsid w:val="00607A0C"/>
    <w:rsid w:val="00610748"/>
    <w:rsid w:val="006119B3"/>
    <w:rsid w:val="006126B7"/>
    <w:rsid w:val="006138A2"/>
    <w:rsid w:val="006167DC"/>
    <w:rsid w:val="00617973"/>
    <w:rsid w:val="00617D01"/>
    <w:rsid w:val="00620328"/>
    <w:rsid w:val="00620EB8"/>
    <w:rsid w:val="00621A05"/>
    <w:rsid w:val="00627C7C"/>
    <w:rsid w:val="00630A19"/>
    <w:rsid w:val="00630E37"/>
    <w:rsid w:val="006312C3"/>
    <w:rsid w:val="00631948"/>
    <w:rsid w:val="00632169"/>
    <w:rsid w:val="00635CB3"/>
    <w:rsid w:val="00635E3F"/>
    <w:rsid w:val="006369FF"/>
    <w:rsid w:val="00637266"/>
    <w:rsid w:val="006401D2"/>
    <w:rsid w:val="0064292F"/>
    <w:rsid w:val="00645A91"/>
    <w:rsid w:val="00650335"/>
    <w:rsid w:val="00654166"/>
    <w:rsid w:val="006553D0"/>
    <w:rsid w:val="006561D9"/>
    <w:rsid w:val="006576DB"/>
    <w:rsid w:val="006606E8"/>
    <w:rsid w:val="00660D79"/>
    <w:rsid w:val="0066191A"/>
    <w:rsid w:val="00662C55"/>
    <w:rsid w:val="00663B5E"/>
    <w:rsid w:val="006658CD"/>
    <w:rsid w:val="00666C7C"/>
    <w:rsid w:val="00666F4D"/>
    <w:rsid w:val="00667DFA"/>
    <w:rsid w:val="0067031D"/>
    <w:rsid w:val="00670C68"/>
    <w:rsid w:val="00670FB0"/>
    <w:rsid w:val="00673029"/>
    <w:rsid w:val="00675C43"/>
    <w:rsid w:val="00676E1B"/>
    <w:rsid w:val="00677126"/>
    <w:rsid w:val="00677635"/>
    <w:rsid w:val="00680B23"/>
    <w:rsid w:val="00681E81"/>
    <w:rsid w:val="00682756"/>
    <w:rsid w:val="00682758"/>
    <w:rsid w:val="00683555"/>
    <w:rsid w:val="0068384A"/>
    <w:rsid w:val="00683D37"/>
    <w:rsid w:val="00683F0C"/>
    <w:rsid w:val="00683F11"/>
    <w:rsid w:val="00685410"/>
    <w:rsid w:val="0069202F"/>
    <w:rsid w:val="00692E63"/>
    <w:rsid w:val="0069335B"/>
    <w:rsid w:val="00694774"/>
    <w:rsid w:val="00696486"/>
    <w:rsid w:val="0069755A"/>
    <w:rsid w:val="00697D1B"/>
    <w:rsid w:val="006A0CEE"/>
    <w:rsid w:val="006A12AB"/>
    <w:rsid w:val="006A17D4"/>
    <w:rsid w:val="006A1E6E"/>
    <w:rsid w:val="006A21CD"/>
    <w:rsid w:val="006A3142"/>
    <w:rsid w:val="006A3C2F"/>
    <w:rsid w:val="006A5C2E"/>
    <w:rsid w:val="006A6CB0"/>
    <w:rsid w:val="006A6E96"/>
    <w:rsid w:val="006B0507"/>
    <w:rsid w:val="006B0521"/>
    <w:rsid w:val="006B4203"/>
    <w:rsid w:val="006B592F"/>
    <w:rsid w:val="006B70C1"/>
    <w:rsid w:val="006B79BF"/>
    <w:rsid w:val="006C15EE"/>
    <w:rsid w:val="006C4A6F"/>
    <w:rsid w:val="006C5D21"/>
    <w:rsid w:val="006C6ECE"/>
    <w:rsid w:val="006C6FD9"/>
    <w:rsid w:val="006D19EB"/>
    <w:rsid w:val="006D3004"/>
    <w:rsid w:val="006D7371"/>
    <w:rsid w:val="006E0369"/>
    <w:rsid w:val="006E2DD1"/>
    <w:rsid w:val="006E30D3"/>
    <w:rsid w:val="006E32CF"/>
    <w:rsid w:val="006E6621"/>
    <w:rsid w:val="006F14FC"/>
    <w:rsid w:val="006F5C0A"/>
    <w:rsid w:val="006F6052"/>
    <w:rsid w:val="006F60B2"/>
    <w:rsid w:val="006F777D"/>
    <w:rsid w:val="00701B19"/>
    <w:rsid w:val="00702A4F"/>
    <w:rsid w:val="007039B1"/>
    <w:rsid w:val="00705215"/>
    <w:rsid w:val="00705DCE"/>
    <w:rsid w:val="007064D1"/>
    <w:rsid w:val="007067D5"/>
    <w:rsid w:val="00707432"/>
    <w:rsid w:val="00710638"/>
    <w:rsid w:val="00715473"/>
    <w:rsid w:val="00717F7C"/>
    <w:rsid w:val="007205EB"/>
    <w:rsid w:val="007232A9"/>
    <w:rsid w:val="00723DA5"/>
    <w:rsid w:val="007241CA"/>
    <w:rsid w:val="00724205"/>
    <w:rsid w:val="00725A2D"/>
    <w:rsid w:val="00726599"/>
    <w:rsid w:val="007267B6"/>
    <w:rsid w:val="007274D8"/>
    <w:rsid w:val="00733A39"/>
    <w:rsid w:val="007340B6"/>
    <w:rsid w:val="0073453F"/>
    <w:rsid w:val="00736455"/>
    <w:rsid w:val="00741A7D"/>
    <w:rsid w:val="007429AD"/>
    <w:rsid w:val="0074341B"/>
    <w:rsid w:val="0074576A"/>
    <w:rsid w:val="0074665A"/>
    <w:rsid w:val="00750787"/>
    <w:rsid w:val="00753546"/>
    <w:rsid w:val="00753EA5"/>
    <w:rsid w:val="00754990"/>
    <w:rsid w:val="00756A76"/>
    <w:rsid w:val="00760681"/>
    <w:rsid w:val="00764AFE"/>
    <w:rsid w:val="00764FAF"/>
    <w:rsid w:val="00765B7F"/>
    <w:rsid w:val="00767E83"/>
    <w:rsid w:val="00771809"/>
    <w:rsid w:val="00771D3C"/>
    <w:rsid w:val="007729C7"/>
    <w:rsid w:val="00772E28"/>
    <w:rsid w:val="00773E8F"/>
    <w:rsid w:val="007746E7"/>
    <w:rsid w:val="00775CD9"/>
    <w:rsid w:val="00777F01"/>
    <w:rsid w:val="00781071"/>
    <w:rsid w:val="00782678"/>
    <w:rsid w:val="00782929"/>
    <w:rsid w:val="00782D78"/>
    <w:rsid w:val="00783401"/>
    <w:rsid w:val="00783F3E"/>
    <w:rsid w:val="00786674"/>
    <w:rsid w:val="00787154"/>
    <w:rsid w:val="00787EB8"/>
    <w:rsid w:val="0079026B"/>
    <w:rsid w:val="007910B9"/>
    <w:rsid w:val="007930BD"/>
    <w:rsid w:val="00793B5C"/>
    <w:rsid w:val="00793CD9"/>
    <w:rsid w:val="007946A7"/>
    <w:rsid w:val="007947DA"/>
    <w:rsid w:val="007967F0"/>
    <w:rsid w:val="00796DEC"/>
    <w:rsid w:val="007A09DF"/>
    <w:rsid w:val="007A0B47"/>
    <w:rsid w:val="007A0BB2"/>
    <w:rsid w:val="007A255F"/>
    <w:rsid w:val="007A5B45"/>
    <w:rsid w:val="007A6528"/>
    <w:rsid w:val="007A7CED"/>
    <w:rsid w:val="007B2137"/>
    <w:rsid w:val="007B21F7"/>
    <w:rsid w:val="007B2A55"/>
    <w:rsid w:val="007B31F2"/>
    <w:rsid w:val="007B456B"/>
    <w:rsid w:val="007B5D4C"/>
    <w:rsid w:val="007B6756"/>
    <w:rsid w:val="007B7D22"/>
    <w:rsid w:val="007C1B45"/>
    <w:rsid w:val="007C4974"/>
    <w:rsid w:val="007C4F37"/>
    <w:rsid w:val="007D1361"/>
    <w:rsid w:val="007D2F3D"/>
    <w:rsid w:val="007D3CC0"/>
    <w:rsid w:val="007D68EC"/>
    <w:rsid w:val="007D7AF6"/>
    <w:rsid w:val="007E1C60"/>
    <w:rsid w:val="007E2131"/>
    <w:rsid w:val="007E35DB"/>
    <w:rsid w:val="007E3A1A"/>
    <w:rsid w:val="007E53D0"/>
    <w:rsid w:val="007E5A93"/>
    <w:rsid w:val="007E7BBA"/>
    <w:rsid w:val="007F18D8"/>
    <w:rsid w:val="007F4444"/>
    <w:rsid w:val="007F49ED"/>
    <w:rsid w:val="007F4A78"/>
    <w:rsid w:val="007F615E"/>
    <w:rsid w:val="007F69B2"/>
    <w:rsid w:val="007F6CA6"/>
    <w:rsid w:val="007F7749"/>
    <w:rsid w:val="0080087F"/>
    <w:rsid w:val="008011D6"/>
    <w:rsid w:val="00801635"/>
    <w:rsid w:val="008038D4"/>
    <w:rsid w:val="0081033D"/>
    <w:rsid w:val="008111A8"/>
    <w:rsid w:val="008132C0"/>
    <w:rsid w:val="00814BDE"/>
    <w:rsid w:val="00815C06"/>
    <w:rsid w:val="0081632F"/>
    <w:rsid w:val="00816FE9"/>
    <w:rsid w:val="0082029B"/>
    <w:rsid w:val="008203F7"/>
    <w:rsid w:val="00821A88"/>
    <w:rsid w:val="00822173"/>
    <w:rsid w:val="0082295E"/>
    <w:rsid w:val="0082430B"/>
    <w:rsid w:val="00825B2E"/>
    <w:rsid w:val="008262B8"/>
    <w:rsid w:val="008320CE"/>
    <w:rsid w:val="008332E9"/>
    <w:rsid w:val="00833658"/>
    <w:rsid w:val="00834859"/>
    <w:rsid w:val="00834B99"/>
    <w:rsid w:val="0083571E"/>
    <w:rsid w:val="00835F12"/>
    <w:rsid w:val="0084221F"/>
    <w:rsid w:val="00842C98"/>
    <w:rsid w:val="00842F0F"/>
    <w:rsid w:val="00843AA5"/>
    <w:rsid w:val="00844BC4"/>
    <w:rsid w:val="00845B88"/>
    <w:rsid w:val="00845C42"/>
    <w:rsid w:val="008465F5"/>
    <w:rsid w:val="00846E74"/>
    <w:rsid w:val="00847643"/>
    <w:rsid w:val="00847B2B"/>
    <w:rsid w:val="008506B2"/>
    <w:rsid w:val="00854732"/>
    <w:rsid w:val="00854AB9"/>
    <w:rsid w:val="00856C3B"/>
    <w:rsid w:val="00857CFA"/>
    <w:rsid w:val="008603DE"/>
    <w:rsid w:val="008604A5"/>
    <w:rsid w:val="0086249C"/>
    <w:rsid w:val="00866169"/>
    <w:rsid w:val="00866C7D"/>
    <w:rsid w:val="00866E26"/>
    <w:rsid w:val="008701A6"/>
    <w:rsid w:val="00870635"/>
    <w:rsid w:val="008716D8"/>
    <w:rsid w:val="0087200F"/>
    <w:rsid w:val="00872484"/>
    <w:rsid w:val="0087371C"/>
    <w:rsid w:val="00873D3A"/>
    <w:rsid w:val="00876575"/>
    <w:rsid w:val="008766C5"/>
    <w:rsid w:val="0087684E"/>
    <w:rsid w:val="00877662"/>
    <w:rsid w:val="00880B13"/>
    <w:rsid w:val="008814A7"/>
    <w:rsid w:val="008825E1"/>
    <w:rsid w:val="008828A9"/>
    <w:rsid w:val="0088377F"/>
    <w:rsid w:val="0088443E"/>
    <w:rsid w:val="00885203"/>
    <w:rsid w:val="00886ECF"/>
    <w:rsid w:val="0088725D"/>
    <w:rsid w:val="008875EB"/>
    <w:rsid w:val="0089083C"/>
    <w:rsid w:val="00892389"/>
    <w:rsid w:val="00894085"/>
    <w:rsid w:val="00896B0E"/>
    <w:rsid w:val="00897E79"/>
    <w:rsid w:val="008A3961"/>
    <w:rsid w:val="008A44C8"/>
    <w:rsid w:val="008A5448"/>
    <w:rsid w:val="008B4ED7"/>
    <w:rsid w:val="008B68D7"/>
    <w:rsid w:val="008B6BBF"/>
    <w:rsid w:val="008B78EF"/>
    <w:rsid w:val="008C3202"/>
    <w:rsid w:val="008C399E"/>
    <w:rsid w:val="008C5ACD"/>
    <w:rsid w:val="008C61C9"/>
    <w:rsid w:val="008C6FD9"/>
    <w:rsid w:val="008D2947"/>
    <w:rsid w:val="008D2CB3"/>
    <w:rsid w:val="008D2D4C"/>
    <w:rsid w:val="008D5181"/>
    <w:rsid w:val="008D72D9"/>
    <w:rsid w:val="008D7BC4"/>
    <w:rsid w:val="008E10F7"/>
    <w:rsid w:val="008E112C"/>
    <w:rsid w:val="008E1368"/>
    <w:rsid w:val="008E1F67"/>
    <w:rsid w:val="008E33B4"/>
    <w:rsid w:val="008E395C"/>
    <w:rsid w:val="008E53B7"/>
    <w:rsid w:val="008E600C"/>
    <w:rsid w:val="008E601B"/>
    <w:rsid w:val="008F001D"/>
    <w:rsid w:val="008F32DF"/>
    <w:rsid w:val="008F3D74"/>
    <w:rsid w:val="008F4110"/>
    <w:rsid w:val="008F4F4F"/>
    <w:rsid w:val="008F6442"/>
    <w:rsid w:val="008F7C87"/>
    <w:rsid w:val="00900E66"/>
    <w:rsid w:val="0090172F"/>
    <w:rsid w:val="00902610"/>
    <w:rsid w:val="009026C9"/>
    <w:rsid w:val="00903C99"/>
    <w:rsid w:val="009040E3"/>
    <w:rsid w:val="00906A1D"/>
    <w:rsid w:val="00907BCD"/>
    <w:rsid w:val="009125CD"/>
    <w:rsid w:val="00915994"/>
    <w:rsid w:val="00915A41"/>
    <w:rsid w:val="00915A56"/>
    <w:rsid w:val="00915CD4"/>
    <w:rsid w:val="00920C0C"/>
    <w:rsid w:val="009214A2"/>
    <w:rsid w:val="009247D4"/>
    <w:rsid w:val="00925343"/>
    <w:rsid w:val="00926A1A"/>
    <w:rsid w:val="0092748E"/>
    <w:rsid w:val="00927DFC"/>
    <w:rsid w:val="0093048E"/>
    <w:rsid w:val="0093094E"/>
    <w:rsid w:val="00933C14"/>
    <w:rsid w:val="0093516D"/>
    <w:rsid w:val="00935D11"/>
    <w:rsid w:val="00940216"/>
    <w:rsid w:val="00941359"/>
    <w:rsid w:val="00941571"/>
    <w:rsid w:val="00942BF7"/>
    <w:rsid w:val="00943A8E"/>
    <w:rsid w:val="00946139"/>
    <w:rsid w:val="00946823"/>
    <w:rsid w:val="00946B73"/>
    <w:rsid w:val="00947CF3"/>
    <w:rsid w:val="00950FBE"/>
    <w:rsid w:val="00951905"/>
    <w:rsid w:val="00952113"/>
    <w:rsid w:val="00952BCE"/>
    <w:rsid w:val="009530D5"/>
    <w:rsid w:val="00960173"/>
    <w:rsid w:val="0096019B"/>
    <w:rsid w:val="009608FC"/>
    <w:rsid w:val="00962743"/>
    <w:rsid w:val="009640C8"/>
    <w:rsid w:val="00970609"/>
    <w:rsid w:val="00971888"/>
    <w:rsid w:val="0097208F"/>
    <w:rsid w:val="00972A53"/>
    <w:rsid w:val="009732F7"/>
    <w:rsid w:val="00973357"/>
    <w:rsid w:val="009827A0"/>
    <w:rsid w:val="00983B38"/>
    <w:rsid w:val="00985DD9"/>
    <w:rsid w:val="009872DC"/>
    <w:rsid w:val="009921A0"/>
    <w:rsid w:val="009921F2"/>
    <w:rsid w:val="00992811"/>
    <w:rsid w:val="00992A6A"/>
    <w:rsid w:val="00995ABE"/>
    <w:rsid w:val="00997081"/>
    <w:rsid w:val="009970B7"/>
    <w:rsid w:val="009A1AD8"/>
    <w:rsid w:val="009A3971"/>
    <w:rsid w:val="009A3D9B"/>
    <w:rsid w:val="009A4CAC"/>
    <w:rsid w:val="009A6895"/>
    <w:rsid w:val="009A72A7"/>
    <w:rsid w:val="009B0D43"/>
    <w:rsid w:val="009B4759"/>
    <w:rsid w:val="009B6335"/>
    <w:rsid w:val="009B727C"/>
    <w:rsid w:val="009C1C4D"/>
    <w:rsid w:val="009C1C9E"/>
    <w:rsid w:val="009C2622"/>
    <w:rsid w:val="009C46BE"/>
    <w:rsid w:val="009C6C95"/>
    <w:rsid w:val="009D2A31"/>
    <w:rsid w:val="009D2BE6"/>
    <w:rsid w:val="009D2C70"/>
    <w:rsid w:val="009D2E14"/>
    <w:rsid w:val="009D3B7C"/>
    <w:rsid w:val="009D4537"/>
    <w:rsid w:val="009D45F1"/>
    <w:rsid w:val="009D6983"/>
    <w:rsid w:val="009E0EA0"/>
    <w:rsid w:val="009E151E"/>
    <w:rsid w:val="009E53AD"/>
    <w:rsid w:val="009F00A4"/>
    <w:rsid w:val="009F0D84"/>
    <w:rsid w:val="009F149A"/>
    <w:rsid w:val="009F15A8"/>
    <w:rsid w:val="009F3EB0"/>
    <w:rsid w:val="009F617D"/>
    <w:rsid w:val="009F6344"/>
    <w:rsid w:val="009F71BA"/>
    <w:rsid w:val="009F7BC4"/>
    <w:rsid w:val="00A01496"/>
    <w:rsid w:val="00A0183F"/>
    <w:rsid w:val="00A02FB5"/>
    <w:rsid w:val="00A0539D"/>
    <w:rsid w:val="00A058A4"/>
    <w:rsid w:val="00A0700F"/>
    <w:rsid w:val="00A076AD"/>
    <w:rsid w:val="00A115D1"/>
    <w:rsid w:val="00A117AB"/>
    <w:rsid w:val="00A1208F"/>
    <w:rsid w:val="00A13BD6"/>
    <w:rsid w:val="00A14BC4"/>
    <w:rsid w:val="00A17190"/>
    <w:rsid w:val="00A25636"/>
    <w:rsid w:val="00A3092F"/>
    <w:rsid w:val="00A3163F"/>
    <w:rsid w:val="00A31D4E"/>
    <w:rsid w:val="00A32FA9"/>
    <w:rsid w:val="00A36F4E"/>
    <w:rsid w:val="00A37B08"/>
    <w:rsid w:val="00A42278"/>
    <w:rsid w:val="00A42F14"/>
    <w:rsid w:val="00A463D4"/>
    <w:rsid w:val="00A47120"/>
    <w:rsid w:val="00A47BFC"/>
    <w:rsid w:val="00A500E9"/>
    <w:rsid w:val="00A517BF"/>
    <w:rsid w:val="00A51C83"/>
    <w:rsid w:val="00A523B2"/>
    <w:rsid w:val="00A54747"/>
    <w:rsid w:val="00A55898"/>
    <w:rsid w:val="00A56542"/>
    <w:rsid w:val="00A56E01"/>
    <w:rsid w:val="00A571D4"/>
    <w:rsid w:val="00A6016E"/>
    <w:rsid w:val="00A62AA7"/>
    <w:rsid w:val="00A62B0D"/>
    <w:rsid w:val="00A63AC4"/>
    <w:rsid w:val="00A6401A"/>
    <w:rsid w:val="00A65947"/>
    <w:rsid w:val="00A67918"/>
    <w:rsid w:val="00A7073B"/>
    <w:rsid w:val="00A7491A"/>
    <w:rsid w:val="00A74FC0"/>
    <w:rsid w:val="00A765FB"/>
    <w:rsid w:val="00A77D74"/>
    <w:rsid w:val="00A8136B"/>
    <w:rsid w:val="00A8252F"/>
    <w:rsid w:val="00A833BC"/>
    <w:rsid w:val="00A83640"/>
    <w:rsid w:val="00A84AF1"/>
    <w:rsid w:val="00A85DC6"/>
    <w:rsid w:val="00A86FFE"/>
    <w:rsid w:val="00A90132"/>
    <w:rsid w:val="00A936C3"/>
    <w:rsid w:val="00A95DA0"/>
    <w:rsid w:val="00A96604"/>
    <w:rsid w:val="00A9674B"/>
    <w:rsid w:val="00A96A0B"/>
    <w:rsid w:val="00A96BB4"/>
    <w:rsid w:val="00AA4B26"/>
    <w:rsid w:val="00AA6DD1"/>
    <w:rsid w:val="00AB1319"/>
    <w:rsid w:val="00AB22CF"/>
    <w:rsid w:val="00AB3641"/>
    <w:rsid w:val="00AB43F1"/>
    <w:rsid w:val="00AB50C7"/>
    <w:rsid w:val="00AB5662"/>
    <w:rsid w:val="00AC0184"/>
    <w:rsid w:val="00AC24E6"/>
    <w:rsid w:val="00AC25E1"/>
    <w:rsid w:val="00AC40D3"/>
    <w:rsid w:val="00AD1A88"/>
    <w:rsid w:val="00AD2606"/>
    <w:rsid w:val="00AD3436"/>
    <w:rsid w:val="00AD3736"/>
    <w:rsid w:val="00AE18D6"/>
    <w:rsid w:val="00AE5429"/>
    <w:rsid w:val="00AF0909"/>
    <w:rsid w:val="00AF18CA"/>
    <w:rsid w:val="00AF2389"/>
    <w:rsid w:val="00AF2F8B"/>
    <w:rsid w:val="00AF3664"/>
    <w:rsid w:val="00AF46E4"/>
    <w:rsid w:val="00AF6E41"/>
    <w:rsid w:val="00B00E06"/>
    <w:rsid w:val="00B02863"/>
    <w:rsid w:val="00B10CAE"/>
    <w:rsid w:val="00B16069"/>
    <w:rsid w:val="00B20AB2"/>
    <w:rsid w:val="00B21A86"/>
    <w:rsid w:val="00B227C6"/>
    <w:rsid w:val="00B23D47"/>
    <w:rsid w:val="00B26E3A"/>
    <w:rsid w:val="00B30AD1"/>
    <w:rsid w:val="00B33904"/>
    <w:rsid w:val="00B34C76"/>
    <w:rsid w:val="00B35DF8"/>
    <w:rsid w:val="00B4004B"/>
    <w:rsid w:val="00B401CC"/>
    <w:rsid w:val="00B40929"/>
    <w:rsid w:val="00B42DC6"/>
    <w:rsid w:val="00B45A6D"/>
    <w:rsid w:val="00B45EBE"/>
    <w:rsid w:val="00B52BA7"/>
    <w:rsid w:val="00B5435E"/>
    <w:rsid w:val="00B55F81"/>
    <w:rsid w:val="00B56935"/>
    <w:rsid w:val="00B57CCC"/>
    <w:rsid w:val="00B60469"/>
    <w:rsid w:val="00B60519"/>
    <w:rsid w:val="00B60617"/>
    <w:rsid w:val="00B61A24"/>
    <w:rsid w:val="00B62158"/>
    <w:rsid w:val="00B63DB1"/>
    <w:rsid w:val="00B63F39"/>
    <w:rsid w:val="00B67848"/>
    <w:rsid w:val="00B730DD"/>
    <w:rsid w:val="00B73E17"/>
    <w:rsid w:val="00B751E6"/>
    <w:rsid w:val="00B75396"/>
    <w:rsid w:val="00B81A38"/>
    <w:rsid w:val="00B8289C"/>
    <w:rsid w:val="00B82A76"/>
    <w:rsid w:val="00B85D78"/>
    <w:rsid w:val="00B85EBE"/>
    <w:rsid w:val="00B90189"/>
    <w:rsid w:val="00B9145E"/>
    <w:rsid w:val="00B922CF"/>
    <w:rsid w:val="00B93C59"/>
    <w:rsid w:val="00B947F4"/>
    <w:rsid w:val="00B948BC"/>
    <w:rsid w:val="00B9660B"/>
    <w:rsid w:val="00B97978"/>
    <w:rsid w:val="00B97BCE"/>
    <w:rsid w:val="00B97FC6"/>
    <w:rsid w:val="00BA1C6C"/>
    <w:rsid w:val="00BA347A"/>
    <w:rsid w:val="00BA7006"/>
    <w:rsid w:val="00BA71B6"/>
    <w:rsid w:val="00BB1591"/>
    <w:rsid w:val="00BB2B95"/>
    <w:rsid w:val="00BB4508"/>
    <w:rsid w:val="00BB50DC"/>
    <w:rsid w:val="00BB527A"/>
    <w:rsid w:val="00BC29D2"/>
    <w:rsid w:val="00BC617A"/>
    <w:rsid w:val="00BC6FC7"/>
    <w:rsid w:val="00BC7CF7"/>
    <w:rsid w:val="00BD493B"/>
    <w:rsid w:val="00BD5DEE"/>
    <w:rsid w:val="00BD6E48"/>
    <w:rsid w:val="00BD765D"/>
    <w:rsid w:val="00BE0489"/>
    <w:rsid w:val="00BE0FAD"/>
    <w:rsid w:val="00BE10CD"/>
    <w:rsid w:val="00BE114A"/>
    <w:rsid w:val="00BE318D"/>
    <w:rsid w:val="00BE5A7E"/>
    <w:rsid w:val="00BE67EE"/>
    <w:rsid w:val="00BE776A"/>
    <w:rsid w:val="00BF0C34"/>
    <w:rsid w:val="00BF1C5E"/>
    <w:rsid w:val="00BF2579"/>
    <w:rsid w:val="00BF4D2D"/>
    <w:rsid w:val="00BF5188"/>
    <w:rsid w:val="00BF7EB6"/>
    <w:rsid w:val="00C0019C"/>
    <w:rsid w:val="00C02775"/>
    <w:rsid w:val="00C04E53"/>
    <w:rsid w:val="00C05A87"/>
    <w:rsid w:val="00C06951"/>
    <w:rsid w:val="00C072BC"/>
    <w:rsid w:val="00C0769E"/>
    <w:rsid w:val="00C07938"/>
    <w:rsid w:val="00C07DAC"/>
    <w:rsid w:val="00C108F9"/>
    <w:rsid w:val="00C10974"/>
    <w:rsid w:val="00C1397F"/>
    <w:rsid w:val="00C14AC8"/>
    <w:rsid w:val="00C156E4"/>
    <w:rsid w:val="00C16E5E"/>
    <w:rsid w:val="00C175EC"/>
    <w:rsid w:val="00C1779E"/>
    <w:rsid w:val="00C17ED0"/>
    <w:rsid w:val="00C2015D"/>
    <w:rsid w:val="00C203D4"/>
    <w:rsid w:val="00C223B7"/>
    <w:rsid w:val="00C2322D"/>
    <w:rsid w:val="00C24067"/>
    <w:rsid w:val="00C244D9"/>
    <w:rsid w:val="00C24ABC"/>
    <w:rsid w:val="00C24D93"/>
    <w:rsid w:val="00C256A9"/>
    <w:rsid w:val="00C31260"/>
    <w:rsid w:val="00C31BD2"/>
    <w:rsid w:val="00C345B1"/>
    <w:rsid w:val="00C354F3"/>
    <w:rsid w:val="00C36B40"/>
    <w:rsid w:val="00C36C15"/>
    <w:rsid w:val="00C37052"/>
    <w:rsid w:val="00C41E1E"/>
    <w:rsid w:val="00C42CB7"/>
    <w:rsid w:val="00C44C25"/>
    <w:rsid w:val="00C45987"/>
    <w:rsid w:val="00C45C7F"/>
    <w:rsid w:val="00C46641"/>
    <w:rsid w:val="00C467BA"/>
    <w:rsid w:val="00C51021"/>
    <w:rsid w:val="00C526DB"/>
    <w:rsid w:val="00C5397F"/>
    <w:rsid w:val="00C54D68"/>
    <w:rsid w:val="00C5731C"/>
    <w:rsid w:val="00C57400"/>
    <w:rsid w:val="00C60143"/>
    <w:rsid w:val="00C60392"/>
    <w:rsid w:val="00C60652"/>
    <w:rsid w:val="00C609B1"/>
    <w:rsid w:val="00C60CA0"/>
    <w:rsid w:val="00C60D71"/>
    <w:rsid w:val="00C646B5"/>
    <w:rsid w:val="00C70305"/>
    <w:rsid w:val="00C7330E"/>
    <w:rsid w:val="00C749CD"/>
    <w:rsid w:val="00C756E9"/>
    <w:rsid w:val="00C75B20"/>
    <w:rsid w:val="00C825FE"/>
    <w:rsid w:val="00C82A54"/>
    <w:rsid w:val="00C851DF"/>
    <w:rsid w:val="00C854C1"/>
    <w:rsid w:val="00C85791"/>
    <w:rsid w:val="00C85B56"/>
    <w:rsid w:val="00C868C8"/>
    <w:rsid w:val="00C87D2B"/>
    <w:rsid w:val="00C90214"/>
    <w:rsid w:val="00C9342A"/>
    <w:rsid w:val="00C942BE"/>
    <w:rsid w:val="00C94696"/>
    <w:rsid w:val="00C9738C"/>
    <w:rsid w:val="00C975BD"/>
    <w:rsid w:val="00CA080E"/>
    <w:rsid w:val="00CA6F89"/>
    <w:rsid w:val="00CA70B1"/>
    <w:rsid w:val="00CB04D0"/>
    <w:rsid w:val="00CB050D"/>
    <w:rsid w:val="00CB07A6"/>
    <w:rsid w:val="00CB1032"/>
    <w:rsid w:val="00CB10E0"/>
    <w:rsid w:val="00CB18CE"/>
    <w:rsid w:val="00CB2868"/>
    <w:rsid w:val="00CB3A6D"/>
    <w:rsid w:val="00CB627A"/>
    <w:rsid w:val="00CB6286"/>
    <w:rsid w:val="00CB6357"/>
    <w:rsid w:val="00CB6EC3"/>
    <w:rsid w:val="00CB7033"/>
    <w:rsid w:val="00CC211E"/>
    <w:rsid w:val="00CC3A37"/>
    <w:rsid w:val="00CC4376"/>
    <w:rsid w:val="00CC5509"/>
    <w:rsid w:val="00CD0319"/>
    <w:rsid w:val="00CD19B2"/>
    <w:rsid w:val="00CD25F7"/>
    <w:rsid w:val="00CD3CF1"/>
    <w:rsid w:val="00CD4AAE"/>
    <w:rsid w:val="00CD7841"/>
    <w:rsid w:val="00CE16C7"/>
    <w:rsid w:val="00CE1A50"/>
    <w:rsid w:val="00CE2764"/>
    <w:rsid w:val="00CE3B33"/>
    <w:rsid w:val="00CE4ADA"/>
    <w:rsid w:val="00CE6442"/>
    <w:rsid w:val="00CE7B99"/>
    <w:rsid w:val="00CF047C"/>
    <w:rsid w:val="00CF052D"/>
    <w:rsid w:val="00CF203D"/>
    <w:rsid w:val="00CF26EF"/>
    <w:rsid w:val="00CF358D"/>
    <w:rsid w:val="00CF470B"/>
    <w:rsid w:val="00D004A8"/>
    <w:rsid w:val="00D02CFC"/>
    <w:rsid w:val="00D02E77"/>
    <w:rsid w:val="00D038B7"/>
    <w:rsid w:val="00D0509C"/>
    <w:rsid w:val="00D0743B"/>
    <w:rsid w:val="00D07880"/>
    <w:rsid w:val="00D1549F"/>
    <w:rsid w:val="00D16E20"/>
    <w:rsid w:val="00D17A14"/>
    <w:rsid w:val="00D20D4D"/>
    <w:rsid w:val="00D22527"/>
    <w:rsid w:val="00D2663C"/>
    <w:rsid w:val="00D305B4"/>
    <w:rsid w:val="00D3188E"/>
    <w:rsid w:val="00D329A6"/>
    <w:rsid w:val="00D329DB"/>
    <w:rsid w:val="00D337AB"/>
    <w:rsid w:val="00D33E81"/>
    <w:rsid w:val="00D34FD1"/>
    <w:rsid w:val="00D364A0"/>
    <w:rsid w:val="00D36FA8"/>
    <w:rsid w:val="00D37714"/>
    <w:rsid w:val="00D45170"/>
    <w:rsid w:val="00D475CF"/>
    <w:rsid w:val="00D501D7"/>
    <w:rsid w:val="00D50E69"/>
    <w:rsid w:val="00D51225"/>
    <w:rsid w:val="00D51524"/>
    <w:rsid w:val="00D5172C"/>
    <w:rsid w:val="00D5523B"/>
    <w:rsid w:val="00D55BAB"/>
    <w:rsid w:val="00D55DAF"/>
    <w:rsid w:val="00D61BAD"/>
    <w:rsid w:val="00D61C18"/>
    <w:rsid w:val="00D62F9F"/>
    <w:rsid w:val="00D65C15"/>
    <w:rsid w:val="00D65D1E"/>
    <w:rsid w:val="00D66BC5"/>
    <w:rsid w:val="00D66C61"/>
    <w:rsid w:val="00D700AF"/>
    <w:rsid w:val="00D711D8"/>
    <w:rsid w:val="00D737FF"/>
    <w:rsid w:val="00D77D63"/>
    <w:rsid w:val="00D80954"/>
    <w:rsid w:val="00D821C6"/>
    <w:rsid w:val="00D85058"/>
    <w:rsid w:val="00D87845"/>
    <w:rsid w:val="00D95E57"/>
    <w:rsid w:val="00DA0DFA"/>
    <w:rsid w:val="00DA5DEC"/>
    <w:rsid w:val="00DA6115"/>
    <w:rsid w:val="00DA6977"/>
    <w:rsid w:val="00DB05D8"/>
    <w:rsid w:val="00DB14A2"/>
    <w:rsid w:val="00DB223B"/>
    <w:rsid w:val="00DB3050"/>
    <w:rsid w:val="00DB3BE5"/>
    <w:rsid w:val="00DB780B"/>
    <w:rsid w:val="00DB7D59"/>
    <w:rsid w:val="00DC117E"/>
    <w:rsid w:val="00DC16E0"/>
    <w:rsid w:val="00DC2499"/>
    <w:rsid w:val="00DC31C9"/>
    <w:rsid w:val="00DC5842"/>
    <w:rsid w:val="00DC68AC"/>
    <w:rsid w:val="00DD1080"/>
    <w:rsid w:val="00DD1B9B"/>
    <w:rsid w:val="00DD644A"/>
    <w:rsid w:val="00DE0863"/>
    <w:rsid w:val="00DE153E"/>
    <w:rsid w:val="00DE1BD6"/>
    <w:rsid w:val="00DE1D23"/>
    <w:rsid w:val="00DE22E1"/>
    <w:rsid w:val="00DE3232"/>
    <w:rsid w:val="00DE7858"/>
    <w:rsid w:val="00DE7911"/>
    <w:rsid w:val="00DF2089"/>
    <w:rsid w:val="00DF26AB"/>
    <w:rsid w:val="00DF3394"/>
    <w:rsid w:val="00DF6C5A"/>
    <w:rsid w:val="00DF7D6E"/>
    <w:rsid w:val="00E004AB"/>
    <w:rsid w:val="00E01BF7"/>
    <w:rsid w:val="00E03BB4"/>
    <w:rsid w:val="00E03C73"/>
    <w:rsid w:val="00E04223"/>
    <w:rsid w:val="00E066C9"/>
    <w:rsid w:val="00E070C4"/>
    <w:rsid w:val="00E10E42"/>
    <w:rsid w:val="00E113CC"/>
    <w:rsid w:val="00E12724"/>
    <w:rsid w:val="00E12EE0"/>
    <w:rsid w:val="00E155B8"/>
    <w:rsid w:val="00E166B3"/>
    <w:rsid w:val="00E169E3"/>
    <w:rsid w:val="00E16AD0"/>
    <w:rsid w:val="00E226DF"/>
    <w:rsid w:val="00E22803"/>
    <w:rsid w:val="00E22884"/>
    <w:rsid w:val="00E23394"/>
    <w:rsid w:val="00E23C7E"/>
    <w:rsid w:val="00E24BBD"/>
    <w:rsid w:val="00E265B0"/>
    <w:rsid w:val="00E26AA3"/>
    <w:rsid w:val="00E27684"/>
    <w:rsid w:val="00E27EC3"/>
    <w:rsid w:val="00E30845"/>
    <w:rsid w:val="00E30E15"/>
    <w:rsid w:val="00E317CF"/>
    <w:rsid w:val="00E35252"/>
    <w:rsid w:val="00E35DF6"/>
    <w:rsid w:val="00E37371"/>
    <w:rsid w:val="00E4039C"/>
    <w:rsid w:val="00E40BA3"/>
    <w:rsid w:val="00E41528"/>
    <w:rsid w:val="00E41AA1"/>
    <w:rsid w:val="00E41DB2"/>
    <w:rsid w:val="00E4621E"/>
    <w:rsid w:val="00E46943"/>
    <w:rsid w:val="00E47356"/>
    <w:rsid w:val="00E47B85"/>
    <w:rsid w:val="00E50EED"/>
    <w:rsid w:val="00E51971"/>
    <w:rsid w:val="00E51D93"/>
    <w:rsid w:val="00E53158"/>
    <w:rsid w:val="00E54693"/>
    <w:rsid w:val="00E55865"/>
    <w:rsid w:val="00E55912"/>
    <w:rsid w:val="00E603A1"/>
    <w:rsid w:val="00E60FC3"/>
    <w:rsid w:val="00E63472"/>
    <w:rsid w:val="00E702D8"/>
    <w:rsid w:val="00E703DD"/>
    <w:rsid w:val="00E72251"/>
    <w:rsid w:val="00E731DC"/>
    <w:rsid w:val="00E7320D"/>
    <w:rsid w:val="00E752B3"/>
    <w:rsid w:val="00E75EA6"/>
    <w:rsid w:val="00E7662C"/>
    <w:rsid w:val="00E76D1C"/>
    <w:rsid w:val="00E77AC7"/>
    <w:rsid w:val="00E85628"/>
    <w:rsid w:val="00E87B41"/>
    <w:rsid w:val="00E9030C"/>
    <w:rsid w:val="00E93E2B"/>
    <w:rsid w:val="00E969ED"/>
    <w:rsid w:val="00E96F38"/>
    <w:rsid w:val="00E97749"/>
    <w:rsid w:val="00EA1DCD"/>
    <w:rsid w:val="00EA37A0"/>
    <w:rsid w:val="00EA44AB"/>
    <w:rsid w:val="00EA44AD"/>
    <w:rsid w:val="00EA4EF2"/>
    <w:rsid w:val="00EA58CC"/>
    <w:rsid w:val="00EA742A"/>
    <w:rsid w:val="00EB0B79"/>
    <w:rsid w:val="00EB13A5"/>
    <w:rsid w:val="00EB1F77"/>
    <w:rsid w:val="00EB3260"/>
    <w:rsid w:val="00EB4EE8"/>
    <w:rsid w:val="00EB4F13"/>
    <w:rsid w:val="00EC032B"/>
    <w:rsid w:val="00EC0578"/>
    <w:rsid w:val="00EC118F"/>
    <w:rsid w:val="00EC2A0C"/>
    <w:rsid w:val="00ED14D1"/>
    <w:rsid w:val="00ED1F20"/>
    <w:rsid w:val="00ED391C"/>
    <w:rsid w:val="00EE1606"/>
    <w:rsid w:val="00EE27A7"/>
    <w:rsid w:val="00EE2C00"/>
    <w:rsid w:val="00EE3AB1"/>
    <w:rsid w:val="00EE3E2E"/>
    <w:rsid w:val="00EE695D"/>
    <w:rsid w:val="00EF09DE"/>
    <w:rsid w:val="00EF0ABE"/>
    <w:rsid w:val="00EF16FD"/>
    <w:rsid w:val="00EF2D6C"/>
    <w:rsid w:val="00EF3DB7"/>
    <w:rsid w:val="00EF42C2"/>
    <w:rsid w:val="00EF4A9D"/>
    <w:rsid w:val="00EF5968"/>
    <w:rsid w:val="00F00B70"/>
    <w:rsid w:val="00F024F0"/>
    <w:rsid w:val="00F0590E"/>
    <w:rsid w:val="00F05BE6"/>
    <w:rsid w:val="00F05C25"/>
    <w:rsid w:val="00F07E3E"/>
    <w:rsid w:val="00F1348C"/>
    <w:rsid w:val="00F16704"/>
    <w:rsid w:val="00F169FF"/>
    <w:rsid w:val="00F16AEC"/>
    <w:rsid w:val="00F16BEF"/>
    <w:rsid w:val="00F17AA3"/>
    <w:rsid w:val="00F20747"/>
    <w:rsid w:val="00F20F44"/>
    <w:rsid w:val="00F21E83"/>
    <w:rsid w:val="00F24300"/>
    <w:rsid w:val="00F26E83"/>
    <w:rsid w:val="00F30FFD"/>
    <w:rsid w:val="00F31D40"/>
    <w:rsid w:val="00F33051"/>
    <w:rsid w:val="00F3370F"/>
    <w:rsid w:val="00F33D07"/>
    <w:rsid w:val="00F347F7"/>
    <w:rsid w:val="00F36A30"/>
    <w:rsid w:val="00F36D99"/>
    <w:rsid w:val="00F37451"/>
    <w:rsid w:val="00F41B80"/>
    <w:rsid w:val="00F41C50"/>
    <w:rsid w:val="00F42C74"/>
    <w:rsid w:val="00F43642"/>
    <w:rsid w:val="00F4474B"/>
    <w:rsid w:val="00F51D48"/>
    <w:rsid w:val="00F51F01"/>
    <w:rsid w:val="00F51F12"/>
    <w:rsid w:val="00F526DD"/>
    <w:rsid w:val="00F548D5"/>
    <w:rsid w:val="00F54E93"/>
    <w:rsid w:val="00F54EEB"/>
    <w:rsid w:val="00F57D48"/>
    <w:rsid w:val="00F6279B"/>
    <w:rsid w:val="00F62824"/>
    <w:rsid w:val="00F6661F"/>
    <w:rsid w:val="00F7149B"/>
    <w:rsid w:val="00F71582"/>
    <w:rsid w:val="00F72305"/>
    <w:rsid w:val="00F7564E"/>
    <w:rsid w:val="00F759FC"/>
    <w:rsid w:val="00F81F44"/>
    <w:rsid w:val="00F823A9"/>
    <w:rsid w:val="00F825C3"/>
    <w:rsid w:val="00F82CBC"/>
    <w:rsid w:val="00F86F7D"/>
    <w:rsid w:val="00F87D43"/>
    <w:rsid w:val="00F90D17"/>
    <w:rsid w:val="00F91032"/>
    <w:rsid w:val="00F915F4"/>
    <w:rsid w:val="00F940B8"/>
    <w:rsid w:val="00F96FE2"/>
    <w:rsid w:val="00F97182"/>
    <w:rsid w:val="00F9767C"/>
    <w:rsid w:val="00F976B8"/>
    <w:rsid w:val="00F97905"/>
    <w:rsid w:val="00FA09F9"/>
    <w:rsid w:val="00FA47B4"/>
    <w:rsid w:val="00FA6870"/>
    <w:rsid w:val="00FB2EC6"/>
    <w:rsid w:val="00FB35A1"/>
    <w:rsid w:val="00FB41FC"/>
    <w:rsid w:val="00FB4C58"/>
    <w:rsid w:val="00FB5DA6"/>
    <w:rsid w:val="00FC4610"/>
    <w:rsid w:val="00FC4856"/>
    <w:rsid w:val="00FC59D3"/>
    <w:rsid w:val="00FC6039"/>
    <w:rsid w:val="00FC65AA"/>
    <w:rsid w:val="00FC67BB"/>
    <w:rsid w:val="00FC7175"/>
    <w:rsid w:val="00FD003F"/>
    <w:rsid w:val="00FD05F2"/>
    <w:rsid w:val="00FD1172"/>
    <w:rsid w:val="00FD211D"/>
    <w:rsid w:val="00FD3770"/>
    <w:rsid w:val="00FD4614"/>
    <w:rsid w:val="00FD54C0"/>
    <w:rsid w:val="00FE032D"/>
    <w:rsid w:val="00FE060E"/>
    <w:rsid w:val="00FE1158"/>
    <w:rsid w:val="00FE1C3A"/>
    <w:rsid w:val="00FE2985"/>
    <w:rsid w:val="00FE4860"/>
    <w:rsid w:val="00FE7655"/>
    <w:rsid w:val="00FF0CBD"/>
    <w:rsid w:val="00FF0F3D"/>
    <w:rsid w:val="00FF10EE"/>
    <w:rsid w:val="00FF28F7"/>
    <w:rsid w:val="00FF415C"/>
    <w:rsid w:val="00FF5C67"/>
    <w:rsid w:val="00FF63A5"/>
    <w:rsid w:val="00FF77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3"/>
    <o:shapelayout v:ext="edit">
      <o:idmap v:ext="edit" data="2"/>
    </o:shapelayout>
  </w:shapeDefaults>
  <w:decimalSymbol w:val="."/>
  <w:listSeparator w:val=","/>
  <w14:docId w14:val="44C51D0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5E3F"/>
    <w:pPr>
      <w:tabs>
        <w:tab w:val="left" w:pos="567"/>
      </w:tabs>
    </w:pPr>
    <w:rPr>
      <w:rFonts w:eastAsia="PMingLiU"/>
      <w:sz w:val="22"/>
      <w:szCs w:val="22"/>
      <w:lang w:val="es-ES" w:eastAsia="en-US"/>
    </w:rPr>
  </w:style>
  <w:style w:type="paragraph" w:styleId="1">
    <w:name w:val="heading 1"/>
    <w:basedOn w:val="a"/>
    <w:next w:val="a"/>
    <w:qFormat/>
    <w:pPr>
      <w:spacing w:before="240" w:after="120"/>
      <w:ind w:left="357" w:hanging="357"/>
      <w:outlineLvl w:val="0"/>
    </w:pPr>
    <w:rPr>
      <w:b/>
      <w:caps/>
      <w:sz w:val="26"/>
    </w:rPr>
  </w:style>
  <w:style w:type="paragraph" w:styleId="2">
    <w:name w:val="heading 2"/>
    <w:basedOn w:val="a"/>
    <w:next w:val="a"/>
    <w:qFormat/>
    <w:pPr>
      <w:keepNext/>
      <w:spacing w:before="240" w:after="60"/>
      <w:outlineLvl w:val="1"/>
    </w:pPr>
    <w:rPr>
      <w:b/>
      <w:i/>
      <w:sz w:val="24"/>
    </w:rPr>
  </w:style>
  <w:style w:type="paragraph" w:styleId="3">
    <w:name w:val="heading 3"/>
    <w:basedOn w:val="a"/>
    <w:next w:val="a"/>
    <w:qFormat/>
    <w:pPr>
      <w:keepNext/>
      <w:keepLines/>
      <w:spacing w:before="120" w:after="80"/>
      <w:outlineLvl w:val="2"/>
    </w:pPr>
    <w:rPr>
      <w:b/>
      <w:kern w:val="28"/>
      <w:sz w:val="24"/>
    </w:rPr>
  </w:style>
  <w:style w:type="paragraph" w:styleId="4">
    <w:name w:val="heading 4"/>
    <w:basedOn w:val="a"/>
    <w:next w:val="a"/>
    <w:qFormat/>
    <w:pPr>
      <w:keepNext/>
      <w:jc w:val="both"/>
      <w:outlineLvl w:val="3"/>
    </w:pPr>
    <w:rPr>
      <w:b/>
      <w:noProof/>
    </w:rPr>
  </w:style>
  <w:style w:type="paragraph" w:styleId="5">
    <w:name w:val="heading 5"/>
    <w:basedOn w:val="a"/>
    <w:next w:val="a"/>
    <w:qFormat/>
    <w:pPr>
      <w:keepNext/>
      <w:jc w:val="both"/>
      <w:outlineLvl w:val="4"/>
    </w:pPr>
    <w:rPr>
      <w:noProof/>
    </w:rPr>
  </w:style>
  <w:style w:type="paragraph" w:styleId="6">
    <w:name w:val="heading 6"/>
    <w:basedOn w:val="a"/>
    <w:next w:val="a"/>
    <w:qFormat/>
    <w:pPr>
      <w:keepNext/>
      <w:tabs>
        <w:tab w:val="left" w:pos="-720"/>
        <w:tab w:val="left" w:pos="4536"/>
      </w:tabs>
      <w:suppressAutoHyphens/>
      <w:outlineLvl w:val="5"/>
    </w:pPr>
    <w:rPr>
      <w:i/>
    </w:rPr>
  </w:style>
  <w:style w:type="paragraph" w:styleId="7">
    <w:name w:val="heading 7"/>
    <w:basedOn w:val="a"/>
    <w:next w:val="a"/>
    <w:qFormat/>
    <w:pPr>
      <w:keepNext/>
      <w:tabs>
        <w:tab w:val="left" w:pos="-720"/>
        <w:tab w:val="left" w:pos="4536"/>
      </w:tabs>
      <w:suppressAutoHyphens/>
      <w:jc w:val="both"/>
      <w:outlineLvl w:val="6"/>
    </w:pPr>
    <w:rPr>
      <w:i/>
    </w:rPr>
  </w:style>
  <w:style w:type="paragraph" w:styleId="8">
    <w:name w:val="heading 8"/>
    <w:basedOn w:val="a"/>
    <w:next w:val="a"/>
    <w:qFormat/>
    <w:pPr>
      <w:keepNext/>
      <w:ind w:left="567" w:hanging="567"/>
      <w:jc w:val="both"/>
      <w:outlineLvl w:val="7"/>
    </w:pPr>
    <w:rPr>
      <w:b/>
      <w:i/>
    </w:rPr>
  </w:style>
  <w:style w:type="paragraph" w:styleId="9">
    <w:name w:val="heading 9"/>
    <w:basedOn w:val="a"/>
    <w:next w:val="a"/>
    <w:qFormat/>
    <w:pPr>
      <w:keepNext/>
      <w:jc w:val="both"/>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0"/>
    </w:rPr>
  </w:style>
  <w:style w:type="paragraph" w:styleId="a4">
    <w:name w:val="footer"/>
    <w:basedOn w:val="a"/>
    <w:rsid w:val="00D364A0"/>
    <w:pPr>
      <w:tabs>
        <w:tab w:val="center" w:pos="4536"/>
        <w:tab w:val="center" w:pos="8930"/>
      </w:tabs>
    </w:pPr>
  </w:style>
  <w:style w:type="character" w:styleId="a5">
    <w:name w:val="page number"/>
    <w:basedOn w:val="a0"/>
  </w:style>
  <w:style w:type="paragraph" w:styleId="a6">
    <w:name w:val="Body Text Indent"/>
    <w:basedOn w:val="a"/>
    <w:pPr>
      <w:tabs>
        <w:tab w:val="clear" w:pos="567"/>
      </w:tabs>
      <w:autoSpaceDE w:val="0"/>
      <w:autoSpaceDN w:val="0"/>
      <w:adjustRightInd w:val="0"/>
      <w:ind w:left="720"/>
      <w:jc w:val="both"/>
    </w:pPr>
    <w:rPr>
      <w:lang w:eastAsia="en-GB"/>
    </w:rPr>
  </w:style>
  <w:style w:type="paragraph" w:styleId="30">
    <w:name w:val="Body Text 3"/>
    <w:basedOn w:val="a"/>
    <w:pPr>
      <w:tabs>
        <w:tab w:val="clear" w:pos="567"/>
      </w:tabs>
      <w:autoSpaceDE w:val="0"/>
      <w:autoSpaceDN w:val="0"/>
      <w:adjustRightInd w:val="0"/>
      <w:jc w:val="both"/>
    </w:pPr>
    <w:rPr>
      <w:color w:val="0000FF"/>
      <w:lang w:eastAsia="en-GB"/>
    </w:rPr>
  </w:style>
  <w:style w:type="paragraph" w:styleId="20">
    <w:name w:val="Body Text Indent 2"/>
    <w:basedOn w:val="a"/>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paragraph" w:styleId="a7">
    <w:name w:val="Body Text"/>
    <w:basedOn w:val="a"/>
    <w:pPr>
      <w:tabs>
        <w:tab w:val="clear" w:pos="567"/>
      </w:tabs>
    </w:pPr>
    <w:rPr>
      <w:i/>
      <w:color w:val="008000"/>
    </w:rPr>
  </w:style>
  <w:style w:type="paragraph" w:styleId="21">
    <w:name w:val="Body Text 2"/>
    <w:basedOn w:val="a"/>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styleId="a8">
    <w:name w:val="annotation reference"/>
    <w:uiPriority w:val="99"/>
    <w:semiHidden/>
    <w:rPr>
      <w:sz w:val="16"/>
      <w:szCs w:val="16"/>
    </w:rPr>
  </w:style>
  <w:style w:type="paragraph" w:styleId="a9">
    <w:name w:val="annotation text"/>
    <w:basedOn w:val="a"/>
    <w:link w:val="Char"/>
    <w:uiPriority w:val="99"/>
    <w:rPr>
      <w:sz w:val="20"/>
    </w:rPr>
  </w:style>
  <w:style w:type="paragraph" w:customStyle="1" w:styleId="EMEAEnBodyText">
    <w:name w:val="EMEA En Body Text"/>
    <w:basedOn w:val="a"/>
    <w:pPr>
      <w:tabs>
        <w:tab w:val="clear" w:pos="567"/>
      </w:tabs>
      <w:spacing w:before="120" w:after="120"/>
      <w:jc w:val="both"/>
    </w:pPr>
  </w:style>
  <w:style w:type="paragraph" w:styleId="aa">
    <w:name w:val="Document Map"/>
    <w:basedOn w:val="a"/>
    <w:semiHidden/>
    <w:pPr>
      <w:shd w:val="clear" w:color="auto" w:fill="000080"/>
    </w:pPr>
    <w:rPr>
      <w:rFonts w:ascii="Tahoma" w:hAnsi="Tahoma" w:cs="Tahoma"/>
    </w:rPr>
  </w:style>
  <w:style w:type="character" w:styleId="ab">
    <w:name w:val="Hyperlink"/>
    <w:uiPriority w:val="99"/>
    <w:rPr>
      <w:color w:val="0000FF"/>
      <w:u w:val="single"/>
    </w:rPr>
  </w:style>
  <w:style w:type="paragraph" w:customStyle="1" w:styleId="AHeader1">
    <w:name w:val="AHeader 1"/>
    <w:basedOn w:val="a"/>
    <w:pPr>
      <w:numPr>
        <w:numId w:val="4"/>
      </w:numPr>
      <w:tabs>
        <w:tab w:val="clear" w:pos="567"/>
      </w:tabs>
      <w:spacing w:after="120"/>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styleId="31">
    <w:name w:val="Body Text Indent 3"/>
    <w:basedOn w:val="a"/>
    <w:pPr>
      <w:tabs>
        <w:tab w:val="left" w:pos="1134"/>
      </w:tabs>
      <w:autoSpaceDE w:val="0"/>
      <w:autoSpaceDN w:val="0"/>
      <w:adjustRightInd w:val="0"/>
      <w:ind w:left="633"/>
      <w:jc w:val="both"/>
    </w:pPr>
    <w:rPr>
      <w:szCs w:val="21"/>
    </w:rPr>
  </w:style>
  <w:style w:type="character" w:styleId="ac">
    <w:name w:val="FollowedHyperlink"/>
    <w:rPr>
      <w:color w:val="800080"/>
      <w:u w:val="single"/>
    </w:rPr>
  </w:style>
  <w:style w:type="paragraph" w:customStyle="1" w:styleId="Ballongtext">
    <w:name w:val="Ballongtext"/>
    <w:basedOn w:val="a"/>
    <w:semiHidden/>
    <w:rPr>
      <w:rFonts w:ascii="Tahoma" w:hAnsi="Tahoma" w:cs="Tahoma"/>
      <w:sz w:val="16"/>
      <w:szCs w:val="16"/>
    </w:rPr>
  </w:style>
  <w:style w:type="paragraph" w:customStyle="1" w:styleId="Kommentarsmne">
    <w:name w:val="Kommentarsämne"/>
    <w:basedOn w:val="a9"/>
    <w:next w:val="a9"/>
    <w:semiHidden/>
    <w:rPr>
      <w:b/>
      <w:bCs/>
    </w:rPr>
  </w:style>
  <w:style w:type="paragraph" w:customStyle="1" w:styleId="Text">
    <w:name w:val="Text"/>
    <w:basedOn w:val="a"/>
    <w:pPr>
      <w:tabs>
        <w:tab w:val="clear" w:pos="567"/>
      </w:tabs>
      <w:overflowPunct w:val="0"/>
      <w:autoSpaceDE w:val="0"/>
      <w:autoSpaceDN w:val="0"/>
      <w:adjustRightInd w:val="0"/>
      <w:spacing w:before="100" w:beforeAutospacing="1" w:after="100" w:afterAutospacing="1" w:line="360" w:lineRule="auto"/>
      <w:ind w:left="56"/>
      <w:textAlignment w:val="baseline"/>
    </w:pPr>
    <w:rPr>
      <w:rFonts w:ascii="Arial" w:hAnsi="Arial" w:cs="Arial"/>
      <w:bCs/>
      <w:color w:val="0000FF"/>
      <w:sz w:val="20"/>
      <w:szCs w:val="14"/>
    </w:rPr>
  </w:style>
  <w:style w:type="character" w:customStyle="1" w:styleId="TextChar">
    <w:name w:val="Text Char"/>
    <w:rPr>
      <w:rFonts w:ascii="Arial" w:hAnsi="Arial" w:cs="Arial"/>
      <w:bCs/>
      <w:color w:val="0000FF"/>
      <w:szCs w:val="14"/>
      <w:lang w:val="es-ES" w:eastAsia="en-US" w:bidi="ar-SA"/>
    </w:rPr>
  </w:style>
  <w:style w:type="character" w:styleId="ad">
    <w:name w:val="Emphasis"/>
    <w:uiPriority w:val="20"/>
    <w:qFormat/>
    <w:rPr>
      <w:i/>
      <w:iCs/>
    </w:rPr>
  </w:style>
  <w:style w:type="paragraph" w:styleId="ae">
    <w:name w:val="Normal (Web)"/>
    <w:basedOn w:val="a"/>
    <w:uiPriority w:val="99"/>
    <w:pPr>
      <w:tabs>
        <w:tab w:val="clear" w:pos="567"/>
      </w:tabs>
      <w:spacing w:before="100" w:beforeAutospacing="1" w:after="100" w:afterAutospacing="1"/>
    </w:pPr>
    <w:rPr>
      <w:rFonts w:eastAsia="MS Mincho"/>
      <w:sz w:val="24"/>
      <w:szCs w:val="24"/>
      <w:lang w:eastAsia="ja-JP"/>
    </w:rPr>
  </w:style>
  <w:style w:type="character" w:customStyle="1" w:styleId="PeggyHo">
    <w:name w:val="Peggy Ho"/>
    <w:basedOn w:val="a0"/>
    <w:semiHidden/>
  </w:style>
  <w:style w:type="paragraph" w:styleId="af">
    <w:name w:val="Balloon Text"/>
    <w:basedOn w:val="a"/>
    <w:semiHidden/>
    <w:rPr>
      <w:rFonts w:ascii="Tahoma" w:hAnsi="Tahoma" w:cs="Tahoma"/>
      <w:sz w:val="16"/>
      <w:szCs w:val="16"/>
    </w:rPr>
  </w:style>
  <w:style w:type="paragraph" w:customStyle="1" w:styleId="lbltxt">
    <w:name w:val="lbltxt"/>
    <w:pPr>
      <w:tabs>
        <w:tab w:val="left" w:pos="567"/>
      </w:tabs>
    </w:pPr>
    <w:rPr>
      <w:noProof/>
      <w:sz w:val="22"/>
      <w:lang w:val="es-ES" w:eastAsia="en-US"/>
    </w:rPr>
  </w:style>
  <w:style w:type="paragraph" w:customStyle="1" w:styleId="TextBullet">
    <w:name w:val="TextBullet"/>
    <w:basedOn w:val="a"/>
    <w:pPr>
      <w:numPr>
        <w:numId w:val="9"/>
      </w:numPr>
      <w:tabs>
        <w:tab w:val="clear" w:pos="567"/>
      </w:tabs>
      <w:suppressAutoHyphens/>
      <w:spacing w:after="100" w:line="340" w:lineRule="atLeast"/>
    </w:pPr>
    <w:rPr>
      <w:rFonts w:ascii="Arial" w:hAnsi="Arial"/>
    </w:rPr>
  </w:style>
  <w:style w:type="character" w:customStyle="1" w:styleId="TextBulletChar">
    <w:name w:val="TextBullet Char"/>
    <w:rPr>
      <w:rFonts w:ascii="Arial" w:hAnsi="Arial"/>
      <w:sz w:val="22"/>
      <w:lang w:val="es-ES" w:eastAsia="en-US"/>
    </w:rPr>
  </w:style>
  <w:style w:type="character" w:customStyle="1" w:styleId="SidhuvudChar1">
    <w:name w:val="Sidhuvud Char1"/>
    <w:rPr>
      <w:rFonts w:ascii="Times New Roman" w:hAnsi="Times New Roman"/>
      <w:lang w:val="es-ES" w:eastAsia="en-US" w:bidi="ar-SA"/>
    </w:rPr>
  </w:style>
  <w:style w:type="paragraph" w:customStyle="1" w:styleId="Para">
    <w:name w:val="Para"/>
    <w:basedOn w:val="a"/>
    <w:next w:val="a"/>
    <w:pPr>
      <w:tabs>
        <w:tab w:val="clear" w:pos="567"/>
      </w:tabs>
      <w:autoSpaceDE w:val="0"/>
      <w:autoSpaceDN w:val="0"/>
      <w:adjustRightInd w:val="0"/>
    </w:pPr>
    <w:rPr>
      <w:sz w:val="24"/>
      <w:szCs w:val="24"/>
    </w:rPr>
  </w:style>
  <w:style w:type="paragraph" w:customStyle="1" w:styleId="SynopsisText">
    <w:name w:val="SynopsisText"/>
    <w:basedOn w:val="Text"/>
    <w:pPr>
      <w:tabs>
        <w:tab w:val="left" w:pos="1794"/>
      </w:tabs>
      <w:overflowPunct/>
      <w:autoSpaceDE/>
      <w:autoSpaceDN/>
      <w:adjustRightInd/>
      <w:spacing w:before="120" w:beforeAutospacing="0" w:after="120" w:afterAutospacing="0" w:line="240" w:lineRule="auto"/>
      <w:ind w:left="0"/>
      <w:textAlignment w:val="auto"/>
    </w:pPr>
    <w:rPr>
      <w:rFonts w:cs="Times New Roman"/>
      <w:bCs w:val="0"/>
      <w:color w:val="000000"/>
      <w:szCs w:val="20"/>
    </w:rPr>
  </w:style>
  <w:style w:type="paragraph" w:customStyle="1" w:styleId="text0">
    <w:name w:val="text"/>
    <w:basedOn w:val="a"/>
    <w:pPr>
      <w:tabs>
        <w:tab w:val="clear" w:pos="567"/>
      </w:tabs>
      <w:overflowPunct w:val="0"/>
      <w:autoSpaceDE w:val="0"/>
      <w:autoSpaceDN w:val="0"/>
      <w:spacing w:before="100" w:beforeAutospacing="1" w:after="100" w:afterAutospacing="1" w:line="360" w:lineRule="auto"/>
      <w:ind w:left="56"/>
    </w:pPr>
    <w:rPr>
      <w:rFonts w:ascii="Arial" w:hAnsi="Arial" w:cs="Arial"/>
      <w:color w:val="0000FF"/>
      <w:sz w:val="20"/>
    </w:rPr>
  </w:style>
  <w:style w:type="character" w:customStyle="1" w:styleId="emailstyle18">
    <w:name w:val="emailstyle18"/>
    <w:semiHidden/>
    <w:rPr>
      <w:rFonts w:ascii="Arial" w:hAnsi="Arial" w:cs="Arial" w:hint="default"/>
      <w:color w:val="auto"/>
      <w:sz w:val="20"/>
      <w:szCs w:val="20"/>
    </w:rPr>
  </w:style>
  <w:style w:type="paragraph" w:customStyle="1" w:styleId="Default">
    <w:name w:val="Default"/>
    <w:pPr>
      <w:autoSpaceDE w:val="0"/>
      <w:autoSpaceDN w:val="0"/>
      <w:adjustRightInd w:val="0"/>
    </w:pPr>
    <w:rPr>
      <w:rFonts w:eastAsia="MS Mincho"/>
      <w:color w:val="000000"/>
      <w:sz w:val="24"/>
      <w:szCs w:val="24"/>
      <w:lang w:val="es-ES" w:eastAsia="ja-JP"/>
    </w:rPr>
  </w:style>
  <w:style w:type="paragraph" w:customStyle="1" w:styleId="synopsistext0">
    <w:name w:val="synopsistext"/>
    <w:basedOn w:val="a"/>
    <w:pPr>
      <w:tabs>
        <w:tab w:val="clear" w:pos="567"/>
      </w:tabs>
      <w:spacing w:before="120" w:after="120"/>
    </w:pPr>
    <w:rPr>
      <w:rFonts w:ascii="Arial" w:eastAsia="MS Mincho" w:hAnsi="Arial" w:cs="Arial"/>
      <w:color w:val="000000"/>
      <w:sz w:val="20"/>
      <w:lang w:eastAsia="ja-JP"/>
    </w:rPr>
  </w:style>
  <w:style w:type="paragraph" w:customStyle="1" w:styleId="lblhead1">
    <w:name w:val="lblhead1"/>
    <w:basedOn w:val="lbltxt"/>
    <w:pPr>
      <w:keepNext/>
      <w:ind w:left="567" w:hanging="567"/>
    </w:pPr>
    <w:rPr>
      <w:b/>
      <w:caps/>
    </w:rPr>
  </w:style>
  <w:style w:type="character" w:customStyle="1" w:styleId="Initial">
    <w:name w:val="Initial"/>
    <w:rPr>
      <w:rFonts w:ascii="Times New Roman" w:hAnsi="Times New Roman"/>
      <w:noProof w:val="0"/>
      <w:sz w:val="24"/>
      <w:lang w:val="es-ES"/>
    </w:rPr>
  </w:style>
  <w:style w:type="paragraph" w:customStyle="1" w:styleId="TableCenterBold">
    <w:name w:val="TableCenterBold"/>
    <w:basedOn w:val="a"/>
    <w:pPr>
      <w:tabs>
        <w:tab w:val="clear" w:pos="567"/>
      </w:tabs>
      <w:suppressAutoHyphens/>
      <w:spacing w:before="60" w:line="240" w:lineRule="exact"/>
      <w:jc w:val="center"/>
    </w:pPr>
    <w:rPr>
      <w:b/>
      <w:sz w:val="24"/>
      <w:szCs w:val="24"/>
    </w:rPr>
  </w:style>
  <w:style w:type="paragraph" w:customStyle="1" w:styleId="lblbullet">
    <w:name w:val="lblbullet"/>
    <w:basedOn w:val="a"/>
    <w:pPr>
      <w:ind w:left="567" w:hanging="567"/>
    </w:pPr>
  </w:style>
  <w:style w:type="paragraph" w:customStyle="1" w:styleId="Ballongtext1">
    <w:name w:val="Ballongtext1"/>
    <w:basedOn w:val="a"/>
    <w:semiHidden/>
    <w:rPr>
      <w:rFonts w:ascii="Tahoma" w:hAnsi="Tahoma" w:cs="Tahoma"/>
      <w:sz w:val="16"/>
      <w:szCs w:val="16"/>
    </w:rPr>
  </w:style>
  <w:style w:type="paragraph" w:customStyle="1" w:styleId="Kommentarsmne1">
    <w:name w:val="Kommentarsämne1"/>
    <w:basedOn w:val="a9"/>
    <w:next w:val="a9"/>
    <w:semiHidden/>
    <w:rPr>
      <w:b/>
      <w:bCs/>
    </w:rPr>
  </w:style>
  <w:style w:type="character" w:customStyle="1" w:styleId="SidhuvudChar">
    <w:name w:val="Sidhuvud Char"/>
    <w:rPr>
      <w:rFonts w:ascii="Times New Roman" w:hAnsi="Times New Roman"/>
      <w:lang w:val="es-ES" w:eastAsia="en-US" w:bidi="ar-SA"/>
    </w:rPr>
  </w:style>
  <w:style w:type="paragraph" w:customStyle="1" w:styleId="TableLeftAlign">
    <w:name w:val="TableLeftAlign"/>
    <w:basedOn w:val="a"/>
    <w:uiPriority w:val="99"/>
    <w:pPr>
      <w:tabs>
        <w:tab w:val="clear" w:pos="567"/>
      </w:tabs>
      <w:suppressAutoHyphens/>
      <w:spacing w:before="60" w:after="60" w:line="240" w:lineRule="exact"/>
    </w:pPr>
    <w:rPr>
      <w:rFonts w:ascii="Arial" w:hAnsi="Arial"/>
      <w:sz w:val="20"/>
    </w:rPr>
  </w:style>
  <w:style w:type="paragraph" w:customStyle="1" w:styleId="Liststycke">
    <w:name w:val="Liststycke"/>
    <w:basedOn w:val="a"/>
    <w:qFormat/>
    <w:pPr>
      <w:ind w:left="1304"/>
    </w:pPr>
  </w:style>
  <w:style w:type="paragraph" w:styleId="af0">
    <w:name w:val="Revision"/>
    <w:hidden/>
    <w:semiHidden/>
    <w:rPr>
      <w:sz w:val="22"/>
      <w:lang w:val="es-ES" w:eastAsia="en-US"/>
    </w:rPr>
  </w:style>
  <w:style w:type="paragraph" w:customStyle="1" w:styleId="Ballongtext2">
    <w:name w:val="Ballongtext2"/>
    <w:basedOn w:val="a"/>
    <w:semiHidden/>
    <w:rPr>
      <w:rFonts w:ascii="Tahoma" w:hAnsi="Tahoma" w:cs="Tahoma"/>
      <w:sz w:val="16"/>
      <w:szCs w:val="16"/>
    </w:rPr>
  </w:style>
  <w:style w:type="paragraph" w:customStyle="1" w:styleId="Kommentarsmne2">
    <w:name w:val="Kommentarsämne2"/>
    <w:basedOn w:val="a9"/>
    <w:next w:val="a9"/>
    <w:semiHidden/>
    <w:rPr>
      <w:b/>
      <w:bCs/>
    </w:rPr>
  </w:style>
  <w:style w:type="paragraph" w:styleId="af1">
    <w:name w:val="caption"/>
    <w:basedOn w:val="a"/>
    <w:next w:val="Text"/>
    <w:qFormat/>
    <w:pPr>
      <w:keepNext/>
      <w:tabs>
        <w:tab w:val="clear" w:pos="567"/>
      </w:tabs>
      <w:suppressAutoHyphens/>
      <w:spacing w:before="300" w:after="100" w:line="300" w:lineRule="atLeast"/>
      <w:jc w:val="center"/>
    </w:pPr>
    <w:rPr>
      <w:rFonts w:ascii="Arial" w:hAnsi="Arial"/>
      <w:b/>
    </w:rPr>
  </w:style>
  <w:style w:type="character" w:customStyle="1" w:styleId="BeskrivningChar">
    <w:name w:val="Beskrivning Char"/>
    <w:rPr>
      <w:rFonts w:ascii="Arial" w:hAnsi="Arial"/>
      <w:b/>
      <w:sz w:val="22"/>
      <w:lang w:val="es-ES" w:eastAsia="en-US"/>
    </w:rPr>
  </w:style>
  <w:style w:type="character" w:customStyle="1" w:styleId="z3988">
    <w:name w:val="z3988"/>
    <w:basedOn w:val="a0"/>
  </w:style>
  <w:style w:type="character" w:customStyle="1" w:styleId="SidhuvudChar2">
    <w:name w:val="Sidhuvud Char2"/>
    <w:rPr>
      <w:rFonts w:ascii="Times New Roman" w:hAnsi="Times New Roman"/>
      <w:lang w:val="es-ES" w:eastAsia="en-US" w:bidi="ar-SA"/>
    </w:rPr>
  </w:style>
  <w:style w:type="character" w:styleId="af2">
    <w:name w:val="Strong"/>
    <w:uiPriority w:val="22"/>
    <w:qFormat/>
    <w:rPr>
      <w:b/>
      <w:bCs/>
    </w:rPr>
  </w:style>
  <w:style w:type="paragraph" w:styleId="af3">
    <w:name w:val="Date"/>
    <w:basedOn w:val="a"/>
    <w:next w:val="a"/>
    <w:pPr>
      <w:tabs>
        <w:tab w:val="clear" w:pos="567"/>
      </w:tabs>
    </w:pPr>
  </w:style>
  <w:style w:type="paragraph" w:styleId="af4">
    <w:name w:val="annotation subject"/>
    <w:basedOn w:val="a9"/>
    <w:next w:val="a9"/>
    <w:semiHidden/>
    <w:rPr>
      <w:b/>
      <w:bCs/>
    </w:rPr>
  </w:style>
  <w:style w:type="paragraph" w:customStyle="1" w:styleId="TitleA">
    <w:name w:val="Title A"/>
    <w:basedOn w:val="a"/>
    <w:rsid w:val="00BF5188"/>
    <w:pPr>
      <w:jc w:val="center"/>
    </w:pPr>
    <w:rPr>
      <w:b/>
      <w:bCs/>
    </w:rPr>
  </w:style>
  <w:style w:type="paragraph" w:customStyle="1" w:styleId="TitleB">
    <w:name w:val="Title B"/>
    <w:basedOn w:val="a"/>
    <w:qFormat/>
    <w:rsid w:val="00BF5188"/>
    <w:pPr>
      <w:keepNext/>
      <w:tabs>
        <w:tab w:val="clear" w:pos="567"/>
      </w:tabs>
      <w:ind w:left="567" w:hanging="567"/>
    </w:pPr>
    <w:rPr>
      <w:b/>
      <w:bCs/>
    </w:rPr>
  </w:style>
  <w:style w:type="character" w:customStyle="1" w:styleId="Char">
    <w:name w:val="메모 텍스트 Char"/>
    <w:link w:val="a9"/>
    <w:uiPriority w:val="99"/>
    <w:rsid w:val="006606E8"/>
    <w:rPr>
      <w:lang w:val="es-ES" w:eastAsia="en-US" w:bidi="ar-SA"/>
    </w:rPr>
  </w:style>
  <w:style w:type="paragraph" w:customStyle="1" w:styleId="BodytextAgency">
    <w:name w:val="Body text (Agency)"/>
    <w:basedOn w:val="Default"/>
    <w:next w:val="Default"/>
    <w:link w:val="BodytextAgencyChar"/>
    <w:qFormat/>
    <w:rsid w:val="00B60617"/>
    <w:rPr>
      <w:rFonts w:eastAsia="Times New Roman"/>
      <w:color w:val="auto"/>
      <w:lang w:eastAsia="en-US"/>
    </w:rPr>
  </w:style>
  <w:style w:type="paragraph" w:customStyle="1" w:styleId="TextItalicized">
    <w:name w:val="Text Italicized"/>
    <w:basedOn w:val="a"/>
    <w:link w:val="TextItalicizedChar"/>
    <w:rsid w:val="00233FFD"/>
    <w:pPr>
      <w:tabs>
        <w:tab w:val="clear" w:pos="567"/>
      </w:tabs>
    </w:pPr>
    <w:rPr>
      <w:rFonts w:eastAsia="MS Mincho"/>
      <w:i/>
      <w:iCs/>
      <w:color w:val="000000"/>
      <w:sz w:val="24"/>
      <w:szCs w:val="24"/>
      <w:lang w:eastAsia="ja-JP"/>
    </w:rPr>
  </w:style>
  <w:style w:type="character" w:customStyle="1" w:styleId="TextItalicizedChar">
    <w:name w:val="Text Italicized Char"/>
    <w:link w:val="TextItalicized"/>
    <w:rsid w:val="00233FFD"/>
    <w:rPr>
      <w:rFonts w:eastAsia="MS Mincho"/>
      <w:i/>
      <w:iCs/>
      <w:color w:val="000000"/>
      <w:sz w:val="24"/>
      <w:szCs w:val="24"/>
      <w:lang w:val="es-ES" w:eastAsia="ja-JP"/>
    </w:rPr>
  </w:style>
  <w:style w:type="paragraph" w:styleId="af5">
    <w:name w:val="List Paragraph"/>
    <w:basedOn w:val="a"/>
    <w:uiPriority w:val="34"/>
    <w:qFormat/>
    <w:rsid w:val="004B39BB"/>
    <w:pPr>
      <w:tabs>
        <w:tab w:val="clear" w:pos="567"/>
      </w:tabs>
      <w:ind w:left="720"/>
      <w:contextualSpacing/>
    </w:pPr>
    <w:rPr>
      <w:sz w:val="24"/>
      <w:szCs w:val="24"/>
      <w:lang w:eastAsia="en-GB"/>
    </w:rPr>
  </w:style>
  <w:style w:type="paragraph" w:customStyle="1" w:styleId="BasicParagraph">
    <w:name w:val="[Basic Paragraph]"/>
    <w:basedOn w:val="a"/>
    <w:uiPriority w:val="99"/>
    <w:rsid w:val="004B39BB"/>
    <w:pPr>
      <w:widowControl w:val="0"/>
      <w:tabs>
        <w:tab w:val="clear" w:pos="567"/>
      </w:tabs>
      <w:autoSpaceDE w:val="0"/>
      <w:autoSpaceDN w:val="0"/>
      <w:adjustRightInd w:val="0"/>
      <w:spacing w:line="288" w:lineRule="auto"/>
      <w:textAlignment w:val="center"/>
    </w:pPr>
    <w:rPr>
      <w:color w:val="000000"/>
      <w:szCs w:val="24"/>
      <w:lang w:eastAsia="ja-JP"/>
    </w:rPr>
  </w:style>
  <w:style w:type="character" w:customStyle="1" w:styleId="bodybold">
    <w:name w:val="body bold"/>
    <w:uiPriority w:val="99"/>
    <w:rsid w:val="004B39BB"/>
    <w:rPr>
      <w:rFonts w:cs="Times New Roman"/>
      <w:b/>
      <w:bCs/>
    </w:rPr>
  </w:style>
  <w:style w:type="paragraph" w:customStyle="1" w:styleId="BULLETED">
    <w:name w:val="BULLETED"/>
    <w:basedOn w:val="af5"/>
    <w:rsid w:val="004B39BB"/>
    <w:pPr>
      <w:widowControl w:val="0"/>
      <w:numPr>
        <w:numId w:val="31"/>
      </w:numPr>
      <w:tabs>
        <w:tab w:val="left" w:pos="810"/>
      </w:tabs>
      <w:suppressAutoHyphens/>
      <w:autoSpaceDE w:val="0"/>
      <w:autoSpaceDN w:val="0"/>
      <w:adjustRightInd w:val="0"/>
      <w:spacing w:before="90" w:line="250" w:lineRule="atLeast"/>
      <w:textAlignment w:val="center"/>
    </w:pPr>
    <w:rPr>
      <w:color w:val="000000"/>
      <w:sz w:val="20"/>
      <w:lang w:eastAsia="ja-JP"/>
    </w:rPr>
  </w:style>
  <w:style w:type="character" w:customStyle="1" w:styleId="BodytextAgencyChar">
    <w:name w:val="Body text (Agency) Char"/>
    <w:link w:val="BodytextAgency"/>
    <w:locked/>
    <w:rsid w:val="00692E63"/>
    <w:rPr>
      <w:sz w:val="24"/>
      <w:szCs w:val="24"/>
      <w:lang w:val="es-ES" w:eastAsia="en-US"/>
    </w:rPr>
  </w:style>
  <w:style w:type="character" w:customStyle="1" w:styleId="st1">
    <w:name w:val="st1"/>
    <w:rsid w:val="00140BD1"/>
  </w:style>
  <w:style w:type="character" w:customStyle="1" w:styleId="No-numheading3AgencyChar">
    <w:name w:val="No-num heading 3 (Agency) Char"/>
    <w:link w:val="No-numheading3Agency"/>
    <w:locked/>
    <w:rsid w:val="00DE7911"/>
    <w:rPr>
      <w:rFonts w:ascii="Verdana" w:eastAsia="Verdana" w:hAnsi="Verdana" w:cs="Arial"/>
      <w:b/>
      <w:bCs/>
      <w:kern w:val="32"/>
      <w:sz w:val="22"/>
      <w:szCs w:val="22"/>
    </w:rPr>
  </w:style>
  <w:style w:type="paragraph" w:customStyle="1" w:styleId="No-numheading3Agency">
    <w:name w:val="No-num heading 3 (Agency)"/>
    <w:basedOn w:val="a"/>
    <w:next w:val="BodytextAgency"/>
    <w:link w:val="No-numheading3AgencyChar"/>
    <w:rsid w:val="00DE7911"/>
    <w:pPr>
      <w:keepNext/>
      <w:tabs>
        <w:tab w:val="clear" w:pos="567"/>
      </w:tabs>
      <w:spacing w:before="280" w:after="220"/>
      <w:outlineLvl w:val="2"/>
    </w:pPr>
    <w:rPr>
      <w:rFonts w:ascii="Verdana" w:eastAsia="Verdana" w:hAnsi="Verdana" w:cs="Arial"/>
      <w:b/>
      <w:bCs/>
      <w:kern w:val="32"/>
      <w:lang w:eastAsia="en-GB"/>
    </w:rPr>
  </w:style>
  <w:style w:type="character" w:customStyle="1" w:styleId="NormalAgencyChar">
    <w:name w:val="Normal (Agency) Char"/>
    <w:link w:val="NormalAgency"/>
    <w:locked/>
    <w:rsid w:val="00DE7911"/>
    <w:rPr>
      <w:rFonts w:ascii="Verdana" w:eastAsia="Verdana" w:hAnsi="Verdana" w:cs="Verdana"/>
      <w:sz w:val="18"/>
      <w:szCs w:val="18"/>
    </w:rPr>
  </w:style>
  <w:style w:type="paragraph" w:customStyle="1" w:styleId="NormalAgency">
    <w:name w:val="Normal (Agency)"/>
    <w:link w:val="NormalAgencyChar"/>
    <w:rsid w:val="00DE7911"/>
    <w:rPr>
      <w:rFonts w:ascii="Verdana" w:eastAsia="Verdana" w:hAnsi="Verdana" w:cs="Verdana"/>
      <w:sz w:val="18"/>
      <w:szCs w:val="18"/>
      <w:lang w:val="es-ES" w:eastAsia="en-GB"/>
    </w:rPr>
  </w:style>
  <w:style w:type="table" w:styleId="af6">
    <w:name w:val="Table Grid"/>
    <w:basedOn w:val="a1"/>
    <w:rsid w:val="008D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ptitalic">
    <w:name w:val="_11pt italic"/>
    <w:basedOn w:val="a"/>
    <w:qFormat/>
    <w:rsid w:val="008132C0"/>
    <w:rPr>
      <w:i/>
      <w:iCs/>
    </w:rPr>
  </w:style>
  <w:style w:type="paragraph" w:customStyle="1" w:styleId="Style11ptunderlined">
    <w:name w:val="_Style 11pt underlined"/>
    <w:basedOn w:val="a"/>
    <w:qFormat/>
    <w:rsid w:val="00680B23"/>
    <w:pPr>
      <w:keepNext/>
    </w:pPr>
    <w:rPr>
      <w:u w:val="single"/>
    </w:rPr>
  </w:style>
  <w:style w:type="paragraph" w:customStyle="1" w:styleId="Style1italic">
    <w:name w:val="__Style1_italic"/>
    <w:basedOn w:val="a"/>
    <w:qFormat/>
    <w:rsid w:val="00B40929"/>
    <w:pPr>
      <w:keepNext/>
      <w:tabs>
        <w:tab w:val="clear" w:pos="567"/>
      </w:tabs>
    </w:pPr>
    <w:rPr>
      <w:i/>
      <w:iCs/>
    </w:rPr>
  </w:style>
  <w:style w:type="paragraph" w:customStyle="1" w:styleId="TableParagraph">
    <w:name w:val="Table Paragraph"/>
    <w:basedOn w:val="a"/>
    <w:uiPriority w:val="1"/>
    <w:qFormat/>
    <w:rsid w:val="008716D8"/>
    <w:pPr>
      <w:tabs>
        <w:tab w:val="clear" w:pos="567"/>
      </w:tabs>
    </w:pPr>
    <w:rPr>
      <w:rFonts w:eastAsia="맑은 고딕"/>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00181">
      <w:bodyDiv w:val="1"/>
      <w:marLeft w:val="0"/>
      <w:marRight w:val="0"/>
      <w:marTop w:val="0"/>
      <w:marBottom w:val="0"/>
      <w:divBdr>
        <w:top w:val="none" w:sz="0" w:space="0" w:color="auto"/>
        <w:left w:val="none" w:sz="0" w:space="0" w:color="auto"/>
        <w:bottom w:val="none" w:sz="0" w:space="0" w:color="auto"/>
        <w:right w:val="none" w:sz="0" w:space="0" w:color="auto"/>
      </w:divBdr>
    </w:div>
    <w:div w:id="116149727">
      <w:bodyDiv w:val="1"/>
      <w:marLeft w:val="0"/>
      <w:marRight w:val="0"/>
      <w:marTop w:val="0"/>
      <w:marBottom w:val="0"/>
      <w:divBdr>
        <w:top w:val="none" w:sz="0" w:space="0" w:color="auto"/>
        <w:left w:val="none" w:sz="0" w:space="0" w:color="auto"/>
        <w:bottom w:val="none" w:sz="0" w:space="0" w:color="auto"/>
        <w:right w:val="none" w:sz="0" w:space="0" w:color="auto"/>
      </w:divBdr>
    </w:div>
    <w:div w:id="414865851">
      <w:bodyDiv w:val="1"/>
      <w:marLeft w:val="0"/>
      <w:marRight w:val="0"/>
      <w:marTop w:val="0"/>
      <w:marBottom w:val="0"/>
      <w:divBdr>
        <w:top w:val="none" w:sz="0" w:space="0" w:color="auto"/>
        <w:left w:val="none" w:sz="0" w:space="0" w:color="auto"/>
        <w:bottom w:val="none" w:sz="0" w:space="0" w:color="auto"/>
        <w:right w:val="none" w:sz="0" w:space="0" w:color="auto"/>
      </w:divBdr>
    </w:div>
    <w:div w:id="918098803">
      <w:bodyDiv w:val="1"/>
      <w:marLeft w:val="0"/>
      <w:marRight w:val="0"/>
      <w:marTop w:val="0"/>
      <w:marBottom w:val="0"/>
      <w:divBdr>
        <w:top w:val="none" w:sz="0" w:space="0" w:color="auto"/>
        <w:left w:val="none" w:sz="0" w:space="0" w:color="auto"/>
        <w:bottom w:val="none" w:sz="0" w:space="0" w:color="auto"/>
        <w:right w:val="none" w:sz="0" w:space="0" w:color="auto"/>
      </w:divBdr>
    </w:div>
    <w:div w:id="971209604">
      <w:bodyDiv w:val="1"/>
      <w:marLeft w:val="0"/>
      <w:marRight w:val="0"/>
      <w:marTop w:val="0"/>
      <w:marBottom w:val="0"/>
      <w:divBdr>
        <w:top w:val="none" w:sz="0" w:space="0" w:color="auto"/>
        <w:left w:val="none" w:sz="0" w:space="0" w:color="auto"/>
        <w:bottom w:val="none" w:sz="0" w:space="0" w:color="auto"/>
        <w:right w:val="none" w:sz="0" w:space="0" w:color="auto"/>
      </w:divBdr>
    </w:div>
    <w:div w:id="971400155">
      <w:bodyDiv w:val="1"/>
      <w:marLeft w:val="0"/>
      <w:marRight w:val="0"/>
      <w:marTop w:val="0"/>
      <w:marBottom w:val="0"/>
      <w:divBdr>
        <w:top w:val="none" w:sz="0" w:space="0" w:color="auto"/>
        <w:left w:val="none" w:sz="0" w:space="0" w:color="auto"/>
        <w:bottom w:val="none" w:sz="0" w:space="0" w:color="auto"/>
        <w:right w:val="none" w:sz="0" w:space="0" w:color="auto"/>
      </w:divBdr>
    </w:div>
    <w:div w:id="1182162888">
      <w:bodyDiv w:val="1"/>
      <w:marLeft w:val="0"/>
      <w:marRight w:val="0"/>
      <w:marTop w:val="0"/>
      <w:marBottom w:val="0"/>
      <w:divBdr>
        <w:top w:val="none" w:sz="0" w:space="0" w:color="auto"/>
        <w:left w:val="none" w:sz="0" w:space="0" w:color="auto"/>
        <w:bottom w:val="none" w:sz="0" w:space="0" w:color="auto"/>
        <w:right w:val="none" w:sz="0" w:space="0" w:color="auto"/>
      </w:divBdr>
    </w:div>
    <w:div w:id="1266813273">
      <w:bodyDiv w:val="1"/>
      <w:marLeft w:val="0"/>
      <w:marRight w:val="0"/>
      <w:marTop w:val="0"/>
      <w:marBottom w:val="0"/>
      <w:divBdr>
        <w:top w:val="none" w:sz="0" w:space="0" w:color="auto"/>
        <w:left w:val="none" w:sz="0" w:space="0" w:color="auto"/>
        <w:bottom w:val="none" w:sz="0" w:space="0" w:color="auto"/>
        <w:right w:val="none" w:sz="0" w:space="0" w:color="auto"/>
      </w:divBdr>
    </w:div>
    <w:div w:id="1293057611">
      <w:bodyDiv w:val="1"/>
      <w:marLeft w:val="0"/>
      <w:marRight w:val="0"/>
      <w:marTop w:val="0"/>
      <w:marBottom w:val="0"/>
      <w:divBdr>
        <w:top w:val="none" w:sz="0" w:space="0" w:color="auto"/>
        <w:left w:val="none" w:sz="0" w:space="0" w:color="auto"/>
        <w:bottom w:val="none" w:sz="0" w:space="0" w:color="auto"/>
        <w:right w:val="none" w:sz="0" w:space="0" w:color="auto"/>
      </w:divBdr>
    </w:div>
    <w:div w:id="1488397341">
      <w:bodyDiv w:val="1"/>
      <w:marLeft w:val="0"/>
      <w:marRight w:val="0"/>
      <w:marTop w:val="0"/>
      <w:marBottom w:val="0"/>
      <w:divBdr>
        <w:top w:val="none" w:sz="0" w:space="0" w:color="auto"/>
        <w:left w:val="none" w:sz="0" w:space="0" w:color="auto"/>
        <w:bottom w:val="none" w:sz="0" w:space="0" w:color="auto"/>
        <w:right w:val="none" w:sz="0" w:space="0" w:color="auto"/>
      </w:divBdr>
    </w:div>
    <w:div w:id="1580140242">
      <w:bodyDiv w:val="1"/>
      <w:marLeft w:val="0"/>
      <w:marRight w:val="0"/>
      <w:marTop w:val="0"/>
      <w:marBottom w:val="0"/>
      <w:divBdr>
        <w:top w:val="none" w:sz="0" w:space="0" w:color="auto"/>
        <w:left w:val="none" w:sz="0" w:space="0" w:color="auto"/>
        <w:bottom w:val="none" w:sz="0" w:space="0" w:color="auto"/>
        <w:right w:val="none" w:sz="0" w:space="0" w:color="auto"/>
      </w:divBdr>
    </w:div>
    <w:div w:id="1636255839">
      <w:bodyDiv w:val="1"/>
      <w:marLeft w:val="0"/>
      <w:marRight w:val="0"/>
      <w:marTop w:val="0"/>
      <w:marBottom w:val="0"/>
      <w:divBdr>
        <w:top w:val="none" w:sz="0" w:space="0" w:color="auto"/>
        <w:left w:val="none" w:sz="0" w:space="0" w:color="auto"/>
        <w:bottom w:val="none" w:sz="0" w:space="0" w:color="auto"/>
        <w:right w:val="none" w:sz="0" w:space="0" w:color="auto"/>
      </w:divBdr>
    </w:div>
    <w:div w:id="1706566487">
      <w:bodyDiv w:val="1"/>
      <w:marLeft w:val="0"/>
      <w:marRight w:val="0"/>
      <w:marTop w:val="0"/>
      <w:marBottom w:val="0"/>
      <w:divBdr>
        <w:top w:val="none" w:sz="0" w:space="0" w:color="auto"/>
        <w:left w:val="none" w:sz="0" w:space="0" w:color="auto"/>
        <w:bottom w:val="none" w:sz="0" w:space="0" w:color="auto"/>
        <w:right w:val="none" w:sz="0" w:space="0" w:color="auto"/>
      </w:divBdr>
    </w:div>
    <w:div w:id="1710647772">
      <w:bodyDiv w:val="1"/>
      <w:marLeft w:val="0"/>
      <w:marRight w:val="0"/>
      <w:marTop w:val="0"/>
      <w:marBottom w:val="0"/>
      <w:divBdr>
        <w:top w:val="none" w:sz="0" w:space="0" w:color="auto"/>
        <w:left w:val="none" w:sz="0" w:space="0" w:color="auto"/>
        <w:bottom w:val="none" w:sz="0" w:space="0" w:color="auto"/>
        <w:right w:val="none" w:sz="0" w:space="0" w:color="auto"/>
      </w:divBdr>
    </w:div>
    <w:div w:id="1717703764">
      <w:bodyDiv w:val="1"/>
      <w:marLeft w:val="0"/>
      <w:marRight w:val="0"/>
      <w:marTop w:val="0"/>
      <w:marBottom w:val="0"/>
      <w:divBdr>
        <w:top w:val="none" w:sz="0" w:space="0" w:color="auto"/>
        <w:left w:val="none" w:sz="0" w:space="0" w:color="auto"/>
        <w:bottom w:val="none" w:sz="0" w:space="0" w:color="auto"/>
        <w:right w:val="none" w:sz="0" w:space="0" w:color="auto"/>
      </w:divBdr>
    </w:div>
    <w:div w:id="1833371056">
      <w:bodyDiv w:val="1"/>
      <w:marLeft w:val="0"/>
      <w:marRight w:val="0"/>
      <w:marTop w:val="0"/>
      <w:marBottom w:val="0"/>
      <w:divBdr>
        <w:top w:val="none" w:sz="0" w:space="0" w:color="auto"/>
        <w:left w:val="none" w:sz="0" w:space="0" w:color="auto"/>
        <w:bottom w:val="none" w:sz="0" w:space="0" w:color="auto"/>
        <w:right w:val="none" w:sz="0" w:space="0" w:color="auto"/>
      </w:divBdr>
    </w:div>
    <w:div w:id="183425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medicines/human/EPAR/stoboclo" TargetMode="External"/><Relationship Id="rId18" Type="http://schemas.openxmlformats.org/officeDocument/2006/relationships/hyperlink" Target="https://www.ema.europa.eu/documents/template-form/qrd-appendix-v-adverse-drug-reaction-reporting-details_en.docx" TargetMode="External"/><Relationship Id="rId26" Type="http://schemas.openxmlformats.org/officeDocument/2006/relationships/hyperlink" Target="mailto:contact_fi@celltrionhc.com" TargetMode="External"/><Relationship Id="rId39"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yperlink" Target="mailto:contact_dk@celltrionhc.com"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3c" TargetMode="External"/><Relationship Id="rId25" Type="http://schemas.openxmlformats.org/officeDocument/2006/relationships/hyperlink" Target="mailto:enquiry_ie@celltrionhc.com"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ma.europa.eu" TargetMode="External"/><Relationship Id="rId20" Type="http://schemas.openxmlformats.org/officeDocument/2006/relationships/hyperlink" Target="mailto:BEinfo@celltrionhc.com" TargetMode="External"/><Relationship Id="rId29" Type="http://schemas.openxmlformats.org/officeDocument/2006/relationships/hyperlink" Target="mailto:contact_se@celltrionhc.com"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ontact_no@celltrionhc.com"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image" Target="media/image17.png"/><Relationship Id="rId5" Type="http://schemas.openxmlformats.org/officeDocument/2006/relationships/customXml" Target="../customXml/item5.xml"/><Relationship Id="rId15" Type="http://schemas.openxmlformats.org/officeDocument/2006/relationships/hyperlink" Target="https://www.ema.europa.eu/documents/template-form/qrd-appendix-v-adverse-drug-reaction-reporting-details_en.docx" TargetMode="External"/><Relationship Id="rId23" Type="http://schemas.openxmlformats.org/officeDocument/2006/relationships/hyperlink" Target="mailto:contact_fi@celltrionhc.com" TargetMode="External"/><Relationship Id="rId28" Type="http://schemas.openxmlformats.org/officeDocument/2006/relationships/hyperlink" Target="mailto:contact_fi@celltrionhc.com" TargetMode="External"/><Relationship Id="rId36" Type="http://schemas.openxmlformats.org/officeDocument/2006/relationships/image" Target="media/image8.png"/><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BEinfo@celltrionhc.com" TargetMode="External"/><Relationship Id="rId31" Type="http://schemas.openxmlformats.org/officeDocument/2006/relationships/image" Target="media/image3.png"/><Relationship Id="rId44"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mailto:NLinfo@celltrionhc.com" TargetMode="External"/><Relationship Id="rId27" Type="http://schemas.openxmlformats.org/officeDocument/2006/relationships/hyperlink" Target="mailto:celltrionhealthcare_italy@legalmail.it" TargetMode="External"/><Relationship Id="rId30" Type="http://schemas.openxmlformats.org/officeDocument/2006/relationships/hyperlink" Target="https://www.ema.europa.eu/" TargetMode="External"/><Relationship Id="rId35" Type="http://schemas.openxmlformats.org/officeDocument/2006/relationships/image" Target="media/image7.png"/><Relationship Id="rId43" Type="http://schemas.openxmlformats.org/officeDocument/2006/relationships/image" Target="media/image15.png"/><Relationship Id="rId48" Type="http://schemas.openxmlformats.org/officeDocument/2006/relationships/fontTable" Target="fontTable.xml"/><Relationship Id="rId8"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82ad3a63-90ad-4a46-a3cb-757f4658e205" origin="userSelected">
  <element uid="03e9b10b-a1f9-4a88-9630-476473f62285" value=""/>
  <element uid="7349a702-6462-4442-88eb-c64cd513835c" value=""/>
  <element uid="ba0343df-3220-4244-9388-1298e2abc028" value=""/>
</sisl>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874b74-7561-4a92-a6e7-f8370cb4455a">
      <Terms xmlns="http://schemas.microsoft.com/office/infopath/2007/PartnerControls"/>
    </lcf76f155ced4ddcb4097134ff3c332f>
    <TaxCatchAll xmlns="a034c160-bfb7-45f5-8632-2eb7e0508071" xsi:nil="true"/>
    <vqsn xmlns="62874b74-7561-4a92-a6e7-f8370cb4455a"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_dlc_DocId xmlns="a034c160-bfb7-45f5-8632-2eb7e0508071">EMADOC-1700519818-2107535</_dlc_DocId>
    <_dlc_DocIdUrl xmlns="a034c160-bfb7-45f5-8632-2eb7e0508071">
      <Url>https://euema.sharepoint.com/sites/CRM/_layouts/15/DocIdRedir.aspx?ID=EMADOC-1700519818-2107535</Url>
      <Description>EMADOC-1700519818-2107535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D7CA3A2-0363-497D-9EE3-437BFA42D216}">
  <ds:schemaRefs>
    <ds:schemaRef ds:uri="http://schemas.openxmlformats.org/officeDocument/2006/bibliography"/>
  </ds:schemaRefs>
</ds:datastoreItem>
</file>

<file path=customXml/itemProps2.xml><?xml version="1.0" encoding="utf-8"?>
<ds:datastoreItem xmlns:ds="http://schemas.openxmlformats.org/officeDocument/2006/customXml" ds:itemID="{E6617FD8-989C-4A88-9D6C-CED8652C55D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7AE77D9-D037-42F9-8131-AF00369A9E15}"/>
</file>

<file path=customXml/itemProps4.xml><?xml version="1.0" encoding="utf-8"?>
<ds:datastoreItem xmlns:ds="http://schemas.openxmlformats.org/officeDocument/2006/customXml" ds:itemID="{7CD99BCA-BE1C-4BB9-99C1-465CC8A517D5}">
  <ds:schemaRefs>
    <ds:schemaRef ds:uri="http://schemas.microsoft.com/office/2006/metadata/properties"/>
    <ds:schemaRef ds:uri="http://schemas.microsoft.com/office/infopath/2007/PartnerControls"/>
    <ds:schemaRef ds:uri="a4d64e8f-e33f-435d-981f-c49545ae15b0"/>
    <ds:schemaRef ds:uri="e1eef876-2644-4dc2-b8ea-c736ac46ca54"/>
  </ds:schemaRefs>
</ds:datastoreItem>
</file>

<file path=customXml/itemProps5.xml><?xml version="1.0" encoding="utf-8"?>
<ds:datastoreItem xmlns:ds="http://schemas.openxmlformats.org/officeDocument/2006/customXml" ds:itemID="{15FE9EC8-0132-4B41-B75A-E49E7B1D9E23}">
  <ds:schemaRefs>
    <ds:schemaRef ds:uri="http://schemas.microsoft.com/sharepoint/v3/contenttype/forms"/>
  </ds:schemaRefs>
</ds:datastoreItem>
</file>

<file path=customXml/itemProps6.xml><?xml version="1.0" encoding="utf-8"?>
<ds:datastoreItem xmlns:ds="http://schemas.openxmlformats.org/officeDocument/2006/customXml" ds:itemID="{8BAF721F-1F64-4CFA-A0DA-5AB832C0881A}"/>
</file>

<file path=docProps/app.xml><?xml version="1.0" encoding="utf-8"?>
<Properties xmlns="http://schemas.openxmlformats.org/officeDocument/2006/extended-properties" xmlns:vt="http://schemas.openxmlformats.org/officeDocument/2006/docPropsVTypes">
  <Template>Normal</Template>
  <TotalTime>0</TotalTime>
  <Pages>43</Pages>
  <Words>13214</Words>
  <Characters>75323</Characters>
  <Application>Microsoft Office Word</Application>
  <DocSecurity>0</DocSecurity>
  <Lines>627</Lines>
  <Paragraphs>176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88361</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Stoboclo: EPAR - Product Information - tracked changes</dc:title>
  <dc:subject/>
  <dc:creator/>
  <cp:keywords/>
  <dc:description/>
  <cp:lastModifiedBy/>
  <cp:revision>1</cp:revision>
  <dcterms:created xsi:type="dcterms:W3CDTF">2025-01-08T06:36:00Z</dcterms:created>
  <dcterms:modified xsi:type="dcterms:W3CDTF">2025-04-27T11:33:00Z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79704630-1ae1-40fc-9f31-8fec12e3aa90</vt:lpwstr>
  </property>
</Properties>
</file>