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5107A" w14:textId="1D4617C8" w:rsidR="00693925" w:rsidRPr="005F3401" w:rsidRDefault="00037D55" w:rsidP="00E84F80">
      <w:pPr>
        <w:rPr>
          <w:b/>
          <w:sz w:val="22"/>
        </w:rPr>
      </w:pPr>
      <w:r w:rsidRPr="00CD0DF6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0B16F2" wp14:editId="48877A3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355080" cy="1404620"/>
                <wp:effectExtent l="0" t="0" r="2667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671F1" w14:textId="201F1F0F" w:rsidR="00037D55" w:rsidRPr="00037D55" w:rsidRDefault="00037D55" w:rsidP="00037D55">
                            <w:pPr>
                              <w:rPr>
                                <w:sz w:val="22"/>
                              </w:rPr>
                            </w:pPr>
                            <w:r w:rsidRPr="00037D55">
                              <w:rPr>
                                <w:sz w:val="22"/>
                              </w:rPr>
                              <w:t xml:space="preserve">Este documento es la información del producto aprobada para </w:t>
                            </w:r>
                            <w:r w:rsidRPr="00037D55">
                              <w:rPr>
                                <w:sz w:val="22"/>
                              </w:rPr>
                              <w:t>Teriparatida SUN</w:t>
                            </w:r>
                            <w:r w:rsidRPr="00037D55">
                              <w:rPr>
                                <w:sz w:val="22"/>
                              </w:rPr>
                              <w:t xml:space="preserve"> en el que se destacan las modificaciones introducidas, respecto del procedimiento anterior, que afectan a la información del producto </w:t>
                            </w:r>
                            <w:r w:rsidRPr="00037D55">
                              <w:rPr>
                                <w:sz w:val="22"/>
                              </w:rPr>
                              <w:t>EMEA/H/C/005793/IB/0004</w:t>
                            </w:r>
                            <w:r w:rsidRPr="00037D55">
                              <w:rPr>
                                <w:sz w:val="22"/>
                              </w:rPr>
                              <w:t>.</w:t>
                            </w:r>
                          </w:p>
                          <w:p w14:paraId="0F5DE96B" w14:textId="77777777" w:rsidR="00037D55" w:rsidRPr="00037D55" w:rsidRDefault="00037D55" w:rsidP="00037D55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B81DA38" w14:textId="20D07090" w:rsidR="00037D55" w:rsidRPr="000714BD" w:rsidRDefault="00037D55" w:rsidP="00037D55">
                            <w:pPr>
                              <w:rPr>
                                <w:sz w:val="22"/>
                              </w:rPr>
                            </w:pPr>
                            <w:r w:rsidRPr="00037D55">
                              <w:rPr>
                                <w:sz w:val="22"/>
                              </w:rPr>
                              <w:t xml:space="preserve">Para más información, consulte la página web de la Agencia Europea de Medicamentos: </w:t>
                            </w:r>
                            <w:r w:rsidRPr="000714BD">
                              <w:rPr>
                                <w:sz w:val="22"/>
                              </w:rPr>
                              <w:t xml:space="preserve"> </w:t>
                            </w:r>
                            <w:hyperlink r:id="rId13" w:history="1">
                              <w:r w:rsidRPr="00AF0BEF">
                                <w:rPr>
                                  <w:rStyle w:val="Hyperlink"/>
                                  <w:sz w:val="22"/>
                                </w:rPr>
                                <w:t>https://www.ema.europa.eu/en/medicines/human/EPAR/teriparatide-sun</w:t>
                              </w:r>
                            </w:hyperlink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0B16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00.4pt;height:110.6pt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">
                <v:textbox style="mso-fit-shape-to-text:t">
                  <w:txbxContent>
                    <w:p w14:paraId="005671F1" w14:textId="201F1F0F" w:rsidR="00037D55" w:rsidRPr="00037D55" w:rsidRDefault="00037D55" w:rsidP="00037D55">
                      <w:pPr>
                        <w:rPr>
                          <w:sz w:val="22"/>
                        </w:rPr>
                      </w:pPr>
                      <w:r w:rsidRPr="00037D55">
                        <w:rPr>
                          <w:sz w:val="22"/>
                        </w:rPr>
                        <w:t xml:space="preserve">Este documento es la información del producto aprobada para </w:t>
                      </w:r>
                      <w:r w:rsidRPr="00037D55">
                        <w:rPr>
                          <w:sz w:val="22"/>
                        </w:rPr>
                        <w:t>Teriparatida SUN</w:t>
                      </w:r>
                      <w:r w:rsidRPr="00037D55">
                        <w:rPr>
                          <w:sz w:val="22"/>
                        </w:rPr>
                        <w:t xml:space="preserve"> en el que se destacan las modificaciones introducidas, respecto del procedimiento anterior, que afectan a la información del producto </w:t>
                      </w:r>
                      <w:r w:rsidRPr="00037D55">
                        <w:rPr>
                          <w:sz w:val="22"/>
                        </w:rPr>
                        <w:t>EMEA/H/C/005793/IB/0004</w:t>
                      </w:r>
                      <w:r w:rsidRPr="00037D55">
                        <w:rPr>
                          <w:sz w:val="22"/>
                        </w:rPr>
                        <w:t>.</w:t>
                      </w:r>
                    </w:p>
                    <w:p w14:paraId="0F5DE96B" w14:textId="77777777" w:rsidR="00037D55" w:rsidRPr="00037D55" w:rsidRDefault="00037D55" w:rsidP="00037D55">
                      <w:pPr>
                        <w:rPr>
                          <w:sz w:val="22"/>
                        </w:rPr>
                      </w:pPr>
                    </w:p>
                    <w:p w14:paraId="7B81DA38" w14:textId="20D07090" w:rsidR="00037D55" w:rsidRPr="000714BD" w:rsidRDefault="00037D55" w:rsidP="00037D55">
                      <w:pPr>
                        <w:rPr>
                          <w:sz w:val="22"/>
                        </w:rPr>
                      </w:pPr>
                      <w:r w:rsidRPr="00037D55">
                        <w:rPr>
                          <w:sz w:val="22"/>
                        </w:rPr>
                        <w:t xml:space="preserve">Para más información, consulte la página web de la Agencia Europea de Medicamentos: </w:t>
                      </w:r>
                      <w:r w:rsidRPr="000714BD">
                        <w:rPr>
                          <w:sz w:val="22"/>
                        </w:rPr>
                        <w:t xml:space="preserve"> </w:t>
                      </w:r>
                      <w:hyperlink r:id="rId14" w:history="1">
                        <w:r w:rsidRPr="00AF0BEF">
                          <w:rPr>
                            <w:rStyle w:val="Hyperlink"/>
                            <w:sz w:val="22"/>
                          </w:rPr>
                          <w:t>https://www.ema.europa.eu/en/medicines/human/EPAR/teriparatide-sun</w:t>
                        </w:r>
                      </w:hyperlink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E5D517" w14:textId="77777777" w:rsidR="00693925" w:rsidRPr="005F3401" w:rsidRDefault="00693925" w:rsidP="00E84F80">
      <w:pPr>
        <w:rPr>
          <w:b/>
          <w:sz w:val="22"/>
        </w:rPr>
      </w:pPr>
    </w:p>
    <w:p w14:paraId="162C92BF" w14:textId="77777777" w:rsidR="00693925" w:rsidRPr="005F3401" w:rsidRDefault="00693925" w:rsidP="00E84F80">
      <w:pPr>
        <w:rPr>
          <w:b/>
          <w:sz w:val="22"/>
        </w:rPr>
      </w:pPr>
    </w:p>
    <w:p w14:paraId="4706767D" w14:textId="77777777" w:rsidR="00693925" w:rsidRPr="005F3401" w:rsidRDefault="00693925" w:rsidP="00E84F80">
      <w:pPr>
        <w:rPr>
          <w:b/>
          <w:sz w:val="22"/>
        </w:rPr>
      </w:pPr>
    </w:p>
    <w:p w14:paraId="5DFC6FBA" w14:textId="77777777" w:rsidR="00693925" w:rsidRPr="005F3401" w:rsidRDefault="00693925" w:rsidP="00E84F80">
      <w:pPr>
        <w:rPr>
          <w:b/>
          <w:sz w:val="22"/>
        </w:rPr>
      </w:pPr>
    </w:p>
    <w:p w14:paraId="38571600" w14:textId="77777777" w:rsidR="00693925" w:rsidRPr="005F3401" w:rsidRDefault="00693925" w:rsidP="00E84F80">
      <w:pPr>
        <w:rPr>
          <w:b/>
          <w:sz w:val="22"/>
        </w:rPr>
      </w:pPr>
    </w:p>
    <w:p w14:paraId="7FF3D942" w14:textId="77777777" w:rsidR="00693925" w:rsidRPr="005F3401" w:rsidRDefault="00693925" w:rsidP="00E84F80">
      <w:pPr>
        <w:rPr>
          <w:b/>
          <w:sz w:val="22"/>
        </w:rPr>
      </w:pPr>
    </w:p>
    <w:p w14:paraId="48E2C252" w14:textId="77777777" w:rsidR="00693925" w:rsidRPr="005F3401" w:rsidRDefault="00693925" w:rsidP="00E84F80">
      <w:pPr>
        <w:rPr>
          <w:b/>
          <w:sz w:val="22"/>
        </w:rPr>
      </w:pPr>
      <w:bookmarkStart w:id="0" w:name="_GoBack"/>
      <w:bookmarkEnd w:id="0"/>
    </w:p>
    <w:p w14:paraId="3E459BAE" w14:textId="77777777" w:rsidR="00693925" w:rsidRPr="005F3401" w:rsidRDefault="00693925" w:rsidP="00E84F80">
      <w:pPr>
        <w:rPr>
          <w:b/>
          <w:sz w:val="22"/>
        </w:rPr>
      </w:pPr>
    </w:p>
    <w:p w14:paraId="0F723E87" w14:textId="77777777" w:rsidR="00693925" w:rsidRPr="005F3401" w:rsidRDefault="00693925" w:rsidP="00E84F80">
      <w:pPr>
        <w:rPr>
          <w:b/>
          <w:sz w:val="22"/>
        </w:rPr>
      </w:pPr>
    </w:p>
    <w:p w14:paraId="2CD56C21" w14:textId="77777777" w:rsidR="00693925" w:rsidRPr="005F3401" w:rsidRDefault="00693925" w:rsidP="00E84F80">
      <w:pPr>
        <w:rPr>
          <w:b/>
          <w:sz w:val="22"/>
        </w:rPr>
      </w:pPr>
    </w:p>
    <w:p w14:paraId="12A1F27A" w14:textId="77777777" w:rsidR="00693925" w:rsidRPr="005F3401" w:rsidRDefault="00693925" w:rsidP="00E84F80">
      <w:pPr>
        <w:rPr>
          <w:b/>
          <w:sz w:val="22"/>
        </w:rPr>
      </w:pPr>
    </w:p>
    <w:p w14:paraId="69DFE68B" w14:textId="77777777" w:rsidR="00693925" w:rsidRPr="005F3401" w:rsidRDefault="00693925" w:rsidP="00E84F80">
      <w:pPr>
        <w:rPr>
          <w:b/>
          <w:sz w:val="22"/>
        </w:rPr>
      </w:pPr>
    </w:p>
    <w:p w14:paraId="4D9C537D" w14:textId="77777777" w:rsidR="00693925" w:rsidRPr="005F3401" w:rsidRDefault="00693925" w:rsidP="00E84F80">
      <w:pPr>
        <w:rPr>
          <w:b/>
          <w:sz w:val="22"/>
        </w:rPr>
      </w:pPr>
    </w:p>
    <w:p w14:paraId="013BB8F5" w14:textId="77777777" w:rsidR="00693925" w:rsidRPr="005F3401" w:rsidRDefault="00693925" w:rsidP="00E84F80">
      <w:pPr>
        <w:rPr>
          <w:b/>
          <w:sz w:val="22"/>
        </w:rPr>
      </w:pPr>
    </w:p>
    <w:p w14:paraId="6B333A9C" w14:textId="77777777" w:rsidR="00693925" w:rsidRPr="005F3401" w:rsidRDefault="00693925" w:rsidP="00E84F80">
      <w:pPr>
        <w:rPr>
          <w:b/>
          <w:sz w:val="22"/>
        </w:rPr>
      </w:pPr>
    </w:p>
    <w:p w14:paraId="275C67F0" w14:textId="77777777" w:rsidR="00693925" w:rsidRPr="005F3401" w:rsidRDefault="00693925" w:rsidP="00E84F80">
      <w:pPr>
        <w:rPr>
          <w:b/>
          <w:sz w:val="22"/>
        </w:rPr>
      </w:pPr>
    </w:p>
    <w:p w14:paraId="1F0C2B8B" w14:textId="77777777" w:rsidR="00661069" w:rsidRPr="005F3401" w:rsidRDefault="00661069" w:rsidP="001D020F">
      <w:pPr>
        <w:jc w:val="center"/>
        <w:rPr>
          <w:b/>
          <w:bCs/>
          <w:sz w:val="22"/>
        </w:rPr>
      </w:pPr>
    </w:p>
    <w:p w14:paraId="30EF46AB" w14:textId="77777777" w:rsidR="00661069" w:rsidRPr="005F3401" w:rsidRDefault="00661069" w:rsidP="001D020F">
      <w:pPr>
        <w:jc w:val="center"/>
        <w:rPr>
          <w:b/>
          <w:bCs/>
          <w:sz w:val="22"/>
        </w:rPr>
      </w:pPr>
    </w:p>
    <w:p w14:paraId="6676D96C" w14:textId="77777777" w:rsidR="00661069" w:rsidRPr="005F3401" w:rsidRDefault="00661069" w:rsidP="001D020F">
      <w:pPr>
        <w:jc w:val="center"/>
        <w:rPr>
          <w:b/>
          <w:bCs/>
          <w:sz w:val="22"/>
        </w:rPr>
      </w:pPr>
    </w:p>
    <w:p w14:paraId="787FF320" w14:textId="77777777" w:rsidR="00661069" w:rsidRPr="005F3401" w:rsidRDefault="00661069" w:rsidP="001D020F">
      <w:pPr>
        <w:jc w:val="center"/>
        <w:rPr>
          <w:b/>
          <w:bCs/>
          <w:sz w:val="22"/>
        </w:rPr>
      </w:pPr>
    </w:p>
    <w:p w14:paraId="5F9F0C3B" w14:textId="77777777" w:rsidR="00693925" w:rsidRPr="00C63A1D" w:rsidRDefault="00693925" w:rsidP="001D020F">
      <w:pPr>
        <w:jc w:val="center"/>
        <w:rPr>
          <w:b/>
          <w:bCs/>
          <w:sz w:val="22"/>
        </w:rPr>
      </w:pPr>
      <w:r w:rsidRPr="00C63A1D">
        <w:rPr>
          <w:b/>
          <w:bCs/>
          <w:sz w:val="22"/>
        </w:rPr>
        <w:t>ANEXO I</w:t>
      </w:r>
    </w:p>
    <w:p w14:paraId="73A52C24" w14:textId="77777777" w:rsidR="00693925" w:rsidRPr="00C63A1D" w:rsidRDefault="00693925" w:rsidP="001D020F">
      <w:pPr>
        <w:jc w:val="center"/>
        <w:rPr>
          <w:b/>
          <w:bCs/>
          <w:sz w:val="22"/>
        </w:rPr>
      </w:pPr>
    </w:p>
    <w:p w14:paraId="229B52D2" w14:textId="77777777" w:rsidR="00693925" w:rsidRDefault="001F0C4F" w:rsidP="00830DF6">
      <w:pPr>
        <w:pStyle w:val="TitleA"/>
      </w:pPr>
      <w:r w:rsidRPr="0054636D">
        <w:t xml:space="preserve">FICHA TÉCNICA O </w:t>
      </w:r>
      <w:r w:rsidR="00693925" w:rsidRPr="0054636D">
        <w:t xml:space="preserve">RESUMEN DE </w:t>
      </w:r>
      <w:r w:rsidRPr="0054636D">
        <w:t xml:space="preserve">LAS </w:t>
      </w:r>
      <w:r w:rsidR="00693925" w:rsidRPr="0054636D">
        <w:t>CARACTERÍSTICAS DEL PRODUCTO</w:t>
      </w:r>
    </w:p>
    <w:p w14:paraId="3BC511F0" w14:textId="77777777" w:rsidR="00A31CD7" w:rsidRPr="00BD0030" w:rsidRDefault="00A31CD7" w:rsidP="00830DF6">
      <w:pPr>
        <w:pStyle w:val="TitleA"/>
        <w:rPr>
          <w:color w:val="FFFFFF"/>
          <w:lang w:val="pt-PT"/>
        </w:rPr>
      </w:pPr>
      <w:r w:rsidRPr="00BD0030">
        <w:rPr>
          <w:color w:val="FFFFFF"/>
          <w:lang w:val="pt-PT"/>
        </w:rPr>
        <w:t>FT</w:t>
      </w:r>
      <w:r w:rsidR="00DD437A" w:rsidRPr="00BD0030">
        <w:rPr>
          <w:color w:val="FFFFFF"/>
          <w:lang w:val="pt-PT"/>
        </w:rPr>
        <w:t>1410</w:t>
      </w:r>
      <w:r w:rsidRPr="00BD0030">
        <w:rPr>
          <w:color w:val="FFFFFF"/>
          <w:lang w:val="pt-PT"/>
        </w:rPr>
        <w:t>20</w:t>
      </w:r>
      <w:r w:rsidR="00802309" w:rsidRPr="00BD0030">
        <w:rPr>
          <w:color w:val="FFFFFF"/>
          <w:lang w:val="pt-PT"/>
        </w:rPr>
        <w:t xml:space="preserve"> + 1 (PIL Rep Update)</w:t>
      </w:r>
    </w:p>
    <w:p w14:paraId="124E0140" w14:textId="77777777" w:rsidR="00693925" w:rsidRDefault="00693925" w:rsidP="002746C9">
      <w:pPr>
        <w:widowControl w:val="0"/>
        <w:ind w:left="567" w:hanging="567"/>
        <w:rPr>
          <w:sz w:val="22"/>
          <w:lang w:val="es-ES_tradnl"/>
        </w:rPr>
      </w:pPr>
      <w:r w:rsidRPr="00BD0030">
        <w:rPr>
          <w:b/>
          <w:sz w:val="22"/>
          <w:lang w:val="pt-PT"/>
        </w:rPr>
        <w:br w:type="page"/>
      </w:r>
      <w:r>
        <w:rPr>
          <w:b/>
          <w:sz w:val="22"/>
          <w:lang w:val="es-ES_tradnl"/>
        </w:rPr>
        <w:lastRenderedPageBreak/>
        <w:t>1.</w:t>
      </w:r>
      <w:r>
        <w:rPr>
          <w:b/>
          <w:sz w:val="22"/>
          <w:lang w:val="es-ES_tradnl"/>
        </w:rPr>
        <w:tab/>
      </w:r>
      <w:r w:rsidR="001F0C4F">
        <w:rPr>
          <w:b/>
          <w:sz w:val="22"/>
          <w:lang w:val="es-ES_tradnl"/>
        </w:rPr>
        <w:t xml:space="preserve">NOMBRE </w:t>
      </w:r>
      <w:r>
        <w:rPr>
          <w:b/>
          <w:sz w:val="22"/>
          <w:lang w:val="es-ES_tradnl"/>
        </w:rPr>
        <w:t>DEL MEDICAMENTO</w:t>
      </w:r>
    </w:p>
    <w:p w14:paraId="5592BEA7" w14:textId="77777777" w:rsidR="00693925" w:rsidRDefault="00693925" w:rsidP="002564A8">
      <w:pPr>
        <w:widowControl w:val="0"/>
        <w:rPr>
          <w:sz w:val="22"/>
          <w:lang w:val="es-ES_tradnl"/>
        </w:rPr>
      </w:pPr>
    </w:p>
    <w:p w14:paraId="79A8F4AA" w14:textId="77777777" w:rsidR="00693925" w:rsidRDefault="006F0E58" w:rsidP="002564A8">
      <w:pPr>
        <w:pStyle w:val="Text"/>
        <w:widowControl w:val="0"/>
        <w:spacing w:before="0" w:line="240" w:lineRule="auto"/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Teriparatid</w:t>
      </w:r>
      <w:r w:rsidR="009869A7">
        <w:rPr>
          <w:rFonts w:ascii="Times New Roman" w:hAnsi="Times New Roman"/>
          <w:lang w:val="es-ES_tradnl"/>
        </w:rPr>
        <w:t>a</w:t>
      </w:r>
      <w:r>
        <w:rPr>
          <w:rFonts w:ascii="Times New Roman" w:hAnsi="Times New Roman"/>
          <w:lang w:val="es-ES_tradnl"/>
        </w:rPr>
        <w:t xml:space="preserve"> SUN</w:t>
      </w:r>
      <w:r w:rsidR="00693925">
        <w:rPr>
          <w:rFonts w:ascii="Times New Roman" w:hAnsi="Times New Roman"/>
          <w:lang w:val="es-ES_tradnl"/>
        </w:rPr>
        <w:t xml:space="preserve"> </w:t>
      </w:r>
      <w:r w:rsidR="00A91014">
        <w:rPr>
          <w:rFonts w:ascii="Times New Roman" w:hAnsi="Times New Roman"/>
          <w:lang w:val="es-ES_tradnl"/>
        </w:rPr>
        <w:t>20 </w:t>
      </w:r>
      <w:r w:rsidR="00693925">
        <w:rPr>
          <w:rFonts w:ascii="Times New Roman" w:hAnsi="Times New Roman"/>
          <w:lang w:val="es-ES_tradnl"/>
        </w:rPr>
        <w:t>microgramos/</w:t>
      </w:r>
      <w:r w:rsidR="00A91014">
        <w:rPr>
          <w:rFonts w:ascii="Times New Roman" w:hAnsi="Times New Roman"/>
          <w:lang w:val="es-ES_tradnl"/>
        </w:rPr>
        <w:t>80 </w:t>
      </w:r>
      <w:r w:rsidR="00693925">
        <w:rPr>
          <w:rFonts w:ascii="Times New Roman" w:hAnsi="Times New Roman"/>
          <w:lang w:val="es-ES_tradnl"/>
        </w:rPr>
        <w:t>microlitros solución inyectable en pluma precargada.</w:t>
      </w:r>
    </w:p>
    <w:p w14:paraId="61BF2274" w14:textId="77777777" w:rsidR="00693925" w:rsidRDefault="00693925" w:rsidP="002564A8">
      <w:pPr>
        <w:pStyle w:val="Text"/>
        <w:widowControl w:val="0"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7C99B05A" w14:textId="77777777" w:rsidR="00693925" w:rsidRDefault="00693925" w:rsidP="002564A8">
      <w:pPr>
        <w:pStyle w:val="Text"/>
        <w:widowControl w:val="0"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2F0F6256" w14:textId="77777777" w:rsidR="00693925" w:rsidRDefault="00693925" w:rsidP="002564A8">
      <w:pPr>
        <w:widowControl w:val="0"/>
        <w:ind w:left="567" w:hanging="567"/>
        <w:rPr>
          <w:sz w:val="22"/>
          <w:lang w:val="es-ES_tradnl"/>
        </w:rPr>
      </w:pPr>
      <w:r>
        <w:rPr>
          <w:b/>
          <w:sz w:val="22"/>
          <w:lang w:val="es-ES_tradnl"/>
        </w:rPr>
        <w:t>2.</w:t>
      </w:r>
      <w:r>
        <w:rPr>
          <w:b/>
          <w:sz w:val="22"/>
          <w:lang w:val="es-ES_tradnl"/>
        </w:rPr>
        <w:tab/>
        <w:t>COMPOSICIÓN CUALITATIVA Y CUANTITATIVA</w:t>
      </w:r>
    </w:p>
    <w:p w14:paraId="7C3C379C" w14:textId="77777777" w:rsidR="00693925" w:rsidRDefault="00693925" w:rsidP="002564A8">
      <w:pPr>
        <w:widowControl w:val="0"/>
        <w:rPr>
          <w:sz w:val="22"/>
          <w:lang w:val="es-ES_tradnl"/>
        </w:rPr>
      </w:pPr>
    </w:p>
    <w:p w14:paraId="2D2E489E" w14:textId="77777777" w:rsidR="004140A6" w:rsidRDefault="004140A6" w:rsidP="002564A8">
      <w:pPr>
        <w:widowControl w:val="0"/>
        <w:rPr>
          <w:lang w:val="es-ES_tradnl"/>
        </w:rPr>
      </w:pPr>
      <w:r>
        <w:rPr>
          <w:rStyle w:val="LabelInstructions"/>
          <w:i w:val="0"/>
          <w:color w:val="auto"/>
          <w:sz w:val="22"/>
          <w:lang w:val="es-ES_tradnl"/>
        </w:rPr>
        <w:t xml:space="preserve">Cada dosis </w:t>
      </w:r>
      <w:r w:rsidR="00884B09">
        <w:rPr>
          <w:rStyle w:val="LabelInstructions"/>
          <w:i w:val="0"/>
          <w:color w:val="auto"/>
          <w:sz w:val="22"/>
          <w:lang w:val="es-ES_tradnl"/>
        </w:rPr>
        <w:t xml:space="preserve">de 80 microlitros </w:t>
      </w:r>
      <w:r>
        <w:rPr>
          <w:rStyle w:val="LabelInstructions"/>
          <w:i w:val="0"/>
          <w:color w:val="auto"/>
          <w:sz w:val="22"/>
          <w:lang w:val="es-ES_tradnl"/>
        </w:rPr>
        <w:t>contiene 20 microgramos de teriparatida</w:t>
      </w:r>
      <w:r>
        <w:rPr>
          <w:lang w:val="es-ES_tradnl"/>
        </w:rPr>
        <w:t>.</w:t>
      </w:r>
    </w:p>
    <w:p w14:paraId="63A4B36E" w14:textId="77777777" w:rsidR="00214CE1" w:rsidRDefault="00214CE1" w:rsidP="002564A8">
      <w:pPr>
        <w:widowControl w:val="0"/>
        <w:rPr>
          <w:sz w:val="22"/>
          <w:lang w:val="es-ES_tradnl"/>
        </w:rPr>
      </w:pPr>
    </w:p>
    <w:p w14:paraId="40848197" w14:textId="77777777" w:rsidR="00693925" w:rsidRDefault="004E0E41" w:rsidP="002564A8">
      <w:pPr>
        <w:widowControl w:val="0"/>
        <w:rPr>
          <w:rStyle w:val="LabelInstructions"/>
          <w:i w:val="0"/>
          <w:color w:val="auto"/>
          <w:sz w:val="22"/>
          <w:lang w:val="es-ES_tradnl"/>
        </w:rPr>
      </w:pPr>
      <w:r>
        <w:rPr>
          <w:rStyle w:val="LabelInstructions"/>
          <w:i w:val="0"/>
          <w:color w:val="auto"/>
          <w:sz w:val="22"/>
          <w:lang w:val="es-ES_tradnl"/>
        </w:rPr>
        <w:t xml:space="preserve">Cada </w:t>
      </w:r>
      <w:r w:rsidR="00693925">
        <w:rPr>
          <w:rStyle w:val="LabelInstructions"/>
          <w:i w:val="0"/>
          <w:color w:val="auto"/>
          <w:sz w:val="22"/>
          <w:lang w:val="es-ES_tradnl"/>
        </w:rPr>
        <w:t xml:space="preserve">pluma precargada </w:t>
      </w:r>
      <w:r w:rsidR="00F14B11">
        <w:rPr>
          <w:rStyle w:val="LabelInstructions"/>
          <w:i w:val="0"/>
          <w:color w:val="auto"/>
          <w:sz w:val="22"/>
          <w:lang w:val="es-ES_tradnl"/>
        </w:rPr>
        <w:t>con</w:t>
      </w:r>
      <w:r w:rsidR="00693925">
        <w:rPr>
          <w:rStyle w:val="LabelInstructions"/>
          <w:i w:val="0"/>
          <w:color w:val="auto"/>
          <w:sz w:val="22"/>
          <w:lang w:val="es-ES_tradnl"/>
        </w:rPr>
        <w:t xml:space="preserve"> </w:t>
      </w:r>
      <w:r w:rsidR="00F60569">
        <w:rPr>
          <w:rStyle w:val="LabelInstructions"/>
          <w:i w:val="0"/>
          <w:color w:val="auto"/>
          <w:sz w:val="22"/>
          <w:lang w:val="es-ES_tradnl"/>
        </w:rPr>
        <w:t>2,4 </w:t>
      </w:r>
      <w:r w:rsidR="00693925">
        <w:rPr>
          <w:rStyle w:val="LabelInstructions"/>
          <w:i w:val="0"/>
          <w:color w:val="auto"/>
          <w:sz w:val="22"/>
          <w:lang w:val="es-ES_tradnl"/>
        </w:rPr>
        <w:t xml:space="preserve">ml contiene </w:t>
      </w:r>
      <w:r w:rsidR="00F60569">
        <w:rPr>
          <w:rStyle w:val="LabelInstructions"/>
          <w:i w:val="0"/>
          <w:color w:val="auto"/>
          <w:sz w:val="22"/>
          <w:lang w:val="es-ES_tradnl"/>
        </w:rPr>
        <w:t>600 </w:t>
      </w:r>
      <w:r w:rsidR="00693925">
        <w:rPr>
          <w:rStyle w:val="LabelInstructions"/>
          <w:i w:val="0"/>
          <w:color w:val="auto"/>
          <w:sz w:val="22"/>
          <w:lang w:val="es-ES_tradnl"/>
        </w:rPr>
        <w:t>microgramos de teriparatida (correspondientes a 250</w:t>
      </w:r>
      <w:r w:rsidR="00855D18">
        <w:rPr>
          <w:rStyle w:val="LabelInstructions"/>
          <w:i w:val="0"/>
          <w:color w:val="auto"/>
          <w:sz w:val="22"/>
          <w:lang w:val="es-ES_tradnl"/>
        </w:rPr>
        <w:t> </w:t>
      </w:r>
      <w:r w:rsidR="00693925">
        <w:rPr>
          <w:rStyle w:val="LabelInstructions"/>
          <w:i w:val="0"/>
          <w:color w:val="auto"/>
          <w:sz w:val="22"/>
          <w:lang w:val="es-ES_tradnl"/>
        </w:rPr>
        <w:t>microgramos por ml).</w:t>
      </w:r>
    </w:p>
    <w:p w14:paraId="366C56A5" w14:textId="77777777" w:rsidR="00693925" w:rsidRDefault="00693925" w:rsidP="002564A8">
      <w:pPr>
        <w:widowControl w:val="0"/>
        <w:rPr>
          <w:rStyle w:val="LabelInstructions"/>
          <w:i w:val="0"/>
          <w:color w:val="auto"/>
          <w:sz w:val="22"/>
          <w:lang w:val="es-ES_tradnl"/>
        </w:rPr>
      </w:pPr>
    </w:p>
    <w:p w14:paraId="7544DB25" w14:textId="77777777" w:rsidR="00693925" w:rsidRDefault="00A91014" w:rsidP="002564A8">
      <w:pPr>
        <w:widowControl w:val="0"/>
        <w:rPr>
          <w:sz w:val="22"/>
        </w:rPr>
      </w:pPr>
      <w:r>
        <w:rPr>
          <w:sz w:val="22"/>
        </w:rPr>
        <w:t xml:space="preserve">Para </w:t>
      </w:r>
      <w:r w:rsidR="00EC5252">
        <w:rPr>
          <w:sz w:val="22"/>
        </w:rPr>
        <w:t xml:space="preserve">consultar </w:t>
      </w:r>
      <w:r>
        <w:rPr>
          <w:sz w:val="22"/>
        </w:rPr>
        <w:t>la lista completa de excipientes, ver sección</w:t>
      </w:r>
      <w:r w:rsidR="00693925">
        <w:rPr>
          <w:sz w:val="22"/>
        </w:rPr>
        <w:t xml:space="preserve"> 6.1.</w:t>
      </w:r>
    </w:p>
    <w:p w14:paraId="6D980729" w14:textId="77777777" w:rsidR="00693925" w:rsidRDefault="00693925" w:rsidP="002564A8">
      <w:pPr>
        <w:pStyle w:val="Text"/>
        <w:widowControl w:val="0"/>
        <w:spacing w:before="0" w:line="240" w:lineRule="auto"/>
        <w:jc w:val="left"/>
        <w:rPr>
          <w:rFonts w:ascii="Times New Roman" w:hAnsi="Times New Roman"/>
          <w:lang w:val="es-ES"/>
        </w:rPr>
      </w:pPr>
    </w:p>
    <w:p w14:paraId="7C579F4F" w14:textId="77777777" w:rsidR="00693925" w:rsidRDefault="00693925" w:rsidP="002564A8">
      <w:pPr>
        <w:widowControl w:val="0"/>
        <w:rPr>
          <w:sz w:val="22"/>
          <w:lang w:val="es-ES_tradnl"/>
        </w:rPr>
      </w:pPr>
    </w:p>
    <w:p w14:paraId="48879DCC" w14:textId="77777777" w:rsidR="00693925" w:rsidRDefault="00693925" w:rsidP="002564A8">
      <w:pPr>
        <w:widowControl w:val="0"/>
        <w:ind w:left="567" w:hanging="567"/>
        <w:rPr>
          <w:sz w:val="22"/>
          <w:lang w:val="es-ES_tradnl"/>
        </w:rPr>
      </w:pPr>
      <w:r>
        <w:rPr>
          <w:b/>
          <w:sz w:val="22"/>
          <w:lang w:val="es-ES_tradnl"/>
        </w:rPr>
        <w:t>3.</w:t>
      </w:r>
      <w:r>
        <w:rPr>
          <w:b/>
          <w:sz w:val="22"/>
          <w:lang w:val="es-ES_tradnl"/>
        </w:rPr>
        <w:tab/>
        <w:t>FORMA FARMACÉUTICA</w:t>
      </w:r>
    </w:p>
    <w:p w14:paraId="15BD7DF1" w14:textId="77777777" w:rsidR="00693925" w:rsidRDefault="00693925" w:rsidP="002564A8">
      <w:pPr>
        <w:pStyle w:val="Text"/>
        <w:widowControl w:val="0"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2195506F" w14:textId="77777777" w:rsidR="00B90D8C" w:rsidRDefault="00693925" w:rsidP="00E84F80">
      <w:pPr>
        <w:rPr>
          <w:rStyle w:val="LabelInstructions"/>
          <w:i w:val="0"/>
          <w:color w:val="auto"/>
          <w:sz w:val="22"/>
          <w:lang w:val="es-ES_tradnl"/>
        </w:rPr>
      </w:pPr>
      <w:r>
        <w:rPr>
          <w:rStyle w:val="LabelInstructions"/>
          <w:i w:val="0"/>
          <w:color w:val="auto"/>
          <w:sz w:val="22"/>
          <w:lang w:val="es-ES_tradnl"/>
        </w:rPr>
        <w:t>Solución inyectable.</w:t>
      </w:r>
    </w:p>
    <w:p w14:paraId="783B698B" w14:textId="77777777" w:rsidR="00B90D8C" w:rsidRDefault="00B90D8C" w:rsidP="00E84F80">
      <w:pPr>
        <w:rPr>
          <w:rStyle w:val="LabelInstructions"/>
          <w:i w:val="0"/>
          <w:color w:val="auto"/>
          <w:sz w:val="22"/>
          <w:lang w:val="es-ES_tradnl"/>
        </w:rPr>
      </w:pPr>
    </w:p>
    <w:p w14:paraId="1A4CF4AE" w14:textId="77777777" w:rsidR="00693925" w:rsidRDefault="00693925" w:rsidP="00E84F80">
      <w:pPr>
        <w:rPr>
          <w:rStyle w:val="LabelInstructions"/>
          <w:i w:val="0"/>
          <w:color w:val="auto"/>
          <w:sz w:val="22"/>
          <w:lang w:val="es-ES_tradnl"/>
        </w:rPr>
      </w:pPr>
      <w:r>
        <w:rPr>
          <w:rStyle w:val="LabelInstructions"/>
          <w:i w:val="0"/>
          <w:color w:val="auto"/>
          <w:sz w:val="22"/>
          <w:lang w:val="es-ES_tradnl"/>
        </w:rPr>
        <w:t xml:space="preserve">Solución </w:t>
      </w:r>
      <w:r w:rsidR="007B1371">
        <w:rPr>
          <w:rStyle w:val="LabelInstructions"/>
          <w:i w:val="0"/>
          <w:color w:val="auto"/>
          <w:sz w:val="22"/>
          <w:lang w:val="es-ES_tradnl"/>
        </w:rPr>
        <w:t>transparente</w:t>
      </w:r>
      <w:r>
        <w:rPr>
          <w:rStyle w:val="LabelInstructions"/>
          <w:i w:val="0"/>
          <w:color w:val="auto"/>
          <w:sz w:val="22"/>
          <w:lang w:val="es-ES_tradnl"/>
        </w:rPr>
        <w:t xml:space="preserve"> e incolora</w:t>
      </w:r>
      <w:r w:rsidR="006F0E58">
        <w:rPr>
          <w:rStyle w:val="LabelInstructions"/>
          <w:i w:val="0"/>
          <w:color w:val="auto"/>
          <w:sz w:val="22"/>
          <w:lang w:val="es-ES_tradnl"/>
        </w:rPr>
        <w:t>, sin partículas visibles</w:t>
      </w:r>
      <w:r>
        <w:rPr>
          <w:rStyle w:val="LabelInstructions"/>
          <w:i w:val="0"/>
          <w:color w:val="auto"/>
          <w:sz w:val="22"/>
          <w:lang w:val="es-ES_tradnl"/>
        </w:rPr>
        <w:t>.</w:t>
      </w:r>
    </w:p>
    <w:p w14:paraId="1553825E" w14:textId="77777777" w:rsidR="006F0E58" w:rsidRDefault="006F0E58" w:rsidP="00E84F80">
      <w:pPr>
        <w:rPr>
          <w:rStyle w:val="LabelInstructions"/>
          <w:i w:val="0"/>
          <w:color w:val="auto"/>
          <w:sz w:val="22"/>
          <w:lang w:val="es-ES_tradnl"/>
        </w:rPr>
      </w:pPr>
      <w:r>
        <w:rPr>
          <w:rStyle w:val="LabelInstructions"/>
          <w:i w:val="0"/>
          <w:color w:val="auto"/>
          <w:sz w:val="22"/>
          <w:lang w:val="es-ES_tradnl"/>
        </w:rPr>
        <w:t xml:space="preserve">El pH está comprendido entre 3,8 y 4,5. La osmolalidad está entre 250 a 350 </w:t>
      </w:r>
      <w:proofErr w:type="spellStart"/>
      <w:r>
        <w:rPr>
          <w:rStyle w:val="LabelInstructions"/>
          <w:i w:val="0"/>
          <w:color w:val="auto"/>
          <w:sz w:val="22"/>
          <w:lang w:val="es-ES_tradnl"/>
        </w:rPr>
        <w:t>mOsmol</w:t>
      </w:r>
      <w:proofErr w:type="spellEnd"/>
    </w:p>
    <w:p w14:paraId="3FBD0ABE" w14:textId="77777777" w:rsidR="00693925" w:rsidRDefault="00693925" w:rsidP="00E84F80">
      <w:pPr>
        <w:rPr>
          <w:rStyle w:val="LabelInstructions"/>
          <w:i w:val="0"/>
          <w:color w:val="auto"/>
          <w:sz w:val="22"/>
          <w:lang w:val="es-ES_tradnl"/>
        </w:rPr>
      </w:pPr>
    </w:p>
    <w:p w14:paraId="5251F683" w14:textId="77777777" w:rsidR="00693925" w:rsidRDefault="00693925" w:rsidP="00E84F80">
      <w:pPr>
        <w:rPr>
          <w:sz w:val="22"/>
          <w:lang w:val="es-ES_tradnl"/>
        </w:rPr>
      </w:pPr>
    </w:p>
    <w:p w14:paraId="2D6AD11D" w14:textId="77777777" w:rsidR="00693925" w:rsidRDefault="00693925" w:rsidP="0011701A">
      <w:pPr>
        <w:keepNext/>
        <w:widowControl w:val="0"/>
        <w:ind w:left="567" w:hanging="567"/>
        <w:rPr>
          <w:sz w:val="22"/>
          <w:lang w:val="es-ES_tradnl"/>
        </w:rPr>
      </w:pPr>
      <w:r>
        <w:rPr>
          <w:b/>
          <w:sz w:val="22"/>
          <w:lang w:val="es-ES_tradnl"/>
        </w:rPr>
        <w:t>4.</w:t>
      </w:r>
      <w:r>
        <w:rPr>
          <w:b/>
          <w:sz w:val="22"/>
          <w:lang w:val="es-ES_tradnl"/>
        </w:rPr>
        <w:tab/>
        <w:t>DATOS CLÍNICOS</w:t>
      </w:r>
    </w:p>
    <w:p w14:paraId="75E510FC" w14:textId="77777777" w:rsidR="00693925" w:rsidRDefault="00693925" w:rsidP="002E6637">
      <w:pPr>
        <w:keepNext/>
        <w:widowControl w:val="0"/>
        <w:rPr>
          <w:sz w:val="22"/>
          <w:lang w:val="es-ES_tradnl"/>
        </w:rPr>
      </w:pPr>
    </w:p>
    <w:p w14:paraId="6FC99060" w14:textId="77777777" w:rsidR="00693925" w:rsidRDefault="00693925" w:rsidP="0011701A">
      <w:pPr>
        <w:keepNext/>
        <w:widowControl w:val="0"/>
        <w:ind w:left="567" w:hanging="567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4.1</w:t>
      </w:r>
      <w:r>
        <w:rPr>
          <w:b/>
          <w:sz w:val="22"/>
          <w:lang w:val="es-ES_tradnl"/>
        </w:rPr>
        <w:tab/>
        <w:t>Indicaciones terapéuticas</w:t>
      </w:r>
    </w:p>
    <w:p w14:paraId="22B4A465" w14:textId="77777777" w:rsidR="00693925" w:rsidRDefault="00693925" w:rsidP="002E6637">
      <w:pPr>
        <w:keepNext/>
        <w:widowControl w:val="0"/>
        <w:rPr>
          <w:b/>
          <w:sz w:val="22"/>
          <w:lang w:val="es-ES_tradnl"/>
        </w:rPr>
      </w:pPr>
    </w:p>
    <w:p w14:paraId="0713715D" w14:textId="77777777" w:rsidR="00827656" w:rsidRDefault="00EA201D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>Teriparatida</w:t>
      </w:r>
      <w:r w:rsidR="007C157F">
        <w:rPr>
          <w:sz w:val="22"/>
          <w:lang w:val="es-ES_tradnl"/>
        </w:rPr>
        <w:t xml:space="preserve"> SUN</w:t>
      </w:r>
      <w:r w:rsidR="00827656">
        <w:rPr>
          <w:sz w:val="22"/>
          <w:lang w:val="es-ES_tradnl"/>
        </w:rPr>
        <w:t xml:space="preserve"> está indicado en adultos.</w:t>
      </w:r>
    </w:p>
    <w:p w14:paraId="0FF0B8E2" w14:textId="77777777" w:rsidR="00693925" w:rsidRDefault="00693925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>Tratamiento de la osteoporosis en mujeres posmenopáusicas</w:t>
      </w:r>
      <w:r w:rsidR="00A91014">
        <w:rPr>
          <w:sz w:val="22"/>
          <w:lang w:val="es-ES_tradnl"/>
        </w:rPr>
        <w:t xml:space="preserve"> y en </w:t>
      </w:r>
      <w:r w:rsidR="000E20E3">
        <w:rPr>
          <w:sz w:val="22"/>
          <w:lang w:val="es-ES_tradnl"/>
        </w:rPr>
        <w:t xml:space="preserve">varones con un </w:t>
      </w:r>
      <w:r w:rsidR="005224D0">
        <w:rPr>
          <w:sz w:val="22"/>
          <w:lang w:val="es-ES_tradnl"/>
        </w:rPr>
        <w:t>aumento</w:t>
      </w:r>
      <w:r w:rsidR="000E20E3">
        <w:rPr>
          <w:sz w:val="22"/>
          <w:lang w:val="es-ES_tradnl"/>
        </w:rPr>
        <w:t xml:space="preserve"> del riesgo de </w:t>
      </w:r>
      <w:r w:rsidR="00A91014">
        <w:rPr>
          <w:sz w:val="22"/>
          <w:lang w:val="es-ES_tradnl"/>
        </w:rPr>
        <w:t>fractura (ver sección 5.1)</w:t>
      </w:r>
      <w:r>
        <w:rPr>
          <w:sz w:val="22"/>
          <w:lang w:val="es-ES_tradnl"/>
        </w:rPr>
        <w:t>.</w:t>
      </w:r>
      <w:r w:rsidR="00A91014">
        <w:rPr>
          <w:sz w:val="22"/>
          <w:lang w:val="es-ES_tradnl"/>
        </w:rPr>
        <w:t xml:space="preserve"> En mujeres posmenopáusicas,</w:t>
      </w:r>
      <w:r>
        <w:rPr>
          <w:sz w:val="22"/>
          <w:lang w:val="es-ES_tradnl"/>
        </w:rPr>
        <w:t xml:space="preserve"> </w:t>
      </w:r>
      <w:r w:rsidR="00A91014">
        <w:rPr>
          <w:sz w:val="22"/>
          <w:lang w:val="es-ES_tradnl"/>
        </w:rPr>
        <w:t xml:space="preserve">se </w:t>
      </w:r>
      <w:r>
        <w:rPr>
          <w:sz w:val="22"/>
          <w:lang w:val="es-ES_tradnl"/>
        </w:rPr>
        <w:t xml:space="preserve">ha demostrado una disminución significativa en la incidencia de fracturas vertebrales </w:t>
      </w:r>
      <w:r w:rsidR="00A91014">
        <w:rPr>
          <w:sz w:val="22"/>
          <w:lang w:val="es-ES_tradnl"/>
        </w:rPr>
        <w:t xml:space="preserve">y no </w:t>
      </w:r>
      <w:proofErr w:type="gramStart"/>
      <w:r w:rsidR="00A91014">
        <w:rPr>
          <w:sz w:val="22"/>
          <w:lang w:val="es-ES_tradnl"/>
        </w:rPr>
        <w:t>vertebrales</w:t>
      </w:r>
      <w:proofErr w:type="gramEnd"/>
      <w:r w:rsidR="00A91014">
        <w:rPr>
          <w:sz w:val="22"/>
          <w:lang w:val="es-ES_tradnl"/>
        </w:rPr>
        <w:t xml:space="preserve"> </w:t>
      </w:r>
      <w:r>
        <w:rPr>
          <w:sz w:val="22"/>
          <w:lang w:val="es-ES_tradnl"/>
        </w:rPr>
        <w:t>pero no en fracturas de cadera.</w:t>
      </w:r>
    </w:p>
    <w:p w14:paraId="20F15D24" w14:textId="77777777" w:rsidR="00341886" w:rsidRDefault="00341886" w:rsidP="00341886">
      <w:pPr>
        <w:rPr>
          <w:sz w:val="22"/>
          <w:lang w:val="es-ES_tradnl"/>
        </w:rPr>
      </w:pPr>
    </w:p>
    <w:p w14:paraId="668EF9E7" w14:textId="77777777" w:rsidR="00341886" w:rsidRPr="00341886" w:rsidRDefault="00341886" w:rsidP="00341886">
      <w:pPr>
        <w:rPr>
          <w:sz w:val="22"/>
          <w:lang w:val="es-ES_tradnl"/>
        </w:rPr>
      </w:pPr>
      <w:r w:rsidRPr="00341886">
        <w:rPr>
          <w:sz w:val="22"/>
          <w:lang w:val="es-ES_tradnl"/>
        </w:rPr>
        <w:t xml:space="preserve">Tratamiento de la osteoporosis asociada a terapia sistémica </w:t>
      </w:r>
      <w:r w:rsidR="00084011">
        <w:rPr>
          <w:sz w:val="22"/>
          <w:lang w:val="es-ES_tradnl"/>
        </w:rPr>
        <w:t>mantenida</w:t>
      </w:r>
      <w:r w:rsidRPr="00341886">
        <w:rPr>
          <w:sz w:val="22"/>
          <w:lang w:val="es-ES_tradnl"/>
        </w:rPr>
        <w:t xml:space="preserve"> con glucocorticoides en mujeres y hombres con </w:t>
      </w:r>
      <w:r>
        <w:rPr>
          <w:sz w:val="22"/>
          <w:lang w:val="es-ES_tradnl"/>
        </w:rPr>
        <w:t xml:space="preserve">un </w:t>
      </w:r>
      <w:r w:rsidR="00033339">
        <w:rPr>
          <w:sz w:val="22"/>
          <w:lang w:val="es-ES_tradnl"/>
        </w:rPr>
        <w:t>incremento</w:t>
      </w:r>
      <w:r w:rsidRPr="00341886">
        <w:rPr>
          <w:sz w:val="22"/>
          <w:lang w:val="es-ES_tradnl"/>
        </w:rPr>
        <w:t xml:space="preserve"> del riesgo de fractura (ver sección 5.1).</w:t>
      </w:r>
    </w:p>
    <w:p w14:paraId="16160C3B" w14:textId="77777777" w:rsidR="00693925" w:rsidRPr="00341886" w:rsidRDefault="00693925" w:rsidP="00E84F80">
      <w:pPr>
        <w:pStyle w:val="EndnoteText"/>
        <w:tabs>
          <w:tab w:val="clear" w:pos="567"/>
        </w:tabs>
        <w:rPr>
          <w:lang w:val="es-ES"/>
        </w:rPr>
      </w:pPr>
    </w:p>
    <w:p w14:paraId="66DFE9D4" w14:textId="77777777" w:rsidR="00693925" w:rsidRDefault="00693925" w:rsidP="0011701A">
      <w:pPr>
        <w:keepNext/>
        <w:widowControl w:val="0"/>
        <w:ind w:left="567" w:hanging="567"/>
        <w:rPr>
          <w:sz w:val="22"/>
          <w:lang w:val="es-ES_tradnl"/>
        </w:rPr>
      </w:pPr>
      <w:r>
        <w:rPr>
          <w:b/>
          <w:sz w:val="22"/>
          <w:lang w:val="es-ES_tradnl"/>
        </w:rPr>
        <w:t>4.2</w:t>
      </w:r>
      <w:r>
        <w:rPr>
          <w:b/>
          <w:sz w:val="22"/>
          <w:lang w:val="es-ES_tradnl"/>
        </w:rPr>
        <w:tab/>
        <w:t>Posología y forma de administración</w:t>
      </w:r>
    </w:p>
    <w:p w14:paraId="371A6546" w14:textId="77777777" w:rsidR="00693925" w:rsidRDefault="00693925" w:rsidP="002E6637">
      <w:pPr>
        <w:keepNext/>
        <w:widowControl w:val="0"/>
        <w:rPr>
          <w:sz w:val="22"/>
          <w:lang w:val="es-ES_tradnl"/>
        </w:rPr>
      </w:pPr>
    </w:p>
    <w:p w14:paraId="0AAC008E" w14:textId="77777777" w:rsidR="00827656" w:rsidRDefault="00827656" w:rsidP="00E84F80">
      <w:pPr>
        <w:rPr>
          <w:rStyle w:val="LabelInstructions"/>
          <w:i w:val="0"/>
          <w:color w:val="auto"/>
          <w:sz w:val="22"/>
          <w:u w:val="single"/>
          <w:lang w:val="es-ES_tradnl"/>
        </w:rPr>
      </w:pPr>
      <w:r w:rsidRPr="00827656">
        <w:rPr>
          <w:rStyle w:val="LabelInstructions"/>
          <w:i w:val="0"/>
          <w:color w:val="auto"/>
          <w:sz w:val="22"/>
          <w:u w:val="single"/>
          <w:lang w:val="es-ES_tradnl"/>
        </w:rPr>
        <w:t>Posología</w:t>
      </w:r>
    </w:p>
    <w:p w14:paraId="039DFE10" w14:textId="77777777" w:rsidR="00214CE1" w:rsidRPr="00827656" w:rsidRDefault="00214CE1" w:rsidP="00E84F80">
      <w:pPr>
        <w:rPr>
          <w:rStyle w:val="LabelInstructions"/>
          <w:i w:val="0"/>
          <w:color w:val="auto"/>
          <w:sz w:val="22"/>
          <w:u w:val="single"/>
          <w:lang w:val="es-ES_tradnl"/>
        </w:rPr>
      </w:pPr>
    </w:p>
    <w:p w14:paraId="5F28614F" w14:textId="77777777" w:rsidR="00693925" w:rsidRDefault="00693925" w:rsidP="00E84F80">
      <w:pPr>
        <w:rPr>
          <w:rStyle w:val="LabelInstructions"/>
          <w:i w:val="0"/>
          <w:color w:val="auto"/>
          <w:sz w:val="22"/>
          <w:lang w:val="es-ES_tradnl"/>
        </w:rPr>
      </w:pPr>
      <w:r>
        <w:rPr>
          <w:rStyle w:val="LabelInstructions"/>
          <w:i w:val="0"/>
          <w:color w:val="auto"/>
          <w:sz w:val="22"/>
          <w:lang w:val="es-ES_tradnl"/>
        </w:rPr>
        <w:t xml:space="preserve">La dosis recomendada de </w:t>
      </w:r>
      <w:r w:rsidR="000761DB">
        <w:rPr>
          <w:rStyle w:val="LabelInstructions"/>
          <w:i w:val="0"/>
          <w:color w:val="auto"/>
          <w:sz w:val="22"/>
          <w:lang w:val="es-ES_tradnl"/>
        </w:rPr>
        <w:t>teriparatida</w:t>
      </w:r>
      <w:r>
        <w:rPr>
          <w:rStyle w:val="LabelInstructions"/>
          <w:i w:val="0"/>
          <w:color w:val="auto"/>
          <w:sz w:val="22"/>
          <w:lang w:val="es-ES_tradnl"/>
        </w:rPr>
        <w:t xml:space="preserve"> es de 20</w:t>
      </w:r>
      <w:r w:rsidR="00855D18">
        <w:rPr>
          <w:rStyle w:val="LabelInstructions"/>
          <w:i w:val="0"/>
          <w:color w:val="auto"/>
          <w:sz w:val="22"/>
          <w:lang w:val="es-ES_tradnl"/>
        </w:rPr>
        <w:t> </w:t>
      </w:r>
      <w:r>
        <w:rPr>
          <w:rStyle w:val="LabelInstructions"/>
          <w:i w:val="0"/>
          <w:color w:val="auto"/>
          <w:sz w:val="22"/>
          <w:lang w:val="es-ES_tradnl"/>
        </w:rPr>
        <w:t>microgramos administrados una vez al día.</w:t>
      </w:r>
    </w:p>
    <w:p w14:paraId="2B2A0810" w14:textId="77777777" w:rsidR="00693925" w:rsidRDefault="00693925" w:rsidP="00E84F80">
      <w:pPr>
        <w:pStyle w:val="EndnoteText"/>
        <w:tabs>
          <w:tab w:val="clear" w:pos="567"/>
        </w:tabs>
        <w:rPr>
          <w:lang w:val="es-ES_tradnl"/>
        </w:rPr>
      </w:pPr>
    </w:p>
    <w:p w14:paraId="06842B07" w14:textId="77777777" w:rsidR="00693925" w:rsidRDefault="00693925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 xml:space="preserve">Se recomienda que la duración máxima del tratamiento con </w:t>
      </w:r>
      <w:r w:rsidR="000761DB">
        <w:rPr>
          <w:sz w:val="22"/>
          <w:lang w:val="es-ES_tradnl"/>
        </w:rPr>
        <w:t>teriparatida</w:t>
      </w:r>
      <w:r>
        <w:rPr>
          <w:sz w:val="22"/>
          <w:lang w:val="es-ES_tradnl"/>
        </w:rPr>
        <w:t xml:space="preserve"> sea de </w:t>
      </w:r>
      <w:r w:rsidR="00101112">
        <w:rPr>
          <w:sz w:val="22"/>
          <w:lang w:val="es-ES_tradnl"/>
        </w:rPr>
        <w:t xml:space="preserve">24 </w:t>
      </w:r>
      <w:r>
        <w:rPr>
          <w:sz w:val="22"/>
          <w:lang w:val="es-ES_tradnl"/>
        </w:rPr>
        <w:t xml:space="preserve">meses (ver </w:t>
      </w:r>
      <w:r w:rsidR="006576B5">
        <w:rPr>
          <w:sz w:val="22"/>
          <w:lang w:val="es-ES_tradnl"/>
        </w:rPr>
        <w:t xml:space="preserve">sección </w:t>
      </w:r>
      <w:r>
        <w:rPr>
          <w:sz w:val="22"/>
          <w:lang w:val="es-ES_tradnl"/>
        </w:rPr>
        <w:t>4.</w:t>
      </w:r>
      <w:r w:rsidR="006666CD">
        <w:rPr>
          <w:sz w:val="22"/>
          <w:lang w:val="es-ES_tradnl"/>
        </w:rPr>
        <w:t>4</w:t>
      </w:r>
      <w:r>
        <w:rPr>
          <w:sz w:val="22"/>
          <w:lang w:val="es-ES_tradnl"/>
        </w:rPr>
        <w:t>).</w:t>
      </w:r>
      <w:r w:rsidR="006666CD">
        <w:rPr>
          <w:sz w:val="22"/>
          <w:lang w:val="es-ES_tradnl"/>
        </w:rPr>
        <w:t xml:space="preserve"> </w:t>
      </w:r>
      <w:r w:rsidR="006666CD" w:rsidRPr="006666CD">
        <w:rPr>
          <w:sz w:val="22"/>
          <w:lang w:val="es-ES_tradnl"/>
        </w:rPr>
        <w:t xml:space="preserve">El ciclo de </w:t>
      </w:r>
      <w:r w:rsidR="00101112">
        <w:rPr>
          <w:sz w:val="22"/>
          <w:lang w:val="es-ES_tradnl"/>
        </w:rPr>
        <w:t>24</w:t>
      </w:r>
      <w:r w:rsidR="00101112" w:rsidRPr="006666CD">
        <w:rPr>
          <w:sz w:val="22"/>
          <w:lang w:val="es-ES_tradnl"/>
        </w:rPr>
        <w:t xml:space="preserve"> </w:t>
      </w:r>
      <w:r w:rsidR="006666CD" w:rsidRPr="006666CD">
        <w:rPr>
          <w:sz w:val="22"/>
          <w:lang w:val="es-ES_tradnl"/>
        </w:rPr>
        <w:t xml:space="preserve">meses de </w:t>
      </w:r>
      <w:r w:rsidR="006666CD">
        <w:rPr>
          <w:sz w:val="22"/>
          <w:lang w:val="es-ES_tradnl"/>
        </w:rPr>
        <w:t xml:space="preserve">tratamiento con </w:t>
      </w:r>
      <w:r w:rsidR="000761DB">
        <w:rPr>
          <w:sz w:val="22"/>
          <w:lang w:val="es-ES_tradnl"/>
        </w:rPr>
        <w:t>teriparatida</w:t>
      </w:r>
      <w:r w:rsidR="006666CD" w:rsidRPr="006666CD">
        <w:rPr>
          <w:sz w:val="22"/>
          <w:lang w:val="es-ES_tradnl"/>
        </w:rPr>
        <w:t xml:space="preserve"> no debe </w:t>
      </w:r>
      <w:r w:rsidR="005D6875">
        <w:rPr>
          <w:sz w:val="22"/>
          <w:lang w:val="es-ES_tradnl"/>
        </w:rPr>
        <w:t>repetirse</w:t>
      </w:r>
      <w:r w:rsidR="006666CD" w:rsidRPr="006666CD">
        <w:rPr>
          <w:sz w:val="22"/>
          <w:lang w:val="es-ES_tradnl"/>
        </w:rPr>
        <w:t xml:space="preserve"> a lo largo de la vida del paciente.</w:t>
      </w:r>
      <w:r>
        <w:rPr>
          <w:sz w:val="22"/>
          <w:lang w:val="es-ES_tradnl"/>
        </w:rPr>
        <w:t xml:space="preserve"> </w:t>
      </w:r>
    </w:p>
    <w:p w14:paraId="17735D86" w14:textId="77777777" w:rsidR="00693925" w:rsidRDefault="00693925" w:rsidP="00E84F80">
      <w:pPr>
        <w:rPr>
          <w:i/>
          <w:sz w:val="22"/>
          <w:lang w:val="es-ES_tradnl"/>
        </w:rPr>
      </w:pPr>
    </w:p>
    <w:p w14:paraId="3FD79713" w14:textId="77777777" w:rsidR="00693925" w:rsidRDefault="00693925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>Los pacientes deben recibir suplementos de calcio y vitamina D si el aporte dietético no es suficiente.</w:t>
      </w:r>
    </w:p>
    <w:p w14:paraId="4CCB92FC" w14:textId="77777777" w:rsidR="00693925" w:rsidRDefault="00693925" w:rsidP="00E84F80">
      <w:pPr>
        <w:rPr>
          <w:sz w:val="22"/>
          <w:lang w:val="es-ES_tradnl"/>
        </w:rPr>
      </w:pPr>
    </w:p>
    <w:p w14:paraId="38D2BAA5" w14:textId="77777777" w:rsidR="00693925" w:rsidRDefault="00693925" w:rsidP="00E84F80">
      <w:pPr>
        <w:rPr>
          <w:i/>
          <w:sz w:val="22"/>
          <w:lang w:val="es-ES_tradnl"/>
        </w:rPr>
      </w:pPr>
      <w:r>
        <w:rPr>
          <w:sz w:val="22"/>
          <w:lang w:val="es-ES_tradnl"/>
        </w:rPr>
        <w:t xml:space="preserve">Después de suspender el tratamiento con </w:t>
      </w:r>
      <w:r w:rsidR="000761DB">
        <w:rPr>
          <w:sz w:val="22"/>
          <w:lang w:val="es-ES_tradnl"/>
        </w:rPr>
        <w:t xml:space="preserve">teriparatida </w:t>
      </w:r>
      <w:r>
        <w:rPr>
          <w:sz w:val="22"/>
          <w:lang w:val="es-ES_tradnl"/>
        </w:rPr>
        <w:t>los pacientes pueden continuar con otros tratamientos para la osteoporosis.</w:t>
      </w:r>
    </w:p>
    <w:p w14:paraId="074F1167" w14:textId="77777777" w:rsidR="00693925" w:rsidRDefault="00693925" w:rsidP="00E84F80">
      <w:pPr>
        <w:rPr>
          <w:sz w:val="22"/>
          <w:lang w:val="es-ES_tradnl"/>
        </w:rPr>
      </w:pPr>
    </w:p>
    <w:p w14:paraId="7F5B5E80" w14:textId="77777777" w:rsidR="00827656" w:rsidRDefault="00827656" w:rsidP="00280F39">
      <w:pPr>
        <w:keepNext/>
        <w:rPr>
          <w:sz w:val="22"/>
          <w:u w:val="single"/>
          <w:lang w:val="es-ES_tradnl"/>
        </w:rPr>
      </w:pPr>
      <w:r>
        <w:rPr>
          <w:sz w:val="22"/>
          <w:u w:val="single"/>
          <w:lang w:val="es-ES_tradnl"/>
        </w:rPr>
        <w:lastRenderedPageBreak/>
        <w:t>Poblaciones especiales</w:t>
      </w:r>
    </w:p>
    <w:p w14:paraId="6F455CA4" w14:textId="77777777" w:rsidR="00214CE1" w:rsidRDefault="00214CE1" w:rsidP="00280F39">
      <w:pPr>
        <w:keepNext/>
        <w:rPr>
          <w:sz w:val="22"/>
          <w:u w:val="single"/>
          <w:lang w:val="es-ES_tradnl"/>
        </w:rPr>
      </w:pPr>
    </w:p>
    <w:p w14:paraId="5300016E" w14:textId="77777777" w:rsidR="000761DB" w:rsidRPr="000761DB" w:rsidRDefault="000761DB" w:rsidP="000761DB">
      <w:pPr>
        <w:keepNext/>
        <w:rPr>
          <w:i/>
          <w:sz w:val="22"/>
          <w:lang w:val="es-ES_tradnl"/>
        </w:rPr>
      </w:pPr>
      <w:r w:rsidRPr="000761DB">
        <w:rPr>
          <w:i/>
          <w:sz w:val="22"/>
          <w:lang w:val="es-ES_tradnl"/>
        </w:rPr>
        <w:t>Pacientes de edad avanzada</w:t>
      </w:r>
    </w:p>
    <w:p w14:paraId="4243AA8F" w14:textId="77777777" w:rsidR="000761DB" w:rsidRDefault="000761DB" w:rsidP="000761DB">
      <w:pPr>
        <w:keepNext/>
        <w:rPr>
          <w:sz w:val="22"/>
          <w:lang w:val="es-ES_tradnl"/>
        </w:rPr>
      </w:pPr>
      <w:r w:rsidRPr="00D05C05">
        <w:rPr>
          <w:sz w:val="22"/>
          <w:lang w:val="es-ES_tradnl"/>
        </w:rPr>
        <w:t>No se requiere ajuste de dosis basado en la edad (ver sección 5.2.).</w:t>
      </w:r>
    </w:p>
    <w:p w14:paraId="38F3025F" w14:textId="77777777" w:rsidR="000761DB" w:rsidRPr="00D05C05" w:rsidRDefault="000761DB" w:rsidP="000761DB">
      <w:pPr>
        <w:keepNext/>
        <w:rPr>
          <w:sz w:val="22"/>
          <w:lang w:val="es-ES_tradnl"/>
        </w:rPr>
      </w:pPr>
    </w:p>
    <w:p w14:paraId="5DAEC8DB" w14:textId="77777777" w:rsidR="00827656" w:rsidRPr="00214CE1" w:rsidRDefault="00827656" w:rsidP="00280F39">
      <w:pPr>
        <w:keepNext/>
        <w:rPr>
          <w:sz w:val="22"/>
          <w:lang w:val="es-ES_tradnl"/>
        </w:rPr>
      </w:pPr>
      <w:r w:rsidRPr="00DD437A">
        <w:rPr>
          <w:i/>
          <w:sz w:val="22"/>
          <w:lang w:val="es-ES_tradnl"/>
        </w:rPr>
        <w:t>P</w:t>
      </w:r>
      <w:r w:rsidR="00693925" w:rsidRPr="00DD437A">
        <w:rPr>
          <w:i/>
          <w:sz w:val="22"/>
          <w:lang w:val="es-ES_tradnl"/>
        </w:rPr>
        <w:t>acientes con insuficiencia renal</w:t>
      </w:r>
    </w:p>
    <w:p w14:paraId="155C6B4D" w14:textId="77777777" w:rsidR="00693925" w:rsidRDefault="000761DB" w:rsidP="00280F39">
      <w:pPr>
        <w:keepNext/>
        <w:rPr>
          <w:sz w:val="22"/>
        </w:rPr>
      </w:pPr>
      <w:r>
        <w:rPr>
          <w:sz w:val="22"/>
          <w:lang w:val="es-ES_tradnl"/>
        </w:rPr>
        <w:t>Teriparatida</w:t>
      </w:r>
      <w:r w:rsidR="00693925">
        <w:rPr>
          <w:sz w:val="22"/>
          <w:lang w:val="es-ES_tradnl"/>
        </w:rPr>
        <w:t xml:space="preserve"> </w:t>
      </w:r>
      <w:r w:rsidR="00693925">
        <w:rPr>
          <w:sz w:val="22"/>
        </w:rPr>
        <w:t xml:space="preserve">no </w:t>
      </w:r>
      <w:r w:rsidR="00827656">
        <w:rPr>
          <w:sz w:val="22"/>
        </w:rPr>
        <w:t xml:space="preserve">puede </w:t>
      </w:r>
      <w:r w:rsidR="00693925">
        <w:rPr>
          <w:sz w:val="22"/>
        </w:rPr>
        <w:t xml:space="preserve">usarse en pacientes con insuficiencia renal </w:t>
      </w:r>
      <w:r w:rsidR="006C5C46">
        <w:rPr>
          <w:sz w:val="22"/>
        </w:rPr>
        <w:t>grave</w:t>
      </w:r>
      <w:r w:rsidR="00693925">
        <w:rPr>
          <w:sz w:val="22"/>
        </w:rPr>
        <w:t xml:space="preserve"> (ver</w:t>
      </w:r>
      <w:r w:rsidR="009D58EB">
        <w:rPr>
          <w:sz w:val="22"/>
        </w:rPr>
        <w:t xml:space="preserve"> sección</w:t>
      </w:r>
      <w:r w:rsidR="00693925">
        <w:rPr>
          <w:sz w:val="22"/>
        </w:rPr>
        <w:t xml:space="preserve"> 4.3.). </w:t>
      </w:r>
      <w:r>
        <w:rPr>
          <w:sz w:val="22"/>
        </w:rPr>
        <w:t>Teriparatida</w:t>
      </w:r>
      <w:r w:rsidR="00693925">
        <w:rPr>
          <w:sz w:val="22"/>
        </w:rPr>
        <w:t xml:space="preserve"> debe usarse con precaución en pacientes con insuficiencia renal moderada.</w:t>
      </w:r>
      <w:r w:rsidR="00827656">
        <w:rPr>
          <w:sz w:val="22"/>
        </w:rPr>
        <w:t xml:space="preserve"> No se requieren precauciones especiales en pacientes con insuficiencia renal leve.</w:t>
      </w:r>
    </w:p>
    <w:p w14:paraId="158D3879" w14:textId="77777777" w:rsidR="00693925" w:rsidRDefault="00693925" w:rsidP="00E84F80">
      <w:pPr>
        <w:rPr>
          <w:sz w:val="22"/>
        </w:rPr>
      </w:pPr>
    </w:p>
    <w:p w14:paraId="65BC4914" w14:textId="77777777" w:rsidR="00827656" w:rsidRPr="00214CE1" w:rsidRDefault="00827656" w:rsidP="00E84F80">
      <w:pPr>
        <w:rPr>
          <w:sz w:val="22"/>
          <w:lang w:val="es-ES_tradnl"/>
        </w:rPr>
      </w:pPr>
      <w:r w:rsidRPr="00DD437A">
        <w:rPr>
          <w:i/>
          <w:sz w:val="22"/>
          <w:lang w:val="es-ES_tradnl"/>
        </w:rPr>
        <w:t>P</w:t>
      </w:r>
      <w:r w:rsidR="00693925" w:rsidRPr="00DD437A">
        <w:rPr>
          <w:i/>
          <w:sz w:val="22"/>
          <w:lang w:val="es-ES_tradnl"/>
        </w:rPr>
        <w:t>acientes con insuficiencia hepática</w:t>
      </w:r>
      <w:r w:rsidR="00693925" w:rsidRPr="00214CE1">
        <w:rPr>
          <w:sz w:val="22"/>
          <w:lang w:val="es-ES_tradnl"/>
        </w:rPr>
        <w:t xml:space="preserve"> </w:t>
      </w:r>
    </w:p>
    <w:p w14:paraId="034C7D47" w14:textId="77777777" w:rsidR="00693925" w:rsidRDefault="00827656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>N</w:t>
      </w:r>
      <w:r w:rsidR="00693925">
        <w:rPr>
          <w:sz w:val="22"/>
          <w:lang w:val="es-ES_tradnl"/>
        </w:rPr>
        <w:t xml:space="preserve">o se dispone de datos </w:t>
      </w:r>
      <w:r w:rsidR="00661D06">
        <w:rPr>
          <w:sz w:val="22"/>
          <w:lang w:val="es-ES_tradnl"/>
        </w:rPr>
        <w:t>en</w:t>
      </w:r>
      <w:r w:rsidR="00693925">
        <w:rPr>
          <w:sz w:val="22"/>
          <w:lang w:val="es-ES_tradnl"/>
        </w:rPr>
        <w:t xml:space="preserve"> pacientes con disfunción hepática (ver </w:t>
      </w:r>
      <w:r w:rsidR="006576B5">
        <w:rPr>
          <w:sz w:val="22"/>
          <w:lang w:val="es-ES_tradnl"/>
        </w:rPr>
        <w:t xml:space="preserve">sección </w:t>
      </w:r>
      <w:r w:rsidR="00693925">
        <w:rPr>
          <w:sz w:val="22"/>
          <w:lang w:val="es-ES_tradnl"/>
        </w:rPr>
        <w:t>5.3.).</w:t>
      </w:r>
      <w:r w:rsidR="00661D06">
        <w:rPr>
          <w:sz w:val="22"/>
          <w:lang w:val="es-ES_tradnl"/>
        </w:rPr>
        <w:t xml:space="preserve"> Por lo que </w:t>
      </w:r>
      <w:r w:rsidR="000761DB">
        <w:rPr>
          <w:sz w:val="22"/>
          <w:lang w:val="es-ES_tradnl"/>
        </w:rPr>
        <w:t>teriparatida</w:t>
      </w:r>
      <w:r w:rsidR="00661D06">
        <w:rPr>
          <w:sz w:val="22"/>
          <w:lang w:val="es-ES_tradnl"/>
        </w:rPr>
        <w:t xml:space="preserve"> </w:t>
      </w:r>
      <w:r w:rsidR="00C93040">
        <w:rPr>
          <w:sz w:val="22"/>
          <w:lang w:val="es-ES_tradnl"/>
        </w:rPr>
        <w:t xml:space="preserve">se </w:t>
      </w:r>
      <w:r w:rsidR="00661D06">
        <w:rPr>
          <w:sz w:val="22"/>
          <w:lang w:val="es-ES_tradnl"/>
        </w:rPr>
        <w:t>debe usar con precaución.</w:t>
      </w:r>
    </w:p>
    <w:p w14:paraId="286ECDAF" w14:textId="77777777" w:rsidR="00693925" w:rsidRDefault="00693925" w:rsidP="00E84F80">
      <w:pPr>
        <w:rPr>
          <w:rStyle w:val="LabelInstructions"/>
          <w:i w:val="0"/>
          <w:color w:val="auto"/>
          <w:sz w:val="22"/>
          <w:lang w:val="es-ES_tradnl"/>
        </w:rPr>
      </w:pPr>
    </w:p>
    <w:p w14:paraId="3DD57197" w14:textId="77777777" w:rsidR="00661D06" w:rsidRPr="00DD437A" w:rsidRDefault="004140A6" w:rsidP="00E84F80">
      <w:pPr>
        <w:rPr>
          <w:rStyle w:val="LabelInstructions"/>
          <w:color w:val="auto"/>
          <w:sz w:val="22"/>
          <w:lang w:val="es-ES_tradnl"/>
        </w:rPr>
      </w:pPr>
      <w:r w:rsidRPr="00DD437A">
        <w:rPr>
          <w:rStyle w:val="LabelInstructions"/>
          <w:color w:val="auto"/>
          <w:sz w:val="22"/>
          <w:lang w:val="es-ES_tradnl"/>
        </w:rPr>
        <w:t>Población pediátrica y adultos jóvenes con epífisis abiertas</w:t>
      </w:r>
    </w:p>
    <w:p w14:paraId="4073957B" w14:textId="77777777" w:rsidR="00693925" w:rsidRDefault="00661D06" w:rsidP="00E84F80">
      <w:pPr>
        <w:rPr>
          <w:rStyle w:val="LabelInstructions"/>
          <w:i w:val="0"/>
          <w:color w:val="auto"/>
          <w:sz w:val="22"/>
          <w:lang w:val="es-ES_tradnl"/>
        </w:rPr>
      </w:pPr>
      <w:r>
        <w:rPr>
          <w:rStyle w:val="LabelInstructions"/>
          <w:i w:val="0"/>
          <w:color w:val="auto"/>
          <w:sz w:val="22"/>
          <w:lang w:val="es-ES_tradnl"/>
        </w:rPr>
        <w:t xml:space="preserve">No </w:t>
      </w:r>
      <w:r w:rsidR="00916216">
        <w:rPr>
          <w:rStyle w:val="LabelInstructions"/>
          <w:i w:val="0"/>
          <w:color w:val="auto"/>
          <w:sz w:val="22"/>
          <w:lang w:val="es-ES_tradnl"/>
        </w:rPr>
        <w:t>se ha</w:t>
      </w:r>
      <w:r>
        <w:rPr>
          <w:rStyle w:val="LabelInstructions"/>
          <w:i w:val="0"/>
          <w:color w:val="auto"/>
          <w:sz w:val="22"/>
          <w:lang w:val="es-ES_tradnl"/>
        </w:rPr>
        <w:t xml:space="preserve"> establecid</w:t>
      </w:r>
      <w:r w:rsidR="00916216">
        <w:rPr>
          <w:rStyle w:val="LabelInstructions"/>
          <w:i w:val="0"/>
          <w:color w:val="auto"/>
          <w:sz w:val="22"/>
          <w:lang w:val="es-ES_tradnl"/>
        </w:rPr>
        <w:t>o</w:t>
      </w:r>
      <w:r>
        <w:rPr>
          <w:rStyle w:val="LabelInstructions"/>
          <w:i w:val="0"/>
          <w:color w:val="auto"/>
          <w:sz w:val="22"/>
          <w:lang w:val="es-ES_tradnl"/>
        </w:rPr>
        <w:t xml:space="preserve"> la seguridad y eficacia de </w:t>
      </w:r>
      <w:r w:rsidR="000761DB">
        <w:rPr>
          <w:rStyle w:val="LabelInstructions"/>
          <w:i w:val="0"/>
          <w:color w:val="auto"/>
          <w:sz w:val="22"/>
          <w:lang w:val="es-ES_tradnl"/>
        </w:rPr>
        <w:t>teriparatida</w:t>
      </w:r>
      <w:r>
        <w:rPr>
          <w:rStyle w:val="LabelInstructions"/>
          <w:i w:val="0"/>
          <w:color w:val="auto"/>
          <w:sz w:val="22"/>
          <w:lang w:val="es-ES_tradnl"/>
        </w:rPr>
        <w:t xml:space="preserve"> en niños y adolescentes menores de 18 años. </w:t>
      </w:r>
      <w:r w:rsidR="00EA201D">
        <w:rPr>
          <w:rStyle w:val="LabelInstructions"/>
          <w:i w:val="0"/>
          <w:color w:val="auto"/>
          <w:sz w:val="22"/>
          <w:lang w:val="es-ES_tradnl"/>
        </w:rPr>
        <w:t>Teriparatida</w:t>
      </w:r>
      <w:r w:rsidR="000761DB">
        <w:rPr>
          <w:rStyle w:val="LabelInstructions"/>
          <w:i w:val="0"/>
          <w:color w:val="auto"/>
          <w:sz w:val="22"/>
          <w:lang w:val="es-ES_tradnl"/>
        </w:rPr>
        <w:t xml:space="preserve"> SUN</w:t>
      </w:r>
      <w:r w:rsidR="00693925">
        <w:rPr>
          <w:rStyle w:val="LabelInstructions"/>
          <w:i w:val="0"/>
          <w:color w:val="auto"/>
          <w:sz w:val="22"/>
          <w:lang w:val="es-ES_tradnl"/>
        </w:rPr>
        <w:t xml:space="preserve"> no debe usarse en pacientes pediátricos </w:t>
      </w:r>
      <w:r w:rsidR="004140A6">
        <w:rPr>
          <w:rStyle w:val="LabelInstructions"/>
          <w:i w:val="0"/>
          <w:color w:val="auto"/>
          <w:sz w:val="22"/>
          <w:lang w:val="es-ES_tradnl"/>
        </w:rPr>
        <w:t xml:space="preserve">(menores de 18 años) </w:t>
      </w:r>
      <w:r w:rsidR="00693925">
        <w:rPr>
          <w:rStyle w:val="LabelInstructions"/>
          <w:i w:val="0"/>
          <w:color w:val="auto"/>
          <w:sz w:val="22"/>
          <w:lang w:val="es-ES_tradnl"/>
        </w:rPr>
        <w:t>o adultos jóvenes con epífisis abiertas.</w:t>
      </w:r>
    </w:p>
    <w:p w14:paraId="2D3A718B" w14:textId="77777777" w:rsidR="00693925" w:rsidRDefault="00693925" w:rsidP="00E84F80">
      <w:pPr>
        <w:rPr>
          <w:rStyle w:val="LabelInstructions"/>
          <w:i w:val="0"/>
          <w:color w:val="auto"/>
          <w:sz w:val="22"/>
          <w:lang w:val="es-ES_tradnl"/>
        </w:rPr>
      </w:pPr>
    </w:p>
    <w:p w14:paraId="36229D84" w14:textId="77777777" w:rsidR="00661D06" w:rsidRDefault="00661D06" w:rsidP="00E84F80">
      <w:pPr>
        <w:rPr>
          <w:rStyle w:val="LabelInstructions"/>
          <w:i w:val="0"/>
          <w:color w:val="auto"/>
          <w:sz w:val="22"/>
          <w:lang w:val="es-ES_tradnl"/>
        </w:rPr>
      </w:pPr>
    </w:p>
    <w:p w14:paraId="69019762" w14:textId="77777777" w:rsidR="00661D06" w:rsidRDefault="00661D06" w:rsidP="00E84F80">
      <w:pPr>
        <w:rPr>
          <w:rStyle w:val="LabelInstructions"/>
          <w:i w:val="0"/>
          <w:color w:val="auto"/>
          <w:sz w:val="22"/>
          <w:u w:val="single"/>
          <w:lang w:val="es-ES_tradnl"/>
        </w:rPr>
      </w:pPr>
      <w:r w:rsidRPr="00661D06">
        <w:rPr>
          <w:rStyle w:val="LabelInstructions"/>
          <w:i w:val="0"/>
          <w:color w:val="auto"/>
          <w:sz w:val="22"/>
          <w:u w:val="single"/>
          <w:lang w:val="es-ES_tradnl"/>
        </w:rPr>
        <w:t>Forma de administración</w:t>
      </w:r>
    </w:p>
    <w:p w14:paraId="7D1980E9" w14:textId="77777777" w:rsidR="00214CE1" w:rsidRDefault="00214CE1" w:rsidP="00E84F80">
      <w:pPr>
        <w:rPr>
          <w:rStyle w:val="LabelInstructions"/>
          <w:i w:val="0"/>
          <w:color w:val="auto"/>
          <w:sz w:val="22"/>
          <w:u w:val="single"/>
          <w:lang w:val="es-ES_tradnl"/>
        </w:rPr>
      </w:pPr>
    </w:p>
    <w:p w14:paraId="56736394" w14:textId="77777777" w:rsidR="00661D06" w:rsidRDefault="00EA201D" w:rsidP="00E84F80">
      <w:pPr>
        <w:rPr>
          <w:rStyle w:val="LabelInstructions"/>
          <w:i w:val="0"/>
          <w:color w:val="auto"/>
          <w:sz w:val="22"/>
          <w:lang w:val="es-ES_tradnl"/>
        </w:rPr>
      </w:pPr>
      <w:r>
        <w:rPr>
          <w:rStyle w:val="LabelInstructions"/>
          <w:i w:val="0"/>
          <w:color w:val="auto"/>
          <w:sz w:val="22"/>
          <w:lang w:val="es-ES_tradnl"/>
        </w:rPr>
        <w:t>Teriparatida</w:t>
      </w:r>
      <w:r w:rsidR="000761DB">
        <w:rPr>
          <w:rStyle w:val="LabelInstructions"/>
          <w:i w:val="0"/>
          <w:color w:val="auto"/>
          <w:sz w:val="22"/>
          <w:lang w:val="es-ES_tradnl"/>
        </w:rPr>
        <w:t xml:space="preserve"> SUN </w:t>
      </w:r>
      <w:r w:rsidR="00916216">
        <w:rPr>
          <w:rStyle w:val="LabelInstructions"/>
          <w:i w:val="0"/>
          <w:color w:val="auto"/>
          <w:sz w:val="22"/>
          <w:lang w:val="es-ES_tradnl"/>
        </w:rPr>
        <w:t>se debe administrar</w:t>
      </w:r>
      <w:r w:rsidR="00661D06">
        <w:rPr>
          <w:rStyle w:val="LabelInstructions"/>
          <w:i w:val="0"/>
          <w:color w:val="auto"/>
          <w:sz w:val="22"/>
          <w:lang w:val="es-ES_tradnl"/>
        </w:rPr>
        <w:t xml:space="preserve"> una vez al día mediante inyección subcutánea en el muslo o abdomen.</w:t>
      </w:r>
    </w:p>
    <w:p w14:paraId="23C00533" w14:textId="77777777" w:rsidR="00661D06" w:rsidRDefault="00661D06" w:rsidP="00E84F80">
      <w:pPr>
        <w:rPr>
          <w:rStyle w:val="LabelInstructions"/>
          <w:i w:val="0"/>
          <w:color w:val="auto"/>
          <w:sz w:val="22"/>
          <w:lang w:val="es-ES_tradnl"/>
        </w:rPr>
      </w:pPr>
    </w:p>
    <w:p w14:paraId="1894469A" w14:textId="77777777" w:rsidR="00661D06" w:rsidRPr="00661D06" w:rsidRDefault="00661D06" w:rsidP="00E84F80">
      <w:pPr>
        <w:rPr>
          <w:rStyle w:val="LabelInstructions"/>
          <w:i w:val="0"/>
          <w:color w:val="auto"/>
          <w:sz w:val="22"/>
          <w:lang w:val="es-ES_tradnl"/>
        </w:rPr>
      </w:pPr>
      <w:r>
        <w:rPr>
          <w:rStyle w:val="LabelInstructions"/>
          <w:i w:val="0"/>
          <w:color w:val="auto"/>
          <w:sz w:val="22"/>
          <w:lang w:val="es-ES_tradnl"/>
        </w:rPr>
        <w:t xml:space="preserve">Los pacientes deben estar </w:t>
      </w:r>
      <w:r w:rsidR="00F14B11">
        <w:rPr>
          <w:rStyle w:val="LabelInstructions"/>
          <w:i w:val="0"/>
          <w:color w:val="auto"/>
          <w:sz w:val="22"/>
          <w:lang w:val="es-ES_tradnl"/>
        </w:rPr>
        <w:t xml:space="preserve">entrenados </w:t>
      </w:r>
      <w:r w:rsidR="00EC7D47">
        <w:rPr>
          <w:rStyle w:val="LabelInstructions"/>
          <w:i w:val="0"/>
          <w:color w:val="auto"/>
          <w:sz w:val="22"/>
          <w:lang w:val="es-ES_tradnl"/>
        </w:rPr>
        <w:t xml:space="preserve">en el uso de </w:t>
      </w:r>
      <w:r w:rsidR="00F14B11">
        <w:rPr>
          <w:rStyle w:val="LabelInstructions"/>
          <w:i w:val="0"/>
          <w:color w:val="auto"/>
          <w:sz w:val="22"/>
          <w:lang w:val="es-ES_tradnl"/>
        </w:rPr>
        <w:t>una técnica de inyección adecuada</w:t>
      </w:r>
      <w:r>
        <w:rPr>
          <w:rStyle w:val="LabelInstructions"/>
          <w:i w:val="0"/>
          <w:color w:val="auto"/>
          <w:sz w:val="22"/>
          <w:lang w:val="es-ES_tradnl"/>
        </w:rPr>
        <w:t xml:space="preserve"> (ver sección 6.6). </w:t>
      </w:r>
      <w:r w:rsidR="00C554C5" w:rsidRPr="00C554C5">
        <w:rPr>
          <w:sz w:val="22"/>
          <w:lang w:val="es-ES_tradnl"/>
        </w:rPr>
        <w:t xml:space="preserve">También hay disponible un manual de usuario, </w:t>
      </w:r>
      <w:r w:rsidR="00C554C5">
        <w:rPr>
          <w:rStyle w:val="LabelInstructions"/>
          <w:i w:val="0"/>
          <w:color w:val="auto"/>
          <w:sz w:val="22"/>
          <w:lang w:val="es-ES_tradnl"/>
        </w:rPr>
        <w:t xml:space="preserve">al final del prospecto, </w:t>
      </w:r>
      <w:r>
        <w:rPr>
          <w:rStyle w:val="LabelInstructions"/>
          <w:i w:val="0"/>
          <w:color w:val="auto"/>
          <w:sz w:val="22"/>
          <w:lang w:val="es-ES_tradnl"/>
        </w:rPr>
        <w:t>para formar a los pacientes en el uso correcto de la pluma.</w:t>
      </w:r>
    </w:p>
    <w:p w14:paraId="0B6549F4" w14:textId="77777777" w:rsidR="00693925" w:rsidRDefault="00693925" w:rsidP="00E84F80">
      <w:pPr>
        <w:rPr>
          <w:rStyle w:val="LabelInstructions"/>
          <w:i w:val="0"/>
          <w:color w:val="auto"/>
          <w:sz w:val="22"/>
          <w:lang w:val="es-ES_tradnl"/>
        </w:rPr>
      </w:pPr>
    </w:p>
    <w:p w14:paraId="47D2DE79" w14:textId="77777777" w:rsidR="00693925" w:rsidRDefault="00693925" w:rsidP="009D4668">
      <w:pPr>
        <w:keepNext/>
        <w:widowControl w:val="0"/>
        <w:ind w:left="567" w:hanging="567"/>
        <w:rPr>
          <w:sz w:val="22"/>
          <w:lang w:val="es-ES_tradnl"/>
        </w:rPr>
      </w:pPr>
      <w:r>
        <w:rPr>
          <w:b/>
          <w:sz w:val="22"/>
          <w:lang w:val="es-ES_tradnl"/>
        </w:rPr>
        <w:t>4.3</w:t>
      </w:r>
      <w:r>
        <w:rPr>
          <w:b/>
          <w:sz w:val="22"/>
          <w:lang w:val="es-ES_tradnl"/>
        </w:rPr>
        <w:tab/>
        <w:t>Contraindicaciones</w:t>
      </w:r>
    </w:p>
    <w:p w14:paraId="7FAD90B5" w14:textId="77777777" w:rsidR="00693925" w:rsidRDefault="00693925" w:rsidP="002E6637">
      <w:pPr>
        <w:keepNext/>
        <w:widowControl w:val="0"/>
        <w:rPr>
          <w:sz w:val="22"/>
          <w:lang w:val="es-ES_tradnl"/>
        </w:rPr>
      </w:pPr>
    </w:p>
    <w:p w14:paraId="40957E45" w14:textId="77777777" w:rsidR="00693925" w:rsidRDefault="00693925" w:rsidP="00CF0F95">
      <w:pPr>
        <w:numPr>
          <w:ilvl w:val="0"/>
          <w:numId w:val="3"/>
        </w:numPr>
        <w:tabs>
          <w:tab w:val="clear" w:pos="360"/>
        </w:tabs>
        <w:ind w:left="567" w:hanging="567"/>
        <w:rPr>
          <w:sz w:val="22"/>
          <w:lang w:val="es-ES_tradnl"/>
        </w:rPr>
      </w:pPr>
      <w:r>
        <w:rPr>
          <w:sz w:val="22"/>
          <w:lang w:val="es-ES_tradnl"/>
        </w:rPr>
        <w:t>Hipersensibilidad a</w:t>
      </w:r>
      <w:r w:rsidR="00185A65">
        <w:rPr>
          <w:sz w:val="22"/>
          <w:lang w:val="es-ES_tradnl"/>
        </w:rPr>
        <w:t xml:space="preserve">l principio activo </w:t>
      </w:r>
      <w:r>
        <w:rPr>
          <w:sz w:val="22"/>
          <w:lang w:val="es-ES_tradnl"/>
        </w:rPr>
        <w:t xml:space="preserve">o a alguno de </w:t>
      </w:r>
      <w:r w:rsidR="00185A65">
        <w:rPr>
          <w:sz w:val="22"/>
          <w:lang w:val="es-ES_tradnl"/>
        </w:rPr>
        <w:t xml:space="preserve">los </w:t>
      </w:r>
      <w:r>
        <w:rPr>
          <w:sz w:val="22"/>
          <w:lang w:val="es-ES_tradnl"/>
        </w:rPr>
        <w:t>excipientes</w:t>
      </w:r>
      <w:r w:rsidR="00661D06">
        <w:rPr>
          <w:sz w:val="22"/>
          <w:lang w:val="es-ES_tradnl"/>
        </w:rPr>
        <w:t xml:space="preserve"> incluidos en la sección 6.1</w:t>
      </w:r>
      <w:r>
        <w:rPr>
          <w:sz w:val="22"/>
          <w:lang w:val="es-ES_tradnl"/>
        </w:rPr>
        <w:t>.</w:t>
      </w:r>
    </w:p>
    <w:p w14:paraId="4219E320" w14:textId="77777777" w:rsidR="006666CD" w:rsidRPr="006666CD" w:rsidRDefault="006666CD" w:rsidP="00CF0F95">
      <w:pPr>
        <w:numPr>
          <w:ilvl w:val="0"/>
          <w:numId w:val="3"/>
        </w:numPr>
        <w:tabs>
          <w:tab w:val="clear" w:pos="360"/>
        </w:tabs>
        <w:ind w:left="567" w:hanging="567"/>
        <w:rPr>
          <w:sz w:val="22"/>
        </w:rPr>
      </w:pPr>
      <w:r>
        <w:rPr>
          <w:sz w:val="22"/>
          <w:lang w:val="es-ES_tradnl"/>
        </w:rPr>
        <w:t xml:space="preserve">Embarazo </w:t>
      </w:r>
      <w:r w:rsidRPr="00052F2D">
        <w:rPr>
          <w:sz w:val="22"/>
        </w:rPr>
        <w:t>y lactancia (ver secciones 4.4 y 4.6)</w:t>
      </w:r>
    </w:p>
    <w:p w14:paraId="762B1618" w14:textId="77777777" w:rsidR="00693925" w:rsidRDefault="00693925" w:rsidP="00CF0F95">
      <w:pPr>
        <w:numPr>
          <w:ilvl w:val="0"/>
          <w:numId w:val="3"/>
        </w:numPr>
        <w:tabs>
          <w:tab w:val="clear" w:pos="360"/>
        </w:tabs>
        <w:ind w:left="567" w:hanging="567"/>
        <w:rPr>
          <w:sz w:val="22"/>
          <w:lang w:val="es-ES_tradnl"/>
        </w:rPr>
      </w:pPr>
      <w:r>
        <w:rPr>
          <w:sz w:val="22"/>
          <w:lang w:val="es-ES_tradnl"/>
        </w:rPr>
        <w:t xml:space="preserve">Hipercalcemia preexistente. </w:t>
      </w:r>
    </w:p>
    <w:p w14:paraId="6DFB7DE4" w14:textId="77777777" w:rsidR="00693925" w:rsidRDefault="00693925" w:rsidP="00CF0F95">
      <w:pPr>
        <w:numPr>
          <w:ilvl w:val="0"/>
          <w:numId w:val="3"/>
        </w:numPr>
        <w:tabs>
          <w:tab w:val="clear" w:pos="360"/>
        </w:tabs>
        <w:ind w:left="567" w:hanging="567"/>
        <w:rPr>
          <w:sz w:val="22"/>
          <w:lang w:val="es-ES_tradnl"/>
        </w:rPr>
      </w:pPr>
      <w:r>
        <w:rPr>
          <w:sz w:val="22"/>
          <w:lang w:val="es-ES_tradnl"/>
        </w:rPr>
        <w:t xml:space="preserve">Insuficiencia renal </w:t>
      </w:r>
      <w:r w:rsidR="00B745B0">
        <w:rPr>
          <w:sz w:val="22"/>
          <w:lang w:val="es-ES_tradnl"/>
        </w:rPr>
        <w:t>grave</w:t>
      </w:r>
      <w:r>
        <w:rPr>
          <w:sz w:val="22"/>
          <w:lang w:val="es-ES_tradnl"/>
        </w:rPr>
        <w:t>.</w:t>
      </w:r>
    </w:p>
    <w:p w14:paraId="641998AD" w14:textId="77777777" w:rsidR="00693925" w:rsidRDefault="00693925" w:rsidP="00CF0F95">
      <w:pPr>
        <w:numPr>
          <w:ilvl w:val="0"/>
          <w:numId w:val="3"/>
        </w:numPr>
        <w:tabs>
          <w:tab w:val="clear" w:pos="360"/>
        </w:tabs>
        <w:ind w:left="567" w:hanging="567"/>
        <w:rPr>
          <w:sz w:val="22"/>
          <w:lang w:val="es-ES_tradnl"/>
        </w:rPr>
      </w:pPr>
      <w:r>
        <w:rPr>
          <w:snapToGrid w:val="0"/>
          <w:sz w:val="22"/>
          <w:lang w:val="es-ES_tradnl"/>
        </w:rPr>
        <w:t xml:space="preserve">Pacientes con enfermedades </w:t>
      </w:r>
      <w:r w:rsidR="00022D11">
        <w:rPr>
          <w:snapToGrid w:val="0"/>
          <w:sz w:val="22"/>
          <w:lang w:val="es-ES_tradnl"/>
        </w:rPr>
        <w:t xml:space="preserve">metabólicas </w:t>
      </w:r>
      <w:r>
        <w:rPr>
          <w:snapToGrid w:val="0"/>
          <w:sz w:val="22"/>
          <w:lang w:val="es-ES_tradnl"/>
        </w:rPr>
        <w:t xml:space="preserve">óseas </w:t>
      </w:r>
      <w:r w:rsidR="006B34BB">
        <w:rPr>
          <w:snapToGrid w:val="0"/>
          <w:sz w:val="22"/>
          <w:lang w:val="es-ES_tradnl"/>
        </w:rPr>
        <w:t>(incluyendo el hiperparati</w:t>
      </w:r>
      <w:r w:rsidR="007B1371">
        <w:rPr>
          <w:snapToGrid w:val="0"/>
          <w:sz w:val="22"/>
          <w:lang w:val="es-ES_tradnl"/>
        </w:rPr>
        <w:t>r</w:t>
      </w:r>
      <w:r w:rsidR="006B34BB">
        <w:rPr>
          <w:snapToGrid w:val="0"/>
          <w:sz w:val="22"/>
          <w:lang w:val="es-ES_tradnl"/>
        </w:rPr>
        <w:t xml:space="preserve">oidismo y la enfermedad de Paget del hueso) </w:t>
      </w:r>
      <w:r>
        <w:rPr>
          <w:snapToGrid w:val="0"/>
          <w:sz w:val="22"/>
          <w:lang w:val="es-ES_tradnl"/>
        </w:rPr>
        <w:t xml:space="preserve">distintas a la osteoporosis primaria </w:t>
      </w:r>
      <w:r w:rsidR="006B34BB">
        <w:rPr>
          <w:snapToGrid w:val="0"/>
          <w:sz w:val="22"/>
          <w:lang w:val="es-ES_tradnl"/>
        </w:rPr>
        <w:t xml:space="preserve">u osteoporosis inducida por glucocorticoides. </w:t>
      </w:r>
    </w:p>
    <w:p w14:paraId="450300A3" w14:textId="77777777" w:rsidR="00693925" w:rsidRDefault="00693925" w:rsidP="00CF0F95">
      <w:pPr>
        <w:numPr>
          <w:ilvl w:val="0"/>
          <w:numId w:val="3"/>
        </w:numPr>
        <w:tabs>
          <w:tab w:val="clear" w:pos="360"/>
        </w:tabs>
        <w:ind w:left="567" w:hanging="567"/>
        <w:rPr>
          <w:sz w:val="22"/>
          <w:lang w:val="es-ES_tradnl"/>
        </w:rPr>
      </w:pPr>
      <w:r>
        <w:rPr>
          <w:sz w:val="22"/>
          <w:lang w:val="es-ES_tradnl"/>
        </w:rPr>
        <w:t>Elevaciones inexplicadas de la fosfatasa alcalina.</w:t>
      </w:r>
    </w:p>
    <w:p w14:paraId="1F3C3440" w14:textId="77777777" w:rsidR="00693925" w:rsidRPr="001C1688" w:rsidRDefault="00693925" w:rsidP="00CF0F95">
      <w:pPr>
        <w:numPr>
          <w:ilvl w:val="0"/>
          <w:numId w:val="3"/>
        </w:numPr>
        <w:tabs>
          <w:tab w:val="clear" w:pos="360"/>
        </w:tabs>
        <w:ind w:left="567" w:hanging="567"/>
        <w:rPr>
          <w:sz w:val="22"/>
          <w:lang w:val="es-ES_tradnl"/>
        </w:rPr>
      </w:pPr>
      <w:r>
        <w:rPr>
          <w:snapToGrid w:val="0"/>
          <w:sz w:val="22"/>
          <w:lang w:val="es-ES_tradnl"/>
        </w:rPr>
        <w:t>Pacientes que hayan recibido anteriormente radiación externa o radioterapia localizada sobre el esqueleto.</w:t>
      </w:r>
    </w:p>
    <w:p w14:paraId="63AD3637" w14:textId="77777777" w:rsidR="001C1688" w:rsidRDefault="001C1688" w:rsidP="00CF0F95">
      <w:pPr>
        <w:numPr>
          <w:ilvl w:val="0"/>
          <w:numId w:val="3"/>
        </w:numPr>
        <w:tabs>
          <w:tab w:val="clear" w:pos="360"/>
        </w:tabs>
        <w:ind w:left="567" w:hanging="567"/>
        <w:rPr>
          <w:sz w:val="22"/>
          <w:lang w:val="es-ES_tradnl"/>
        </w:rPr>
      </w:pPr>
      <w:r>
        <w:rPr>
          <w:snapToGrid w:val="0"/>
          <w:sz w:val="22"/>
          <w:lang w:val="es-ES_tradnl"/>
        </w:rPr>
        <w:t xml:space="preserve">Pacientes con </w:t>
      </w:r>
      <w:r w:rsidR="008C66B8">
        <w:rPr>
          <w:snapToGrid w:val="0"/>
          <w:sz w:val="22"/>
          <w:lang w:val="es-ES_tradnl"/>
        </w:rPr>
        <w:t>tumores óseos</w:t>
      </w:r>
      <w:r>
        <w:rPr>
          <w:snapToGrid w:val="0"/>
          <w:sz w:val="22"/>
          <w:lang w:val="es-ES_tradnl"/>
        </w:rPr>
        <w:t xml:space="preserve"> o metástasis </w:t>
      </w:r>
      <w:r w:rsidR="008C66B8">
        <w:rPr>
          <w:snapToGrid w:val="0"/>
          <w:sz w:val="22"/>
          <w:lang w:val="es-ES_tradnl"/>
        </w:rPr>
        <w:t>óseas</w:t>
      </w:r>
      <w:r>
        <w:rPr>
          <w:snapToGrid w:val="0"/>
          <w:sz w:val="22"/>
          <w:lang w:val="es-ES_tradnl"/>
        </w:rPr>
        <w:t xml:space="preserve"> deben ser excluidos del tratamiento con teriparatida. </w:t>
      </w:r>
    </w:p>
    <w:p w14:paraId="0705DA50" w14:textId="77777777" w:rsidR="00693925" w:rsidRDefault="00693925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0694EBFC" w14:textId="77777777" w:rsidR="00693925" w:rsidRDefault="00693925" w:rsidP="009D4668">
      <w:pPr>
        <w:widowControl w:val="0"/>
        <w:ind w:left="567" w:hanging="567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4.4</w:t>
      </w:r>
      <w:r>
        <w:rPr>
          <w:b/>
          <w:sz w:val="22"/>
          <w:lang w:val="es-ES_tradnl"/>
        </w:rPr>
        <w:tab/>
        <w:t>Advertencias y precauciones especiales de empleo</w:t>
      </w:r>
    </w:p>
    <w:p w14:paraId="1A2DC983" w14:textId="77777777" w:rsidR="00693925" w:rsidRDefault="00693925" w:rsidP="00175756">
      <w:pPr>
        <w:widowControl w:val="0"/>
        <w:rPr>
          <w:snapToGrid w:val="0"/>
          <w:sz w:val="22"/>
          <w:lang w:val="es-ES_tradnl"/>
        </w:rPr>
      </w:pPr>
    </w:p>
    <w:p w14:paraId="69986B72" w14:textId="77777777" w:rsidR="00214CE1" w:rsidRPr="00214CE1" w:rsidRDefault="00214CE1" w:rsidP="00214CE1">
      <w:pPr>
        <w:rPr>
          <w:snapToGrid w:val="0"/>
          <w:sz w:val="22"/>
          <w:u w:val="single"/>
          <w:lang w:val="es-ES_tradnl"/>
        </w:rPr>
      </w:pPr>
      <w:r w:rsidRPr="00214CE1">
        <w:rPr>
          <w:snapToGrid w:val="0"/>
          <w:sz w:val="22"/>
          <w:u w:val="single"/>
          <w:lang w:val="es-ES_tradnl"/>
        </w:rPr>
        <w:t>Trazabilidad</w:t>
      </w:r>
    </w:p>
    <w:p w14:paraId="175EF1D9" w14:textId="77777777" w:rsidR="00214CE1" w:rsidRDefault="00214CE1" w:rsidP="00214CE1">
      <w:pPr>
        <w:rPr>
          <w:noProof/>
          <w:szCs w:val="24"/>
        </w:rPr>
      </w:pPr>
    </w:p>
    <w:p w14:paraId="3070C7DB" w14:textId="77777777" w:rsidR="00214CE1" w:rsidRPr="00214CE1" w:rsidRDefault="00214CE1" w:rsidP="00214CE1">
      <w:pPr>
        <w:rPr>
          <w:snapToGrid w:val="0"/>
          <w:sz w:val="22"/>
          <w:lang w:val="es-ES_tradnl"/>
        </w:rPr>
      </w:pPr>
      <w:r w:rsidRPr="00214CE1">
        <w:rPr>
          <w:snapToGrid w:val="0"/>
          <w:sz w:val="22"/>
          <w:lang w:val="es-ES_tradnl"/>
        </w:rPr>
        <w:t>Con objeto de mejorar la trazabilidad de los medicamentos biológicos, el nombre y el número de lote del medicamento administrado deben estar claramente registrados.</w:t>
      </w:r>
    </w:p>
    <w:p w14:paraId="71AFF4F9" w14:textId="77777777" w:rsidR="00214CE1" w:rsidRPr="00214CE1" w:rsidRDefault="00214CE1" w:rsidP="00175756">
      <w:pPr>
        <w:widowControl w:val="0"/>
        <w:rPr>
          <w:snapToGrid w:val="0"/>
          <w:sz w:val="22"/>
          <w:lang w:val="es-ES_tradnl"/>
        </w:rPr>
      </w:pPr>
    </w:p>
    <w:p w14:paraId="0655DB30" w14:textId="77777777" w:rsidR="00661D06" w:rsidRDefault="00661D06" w:rsidP="00175756">
      <w:pPr>
        <w:rPr>
          <w:snapToGrid w:val="0"/>
          <w:sz w:val="22"/>
          <w:u w:val="single"/>
          <w:lang w:val="es-ES_tradnl"/>
        </w:rPr>
      </w:pPr>
      <w:r w:rsidRPr="00661D06">
        <w:rPr>
          <w:snapToGrid w:val="0"/>
          <w:sz w:val="22"/>
          <w:u w:val="single"/>
          <w:lang w:val="es-ES_tradnl"/>
        </w:rPr>
        <w:t xml:space="preserve">Calcio sérico y </w:t>
      </w:r>
      <w:r w:rsidR="00EC7D47">
        <w:rPr>
          <w:snapToGrid w:val="0"/>
          <w:sz w:val="22"/>
          <w:u w:val="single"/>
          <w:lang w:val="es-ES_tradnl"/>
        </w:rPr>
        <w:t>urinario</w:t>
      </w:r>
    </w:p>
    <w:p w14:paraId="26C6751D" w14:textId="77777777" w:rsidR="00214CE1" w:rsidRPr="00661D06" w:rsidRDefault="00214CE1" w:rsidP="00175756">
      <w:pPr>
        <w:rPr>
          <w:snapToGrid w:val="0"/>
          <w:sz w:val="22"/>
          <w:u w:val="single"/>
          <w:lang w:val="es-ES_tradnl"/>
        </w:rPr>
      </w:pPr>
    </w:p>
    <w:p w14:paraId="2687A79D" w14:textId="77777777" w:rsidR="00693925" w:rsidRDefault="00693925" w:rsidP="00175756">
      <w:pPr>
        <w:rPr>
          <w:b/>
          <w:sz w:val="22"/>
          <w:lang w:val="es-ES_tradnl"/>
        </w:rPr>
      </w:pPr>
      <w:r>
        <w:rPr>
          <w:snapToGrid w:val="0"/>
          <w:sz w:val="22"/>
          <w:lang w:val="es-ES_tradnl"/>
        </w:rPr>
        <w:lastRenderedPageBreak/>
        <w:t xml:space="preserve">En pacientes </w:t>
      </w:r>
      <w:proofErr w:type="spellStart"/>
      <w:r>
        <w:rPr>
          <w:snapToGrid w:val="0"/>
          <w:sz w:val="22"/>
          <w:lang w:val="es-ES_tradnl"/>
        </w:rPr>
        <w:t>normocalcémicos</w:t>
      </w:r>
      <w:proofErr w:type="spellEnd"/>
      <w:r>
        <w:rPr>
          <w:snapToGrid w:val="0"/>
          <w:sz w:val="22"/>
          <w:lang w:val="es-ES_tradnl"/>
        </w:rPr>
        <w:t xml:space="preserve"> se han observado elevaciones ligeras y transitorias de las concentraciones séricas de calcio después de la inyección de teriparatida. Las concentraciones séricas del calcio alcanzan su máximo entre las 4 y las 6 horas siguientes a la inyección y vuelven a los valores basales entre las 16 y 24 horas siguientes a la administración de cada dosis de teriparatida. </w:t>
      </w:r>
      <w:r w:rsidR="00661D06">
        <w:rPr>
          <w:snapToGrid w:val="0"/>
          <w:sz w:val="22"/>
          <w:lang w:val="es-ES_tradnl"/>
        </w:rPr>
        <w:t xml:space="preserve">Por lo </w:t>
      </w:r>
      <w:proofErr w:type="gramStart"/>
      <w:r w:rsidR="00661D06">
        <w:rPr>
          <w:snapToGrid w:val="0"/>
          <w:sz w:val="22"/>
          <w:lang w:val="es-ES_tradnl"/>
        </w:rPr>
        <w:t>que</w:t>
      </w:r>
      <w:proofErr w:type="gramEnd"/>
      <w:r w:rsidR="00661D06">
        <w:rPr>
          <w:snapToGrid w:val="0"/>
          <w:sz w:val="22"/>
          <w:lang w:val="es-ES_tradnl"/>
        </w:rPr>
        <w:t xml:space="preserve"> si se toman muestras para </w:t>
      </w:r>
      <w:r w:rsidR="00EC7D47">
        <w:rPr>
          <w:snapToGrid w:val="0"/>
          <w:sz w:val="22"/>
          <w:lang w:val="es-ES_tradnl"/>
        </w:rPr>
        <w:t>medir</w:t>
      </w:r>
      <w:r w:rsidR="00661D06">
        <w:rPr>
          <w:snapToGrid w:val="0"/>
          <w:sz w:val="22"/>
          <w:lang w:val="es-ES_tradnl"/>
        </w:rPr>
        <w:t xml:space="preserve"> el calcio sérico, </w:t>
      </w:r>
      <w:r w:rsidR="00C93040">
        <w:rPr>
          <w:snapToGrid w:val="0"/>
          <w:sz w:val="22"/>
          <w:lang w:val="es-ES_tradnl"/>
        </w:rPr>
        <w:t xml:space="preserve">se </w:t>
      </w:r>
      <w:r w:rsidR="00661D06">
        <w:rPr>
          <w:snapToGrid w:val="0"/>
          <w:sz w:val="22"/>
          <w:lang w:val="es-ES_tradnl"/>
        </w:rPr>
        <w:t xml:space="preserve">debe hacer al menos 16 horas después de la </w:t>
      </w:r>
      <w:r w:rsidR="00A94FBC">
        <w:rPr>
          <w:snapToGrid w:val="0"/>
          <w:sz w:val="22"/>
          <w:lang w:val="es-ES_tradnl"/>
        </w:rPr>
        <w:t xml:space="preserve">última inyección de </w:t>
      </w:r>
      <w:r w:rsidR="00EB6FE0">
        <w:rPr>
          <w:snapToGrid w:val="0"/>
          <w:sz w:val="22"/>
          <w:lang w:val="es-ES_tradnl"/>
        </w:rPr>
        <w:t>teriparatida</w:t>
      </w:r>
      <w:r w:rsidR="00A94FBC">
        <w:rPr>
          <w:snapToGrid w:val="0"/>
          <w:sz w:val="22"/>
          <w:lang w:val="es-ES_tradnl"/>
        </w:rPr>
        <w:t xml:space="preserve">. </w:t>
      </w:r>
      <w:r>
        <w:rPr>
          <w:snapToGrid w:val="0"/>
          <w:sz w:val="22"/>
          <w:lang w:val="es-ES_tradnl"/>
        </w:rPr>
        <w:t xml:space="preserve">Durante el tratamiento no es necesario realizar una monitorización rutinaria del calcio. </w:t>
      </w:r>
    </w:p>
    <w:p w14:paraId="3D35EFDA" w14:textId="77777777" w:rsidR="00693925" w:rsidRDefault="00693925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593F526A" w14:textId="77777777" w:rsidR="00693925" w:rsidRDefault="00EB6FE0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Teriparatida </w:t>
      </w:r>
      <w:r w:rsidR="00693925">
        <w:rPr>
          <w:rFonts w:ascii="Times New Roman" w:hAnsi="Times New Roman"/>
          <w:lang w:val="es-ES_tradnl"/>
        </w:rPr>
        <w:t>puede producir pequeños incrementos en la excreción urinaria del calcio, sin embargo, en ensayos clínicos la hipercalciuria no fue diferente de la de los pacientes tratados con placebo.</w:t>
      </w:r>
    </w:p>
    <w:p w14:paraId="6D498CA3" w14:textId="77777777" w:rsidR="00693925" w:rsidRDefault="00693925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39A54B24" w14:textId="77777777" w:rsidR="00A94FBC" w:rsidRDefault="00A94FBC" w:rsidP="00175756">
      <w:pPr>
        <w:keepNext/>
        <w:rPr>
          <w:sz w:val="22"/>
          <w:u w:val="single"/>
          <w:lang w:val="es-ES_tradnl"/>
        </w:rPr>
      </w:pPr>
      <w:r w:rsidRPr="00A94FBC">
        <w:rPr>
          <w:sz w:val="22"/>
          <w:u w:val="single"/>
          <w:lang w:val="es-ES_tradnl"/>
        </w:rPr>
        <w:t>Urolitiasis</w:t>
      </w:r>
    </w:p>
    <w:p w14:paraId="15407CB9" w14:textId="77777777" w:rsidR="00EC399F" w:rsidRPr="00A94FBC" w:rsidRDefault="00EC399F" w:rsidP="00175756">
      <w:pPr>
        <w:keepNext/>
        <w:rPr>
          <w:sz w:val="22"/>
          <w:u w:val="single"/>
          <w:lang w:val="es-ES_tradnl"/>
        </w:rPr>
      </w:pPr>
    </w:p>
    <w:p w14:paraId="65FD741C" w14:textId="77777777" w:rsidR="00693925" w:rsidRDefault="00D02A48" w:rsidP="00175756">
      <w:pPr>
        <w:keepNext/>
        <w:rPr>
          <w:sz w:val="22"/>
          <w:lang w:val="es-ES_tradnl"/>
        </w:rPr>
      </w:pPr>
      <w:r>
        <w:rPr>
          <w:sz w:val="22"/>
          <w:lang w:val="es-ES_tradnl"/>
        </w:rPr>
        <w:t>Teriparatida</w:t>
      </w:r>
      <w:r w:rsidR="00693925">
        <w:rPr>
          <w:lang w:val="es-ES_tradnl"/>
        </w:rPr>
        <w:t xml:space="preserve"> </w:t>
      </w:r>
      <w:r w:rsidR="00693925">
        <w:rPr>
          <w:sz w:val="22"/>
          <w:lang w:val="es-ES_tradnl"/>
        </w:rPr>
        <w:t xml:space="preserve">no se ha estudiado en pacientes con urolitiasis activa. </w:t>
      </w:r>
      <w:r>
        <w:rPr>
          <w:sz w:val="22"/>
          <w:lang w:val="es-ES_tradnl"/>
        </w:rPr>
        <w:t>Teriparatida</w:t>
      </w:r>
      <w:r w:rsidR="00693925">
        <w:rPr>
          <w:lang w:val="es-ES_tradnl"/>
        </w:rPr>
        <w:t xml:space="preserve"> </w:t>
      </w:r>
      <w:r w:rsidR="00693925">
        <w:rPr>
          <w:sz w:val="22"/>
          <w:lang w:val="es-ES_tradnl"/>
        </w:rPr>
        <w:t>se debe utilizar con precaución en pacientes con urolitiasis activa o reciente por el riesgo potencial de empeoramiento.</w:t>
      </w:r>
    </w:p>
    <w:p w14:paraId="475C4B23" w14:textId="77777777" w:rsidR="00693925" w:rsidRDefault="00693925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3ABB45F2" w14:textId="77777777" w:rsidR="00A94FBC" w:rsidRDefault="00A94FBC" w:rsidP="00175756">
      <w:pPr>
        <w:keepNext/>
        <w:rPr>
          <w:sz w:val="22"/>
          <w:u w:val="single"/>
          <w:lang w:val="es-ES_tradnl"/>
        </w:rPr>
      </w:pPr>
      <w:r>
        <w:rPr>
          <w:sz w:val="22"/>
          <w:u w:val="single"/>
          <w:lang w:val="es-ES_tradnl"/>
        </w:rPr>
        <w:t>Hipotensión ortostática</w:t>
      </w:r>
    </w:p>
    <w:p w14:paraId="3D7732A6" w14:textId="77777777" w:rsidR="00EC399F" w:rsidRDefault="00EC399F" w:rsidP="00175756">
      <w:pPr>
        <w:keepNext/>
        <w:rPr>
          <w:sz w:val="22"/>
          <w:u w:val="single"/>
          <w:lang w:val="es-ES_tradnl"/>
        </w:rPr>
      </w:pPr>
    </w:p>
    <w:p w14:paraId="20DEED10" w14:textId="77777777" w:rsidR="00693925" w:rsidRDefault="00693925" w:rsidP="00175756">
      <w:pPr>
        <w:keepNext/>
        <w:rPr>
          <w:sz w:val="22"/>
          <w:lang w:val="es-ES_tradnl"/>
        </w:rPr>
      </w:pPr>
      <w:r>
        <w:rPr>
          <w:sz w:val="22"/>
          <w:lang w:val="es-ES_tradnl"/>
        </w:rPr>
        <w:t xml:space="preserve">En los </w:t>
      </w:r>
      <w:r w:rsidR="001627CE">
        <w:rPr>
          <w:sz w:val="22"/>
          <w:lang w:val="es-ES_tradnl"/>
        </w:rPr>
        <w:t xml:space="preserve">ensayos </w:t>
      </w:r>
      <w:r>
        <w:rPr>
          <w:sz w:val="22"/>
          <w:lang w:val="es-ES_tradnl"/>
        </w:rPr>
        <w:t xml:space="preserve">clínicos a corto plazo realizados con </w:t>
      </w:r>
      <w:r w:rsidR="00D02A48">
        <w:rPr>
          <w:sz w:val="22"/>
          <w:lang w:val="es-ES_tradnl"/>
        </w:rPr>
        <w:t>teriparatida</w:t>
      </w:r>
      <w:r>
        <w:rPr>
          <w:sz w:val="22"/>
          <w:lang w:val="es-ES_tradnl"/>
        </w:rPr>
        <w:t xml:space="preserve"> se han observado episodios aislados de hipotensión ortostática. Dichos episodios típicamente comenzaron dentro de las 4 horas siguientes a la administración de la dosis y se resolvieron espontáneamente entre unos minutos y unas pocas horas. En los casos en los que se produjo una hipotensión ortostática transitoria, ésta ocurrió con las primeras dosis, se alivió colocando a los sujetos en decúbito, y no impidió continuar el tratamiento. </w:t>
      </w:r>
    </w:p>
    <w:p w14:paraId="233941BA" w14:textId="77777777" w:rsidR="00693925" w:rsidRDefault="00693925" w:rsidP="00E84F80">
      <w:pPr>
        <w:rPr>
          <w:sz w:val="22"/>
          <w:lang w:val="es-ES_tradnl"/>
        </w:rPr>
      </w:pPr>
    </w:p>
    <w:p w14:paraId="669B37E9" w14:textId="77777777" w:rsidR="00A94FBC" w:rsidRDefault="00A94FBC" w:rsidP="00175756">
      <w:pPr>
        <w:keepNext/>
        <w:rPr>
          <w:sz w:val="22"/>
          <w:u w:val="single"/>
          <w:lang w:val="es-ES_tradnl"/>
        </w:rPr>
      </w:pPr>
      <w:r w:rsidRPr="00A94FBC">
        <w:rPr>
          <w:sz w:val="22"/>
          <w:u w:val="single"/>
          <w:lang w:val="es-ES_tradnl"/>
        </w:rPr>
        <w:t>Insuficiencia renal</w:t>
      </w:r>
    </w:p>
    <w:p w14:paraId="6BBCE073" w14:textId="77777777" w:rsidR="00EC399F" w:rsidRPr="00A94FBC" w:rsidRDefault="00EC399F" w:rsidP="00175756">
      <w:pPr>
        <w:keepNext/>
        <w:rPr>
          <w:sz w:val="22"/>
          <w:u w:val="single"/>
          <w:lang w:val="es-ES_tradnl"/>
        </w:rPr>
      </w:pPr>
    </w:p>
    <w:p w14:paraId="47FB90D1" w14:textId="77777777" w:rsidR="00693925" w:rsidRDefault="00693925" w:rsidP="00175756">
      <w:pPr>
        <w:keepNext/>
        <w:rPr>
          <w:sz w:val="22"/>
          <w:lang w:val="es-ES_tradnl"/>
        </w:rPr>
      </w:pPr>
      <w:r>
        <w:rPr>
          <w:sz w:val="22"/>
          <w:lang w:val="es-ES_tradnl"/>
        </w:rPr>
        <w:t>Se debe tener precaución en pacientes con insuficiencia renal moderada.</w:t>
      </w:r>
    </w:p>
    <w:p w14:paraId="18EF7147" w14:textId="77777777" w:rsidR="006666CD" w:rsidRDefault="006666CD" w:rsidP="00E84F80">
      <w:pPr>
        <w:rPr>
          <w:sz w:val="22"/>
          <w:lang w:val="es-ES_tradnl"/>
        </w:rPr>
      </w:pPr>
    </w:p>
    <w:p w14:paraId="34D971FB" w14:textId="77777777" w:rsidR="00A94FBC" w:rsidRDefault="00A94FBC" w:rsidP="00175756">
      <w:pPr>
        <w:keepNext/>
        <w:rPr>
          <w:sz w:val="22"/>
          <w:u w:val="single"/>
          <w:lang w:val="es-ES_tradnl"/>
        </w:rPr>
      </w:pPr>
      <w:r w:rsidRPr="00A94FBC">
        <w:rPr>
          <w:sz w:val="22"/>
          <w:u w:val="single"/>
          <w:lang w:val="es-ES_tradnl"/>
        </w:rPr>
        <w:t>Población adulta más joven</w:t>
      </w:r>
    </w:p>
    <w:p w14:paraId="14F68513" w14:textId="77777777" w:rsidR="00EC399F" w:rsidRPr="00A94FBC" w:rsidRDefault="00EC399F" w:rsidP="00175756">
      <w:pPr>
        <w:keepNext/>
        <w:rPr>
          <w:sz w:val="22"/>
          <w:u w:val="single"/>
          <w:lang w:val="es-ES_tradnl"/>
        </w:rPr>
      </w:pPr>
    </w:p>
    <w:p w14:paraId="505BEA0A" w14:textId="77777777" w:rsidR="006666CD" w:rsidRDefault="006666CD" w:rsidP="00175756">
      <w:pPr>
        <w:keepNext/>
        <w:rPr>
          <w:sz w:val="22"/>
          <w:lang w:val="es-ES_tradnl"/>
        </w:rPr>
      </w:pPr>
      <w:r>
        <w:rPr>
          <w:sz w:val="22"/>
          <w:lang w:val="es-ES_tradnl"/>
        </w:rPr>
        <w:t>La experiencia en la población adulta más joven, incluyendo mujeres premenopáusicas, es limitada (ver sección 5.1)</w:t>
      </w:r>
      <w:r w:rsidR="00B94034">
        <w:rPr>
          <w:sz w:val="22"/>
          <w:lang w:val="es-ES_tradnl"/>
        </w:rPr>
        <w:t>.</w:t>
      </w:r>
      <w:r>
        <w:rPr>
          <w:sz w:val="22"/>
          <w:lang w:val="es-ES_tradnl"/>
        </w:rPr>
        <w:t xml:space="preserve"> En esta población el tratamiento únicamente debe iniciarse cuando el </w:t>
      </w:r>
      <w:r w:rsidR="002D1DEA">
        <w:rPr>
          <w:sz w:val="22"/>
          <w:lang w:val="es-ES_tradnl"/>
        </w:rPr>
        <w:t>beneficio supere claramente los riesgos.</w:t>
      </w:r>
    </w:p>
    <w:p w14:paraId="712E6E0D" w14:textId="77777777" w:rsidR="002D1DEA" w:rsidRDefault="002D1DEA" w:rsidP="00E84F80">
      <w:pPr>
        <w:rPr>
          <w:sz w:val="22"/>
          <w:lang w:val="es-ES_tradnl"/>
        </w:rPr>
      </w:pPr>
    </w:p>
    <w:p w14:paraId="1D40E28F" w14:textId="77777777" w:rsidR="002D1DEA" w:rsidRPr="00597B0A" w:rsidRDefault="002D1DEA" w:rsidP="00597B0A">
      <w:pPr>
        <w:outlineLvl w:val="0"/>
        <w:rPr>
          <w:sz w:val="22"/>
        </w:rPr>
      </w:pPr>
      <w:r>
        <w:rPr>
          <w:sz w:val="22"/>
          <w:lang w:val="es-ES_tradnl"/>
        </w:rPr>
        <w:t xml:space="preserve">Las mujeres en edad </w:t>
      </w:r>
      <w:r w:rsidR="00084011">
        <w:rPr>
          <w:sz w:val="22"/>
          <w:lang w:val="es-ES_tradnl"/>
        </w:rPr>
        <w:t>fértil</w:t>
      </w:r>
      <w:r w:rsidR="000D4832">
        <w:rPr>
          <w:sz w:val="22"/>
          <w:lang w:val="es-ES_tradnl"/>
        </w:rPr>
        <w:t xml:space="preserve"> debe</w:t>
      </w:r>
      <w:r w:rsidR="005D6875">
        <w:rPr>
          <w:sz w:val="22"/>
          <w:lang w:val="es-ES_tradnl"/>
        </w:rPr>
        <w:t xml:space="preserve">n </w:t>
      </w:r>
      <w:r w:rsidR="00074BB0">
        <w:rPr>
          <w:sz w:val="22"/>
          <w:lang w:val="es-ES_tradnl"/>
        </w:rPr>
        <w:t xml:space="preserve">utilizar </w:t>
      </w:r>
      <w:r w:rsidR="00597B0A">
        <w:rPr>
          <w:sz w:val="22"/>
          <w:lang w:val="es-ES_tradnl"/>
        </w:rPr>
        <w:t xml:space="preserve">métodos anticonceptivos eficaces </w:t>
      </w:r>
      <w:r w:rsidR="000D4832">
        <w:rPr>
          <w:sz w:val="22"/>
          <w:lang w:val="es-ES_tradnl"/>
        </w:rPr>
        <w:t>durante el</w:t>
      </w:r>
      <w:r w:rsidR="00597B0A">
        <w:rPr>
          <w:sz w:val="22"/>
          <w:lang w:val="es-ES_tradnl"/>
        </w:rPr>
        <w:t xml:space="preserve"> tratamiento con </w:t>
      </w:r>
      <w:r w:rsidR="00D02A48">
        <w:rPr>
          <w:sz w:val="22"/>
          <w:lang w:val="es-ES_tradnl"/>
        </w:rPr>
        <w:t>teriparatida</w:t>
      </w:r>
      <w:r w:rsidR="00597B0A">
        <w:rPr>
          <w:sz w:val="22"/>
          <w:lang w:val="es-ES_tradnl"/>
        </w:rPr>
        <w:t xml:space="preserve">. </w:t>
      </w:r>
      <w:r w:rsidR="00597B0A" w:rsidRPr="00052F2D">
        <w:rPr>
          <w:sz w:val="22"/>
        </w:rPr>
        <w:t xml:space="preserve">Si el embarazo llegara a producirse, </w:t>
      </w:r>
      <w:r w:rsidR="005D6875" w:rsidRPr="00052F2D">
        <w:rPr>
          <w:sz w:val="22"/>
        </w:rPr>
        <w:t xml:space="preserve">el tratamiento con </w:t>
      </w:r>
      <w:r w:rsidR="00D02A48">
        <w:rPr>
          <w:sz w:val="22"/>
        </w:rPr>
        <w:t>teriparatida</w:t>
      </w:r>
      <w:r w:rsidR="005D6875">
        <w:rPr>
          <w:sz w:val="22"/>
        </w:rPr>
        <w:t xml:space="preserve"> </w:t>
      </w:r>
      <w:r w:rsidR="000D4832">
        <w:rPr>
          <w:sz w:val="22"/>
        </w:rPr>
        <w:t>debe</w:t>
      </w:r>
      <w:r w:rsidR="00D15191">
        <w:rPr>
          <w:sz w:val="22"/>
        </w:rPr>
        <w:t xml:space="preserve"> </w:t>
      </w:r>
      <w:r w:rsidR="00597B0A" w:rsidRPr="00052F2D">
        <w:rPr>
          <w:sz w:val="22"/>
        </w:rPr>
        <w:t>interrumpir</w:t>
      </w:r>
      <w:r w:rsidR="000D4832">
        <w:rPr>
          <w:sz w:val="22"/>
        </w:rPr>
        <w:t>se</w:t>
      </w:r>
      <w:r w:rsidR="005D6875">
        <w:rPr>
          <w:sz w:val="22"/>
        </w:rPr>
        <w:t>.</w:t>
      </w:r>
    </w:p>
    <w:p w14:paraId="5D4048E9" w14:textId="77777777" w:rsidR="00693925" w:rsidRDefault="00693925" w:rsidP="00E84F80">
      <w:pPr>
        <w:rPr>
          <w:sz w:val="22"/>
          <w:lang w:val="es-ES_tradnl"/>
        </w:rPr>
      </w:pPr>
    </w:p>
    <w:p w14:paraId="0639FEFF" w14:textId="77777777" w:rsidR="00A94FBC" w:rsidRDefault="00A94FBC" w:rsidP="00175756">
      <w:pPr>
        <w:pStyle w:val="Text"/>
        <w:keepNext/>
        <w:spacing w:before="0" w:line="240" w:lineRule="auto"/>
        <w:jc w:val="left"/>
        <w:rPr>
          <w:rFonts w:ascii="Times New Roman" w:hAnsi="Times New Roman"/>
          <w:u w:val="single"/>
          <w:lang w:val="es-ES_tradnl"/>
        </w:rPr>
      </w:pPr>
      <w:r w:rsidRPr="00A94FBC">
        <w:rPr>
          <w:rFonts w:ascii="Times New Roman" w:hAnsi="Times New Roman"/>
          <w:u w:val="single"/>
          <w:lang w:val="es-ES_tradnl"/>
        </w:rPr>
        <w:t>Duración del tratamiento</w:t>
      </w:r>
    </w:p>
    <w:p w14:paraId="79F822C6" w14:textId="77777777" w:rsidR="00EC399F" w:rsidRPr="00A94FBC" w:rsidRDefault="00EC399F" w:rsidP="00175756">
      <w:pPr>
        <w:pStyle w:val="Text"/>
        <w:keepNext/>
        <w:spacing w:before="0" w:line="240" w:lineRule="auto"/>
        <w:jc w:val="left"/>
        <w:rPr>
          <w:rFonts w:ascii="Times New Roman" w:hAnsi="Times New Roman"/>
          <w:u w:val="single"/>
          <w:lang w:val="es-ES_tradnl"/>
        </w:rPr>
      </w:pPr>
    </w:p>
    <w:p w14:paraId="3F5AF13A" w14:textId="77777777" w:rsidR="00693925" w:rsidRDefault="00693925" w:rsidP="00175756">
      <w:pPr>
        <w:pStyle w:val="Text"/>
        <w:keepNext/>
        <w:spacing w:before="0" w:line="240" w:lineRule="auto"/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Los estudios en ratas indican un aumento en la incidencia de osteosarcoma con la administración a largo plazo de teriparatida (ver </w:t>
      </w:r>
      <w:r w:rsidR="00185A65">
        <w:rPr>
          <w:rFonts w:ascii="Times New Roman" w:hAnsi="Times New Roman"/>
          <w:lang w:val="es-ES_tradnl"/>
        </w:rPr>
        <w:t xml:space="preserve">sección </w:t>
      </w:r>
      <w:r>
        <w:rPr>
          <w:rFonts w:ascii="Times New Roman" w:hAnsi="Times New Roman"/>
          <w:lang w:val="es-ES_tradnl"/>
        </w:rPr>
        <w:t xml:space="preserve">5.3.). Hasta que se disponga de más datos clínicos, no se debe exceder el tiempo recomendado de tratamiento de </w:t>
      </w:r>
      <w:r w:rsidR="00101112">
        <w:rPr>
          <w:rFonts w:ascii="Times New Roman" w:hAnsi="Times New Roman"/>
          <w:lang w:val="es-ES_tradnl"/>
        </w:rPr>
        <w:t xml:space="preserve">24 </w:t>
      </w:r>
      <w:r>
        <w:rPr>
          <w:rFonts w:ascii="Times New Roman" w:hAnsi="Times New Roman"/>
          <w:lang w:val="es-ES_tradnl"/>
        </w:rPr>
        <w:t>meses.</w:t>
      </w:r>
    </w:p>
    <w:p w14:paraId="1EE51C1C" w14:textId="77777777" w:rsidR="00EC399F" w:rsidRPr="00EC399F" w:rsidRDefault="00EC399F" w:rsidP="00175756">
      <w:pPr>
        <w:pStyle w:val="Text"/>
        <w:keepNext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56741013" w14:textId="77777777" w:rsidR="00EC399F" w:rsidRPr="00EC399F" w:rsidRDefault="00EC399F" w:rsidP="00EC399F">
      <w:pPr>
        <w:pStyle w:val="Text"/>
        <w:keepNext/>
        <w:spacing w:before="0" w:line="240" w:lineRule="auto"/>
        <w:jc w:val="left"/>
        <w:rPr>
          <w:rFonts w:ascii="Times New Roman" w:hAnsi="Times New Roman"/>
          <w:u w:val="single"/>
          <w:lang w:val="es-ES_tradnl"/>
        </w:rPr>
      </w:pPr>
      <w:r w:rsidRPr="00EC399F">
        <w:rPr>
          <w:rFonts w:ascii="Times New Roman" w:hAnsi="Times New Roman"/>
          <w:u w:val="single"/>
          <w:lang w:val="es-ES_tradnl"/>
        </w:rPr>
        <w:t>Contenido de sodio</w:t>
      </w:r>
    </w:p>
    <w:p w14:paraId="3D9981B1" w14:textId="77777777" w:rsidR="00EC399F" w:rsidRPr="00EC399F" w:rsidRDefault="00EC399F" w:rsidP="00EC399F">
      <w:pPr>
        <w:pStyle w:val="Text"/>
        <w:keepNext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45114681" w14:textId="77777777" w:rsidR="00EC399F" w:rsidRPr="00EC399F" w:rsidRDefault="00EC399F" w:rsidP="00EC399F">
      <w:pPr>
        <w:pStyle w:val="Text"/>
        <w:keepNext/>
        <w:spacing w:before="0" w:line="240" w:lineRule="auto"/>
        <w:jc w:val="left"/>
        <w:rPr>
          <w:rFonts w:ascii="Times New Roman" w:hAnsi="Times New Roman"/>
          <w:lang w:val="es-ES_tradnl"/>
        </w:rPr>
      </w:pPr>
      <w:r w:rsidRPr="00FF441B">
        <w:rPr>
          <w:rFonts w:ascii="Times New Roman" w:hAnsi="Times New Roman"/>
          <w:lang w:val="es-ES_tradnl"/>
        </w:rPr>
        <w:t xml:space="preserve">Este medicamento contiene menos de </w:t>
      </w:r>
      <w:r w:rsidR="00B745B0">
        <w:rPr>
          <w:rFonts w:ascii="Times New Roman" w:hAnsi="Times New Roman"/>
          <w:lang w:val="es-ES_tradnl"/>
        </w:rPr>
        <w:t>1 mmol</w:t>
      </w:r>
      <w:r w:rsidR="00FF441B" w:rsidRPr="00FF441B">
        <w:rPr>
          <w:rFonts w:ascii="Times New Roman" w:hAnsi="Times New Roman"/>
          <w:lang w:val="es-ES_tradnl"/>
        </w:rPr>
        <w:t xml:space="preserve"> de sodio (</w:t>
      </w:r>
      <w:r w:rsidR="00B745B0">
        <w:rPr>
          <w:rFonts w:ascii="Times New Roman" w:hAnsi="Times New Roman"/>
          <w:lang w:val="es-ES_tradnl"/>
        </w:rPr>
        <w:t>23 mg</w:t>
      </w:r>
      <w:r w:rsidRPr="00FF441B">
        <w:rPr>
          <w:rFonts w:ascii="Times New Roman" w:hAnsi="Times New Roman"/>
          <w:lang w:val="es-ES_tradnl"/>
        </w:rPr>
        <w:t>) por dosis</w:t>
      </w:r>
      <w:r w:rsidR="00D02A48" w:rsidRPr="00FF441B">
        <w:rPr>
          <w:rFonts w:ascii="Times New Roman" w:hAnsi="Times New Roman"/>
          <w:lang w:val="es-ES_tradnl"/>
        </w:rPr>
        <w:t xml:space="preserve"> máxima diaria</w:t>
      </w:r>
      <w:r w:rsidR="00F642D4" w:rsidRPr="00FF441B">
        <w:rPr>
          <w:rFonts w:ascii="Times New Roman" w:hAnsi="Times New Roman"/>
          <w:lang w:val="es-ES_tradnl"/>
        </w:rPr>
        <w:t>;</w:t>
      </w:r>
      <w:r w:rsidRPr="00FF441B">
        <w:rPr>
          <w:rFonts w:ascii="Times New Roman" w:hAnsi="Times New Roman"/>
          <w:lang w:val="es-ES_tradnl"/>
        </w:rPr>
        <w:t xml:space="preserve"> </w:t>
      </w:r>
      <w:r w:rsidR="00F642D4" w:rsidRPr="00FF441B">
        <w:rPr>
          <w:rFonts w:ascii="Times New Roman" w:hAnsi="Times New Roman"/>
          <w:lang w:val="es-ES_tradnl"/>
        </w:rPr>
        <w:t xml:space="preserve">esto es, </w:t>
      </w:r>
      <w:r w:rsidRPr="00FF441B">
        <w:rPr>
          <w:rFonts w:ascii="Times New Roman" w:hAnsi="Times New Roman"/>
          <w:lang w:val="es-ES_tradnl"/>
        </w:rPr>
        <w:t>esencialmente “exento de sodio”.</w:t>
      </w:r>
    </w:p>
    <w:p w14:paraId="42CAAF96" w14:textId="77777777" w:rsidR="00693925" w:rsidRPr="002564A8" w:rsidRDefault="00693925" w:rsidP="00E84F80">
      <w:pPr>
        <w:rPr>
          <w:sz w:val="22"/>
          <w:lang w:val="es-ES_tradnl"/>
        </w:rPr>
      </w:pPr>
    </w:p>
    <w:p w14:paraId="74BED678" w14:textId="77777777" w:rsidR="00693925" w:rsidRDefault="00693925" w:rsidP="00B94034">
      <w:pPr>
        <w:keepNext/>
        <w:widowControl w:val="0"/>
        <w:ind w:left="567" w:hanging="567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4.5</w:t>
      </w:r>
      <w:r>
        <w:rPr>
          <w:b/>
          <w:sz w:val="22"/>
          <w:lang w:val="es-ES_tradnl"/>
        </w:rPr>
        <w:tab/>
        <w:t>Interacción con otros medicamentos y otras formas de interacción</w:t>
      </w:r>
    </w:p>
    <w:p w14:paraId="5836B6A6" w14:textId="77777777" w:rsidR="00693925" w:rsidRDefault="00693925" w:rsidP="00175756">
      <w:pPr>
        <w:keepNext/>
        <w:widowControl w:val="0"/>
        <w:rPr>
          <w:b/>
          <w:sz w:val="22"/>
          <w:lang w:val="es-ES_tradnl"/>
        </w:rPr>
      </w:pPr>
    </w:p>
    <w:p w14:paraId="4609DE4A" w14:textId="77777777" w:rsidR="00A94FBC" w:rsidRDefault="00A94FBC" w:rsidP="00175756">
      <w:pPr>
        <w:pStyle w:val="Text"/>
        <w:keepNext/>
        <w:spacing w:before="0" w:line="240" w:lineRule="auto"/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En un ensayo en 15 voluntarios sanos a los que se administró digoxina diariamente hasta alcanzar el estado </w:t>
      </w:r>
      <w:r w:rsidR="00C93040">
        <w:rPr>
          <w:rFonts w:ascii="Times New Roman" w:hAnsi="Times New Roman"/>
          <w:lang w:val="es-ES_tradnl"/>
        </w:rPr>
        <w:t>estacionario</w:t>
      </w:r>
      <w:r>
        <w:rPr>
          <w:rFonts w:ascii="Times New Roman" w:hAnsi="Times New Roman"/>
          <w:lang w:val="es-ES_tradnl"/>
        </w:rPr>
        <w:t xml:space="preserve">, una dosis única de </w:t>
      </w:r>
      <w:r w:rsidR="00D02A48">
        <w:rPr>
          <w:rFonts w:ascii="Times New Roman" w:hAnsi="Times New Roman"/>
          <w:lang w:val="es-ES_tradnl"/>
        </w:rPr>
        <w:t>teriparatida</w:t>
      </w:r>
      <w:r>
        <w:rPr>
          <w:rFonts w:ascii="Times New Roman" w:hAnsi="Times New Roman"/>
          <w:lang w:val="es-ES_tradnl"/>
        </w:rPr>
        <w:t xml:space="preserve"> no alteró el efecto </w:t>
      </w:r>
      <w:r w:rsidR="00EC7D47">
        <w:rPr>
          <w:rFonts w:ascii="Times New Roman" w:hAnsi="Times New Roman"/>
          <w:lang w:val="es-ES_tradnl"/>
        </w:rPr>
        <w:t xml:space="preserve">cardíaco </w:t>
      </w:r>
      <w:r>
        <w:rPr>
          <w:rFonts w:ascii="Times New Roman" w:hAnsi="Times New Roman"/>
          <w:lang w:val="es-ES_tradnl"/>
        </w:rPr>
        <w:t xml:space="preserve">de </w:t>
      </w:r>
      <w:r w:rsidR="00E669F3">
        <w:rPr>
          <w:rFonts w:ascii="Times New Roman" w:hAnsi="Times New Roman"/>
          <w:lang w:val="es-ES_tradnl"/>
        </w:rPr>
        <w:t xml:space="preserve">la </w:t>
      </w:r>
      <w:r>
        <w:rPr>
          <w:rFonts w:ascii="Times New Roman" w:hAnsi="Times New Roman"/>
          <w:lang w:val="es-ES_tradnl"/>
        </w:rPr>
        <w:t>digoxina. Sin embargo, notificaciones</w:t>
      </w:r>
      <w:r w:rsidR="00DA3BA6">
        <w:rPr>
          <w:rFonts w:ascii="Times New Roman" w:hAnsi="Times New Roman"/>
          <w:lang w:val="es-ES_tradnl"/>
        </w:rPr>
        <w:t xml:space="preserve"> de casos</w:t>
      </w:r>
      <w:r>
        <w:rPr>
          <w:rFonts w:ascii="Times New Roman" w:hAnsi="Times New Roman"/>
          <w:lang w:val="es-ES_tradnl"/>
        </w:rPr>
        <w:t xml:space="preserve"> esporádicas, han sugerido que la hipercalcemia puede predisponer a los </w:t>
      </w:r>
      <w:r>
        <w:rPr>
          <w:rFonts w:ascii="Times New Roman" w:hAnsi="Times New Roman"/>
          <w:lang w:val="es-ES_tradnl"/>
        </w:rPr>
        <w:lastRenderedPageBreak/>
        <w:t xml:space="preserve">pacientes a una toxicidad digitálica. Debido a que </w:t>
      </w:r>
      <w:r w:rsidR="00D02A48">
        <w:rPr>
          <w:rFonts w:ascii="Times New Roman" w:hAnsi="Times New Roman"/>
          <w:lang w:val="es-ES_tradnl"/>
        </w:rPr>
        <w:t>teriparatida</w:t>
      </w:r>
      <w:r>
        <w:rPr>
          <w:rFonts w:ascii="Times New Roman" w:hAnsi="Times New Roman"/>
          <w:lang w:val="es-ES_tradnl"/>
        </w:rPr>
        <w:t xml:space="preserve"> incrementa de forma transitoria el calcio </w:t>
      </w:r>
      <w:r w:rsidR="00E669F3">
        <w:rPr>
          <w:rFonts w:ascii="Times New Roman" w:hAnsi="Times New Roman"/>
          <w:lang w:val="es-ES_tradnl"/>
        </w:rPr>
        <w:t>sérico</w:t>
      </w:r>
      <w:r>
        <w:rPr>
          <w:rFonts w:ascii="Times New Roman" w:hAnsi="Times New Roman"/>
          <w:lang w:val="es-ES_tradnl"/>
        </w:rPr>
        <w:t xml:space="preserve">, </w:t>
      </w:r>
      <w:r w:rsidR="00D02A48">
        <w:rPr>
          <w:rFonts w:ascii="Times New Roman" w:hAnsi="Times New Roman"/>
          <w:lang w:val="es-ES_tradnl"/>
        </w:rPr>
        <w:t>teriparatida</w:t>
      </w:r>
      <w:r>
        <w:rPr>
          <w:rFonts w:ascii="Times New Roman" w:hAnsi="Times New Roman"/>
          <w:lang w:val="es-ES_tradnl"/>
        </w:rPr>
        <w:t xml:space="preserve"> </w:t>
      </w:r>
      <w:r w:rsidR="00C93040">
        <w:rPr>
          <w:rFonts w:ascii="Times New Roman" w:hAnsi="Times New Roman"/>
          <w:lang w:val="es-ES_tradnl"/>
        </w:rPr>
        <w:t xml:space="preserve">se </w:t>
      </w:r>
      <w:r>
        <w:rPr>
          <w:rFonts w:ascii="Times New Roman" w:hAnsi="Times New Roman"/>
          <w:lang w:val="es-ES_tradnl"/>
        </w:rPr>
        <w:t>debe utilizar con precaución en pacientes que estén tomando digitálicos.</w:t>
      </w:r>
    </w:p>
    <w:p w14:paraId="03A18A83" w14:textId="77777777" w:rsidR="00A94FBC" w:rsidRDefault="00A94FBC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674B7DF5" w14:textId="77777777" w:rsidR="00693925" w:rsidRDefault="00D02A48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Teriparatida </w:t>
      </w:r>
      <w:r w:rsidR="00693925">
        <w:rPr>
          <w:rFonts w:ascii="Times New Roman" w:hAnsi="Times New Roman"/>
          <w:lang w:val="es-ES_tradnl"/>
        </w:rPr>
        <w:t>se ha evaluado en estudios de interacción farmacodinámica con hidroclorotiazida. No se observó ninguna interacción clínicamente significativa.</w:t>
      </w:r>
    </w:p>
    <w:p w14:paraId="562C0CF3" w14:textId="77777777" w:rsidR="00693925" w:rsidRDefault="00693925" w:rsidP="00E84F80">
      <w:pPr>
        <w:rPr>
          <w:sz w:val="22"/>
          <w:lang w:val="es-ES_tradnl"/>
        </w:rPr>
      </w:pPr>
    </w:p>
    <w:p w14:paraId="72F9A429" w14:textId="77777777" w:rsidR="00693925" w:rsidRDefault="00693925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 xml:space="preserve">La coadministración de raloxifeno o terapia hormonal sustitutiva y </w:t>
      </w:r>
      <w:r w:rsidR="00D02A48">
        <w:rPr>
          <w:sz w:val="22"/>
          <w:lang w:val="es-ES_tradnl"/>
        </w:rPr>
        <w:t>teriparatida</w:t>
      </w:r>
      <w:r>
        <w:rPr>
          <w:sz w:val="22"/>
          <w:lang w:val="es-ES_tradnl"/>
        </w:rPr>
        <w:t xml:space="preserve"> no modificó los efectos de </w:t>
      </w:r>
      <w:r w:rsidR="00D02A48">
        <w:rPr>
          <w:sz w:val="22"/>
          <w:lang w:val="es-ES_tradnl"/>
        </w:rPr>
        <w:t>teriparatida</w:t>
      </w:r>
      <w:r>
        <w:rPr>
          <w:sz w:val="22"/>
          <w:lang w:val="es-ES_tradnl"/>
        </w:rPr>
        <w:t xml:space="preserve"> sobre el calcio en suero y orina ni las reacciones adversas clínicas. </w:t>
      </w:r>
    </w:p>
    <w:p w14:paraId="6E1BA996" w14:textId="77777777" w:rsidR="00693925" w:rsidRDefault="00693925" w:rsidP="00E84F80">
      <w:pPr>
        <w:rPr>
          <w:b/>
          <w:sz w:val="22"/>
          <w:lang w:val="es-ES_tradnl"/>
        </w:rPr>
      </w:pPr>
    </w:p>
    <w:p w14:paraId="3645C086" w14:textId="77777777" w:rsidR="00693925" w:rsidRDefault="00693925" w:rsidP="0081691E">
      <w:pPr>
        <w:keepNext/>
        <w:widowControl w:val="0"/>
        <w:ind w:left="567" w:hanging="567"/>
        <w:rPr>
          <w:b/>
          <w:sz w:val="22"/>
          <w:lang w:val="es-ES_tradnl"/>
        </w:rPr>
      </w:pPr>
      <w:r w:rsidRPr="0077348C">
        <w:rPr>
          <w:b/>
          <w:sz w:val="22"/>
          <w:lang w:val="es-ES_tradnl"/>
        </w:rPr>
        <w:t>4.6</w:t>
      </w:r>
      <w:r w:rsidRPr="0077348C">
        <w:rPr>
          <w:b/>
          <w:sz w:val="22"/>
          <w:lang w:val="es-ES_tradnl"/>
        </w:rPr>
        <w:tab/>
      </w:r>
      <w:r w:rsidR="0005605E">
        <w:rPr>
          <w:b/>
          <w:sz w:val="22"/>
          <w:lang w:val="es-ES_tradnl"/>
        </w:rPr>
        <w:t>Fertilidad, e</w:t>
      </w:r>
      <w:r w:rsidRPr="0077348C">
        <w:rPr>
          <w:b/>
          <w:sz w:val="22"/>
          <w:lang w:val="es-ES_tradnl"/>
        </w:rPr>
        <w:t>mbarazo y lactancia</w:t>
      </w:r>
    </w:p>
    <w:p w14:paraId="2CF7B736" w14:textId="77777777" w:rsidR="00693925" w:rsidRDefault="00693925" w:rsidP="00175756">
      <w:pPr>
        <w:keepNext/>
        <w:widowControl w:val="0"/>
        <w:rPr>
          <w:sz w:val="22"/>
          <w:lang w:val="es-ES_tradnl"/>
        </w:rPr>
      </w:pPr>
    </w:p>
    <w:p w14:paraId="363C66FD" w14:textId="77777777" w:rsidR="00621D2F" w:rsidRDefault="00E669F3" w:rsidP="00175756">
      <w:pPr>
        <w:keepNext/>
        <w:rPr>
          <w:sz w:val="22"/>
          <w:u w:val="single"/>
          <w:lang w:val="es-ES_tradnl"/>
        </w:rPr>
      </w:pPr>
      <w:r>
        <w:rPr>
          <w:sz w:val="22"/>
          <w:u w:val="single"/>
          <w:lang w:val="es-ES_tradnl"/>
        </w:rPr>
        <w:t>Mujeres en edad fértil/Anticoncepción en mujeres</w:t>
      </w:r>
    </w:p>
    <w:p w14:paraId="4647BF9E" w14:textId="77777777" w:rsidR="00EC399F" w:rsidRDefault="00EC399F" w:rsidP="00175756">
      <w:pPr>
        <w:keepNext/>
        <w:rPr>
          <w:sz w:val="22"/>
          <w:u w:val="single"/>
          <w:lang w:val="es-ES_tradnl"/>
        </w:rPr>
      </w:pPr>
    </w:p>
    <w:p w14:paraId="498EE3B8" w14:textId="77777777" w:rsidR="00E669F3" w:rsidRDefault="00E669F3" w:rsidP="00175756">
      <w:pPr>
        <w:keepNext/>
        <w:rPr>
          <w:sz w:val="22"/>
          <w:lang w:val="es-ES_tradnl"/>
        </w:rPr>
      </w:pPr>
      <w:r>
        <w:rPr>
          <w:sz w:val="22"/>
          <w:lang w:val="es-ES_tradnl"/>
        </w:rPr>
        <w:t xml:space="preserve">Las mujeres en edad fértil deben utilizar métodos anticonceptivos eficaces durante el </w:t>
      </w:r>
      <w:r w:rsidR="00ED5A1D">
        <w:rPr>
          <w:sz w:val="22"/>
          <w:lang w:val="es-ES_tradnl"/>
        </w:rPr>
        <w:t xml:space="preserve">tratamiento con </w:t>
      </w:r>
      <w:r w:rsidR="00D02A48">
        <w:rPr>
          <w:sz w:val="22"/>
          <w:lang w:val="es-ES_tradnl"/>
        </w:rPr>
        <w:t>teriparatida</w:t>
      </w:r>
      <w:r>
        <w:rPr>
          <w:sz w:val="22"/>
          <w:lang w:val="es-ES_tradnl"/>
        </w:rPr>
        <w:t xml:space="preserve">. Si </w:t>
      </w:r>
      <w:r w:rsidR="00801AF0">
        <w:rPr>
          <w:sz w:val="22"/>
          <w:lang w:val="es-ES_tradnl"/>
        </w:rPr>
        <w:t>el embarazo llegase a producirse</w:t>
      </w:r>
      <w:r>
        <w:rPr>
          <w:sz w:val="22"/>
          <w:lang w:val="es-ES_tradnl"/>
        </w:rPr>
        <w:t xml:space="preserve">, </w:t>
      </w:r>
      <w:r w:rsidR="00ED5A1D">
        <w:rPr>
          <w:sz w:val="22"/>
          <w:lang w:val="es-ES_tradnl"/>
        </w:rPr>
        <w:t xml:space="preserve">se </w:t>
      </w:r>
      <w:r>
        <w:rPr>
          <w:sz w:val="22"/>
          <w:lang w:val="es-ES_tradnl"/>
        </w:rPr>
        <w:t xml:space="preserve">debe interrumpir el tratamiento con </w:t>
      </w:r>
      <w:r w:rsidR="00D02A48">
        <w:rPr>
          <w:sz w:val="22"/>
          <w:lang w:val="es-ES_tradnl"/>
        </w:rPr>
        <w:t>teriparatida</w:t>
      </w:r>
      <w:r>
        <w:rPr>
          <w:sz w:val="22"/>
          <w:lang w:val="es-ES_tradnl"/>
        </w:rPr>
        <w:t xml:space="preserve">. </w:t>
      </w:r>
    </w:p>
    <w:p w14:paraId="09C2E316" w14:textId="77777777" w:rsidR="00E669F3" w:rsidRPr="00E669F3" w:rsidRDefault="00E669F3" w:rsidP="00E84F80">
      <w:pPr>
        <w:rPr>
          <w:sz w:val="22"/>
          <w:lang w:val="es-ES_tradnl"/>
        </w:rPr>
      </w:pPr>
    </w:p>
    <w:p w14:paraId="148E8349" w14:textId="77777777" w:rsidR="00E669F3" w:rsidRDefault="00E669F3" w:rsidP="00175756">
      <w:pPr>
        <w:keepNext/>
        <w:rPr>
          <w:sz w:val="22"/>
          <w:u w:val="single"/>
          <w:lang w:val="es-ES_tradnl"/>
        </w:rPr>
      </w:pPr>
      <w:r>
        <w:rPr>
          <w:sz w:val="22"/>
          <w:u w:val="single"/>
          <w:lang w:val="es-ES_tradnl"/>
        </w:rPr>
        <w:t>Embarazo</w:t>
      </w:r>
    </w:p>
    <w:p w14:paraId="3A4F3527" w14:textId="77777777" w:rsidR="00EC399F" w:rsidRDefault="00EC399F" w:rsidP="00175756">
      <w:pPr>
        <w:keepNext/>
        <w:rPr>
          <w:sz w:val="22"/>
          <w:u w:val="single"/>
          <w:lang w:val="es-ES_tradnl"/>
        </w:rPr>
      </w:pPr>
    </w:p>
    <w:p w14:paraId="0BB6E466" w14:textId="77777777" w:rsidR="00693925" w:rsidRDefault="00621D2F" w:rsidP="00175756">
      <w:pPr>
        <w:keepNext/>
        <w:rPr>
          <w:sz w:val="22"/>
        </w:rPr>
      </w:pPr>
      <w:r w:rsidRPr="00621D2F">
        <w:rPr>
          <w:sz w:val="22"/>
          <w:lang w:val="es-ES_tradnl"/>
        </w:rPr>
        <w:t xml:space="preserve">El uso de </w:t>
      </w:r>
      <w:r w:rsidR="00EA201D">
        <w:rPr>
          <w:sz w:val="22"/>
          <w:lang w:val="es-ES_tradnl"/>
        </w:rPr>
        <w:t>Teriparatida</w:t>
      </w:r>
      <w:r w:rsidR="00D02A48">
        <w:rPr>
          <w:sz w:val="22"/>
          <w:lang w:val="es-ES_tradnl"/>
        </w:rPr>
        <w:t xml:space="preserve"> SUN</w:t>
      </w:r>
      <w:r w:rsidRPr="00621D2F">
        <w:rPr>
          <w:sz w:val="22"/>
          <w:lang w:val="es-ES_tradnl"/>
        </w:rPr>
        <w:t xml:space="preserve"> está contraindicado durante el embarazo</w:t>
      </w:r>
      <w:r w:rsidR="00E669F3">
        <w:rPr>
          <w:sz w:val="22"/>
          <w:lang w:val="es-ES_tradnl"/>
        </w:rPr>
        <w:t xml:space="preserve"> (ver sección 4.3)</w:t>
      </w:r>
      <w:r w:rsidRPr="00621D2F">
        <w:rPr>
          <w:sz w:val="22"/>
          <w:lang w:val="es-ES_tradnl"/>
        </w:rPr>
        <w:t>.</w:t>
      </w:r>
    </w:p>
    <w:p w14:paraId="0264DE9F" w14:textId="77777777" w:rsidR="00693925" w:rsidRDefault="00693925" w:rsidP="00E84F80">
      <w:pPr>
        <w:rPr>
          <w:sz w:val="22"/>
          <w:lang w:val="es-ES_tradnl"/>
        </w:rPr>
      </w:pPr>
    </w:p>
    <w:p w14:paraId="72BD2AC3" w14:textId="77777777" w:rsidR="00E669F3" w:rsidRDefault="00E669F3" w:rsidP="00175756">
      <w:pPr>
        <w:keepNext/>
        <w:rPr>
          <w:sz w:val="22"/>
          <w:u w:val="single"/>
          <w:lang w:val="es-ES_tradnl"/>
        </w:rPr>
      </w:pPr>
      <w:r w:rsidRPr="00E669F3">
        <w:rPr>
          <w:sz w:val="22"/>
          <w:u w:val="single"/>
          <w:lang w:val="es-ES_tradnl"/>
        </w:rPr>
        <w:t>Lactancia</w:t>
      </w:r>
    </w:p>
    <w:p w14:paraId="5E1E731A" w14:textId="77777777" w:rsidR="00EC399F" w:rsidRDefault="00EC399F" w:rsidP="00175756">
      <w:pPr>
        <w:keepNext/>
        <w:rPr>
          <w:sz w:val="22"/>
          <w:u w:val="single"/>
          <w:lang w:val="es-ES_tradnl"/>
        </w:rPr>
      </w:pPr>
    </w:p>
    <w:p w14:paraId="51328B61" w14:textId="77777777" w:rsidR="00E669F3" w:rsidRDefault="00E669F3" w:rsidP="00175756">
      <w:pPr>
        <w:keepNext/>
        <w:rPr>
          <w:sz w:val="22"/>
          <w:lang w:val="es-ES_tradnl"/>
        </w:rPr>
      </w:pPr>
      <w:r>
        <w:rPr>
          <w:sz w:val="22"/>
          <w:lang w:val="es-ES_tradnl"/>
        </w:rPr>
        <w:t xml:space="preserve">El uso de </w:t>
      </w:r>
      <w:r w:rsidR="00EA201D">
        <w:rPr>
          <w:sz w:val="22"/>
          <w:lang w:val="es-ES_tradnl"/>
        </w:rPr>
        <w:t>Teriparatida</w:t>
      </w:r>
      <w:r w:rsidR="00D02A48">
        <w:rPr>
          <w:sz w:val="22"/>
          <w:lang w:val="es-ES_tradnl"/>
        </w:rPr>
        <w:t xml:space="preserve"> SUN</w:t>
      </w:r>
      <w:r>
        <w:rPr>
          <w:sz w:val="22"/>
          <w:lang w:val="es-ES_tradnl"/>
        </w:rPr>
        <w:t xml:space="preserve"> está contraindicado durante la lactancia. </w:t>
      </w:r>
      <w:r w:rsidR="00801AF0">
        <w:rPr>
          <w:sz w:val="22"/>
          <w:lang w:val="es-ES_tradnl"/>
        </w:rPr>
        <w:t>Se desconoce</w:t>
      </w:r>
      <w:r>
        <w:rPr>
          <w:sz w:val="22"/>
          <w:lang w:val="es-ES_tradnl"/>
        </w:rPr>
        <w:t xml:space="preserve"> si teriparatida </w:t>
      </w:r>
      <w:r w:rsidR="00175756">
        <w:rPr>
          <w:sz w:val="22"/>
          <w:lang w:val="es-ES_tradnl"/>
        </w:rPr>
        <w:t>se</w:t>
      </w:r>
      <w:r>
        <w:rPr>
          <w:sz w:val="22"/>
          <w:lang w:val="es-ES_tradnl"/>
        </w:rPr>
        <w:t xml:space="preserve"> excreta en la leche </w:t>
      </w:r>
      <w:r w:rsidR="00801AF0">
        <w:rPr>
          <w:sz w:val="22"/>
          <w:lang w:val="es-ES_tradnl"/>
        </w:rPr>
        <w:t>materna.</w:t>
      </w:r>
    </w:p>
    <w:p w14:paraId="1B19E766" w14:textId="77777777" w:rsidR="00E669F3" w:rsidRPr="00E669F3" w:rsidRDefault="00E669F3" w:rsidP="00E84F80">
      <w:pPr>
        <w:rPr>
          <w:sz w:val="22"/>
          <w:lang w:val="es-ES_tradnl"/>
        </w:rPr>
      </w:pPr>
    </w:p>
    <w:p w14:paraId="4BCF01C1" w14:textId="77777777" w:rsidR="00621D2F" w:rsidRDefault="00801AF0" w:rsidP="00E84F80">
      <w:pPr>
        <w:rPr>
          <w:sz w:val="22"/>
          <w:u w:val="single"/>
        </w:rPr>
      </w:pPr>
      <w:r w:rsidRPr="00801AF0">
        <w:rPr>
          <w:sz w:val="22"/>
          <w:u w:val="single"/>
        </w:rPr>
        <w:t>Fertilidad</w:t>
      </w:r>
    </w:p>
    <w:p w14:paraId="5F8330D0" w14:textId="77777777" w:rsidR="00EC399F" w:rsidRDefault="00EC399F" w:rsidP="00E84F80">
      <w:pPr>
        <w:rPr>
          <w:sz w:val="22"/>
          <w:u w:val="single"/>
        </w:rPr>
      </w:pPr>
    </w:p>
    <w:p w14:paraId="46F48463" w14:textId="77777777" w:rsidR="00801AF0" w:rsidRDefault="007F5C7C" w:rsidP="00E84F80">
      <w:pPr>
        <w:rPr>
          <w:sz w:val="22"/>
        </w:rPr>
      </w:pPr>
      <w:r>
        <w:rPr>
          <w:sz w:val="22"/>
        </w:rPr>
        <w:t xml:space="preserve">Los estudios realizados </w:t>
      </w:r>
      <w:r w:rsidR="00801AF0">
        <w:rPr>
          <w:sz w:val="22"/>
        </w:rPr>
        <w:t xml:space="preserve">en conejos han mostrado toxicidad </w:t>
      </w:r>
      <w:r>
        <w:rPr>
          <w:sz w:val="22"/>
        </w:rPr>
        <w:t xml:space="preserve">para la </w:t>
      </w:r>
      <w:r w:rsidR="00801AF0">
        <w:rPr>
          <w:sz w:val="22"/>
        </w:rPr>
        <w:t>reproduc</w:t>
      </w:r>
      <w:r>
        <w:rPr>
          <w:sz w:val="22"/>
        </w:rPr>
        <w:t>ción</w:t>
      </w:r>
      <w:r w:rsidR="00801AF0">
        <w:rPr>
          <w:sz w:val="22"/>
        </w:rPr>
        <w:t xml:space="preserve"> (ver sección 5.3). No se ha estudiado el efecto de teriparatida sobre el desarrollo fetal humano. Se desconoce el riesgo potencial en humanos.</w:t>
      </w:r>
    </w:p>
    <w:p w14:paraId="2D87A83A" w14:textId="77777777" w:rsidR="00801AF0" w:rsidRPr="00801AF0" w:rsidRDefault="00801AF0" w:rsidP="00E84F80">
      <w:pPr>
        <w:rPr>
          <w:sz w:val="22"/>
        </w:rPr>
      </w:pPr>
    </w:p>
    <w:p w14:paraId="484D7FE1" w14:textId="77777777" w:rsidR="00693925" w:rsidRDefault="00693925" w:rsidP="00EE75F3">
      <w:pPr>
        <w:keepNext/>
        <w:widowControl w:val="0"/>
        <w:ind w:left="567" w:hanging="567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4.7</w:t>
      </w:r>
      <w:r>
        <w:rPr>
          <w:b/>
          <w:sz w:val="22"/>
          <w:lang w:val="es-ES_tradnl"/>
        </w:rPr>
        <w:tab/>
        <w:t>Efectos sobre la capacidad para conducir y utilizar máquinas</w:t>
      </w:r>
    </w:p>
    <w:p w14:paraId="602FA72A" w14:textId="77777777" w:rsidR="00693925" w:rsidRDefault="00693925" w:rsidP="002E6637">
      <w:pPr>
        <w:keepNext/>
        <w:widowControl w:val="0"/>
        <w:rPr>
          <w:sz w:val="22"/>
          <w:lang w:val="es-ES_tradnl"/>
        </w:rPr>
      </w:pPr>
    </w:p>
    <w:p w14:paraId="1F2CDA97" w14:textId="77777777" w:rsidR="00693925" w:rsidRDefault="00801AF0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 xml:space="preserve">La influencia de </w:t>
      </w:r>
      <w:r w:rsidR="00EA201D">
        <w:rPr>
          <w:sz w:val="22"/>
          <w:lang w:val="es-ES_tradnl"/>
        </w:rPr>
        <w:t>Teriparatida</w:t>
      </w:r>
      <w:r w:rsidR="00CA66E4">
        <w:rPr>
          <w:sz w:val="22"/>
          <w:lang w:val="es-ES_tradnl"/>
        </w:rPr>
        <w:t xml:space="preserve"> SUN</w:t>
      </w:r>
      <w:r>
        <w:rPr>
          <w:sz w:val="22"/>
          <w:lang w:val="es-ES_tradnl"/>
        </w:rPr>
        <w:t xml:space="preserve"> </w:t>
      </w:r>
      <w:r w:rsidRPr="00801AF0">
        <w:rPr>
          <w:sz w:val="22"/>
          <w:lang w:val="es-ES_tradnl"/>
        </w:rPr>
        <w:t xml:space="preserve">sobre la capacidad para conducir y utilizar máquinas es </w:t>
      </w:r>
      <w:r>
        <w:rPr>
          <w:sz w:val="22"/>
          <w:lang w:val="es-ES_tradnl"/>
        </w:rPr>
        <w:t>nula o insignificante. E</w:t>
      </w:r>
      <w:r w:rsidR="00693925">
        <w:rPr>
          <w:sz w:val="22"/>
          <w:lang w:val="es-ES_tradnl"/>
        </w:rPr>
        <w:t>n algunos pacientes se observó hipotensión ortostática o mareo transitorios. Estos pacientes deben evitar conducir o utilizar máquinas hasta que los síntomas hayan remitido.</w:t>
      </w:r>
    </w:p>
    <w:p w14:paraId="16CA8EA7" w14:textId="77777777" w:rsidR="00693925" w:rsidRDefault="00693925" w:rsidP="00E84F80">
      <w:pPr>
        <w:rPr>
          <w:sz w:val="22"/>
          <w:lang w:val="es-ES_tradnl"/>
        </w:rPr>
      </w:pPr>
    </w:p>
    <w:p w14:paraId="73CF4E31" w14:textId="77777777" w:rsidR="00693925" w:rsidRDefault="00693925" w:rsidP="00C61247">
      <w:pPr>
        <w:keepNext/>
        <w:widowControl w:val="0"/>
        <w:ind w:left="567" w:hanging="567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4.8</w:t>
      </w:r>
      <w:r>
        <w:rPr>
          <w:b/>
          <w:sz w:val="22"/>
          <w:lang w:val="es-ES_tradnl"/>
        </w:rPr>
        <w:tab/>
        <w:t xml:space="preserve">Reacciones adversas </w:t>
      </w:r>
    </w:p>
    <w:p w14:paraId="72F7B079" w14:textId="77777777" w:rsidR="00693925" w:rsidRDefault="00693925" w:rsidP="002E6637">
      <w:pPr>
        <w:keepNext/>
        <w:widowControl w:val="0"/>
        <w:rPr>
          <w:b/>
          <w:sz w:val="22"/>
          <w:lang w:val="es-ES_tradnl"/>
        </w:rPr>
      </w:pPr>
    </w:p>
    <w:p w14:paraId="233A09C5" w14:textId="77777777" w:rsidR="00801AF0" w:rsidRDefault="00801AF0" w:rsidP="002E6637">
      <w:pPr>
        <w:keepNext/>
        <w:widowControl w:val="0"/>
        <w:rPr>
          <w:sz w:val="22"/>
          <w:u w:val="single"/>
          <w:lang w:val="es-ES_tradnl"/>
        </w:rPr>
      </w:pPr>
      <w:r w:rsidRPr="00801AF0">
        <w:rPr>
          <w:sz w:val="22"/>
          <w:u w:val="single"/>
          <w:lang w:val="es-ES_tradnl"/>
        </w:rPr>
        <w:t>Resumen del perfil de seguridad</w:t>
      </w:r>
    </w:p>
    <w:p w14:paraId="04958F21" w14:textId="77777777" w:rsidR="00EC399F" w:rsidRPr="00801AF0" w:rsidRDefault="00EC399F" w:rsidP="002E6637">
      <w:pPr>
        <w:keepNext/>
        <w:widowControl w:val="0"/>
        <w:rPr>
          <w:sz w:val="22"/>
          <w:u w:val="single"/>
          <w:lang w:val="es-ES_tradnl"/>
        </w:rPr>
      </w:pPr>
    </w:p>
    <w:p w14:paraId="78A0A02E" w14:textId="77777777" w:rsidR="001A75E1" w:rsidRDefault="00693925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 xml:space="preserve">Las reacciones adversas que se </w:t>
      </w:r>
      <w:r w:rsidR="0045475E">
        <w:rPr>
          <w:sz w:val="22"/>
          <w:lang w:val="es-ES_tradnl"/>
        </w:rPr>
        <w:t xml:space="preserve">notificaron </w:t>
      </w:r>
      <w:r>
        <w:rPr>
          <w:sz w:val="22"/>
          <w:lang w:val="es-ES_tradnl"/>
        </w:rPr>
        <w:t xml:space="preserve">más frecuentemente en pacientes tratados con </w:t>
      </w:r>
      <w:r w:rsidR="00CA66E4">
        <w:rPr>
          <w:sz w:val="22"/>
          <w:lang w:val="es-ES_tradnl"/>
        </w:rPr>
        <w:t>teriparatida</w:t>
      </w:r>
      <w:r>
        <w:rPr>
          <w:sz w:val="22"/>
          <w:lang w:val="es-ES_tradnl"/>
        </w:rPr>
        <w:t xml:space="preserve"> fueron náusea</w:t>
      </w:r>
      <w:r w:rsidR="002C4E38">
        <w:rPr>
          <w:sz w:val="22"/>
          <w:lang w:val="es-ES_tradnl"/>
        </w:rPr>
        <w:t>s</w:t>
      </w:r>
      <w:r>
        <w:rPr>
          <w:sz w:val="22"/>
          <w:lang w:val="es-ES_tradnl"/>
        </w:rPr>
        <w:t xml:space="preserve">, dolor en </w:t>
      </w:r>
      <w:r w:rsidR="007B1371">
        <w:rPr>
          <w:sz w:val="22"/>
          <w:lang w:val="es-ES_tradnl"/>
        </w:rPr>
        <w:t>las extremidades</w:t>
      </w:r>
      <w:r>
        <w:rPr>
          <w:sz w:val="22"/>
          <w:lang w:val="es-ES_tradnl"/>
        </w:rPr>
        <w:t>, cefalea y mareo.</w:t>
      </w:r>
    </w:p>
    <w:p w14:paraId="452DF195" w14:textId="77777777" w:rsidR="001A75E1" w:rsidRDefault="001A75E1" w:rsidP="00E84F80">
      <w:pPr>
        <w:rPr>
          <w:sz w:val="22"/>
          <w:lang w:val="es-ES_tradnl"/>
        </w:rPr>
      </w:pPr>
    </w:p>
    <w:p w14:paraId="0E99B820" w14:textId="77777777" w:rsidR="00801AF0" w:rsidRDefault="00C93040" w:rsidP="00E84F80">
      <w:pPr>
        <w:rPr>
          <w:sz w:val="22"/>
          <w:u w:val="single"/>
          <w:lang w:val="es-ES_tradnl"/>
        </w:rPr>
      </w:pPr>
      <w:r>
        <w:rPr>
          <w:sz w:val="22"/>
          <w:u w:val="single"/>
          <w:lang w:val="es-ES_tradnl"/>
        </w:rPr>
        <w:t>Tabla</w:t>
      </w:r>
      <w:r w:rsidR="00801AF0" w:rsidRPr="00801AF0">
        <w:rPr>
          <w:sz w:val="22"/>
          <w:u w:val="single"/>
          <w:lang w:val="es-ES_tradnl"/>
        </w:rPr>
        <w:t xml:space="preserve"> de reacciones adversas</w:t>
      </w:r>
    </w:p>
    <w:p w14:paraId="3A3952AE" w14:textId="77777777" w:rsidR="00EC399F" w:rsidRDefault="00EC399F" w:rsidP="00E84F80">
      <w:pPr>
        <w:rPr>
          <w:sz w:val="22"/>
          <w:u w:val="single"/>
          <w:lang w:val="es-ES_tradnl"/>
        </w:rPr>
      </w:pPr>
    </w:p>
    <w:p w14:paraId="4425B9BF" w14:textId="77777777" w:rsidR="00801AF0" w:rsidRDefault="00EC7D47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>Entre</w:t>
      </w:r>
      <w:r w:rsidR="00801AF0">
        <w:rPr>
          <w:sz w:val="22"/>
          <w:lang w:val="es-ES_tradnl"/>
        </w:rPr>
        <w:t xml:space="preserve"> los pacientes </w:t>
      </w:r>
      <w:r w:rsidR="00ED5A1D">
        <w:rPr>
          <w:sz w:val="22"/>
          <w:lang w:val="es-ES_tradnl"/>
        </w:rPr>
        <w:t xml:space="preserve">incluidos </w:t>
      </w:r>
      <w:r w:rsidR="00801AF0">
        <w:rPr>
          <w:sz w:val="22"/>
          <w:lang w:val="es-ES_tradnl"/>
        </w:rPr>
        <w:t xml:space="preserve">en los ensayos con teriparatida, </w:t>
      </w:r>
      <w:r w:rsidR="00D24466">
        <w:rPr>
          <w:sz w:val="22"/>
          <w:lang w:val="es-ES_tradnl"/>
        </w:rPr>
        <w:t xml:space="preserve">el </w:t>
      </w:r>
      <w:r w:rsidR="00801AF0">
        <w:rPr>
          <w:sz w:val="22"/>
          <w:lang w:val="es-ES_tradnl"/>
        </w:rPr>
        <w:t xml:space="preserve">82,8% de los pacientes tratados con </w:t>
      </w:r>
      <w:r w:rsidR="00CA66E4">
        <w:rPr>
          <w:sz w:val="22"/>
          <w:lang w:val="es-ES_tradnl"/>
        </w:rPr>
        <w:t>teriparatida</w:t>
      </w:r>
      <w:r w:rsidR="00801AF0">
        <w:rPr>
          <w:sz w:val="22"/>
          <w:lang w:val="es-ES_tradnl"/>
        </w:rPr>
        <w:t xml:space="preserve"> y </w:t>
      </w:r>
      <w:r w:rsidR="00D24466">
        <w:rPr>
          <w:sz w:val="22"/>
          <w:lang w:val="es-ES_tradnl"/>
        </w:rPr>
        <w:t xml:space="preserve">el </w:t>
      </w:r>
      <w:r w:rsidR="00801AF0">
        <w:rPr>
          <w:sz w:val="22"/>
          <w:lang w:val="es-ES_tradnl"/>
        </w:rPr>
        <w:t xml:space="preserve">84,5% de los pacientes que recibieron placebo, </w:t>
      </w:r>
      <w:r w:rsidR="00D24466">
        <w:rPr>
          <w:sz w:val="22"/>
          <w:lang w:val="es-ES_tradnl"/>
        </w:rPr>
        <w:t xml:space="preserve">notificaron al menos 1 </w:t>
      </w:r>
      <w:r w:rsidR="00D24466" w:rsidRPr="007B18CA">
        <w:rPr>
          <w:sz w:val="22"/>
          <w:lang w:val="es-ES_tradnl"/>
        </w:rPr>
        <w:t>acontecimiento adverso.</w:t>
      </w:r>
    </w:p>
    <w:p w14:paraId="7653BABC" w14:textId="77777777" w:rsidR="00D24466" w:rsidRPr="00801AF0" w:rsidRDefault="00D24466" w:rsidP="00E84F80">
      <w:pPr>
        <w:rPr>
          <w:sz w:val="22"/>
          <w:lang w:val="es-ES_tradnl"/>
        </w:rPr>
      </w:pPr>
    </w:p>
    <w:p w14:paraId="052FC326" w14:textId="77777777" w:rsidR="001A75E1" w:rsidRPr="00167EE0" w:rsidRDefault="001A75E1" w:rsidP="002E6637">
      <w:pPr>
        <w:pStyle w:val="BodyTextIndent2"/>
        <w:spacing w:after="0"/>
        <w:ind w:left="0" w:firstLine="0"/>
        <w:rPr>
          <w:sz w:val="22"/>
          <w:szCs w:val="22"/>
          <w:lang w:val="es-ES"/>
        </w:rPr>
      </w:pPr>
      <w:r>
        <w:rPr>
          <w:sz w:val="22"/>
          <w:lang w:val="es-ES_tradnl"/>
        </w:rPr>
        <w:t>La siguiente tabla resume las reacciones adversas asociadas al uso de teriparatida observadas en los ensayos clínicos de osteoporosis</w:t>
      </w:r>
      <w:r w:rsidR="006B34BB">
        <w:rPr>
          <w:sz w:val="22"/>
          <w:lang w:val="es-ES_tradnl"/>
        </w:rPr>
        <w:t xml:space="preserve"> y </w:t>
      </w:r>
      <w:r w:rsidR="003E7CB7">
        <w:rPr>
          <w:sz w:val="22"/>
          <w:lang w:val="es-ES_tradnl"/>
        </w:rPr>
        <w:t>después de la comercialización</w:t>
      </w:r>
      <w:r>
        <w:rPr>
          <w:sz w:val="22"/>
          <w:lang w:val="es-ES_tradnl"/>
        </w:rPr>
        <w:t xml:space="preserve">. La clasificación de las reacciones adversas se ha llevado a cabo de acuerdo al siguiente convenio: </w:t>
      </w:r>
      <w:r w:rsidRPr="00167EE0">
        <w:rPr>
          <w:sz w:val="22"/>
          <w:szCs w:val="22"/>
          <w:lang w:val="es-ES"/>
        </w:rPr>
        <w:t>Muy frecuentes (</w:t>
      </w:r>
      <w:r w:rsidRPr="00167EE0">
        <w:rPr>
          <w:sz w:val="22"/>
          <w:szCs w:val="22"/>
          <w:lang w:val="es-ES"/>
        </w:rPr>
        <w:sym w:font="Symbol" w:char="F0B3"/>
      </w:r>
      <w:r w:rsidRPr="00167EE0">
        <w:rPr>
          <w:sz w:val="22"/>
          <w:szCs w:val="22"/>
          <w:lang w:val="es-ES"/>
        </w:rPr>
        <w:t>1</w:t>
      </w:r>
      <w:r>
        <w:rPr>
          <w:sz w:val="22"/>
          <w:szCs w:val="22"/>
          <w:lang w:val="es-ES"/>
        </w:rPr>
        <w:t>/10</w:t>
      </w:r>
      <w:r w:rsidRPr="00167EE0">
        <w:rPr>
          <w:sz w:val="22"/>
          <w:szCs w:val="22"/>
          <w:lang w:val="es-ES"/>
        </w:rPr>
        <w:t xml:space="preserve">), frecuentes </w:t>
      </w:r>
      <w:r w:rsidRPr="00167EE0">
        <w:rPr>
          <w:sz w:val="22"/>
          <w:szCs w:val="22"/>
          <w:lang w:val="es-ES"/>
        </w:rPr>
        <w:lastRenderedPageBreak/>
        <w:t>(</w:t>
      </w:r>
      <w:r w:rsidRPr="00167EE0">
        <w:rPr>
          <w:sz w:val="22"/>
          <w:szCs w:val="22"/>
          <w:lang w:val="es-ES"/>
        </w:rPr>
        <w:sym w:font="Symbol" w:char="F0B3"/>
      </w:r>
      <w:r w:rsidRPr="00167EE0">
        <w:rPr>
          <w:sz w:val="22"/>
          <w:szCs w:val="22"/>
          <w:lang w:val="es-ES"/>
        </w:rPr>
        <w:t>1</w:t>
      </w:r>
      <w:r>
        <w:rPr>
          <w:sz w:val="22"/>
          <w:szCs w:val="22"/>
          <w:lang w:val="es-ES"/>
        </w:rPr>
        <w:t>/100</w:t>
      </w:r>
      <w:r w:rsidR="0063712C">
        <w:rPr>
          <w:sz w:val="22"/>
          <w:szCs w:val="22"/>
          <w:lang w:val="es-ES"/>
        </w:rPr>
        <w:t xml:space="preserve"> a</w:t>
      </w:r>
      <w:r w:rsidRPr="00167EE0">
        <w:rPr>
          <w:sz w:val="22"/>
          <w:szCs w:val="22"/>
          <w:lang w:val="es-ES"/>
        </w:rPr>
        <w:t xml:space="preserve"> </w:t>
      </w:r>
      <w:r w:rsidRPr="00167EE0">
        <w:rPr>
          <w:sz w:val="22"/>
          <w:szCs w:val="22"/>
          <w:lang w:val="es-ES"/>
        </w:rPr>
        <w:sym w:font="Symbol" w:char="F03C"/>
      </w:r>
      <w:r w:rsidRPr="00167EE0">
        <w:rPr>
          <w:sz w:val="22"/>
          <w:szCs w:val="22"/>
          <w:lang w:val="es-ES"/>
        </w:rPr>
        <w:t>1</w:t>
      </w:r>
      <w:r>
        <w:rPr>
          <w:sz w:val="22"/>
          <w:szCs w:val="22"/>
          <w:lang w:val="es-ES"/>
        </w:rPr>
        <w:t>/10</w:t>
      </w:r>
      <w:r w:rsidRPr="00167EE0">
        <w:rPr>
          <w:sz w:val="22"/>
          <w:szCs w:val="22"/>
          <w:lang w:val="es-ES"/>
        </w:rPr>
        <w:t>), poco frecuentes (</w:t>
      </w:r>
      <w:r w:rsidRPr="00167EE0">
        <w:rPr>
          <w:sz w:val="22"/>
          <w:szCs w:val="22"/>
          <w:lang w:val="es-ES"/>
        </w:rPr>
        <w:sym w:font="Symbol" w:char="F0B3"/>
      </w:r>
      <w:r>
        <w:rPr>
          <w:sz w:val="22"/>
          <w:szCs w:val="22"/>
          <w:lang w:val="es-ES"/>
        </w:rPr>
        <w:t>1/1</w:t>
      </w:r>
      <w:r w:rsidR="00EA201D">
        <w:rPr>
          <w:sz w:val="22"/>
          <w:szCs w:val="22"/>
          <w:lang w:val="es-ES"/>
        </w:rPr>
        <w:t> </w:t>
      </w:r>
      <w:r>
        <w:rPr>
          <w:sz w:val="22"/>
          <w:szCs w:val="22"/>
          <w:lang w:val="es-ES"/>
        </w:rPr>
        <w:t>000</w:t>
      </w:r>
      <w:r w:rsidR="0063712C">
        <w:rPr>
          <w:sz w:val="22"/>
          <w:szCs w:val="22"/>
          <w:lang w:val="es-ES"/>
        </w:rPr>
        <w:t xml:space="preserve"> a</w:t>
      </w:r>
      <w:r w:rsidRPr="00167EE0">
        <w:rPr>
          <w:sz w:val="22"/>
          <w:szCs w:val="22"/>
          <w:lang w:val="es-ES"/>
        </w:rPr>
        <w:sym w:font="Symbol" w:char="F03C"/>
      </w:r>
      <w:r w:rsidRPr="00167EE0">
        <w:rPr>
          <w:sz w:val="22"/>
          <w:szCs w:val="22"/>
          <w:lang w:val="es-ES"/>
        </w:rPr>
        <w:t>1</w:t>
      </w:r>
      <w:r>
        <w:rPr>
          <w:sz w:val="22"/>
          <w:szCs w:val="22"/>
          <w:lang w:val="es-ES"/>
        </w:rPr>
        <w:t>/100</w:t>
      </w:r>
      <w:r w:rsidRPr="00167EE0">
        <w:rPr>
          <w:sz w:val="22"/>
          <w:szCs w:val="22"/>
          <w:lang w:val="es-ES"/>
        </w:rPr>
        <w:t>), raras (</w:t>
      </w:r>
      <w:r w:rsidRPr="00167EE0">
        <w:rPr>
          <w:sz w:val="22"/>
          <w:szCs w:val="22"/>
          <w:lang w:val="es-ES"/>
        </w:rPr>
        <w:sym w:font="Symbol" w:char="F0B3"/>
      </w:r>
      <w:r>
        <w:rPr>
          <w:sz w:val="22"/>
          <w:szCs w:val="22"/>
          <w:lang w:val="es-ES"/>
        </w:rPr>
        <w:t>1/10</w:t>
      </w:r>
      <w:r w:rsidR="00EA201D">
        <w:rPr>
          <w:sz w:val="22"/>
          <w:szCs w:val="22"/>
          <w:lang w:val="es-ES"/>
        </w:rPr>
        <w:t> </w:t>
      </w:r>
      <w:r>
        <w:rPr>
          <w:sz w:val="22"/>
          <w:szCs w:val="22"/>
          <w:lang w:val="es-ES"/>
        </w:rPr>
        <w:t>000</w:t>
      </w:r>
      <w:r w:rsidR="0063712C">
        <w:rPr>
          <w:sz w:val="22"/>
          <w:szCs w:val="22"/>
          <w:lang w:val="es-ES"/>
        </w:rPr>
        <w:t xml:space="preserve"> a</w:t>
      </w:r>
      <w:r w:rsidRPr="00167EE0">
        <w:rPr>
          <w:sz w:val="22"/>
          <w:szCs w:val="22"/>
          <w:lang w:val="es-ES"/>
        </w:rPr>
        <w:t xml:space="preserve"> </w:t>
      </w:r>
      <w:r w:rsidRPr="00167EE0">
        <w:rPr>
          <w:sz w:val="22"/>
          <w:szCs w:val="22"/>
          <w:lang w:val="es-ES"/>
        </w:rPr>
        <w:sym w:font="Symbol" w:char="F03C"/>
      </w:r>
      <w:r>
        <w:rPr>
          <w:sz w:val="22"/>
          <w:szCs w:val="22"/>
          <w:lang w:val="es-ES"/>
        </w:rPr>
        <w:t>1/1</w:t>
      </w:r>
      <w:r w:rsidR="00EA201D">
        <w:rPr>
          <w:sz w:val="22"/>
          <w:szCs w:val="22"/>
          <w:lang w:val="es-ES"/>
        </w:rPr>
        <w:t> </w:t>
      </w:r>
      <w:r>
        <w:rPr>
          <w:sz w:val="22"/>
          <w:szCs w:val="22"/>
          <w:lang w:val="es-ES"/>
        </w:rPr>
        <w:t>000</w:t>
      </w:r>
      <w:r w:rsidRPr="00167EE0">
        <w:rPr>
          <w:sz w:val="22"/>
          <w:szCs w:val="22"/>
          <w:lang w:val="es-ES"/>
        </w:rPr>
        <w:t>), muy raras (</w:t>
      </w:r>
      <w:r w:rsidRPr="00167EE0">
        <w:rPr>
          <w:sz w:val="22"/>
          <w:szCs w:val="22"/>
          <w:lang w:val="es-ES"/>
        </w:rPr>
        <w:sym w:font="Symbol" w:char="F03C"/>
      </w:r>
      <w:r>
        <w:rPr>
          <w:sz w:val="22"/>
          <w:szCs w:val="22"/>
          <w:lang w:val="es-ES"/>
        </w:rPr>
        <w:t>1/10</w:t>
      </w:r>
      <w:r w:rsidR="00EA201D">
        <w:rPr>
          <w:sz w:val="22"/>
          <w:szCs w:val="22"/>
          <w:lang w:val="es-ES"/>
        </w:rPr>
        <w:t> </w:t>
      </w:r>
      <w:r>
        <w:rPr>
          <w:sz w:val="22"/>
          <w:szCs w:val="22"/>
          <w:lang w:val="es-ES"/>
        </w:rPr>
        <w:t>000</w:t>
      </w:r>
      <w:r w:rsidRPr="00167EE0">
        <w:rPr>
          <w:sz w:val="22"/>
          <w:szCs w:val="22"/>
          <w:lang w:val="es-ES"/>
        </w:rPr>
        <w:t>)</w:t>
      </w:r>
      <w:r w:rsidR="00D24466">
        <w:rPr>
          <w:sz w:val="22"/>
          <w:szCs w:val="22"/>
          <w:lang w:val="es-ES"/>
        </w:rPr>
        <w:t>.</w:t>
      </w:r>
    </w:p>
    <w:p w14:paraId="145E3E3B" w14:textId="77777777" w:rsidR="00693925" w:rsidRDefault="00693925" w:rsidP="002E6637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7B31CA8F" w14:textId="77777777" w:rsidR="002F60B4" w:rsidRDefault="002F60B4" w:rsidP="002E6637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4034CE5B" w14:textId="77777777" w:rsidR="002F60B4" w:rsidRDefault="002F60B4" w:rsidP="002E6637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44DD3D05" w14:textId="77777777" w:rsidR="00CA66E4" w:rsidRDefault="00CA66E4" w:rsidP="00CA66E4">
      <w:pPr>
        <w:pStyle w:val="Text"/>
        <w:rPr>
          <w:rFonts w:ascii="Times New Roman" w:hAnsi="Times New Roman"/>
          <w:b/>
          <w:szCs w:val="22"/>
          <w:lang w:val="es-ES"/>
        </w:rPr>
      </w:pPr>
      <w:r w:rsidRPr="002F60B4">
        <w:rPr>
          <w:rFonts w:ascii="Times New Roman" w:hAnsi="Times New Roman"/>
          <w:b/>
          <w:szCs w:val="22"/>
          <w:lang w:val="es-ES"/>
        </w:rPr>
        <w:t>Table 1. Reacciones adversas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CA66E4" w:rsidRPr="00D05C05" w14:paraId="31EA23CF" w14:textId="77777777" w:rsidTr="009838D3">
        <w:tc>
          <w:tcPr>
            <w:tcW w:w="309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79"/>
            </w:tblGrid>
            <w:tr w:rsidR="00CA66E4" w:rsidRPr="002F60B4" w14:paraId="5D17A962" w14:textId="77777777">
              <w:trPr>
                <w:trHeight w:val="226"/>
              </w:trPr>
              <w:tc>
                <w:tcPr>
                  <w:tcW w:w="0" w:type="auto"/>
                </w:tcPr>
                <w:p w14:paraId="767AB8FD" w14:textId="77777777" w:rsidR="00CA66E4" w:rsidRPr="002F60B4" w:rsidRDefault="00CA66E4" w:rsidP="00CA66E4">
                  <w:pPr>
                    <w:pStyle w:val="Text"/>
                    <w:rPr>
                      <w:rFonts w:ascii="Times New Roman" w:hAnsi="Times New Roman"/>
                      <w:b/>
                      <w:szCs w:val="22"/>
                      <w:lang w:val="es-ES"/>
                    </w:rPr>
                  </w:pPr>
                  <w:r w:rsidRPr="002F60B4">
                    <w:rPr>
                      <w:rFonts w:ascii="Times New Roman" w:hAnsi="Times New Roman"/>
                      <w:b/>
                      <w:szCs w:val="22"/>
                      <w:lang w:val="es-ES"/>
                    </w:rPr>
                    <w:t xml:space="preserve">Clasificación por Órganos y Sistemas </w:t>
                  </w:r>
                  <w:r w:rsidR="00B745B0">
                    <w:rPr>
                      <w:rFonts w:ascii="Times New Roman" w:hAnsi="Times New Roman"/>
                      <w:b/>
                      <w:szCs w:val="22"/>
                      <w:lang w:val="es-ES"/>
                    </w:rPr>
                    <w:t xml:space="preserve">de </w:t>
                  </w:r>
                  <w:r w:rsidRPr="002F60B4">
                    <w:rPr>
                      <w:rFonts w:ascii="Times New Roman" w:hAnsi="Times New Roman"/>
                      <w:b/>
                      <w:szCs w:val="22"/>
                      <w:lang w:val="es-ES"/>
                    </w:rPr>
                    <w:t xml:space="preserve">MedDRA (SOC) </w:t>
                  </w:r>
                </w:p>
              </w:tc>
            </w:tr>
          </w:tbl>
          <w:p w14:paraId="6FCA0EF5" w14:textId="77777777" w:rsidR="00CA66E4" w:rsidRPr="002F60B4" w:rsidRDefault="00CA66E4" w:rsidP="00CA66E4">
            <w:pPr>
              <w:pStyle w:val="Text"/>
              <w:rPr>
                <w:rFonts w:ascii="Times New Roman" w:hAnsi="Times New Roman"/>
                <w:b/>
                <w:szCs w:val="22"/>
                <w:lang w:val="es-ES"/>
              </w:rPr>
            </w:pPr>
          </w:p>
        </w:tc>
        <w:tc>
          <w:tcPr>
            <w:tcW w:w="3095" w:type="dxa"/>
            <w:shd w:val="clear" w:color="auto" w:fill="auto"/>
          </w:tcPr>
          <w:p w14:paraId="35ACBE99" w14:textId="77777777" w:rsidR="00CA66E4" w:rsidRPr="002F60B4" w:rsidRDefault="00CA66E4" w:rsidP="00CA66E4">
            <w:pPr>
              <w:pStyle w:val="Text"/>
              <w:rPr>
                <w:rFonts w:ascii="Times New Roman" w:hAnsi="Times New Roman"/>
                <w:b/>
                <w:szCs w:val="22"/>
                <w:lang w:val="es-ES"/>
              </w:rPr>
            </w:pPr>
            <w:r w:rsidRPr="002F60B4">
              <w:rPr>
                <w:rFonts w:ascii="Times New Roman" w:hAnsi="Times New Roman"/>
                <w:b/>
                <w:szCs w:val="22"/>
                <w:lang w:val="es-ES"/>
              </w:rPr>
              <w:t>Reacción adversa</w:t>
            </w:r>
          </w:p>
        </w:tc>
        <w:tc>
          <w:tcPr>
            <w:tcW w:w="3096" w:type="dxa"/>
            <w:shd w:val="clear" w:color="auto" w:fill="auto"/>
          </w:tcPr>
          <w:p w14:paraId="3F18B525" w14:textId="77777777" w:rsidR="00CA66E4" w:rsidRPr="002F60B4" w:rsidRDefault="00CA66E4" w:rsidP="00CA66E4">
            <w:pPr>
              <w:pStyle w:val="Text"/>
              <w:rPr>
                <w:rFonts w:ascii="Times New Roman" w:hAnsi="Times New Roman"/>
                <w:b/>
                <w:szCs w:val="22"/>
                <w:lang w:val="es-ES"/>
              </w:rPr>
            </w:pPr>
            <w:r w:rsidRPr="002F60B4">
              <w:rPr>
                <w:rFonts w:ascii="Times New Roman" w:hAnsi="Times New Roman"/>
                <w:b/>
                <w:szCs w:val="22"/>
                <w:lang w:val="es-ES"/>
              </w:rPr>
              <w:t>Frecuencia</w:t>
            </w:r>
          </w:p>
        </w:tc>
      </w:tr>
      <w:tr w:rsidR="00CA66E4" w:rsidRPr="00D05C05" w14:paraId="6828C44D" w14:textId="77777777" w:rsidTr="009838D3">
        <w:tc>
          <w:tcPr>
            <w:tcW w:w="3095" w:type="dxa"/>
            <w:shd w:val="clear" w:color="auto" w:fill="auto"/>
          </w:tcPr>
          <w:p w14:paraId="7E6C8E18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Trastornos de la sangre y del sistema linfático</w:t>
            </w:r>
          </w:p>
        </w:tc>
        <w:tc>
          <w:tcPr>
            <w:tcW w:w="3095" w:type="dxa"/>
            <w:shd w:val="clear" w:color="auto" w:fill="auto"/>
          </w:tcPr>
          <w:p w14:paraId="25941D04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Anemia</w:t>
            </w:r>
          </w:p>
        </w:tc>
        <w:tc>
          <w:tcPr>
            <w:tcW w:w="3096" w:type="dxa"/>
            <w:shd w:val="clear" w:color="auto" w:fill="auto"/>
          </w:tcPr>
          <w:p w14:paraId="3E29E451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Frecuentes</w:t>
            </w:r>
          </w:p>
        </w:tc>
      </w:tr>
      <w:tr w:rsidR="00CA66E4" w:rsidRPr="00D05C05" w14:paraId="45A7F861" w14:textId="77777777" w:rsidTr="009838D3">
        <w:tc>
          <w:tcPr>
            <w:tcW w:w="3095" w:type="dxa"/>
            <w:shd w:val="clear" w:color="auto" w:fill="auto"/>
          </w:tcPr>
          <w:p w14:paraId="7EFFA5BF" w14:textId="77777777" w:rsidR="00CA66E4" w:rsidRPr="00D05C05" w:rsidRDefault="00CA66E4" w:rsidP="00D05C05">
            <w:pPr>
              <w:pStyle w:val="Text"/>
              <w:spacing w:line="240" w:lineRule="auto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Trastornos del sistema inmunológico</w:t>
            </w:r>
          </w:p>
        </w:tc>
        <w:tc>
          <w:tcPr>
            <w:tcW w:w="3095" w:type="dxa"/>
            <w:shd w:val="clear" w:color="auto" w:fill="auto"/>
          </w:tcPr>
          <w:p w14:paraId="3086802E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Anafilaxia</w:t>
            </w:r>
          </w:p>
        </w:tc>
        <w:tc>
          <w:tcPr>
            <w:tcW w:w="3096" w:type="dxa"/>
            <w:shd w:val="clear" w:color="auto" w:fill="auto"/>
          </w:tcPr>
          <w:p w14:paraId="32F03EDA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Raras</w:t>
            </w:r>
          </w:p>
        </w:tc>
      </w:tr>
      <w:tr w:rsidR="00CA66E4" w:rsidRPr="00D05C05" w14:paraId="6624752A" w14:textId="77777777" w:rsidTr="009838D3">
        <w:tc>
          <w:tcPr>
            <w:tcW w:w="3095" w:type="dxa"/>
            <w:vMerge w:val="restart"/>
            <w:shd w:val="clear" w:color="auto" w:fill="auto"/>
          </w:tcPr>
          <w:p w14:paraId="57F06A24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Trastornos del metabolismo y de la nutrición</w:t>
            </w:r>
          </w:p>
        </w:tc>
        <w:tc>
          <w:tcPr>
            <w:tcW w:w="3095" w:type="dxa"/>
            <w:shd w:val="clear" w:color="auto" w:fill="auto"/>
          </w:tcPr>
          <w:p w14:paraId="3D24DD2A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Hipercolesterolemia</w:t>
            </w:r>
          </w:p>
        </w:tc>
        <w:tc>
          <w:tcPr>
            <w:tcW w:w="3096" w:type="dxa"/>
            <w:shd w:val="clear" w:color="auto" w:fill="auto"/>
          </w:tcPr>
          <w:p w14:paraId="4A457849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Frecuentes</w:t>
            </w:r>
          </w:p>
        </w:tc>
      </w:tr>
      <w:tr w:rsidR="00CA66E4" w:rsidRPr="00D05C05" w14:paraId="40CEC96D" w14:textId="77777777" w:rsidTr="009838D3">
        <w:tc>
          <w:tcPr>
            <w:tcW w:w="3095" w:type="dxa"/>
            <w:vMerge/>
            <w:shd w:val="clear" w:color="auto" w:fill="auto"/>
          </w:tcPr>
          <w:p w14:paraId="1FAFB4A3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</w:p>
        </w:tc>
        <w:tc>
          <w:tcPr>
            <w:tcW w:w="3095" w:type="dxa"/>
            <w:shd w:val="clear" w:color="auto" w:fill="auto"/>
          </w:tcPr>
          <w:p w14:paraId="32B185AA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Hipercalcemia</w:t>
            </w:r>
            <w:r w:rsidRPr="00CA66E4">
              <w:rPr>
                <w:rFonts w:ascii="Times New Roman" w:hAnsi="Times New Roman"/>
                <w:szCs w:val="22"/>
                <w:lang w:val="es-ES"/>
              </w:rPr>
              <w:t xml:space="preserve"> </w:t>
            </w:r>
            <w:r w:rsidRPr="00D05C05">
              <w:rPr>
                <w:rFonts w:ascii="Times New Roman" w:hAnsi="Times New Roman"/>
                <w:szCs w:val="22"/>
                <w:lang w:val="es-ES"/>
              </w:rPr>
              <w:t>superior a 2,76 mmol/l, hiperuricemia</w:t>
            </w:r>
          </w:p>
        </w:tc>
        <w:tc>
          <w:tcPr>
            <w:tcW w:w="3096" w:type="dxa"/>
            <w:shd w:val="clear" w:color="auto" w:fill="auto"/>
          </w:tcPr>
          <w:p w14:paraId="5F61AA4A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Poco frecuentes</w:t>
            </w:r>
          </w:p>
        </w:tc>
      </w:tr>
      <w:tr w:rsidR="00CA66E4" w:rsidRPr="00D05C05" w14:paraId="16FB8F8B" w14:textId="77777777" w:rsidTr="009838D3">
        <w:tc>
          <w:tcPr>
            <w:tcW w:w="3095" w:type="dxa"/>
            <w:vMerge/>
            <w:shd w:val="clear" w:color="auto" w:fill="auto"/>
          </w:tcPr>
          <w:p w14:paraId="58122DB1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</w:p>
        </w:tc>
        <w:tc>
          <w:tcPr>
            <w:tcW w:w="3095" w:type="dxa"/>
            <w:shd w:val="clear" w:color="auto" w:fill="auto"/>
          </w:tcPr>
          <w:p w14:paraId="4C6FCA00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Hipercalcemia superior a 3.25 mmol/l</w:t>
            </w:r>
          </w:p>
        </w:tc>
        <w:tc>
          <w:tcPr>
            <w:tcW w:w="3096" w:type="dxa"/>
            <w:shd w:val="clear" w:color="auto" w:fill="auto"/>
          </w:tcPr>
          <w:p w14:paraId="77A52EA6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Raras</w:t>
            </w:r>
          </w:p>
        </w:tc>
      </w:tr>
      <w:tr w:rsidR="00CA66E4" w:rsidRPr="00D05C05" w14:paraId="7CB2DFEB" w14:textId="77777777" w:rsidTr="009838D3">
        <w:tc>
          <w:tcPr>
            <w:tcW w:w="3095" w:type="dxa"/>
            <w:shd w:val="clear" w:color="auto" w:fill="auto"/>
          </w:tcPr>
          <w:p w14:paraId="4BBE7713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Trastornos psiquiátricos</w:t>
            </w:r>
          </w:p>
        </w:tc>
        <w:tc>
          <w:tcPr>
            <w:tcW w:w="3095" w:type="dxa"/>
            <w:shd w:val="clear" w:color="auto" w:fill="auto"/>
          </w:tcPr>
          <w:p w14:paraId="64EAFADA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Depresión</w:t>
            </w:r>
          </w:p>
        </w:tc>
        <w:tc>
          <w:tcPr>
            <w:tcW w:w="3096" w:type="dxa"/>
            <w:shd w:val="clear" w:color="auto" w:fill="auto"/>
          </w:tcPr>
          <w:p w14:paraId="25A66D11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Frecuentes</w:t>
            </w:r>
          </w:p>
        </w:tc>
      </w:tr>
      <w:tr w:rsidR="00CA66E4" w:rsidRPr="00D05C05" w14:paraId="651D44AA" w14:textId="77777777" w:rsidTr="009838D3">
        <w:tc>
          <w:tcPr>
            <w:tcW w:w="3095" w:type="dxa"/>
            <w:shd w:val="clear" w:color="auto" w:fill="auto"/>
          </w:tcPr>
          <w:p w14:paraId="754523CB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 xml:space="preserve">Trastornos del Sistema </w:t>
            </w:r>
            <w:r w:rsidR="00784510" w:rsidRPr="00D05C05">
              <w:rPr>
                <w:rFonts w:ascii="Times New Roman" w:hAnsi="Times New Roman"/>
                <w:szCs w:val="22"/>
                <w:lang w:val="es-ES"/>
              </w:rPr>
              <w:t>n</w:t>
            </w:r>
            <w:r w:rsidRPr="00D05C05">
              <w:rPr>
                <w:rFonts w:ascii="Times New Roman" w:hAnsi="Times New Roman"/>
                <w:szCs w:val="22"/>
                <w:lang w:val="es-ES"/>
              </w:rPr>
              <w:t>ervioso</w:t>
            </w:r>
          </w:p>
        </w:tc>
        <w:tc>
          <w:tcPr>
            <w:tcW w:w="3095" w:type="dxa"/>
            <w:shd w:val="clear" w:color="auto" w:fill="auto"/>
          </w:tcPr>
          <w:p w14:paraId="787B1276" w14:textId="77777777" w:rsidR="00CA66E4" w:rsidRPr="00D05C05" w:rsidRDefault="00784510" w:rsidP="00784510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 xml:space="preserve">Mareo, cefalea, ciática, síncope </w:t>
            </w:r>
          </w:p>
        </w:tc>
        <w:tc>
          <w:tcPr>
            <w:tcW w:w="3096" w:type="dxa"/>
            <w:shd w:val="clear" w:color="auto" w:fill="auto"/>
          </w:tcPr>
          <w:p w14:paraId="2480327A" w14:textId="77777777" w:rsidR="00CA66E4" w:rsidRPr="00D05C05" w:rsidRDefault="00784510" w:rsidP="00784510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Frecuentes</w:t>
            </w:r>
          </w:p>
        </w:tc>
      </w:tr>
      <w:tr w:rsidR="00CA66E4" w:rsidRPr="00D05C05" w14:paraId="51AFDA45" w14:textId="77777777" w:rsidTr="009838D3">
        <w:tc>
          <w:tcPr>
            <w:tcW w:w="3095" w:type="dxa"/>
            <w:shd w:val="clear" w:color="auto" w:fill="auto"/>
          </w:tcPr>
          <w:p w14:paraId="2EE01F80" w14:textId="77777777" w:rsidR="00CA66E4" w:rsidRPr="00D05C05" w:rsidRDefault="00784510" w:rsidP="00784510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Trastornos del oído y del laberinto</w:t>
            </w:r>
          </w:p>
        </w:tc>
        <w:tc>
          <w:tcPr>
            <w:tcW w:w="3095" w:type="dxa"/>
            <w:shd w:val="clear" w:color="auto" w:fill="auto"/>
          </w:tcPr>
          <w:p w14:paraId="672540FF" w14:textId="77777777" w:rsidR="00CA66E4" w:rsidRPr="00D05C05" w:rsidRDefault="00784510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Vé</w:t>
            </w:r>
            <w:r w:rsidR="00CA66E4" w:rsidRPr="00D05C05">
              <w:rPr>
                <w:rFonts w:ascii="Times New Roman" w:hAnsi="Times New Roman"/>
                <w:szCs w:val="22"/>
                <w:lang w:val="es-ES"/>
              </w:rPr>
              <w:t>rtigo</w:t>
            </w:r>
          </w:p>
        </w:tc>
        <w:tc>
          <w:tcPr>
            <w:tcW w:w="3096" w:type="dxa"/>
            <w:shd w:val="clear" w:color="auto" w:fill="auto"/>
          </w:tcPr>
          <w:p w14:paraId="1B3B6C20" w14:textId="77777777" w:rsidR="00CA66E4" w:rsidRPr="00D05C05" w:rsidRDefault="00784510" w:rsidP="00784510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Frecuentes</w:t>
            </w:r>
          </w:p>
        </w:tc>
      </w:tr>
      <w:tr w:rsidR="00CA66E4" w:rsidRPr="00D05C05" w14:paraId="2AB17E6E" w14:textId="77777777" w:rsidTr="009838D3">
        <w:tc>
          <w:tcPr>
            <w:tcW w:w="3095" w:type="dxa"/>
            <w:vMerge w:val="restart"/>
            <w:shd w:val="clear" w:color="auto" w:fill="auto"/>
          </w:tcPr>
          <w:p w14:paraId="62557051" w14:textId="77777777" w:rsidR="00CA66E4" w:rsidRPr="00D05C05" w:rsidRDefault="00784510" w:rsidP="00784510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Trastornos c</w:t>
            </w:r>
            <w:r w:rsidR="00CA66E4" w:rsidRPr="00D05C05">
              <w:rPr>
                <w:rFonts w:ascii="Times New Roman" w:hAnsi="Times New Roman"/>
                <w:szCs w:val="22"/>
                <w:lang w:val="es-ES"/>
              </w:rPr>
              <w:t>ardiac</w:t>
            </w:r>
            <w:r w:rsidRPr="00D05C05">
              <w:rPr>
                <w:rFonts w:ascii="Times New Roman" w:hAnsi="Times New Roman"/>
                <w:szCs w:val="22"/>
                <w:lang w:val="es-ES"/>
              </w:rPr>
              <w:t>os</w:t>
            </w:r>
          </w:p>
        </w:tc>
        <w:tc>
          <w:tcPr>
            <w:tcW w:w="3095" w:type="dxa"/>
            <w:shd w:val="clear" w:color="auto" w:fill="auto"/>
          </w:tcPr>
          <w:p w14:paraId="02C2B8CF" w14:textId="77777777" w:rsidR="00CA66E4" w:rsidRPr="00D05C05" w:rsidRDefault="00784510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Palpitac</w:t>
            </w:r>
            <w:r w:rsidR="00CA66E4" w:rsidRPr="00D05C05">
              <w:rPr>
                <w:rFonts w:ascii="Times New Roman" w:hAnsi="Times New Roman"/>
                <w:szCs w:val="22"/>
                <w:lang w:val="es-ES"/>
              </w:rPr>
              <w:t>ion</w:t>
            </w:r>
            <w:r w:rsidRPr="00D05C05">
              <w:rPr>
                <w:rFonts w:ascii="Times New Roman" w:hAnsi="Times New Roman"/>
                <w:szCs w:val="22"/>
                <w:lang w:val="es-ES"/>
              </w:rPr>
              <w:t>e</w:t>
            </w:r>
            <w:r w:rsidR="00CA66E4" w:rsidRPr="00D05C05">
              <w:rPr>
                <w:rFonts w:ascii="Times New Roman" w:hAnsi="Times New Roman"/>
                <w:szCs w:val="22"/>
                <w:lang w:val="es-ES"/>
              </w:rPr>
              <w:t>s</w:t>
            </w:r>
          </w:p>
        </w:tc>
        <w:tc>
          <w:tcPr>
            <w:tcW w:w="3096" w:type="dxa"/>
            <w:shd w:val="clear" w:color="auto" w:fill="auto"/>
          </w:tcPr>
          <w:p w14:paraId="03388776" w14:textId="77777777" w:rsidR="00CA66E4" w:rsidRPr="00D05C05" w:rsidRDefault="00784510" w:rsidP="00784510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Frecuentes</w:t>
            </w:r>
          </w:p>
        </w:tc>
      </w:tr>
      <w:tr w:rsidR="00CA66E4" w:rsidRPr="00D05C05" w14:paraId="5414C0CC" w14:textId="77777777" w:rsidTr="009838D3">
        <w:tc>
          <w:tcPr>
            <w:tcW w:w="3095" w:type="dxa"/>
            <w:vMerge/>
            <w:shd w:val="clear" w:color="auto" w:fill="auto"/>
          </w:tcPr>
          <w:p w14:paraId="764C1426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</w:p>
        </w:tc>
        <w:tc>
          <w:tcPr>
            <w:tcW w:w="3095" w:type="dxa"/>
            <w:shd w:val="clear" w:color="auto" w:fill="auto"/>
          </w:tcPr>
          <w:p w14:paraId="5FADF854" w14:textId="77777777" w:rsidR="00CA66E4" w:rsidRPr="00D05C05" w:rsidRDefault="00CA66E4" w:rsidP="00784510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Ta</w:t>
            </w:r>
            <w:r w:rsidR="00784510" w:rsidRPr="00D05C05">
              <w:rPr>
                <w:rFonts w:ascii="Times New Roman" w:hAnsi="Times New Roman"/>
                <w:szCs w:val="22"/>
                <w:lang w:val="es-ES"/>
              </w:rPr>
              <w:t>quicardia</w:t>
            </w:r>
          </w:p>
        </w:tc>
        <w:tc>
          <w:tcPr>
            <w:tcW w:w="3096" w:type="dxa"/>
            <w:shd w:val="clear" w:color="auto" w:fill="auto"/>
          </w:tcPr>
          <w:p w14:paraId="301C988A" w14:textId="77777777" w:rsidR="00CA66E4" w:rsidRPr="00D05C05" w:rsidRDefault="00784510" w:rsidP="00784510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Poco frecuentes</w:t>
            </w:r>
          </w:p>
        </w:tc>
      </w:tr>
      <w:tr w:rsidR="00CA66E4" w:rsidRPr="00D05C05" w14:paraId="3B0B790B" w14:textId="77777777" w:rsidTr="009838D3">
        <w:tc>
          <w:tcPr>
            <w:tcW w:w="3095" w:type="dxa"/>
            <w:shd w:val="clear" w:color="auto" w:fill="auto"/>
          </w:tcPr>
          <w:p w14:paraId="3B3523B5" w14:textId="77777777" w:rsidR="00CA66E4" w:rsidRPr="00D05C05" w:rsidRDefault="00784510" w:rsidP="00784510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Trastornos v</w:t>
            </w:r>
            <w:r w:rsidR="00CA66E4" w:rsidRPr="00D05C05">
              <w:rPr>
                <w:rFonts w:ascii="Times New Roman" w:hAnsi="Times New Roman"/>
                <w:szCs w:val="22"/>
                <w:lang w:val="es-ES"/>
              </w:rPr>
              <w:t>ascular</w:t>
            </w:r>
            <w:r w:rsidRPr="00D05C05">
              <w:rPr>
                <w:rFonts w:ascii="Times New Roman" w:hAnsi="Times New Roman"/>
                <w:szCs w:val="22"/>
                <w:lang w:val="es-ES"/>
              </w:rPr>
              <w:t>es</w:t>
            </w:r>
          </w:p>
        </w:tc>
        <w:tc>
          <w:tcPr>
            <w:tcW w:w="3095" w:type="dxa"/>
            <w:shd w:val="clear" w:color="auto" w:fill="auto"/>
          </w:tcPr>
          <w:p w14:paraId="00A7A92E" w14:textId="77777777" w:rsidR="00CA66E4" w:rsidRPr="00D05C05" w:rsidRDefault="00CA66E4" w:rsidP="00784510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H</w:t>
            </w:r>
            <w:r w:rsidR="00784510" w:rsidRPr="00D05C05">
              <w:rPr>
                <w:rFonts w:ascii="Times New Roman" w:hAnsi="Times New Roman"/>
                <w:szCs w:val="22"/>
                <w:lang w:val="es-ES"/>
              </w:rPr>
              <w:t>ipotensió</w:t>
            </w:r>
            <w:r w:rsidRPr="00D05C05">
              <w:rPr>
                <w:rFonts w:ascii="Times New Roman" w:hAnsi="Times New Roman"/>
                <w:szCs w:val="22"/>
                <w:lang w:val="es-ES"/>
              </w:rPr>
              <w:t>n</w:t>
            </w:r>
          </w:p>
        </w:tc>
        <w:tc>
          <w:tcPr>
            <w:tcW w:w="3096" w:type="dxa"/>
            <w:shd w:val="clear" w:color="auto" w:fill="auto"/>
          </w:tcPr>
          <w:p w14:paraId="3B11F5B2" w14:textId="77777777" w:rsidR="00CA66E4" w:rsidRPr="00D05C05" w:rsidRDefault="00784510" w:rsidP="00784510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Frecuentes</w:t>
            </w:r>
          </w:p>
        </w:tc>
      </w:tr>
      <w:tr w:rsidR="00CA66E4" w:rsidRPr="00D05C05" w14:paraId="3A3C66D2" w14:textId="77777777" w:rsidTr="009838D3">
        <w:tc>
          <w:tcPr>
            <w:tcW w:w="3095" w:type="dxa"/>
            <w:vMerge w:val="restart"/>
            <w:shd w:val="clear" w:color="auto" w:fill="auto"/>
          </w:tcPr>
          <w:p w14:paraId="422F75F6" w14:textId="77777777" w:rsidR="00CA66E4" w:rsidRPr="00D05C05" w:rsidRDefault="00784510" w:rsidP="00784510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Trastornos r</w:t>
            </w:r>
            <w:r w:rsidR="00CA66E4" w:rsidRPr="00D05C05">
              <w:rPr>
                <w:rFonts w:ascii="Times New Roman" w:hAnsi="Times New Roman"/>
                <w:szCs w:val="22"/>
                <w:lang w:val="es-ES"/>
              </w:rPr>
              <w:t>espirator</w:t>
            </w:r>
            <w:r w:rsidRPr="00D05C05">
              <w:rPr>
                <w:rFonts w:ascii="Times New Roman" w:hAnsi="Times New Roman"/>
                <w:szCs w:val="22"/>
                <w:lang w:val="es-ES"/>
              </w:rPr>
              <w:t>ios, torá</w:t>
            </w:r>
            <w:r w:rsidR="00CA66E4" w:rsidRPr="00D05C05">
              <w:rPr>
                <w:rFonts w:ascii="Times New Roman" w:hAnsi="Times New Roman"/>
                <w:szCs w:val="22"/>
                <w:lang w:val="es-ES"/>
              </w:rPr>
              <w:t>cic</w:t>
            </w:r>
            <w:r w:rsidRPr="00D05C05">
              <w:rPr>
                <w:rFonts w:ascii="Times New Roman" w:hAnsi="Times New Roman"/>
                <w:szCs w:val="22"/>
                <w:lang w:val="es-ES"/>
              </w:rPr>
              <w:t>os</w:t>
            </w:r>
            <w:r w:rsidR="00CA66E4" w:rsidRPr="00D05C05">
              <w:rPr>
                <w:rFonts w:ascii="Times New Roman" w:hAnsi="Times New Roman"/>
                <w:szCs w:val="22"/>
                <w:lang w:val="es-ES"/>
              </w:rPr>
              <w:t xml:space="preserve"> </w:t>
            </w:r>
            <w:r w:rsidRPr="00D05C05">
              <w:rPr>
                <w:rFonts w:ascii="Times New Roman" w:hAnsi="Times New Roman"/>
                <w:szCs w:val="22"/>
                <w:lang w:val="es-ES"/>
              </w:rPr>
              <w:t>y</w:t>
            </w:r>
            <w:r w:rsidR="00CA66E4" w:rsidRPr="00D05C05">
              <w:rPr>
                <w:rFonts w:ascii="Times New Roman" w:hAnsi="Times New Roman"/>
                <w:szCs w:val="22"/>
                <w:lang w:val="es-ES"/>
              </w:rPr>
              <w:t xml:space="preserve"> mediast</w:t>
            </w:r>
            <w:r w:rsidRPr="00D05C05">
              <w:rPr>
                <w:rFonts w:ascii="Times New Roman" w:hAnsi="Times New Roman"/>
                <w:szCs w:val="22"/>
                <w:lang w:val="es-ES"/>
              </w:rPr>
              <w:t>ínicos</w:t>
            </w:r>
          </w:p>
        </w:tc>
        <w:tc>
          <w:tcPr>
            <w:tcW w:w="3095" w:type="dxa"/>
            <w:shd w:val="clear" w:color="auto" w:fill="auto"/>
          </w:tcPr>
          <w:p w14:paraId="31CD257A" w14:textId="77777777" w:rsidR="00CA66E4" w:rsidRPr="00D05C05" w:rsidRDefault="00CA66E4" w:rsidP="00784510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D</w:t>
            </w:r>
            <w:r w:rsidR="00784510" w:rsidRPr="00D05C05">
              <w:rPr>
                <w:rFonts w:ascii="Times New Roman" w:hAnsi="Times New Roman"/>
                <w:szCs w:val="22"/>
                <w:lang w:val="es-ES"/>
              </w:rPr>
              <w:t>i</w:t>
            </w:r>
            <w:r w:rsidRPr="00D05C05">
              <w:rPr>
                <w:rFonts w:ascii="Times New Roman" w:hAnsi="Times New Roman"/>
                <w:szCs w:val="22"/>
                <w:lang w:val="es-ES"/>
              </w:rPr>
              <w:t>snea</w:t>
            </w:r>
          </w:p>
        </w:tc>
        <w:tc>
          <w:tcPr>
            <w:tcW w:w="3096" w:type="dxa"/>
            <w:shd w:val="clear" w:color="auto" w:fill="auto"/>
          </w:tcPr>
          <w:p w14:paraId="26237B42" w14:textId="77777777" w:rsidR="00CA66E4" w:rsidRPr="00D05C05" w:rsidRDefault="00784510" w:rsidP="00784510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Frecuentes</w:t>
            </w:r>
          </w:p>
        </w:tc>
      </w:tr>
      <w:tr w:rsidR="00CA66E4" w:rsidRPr="00D05C05" w14:paraId="03CDEED0" w14:textId="77777777" w:rsidTr="009838D3">
        <w:tc>
          <w:tcPr>
            <w:tcW w:w="3095" w:type="dxa"/>
            <w:vMerge/>
            <w:shd w:val="clear" w:color="auto" w:fill="auto"/>
          </w:tcPr>
          <w:p w14:paraId="3A4169F2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</w:p>
        </w:tc>
        <w:tc>
          <w:tcPr>
            <w:tcW w:w="3095" w:type="dxa"/>
            <w:shd w:val="clear" w:color="auto" w:fill="auto"/>
          </w:tcPr>
          <w:p w14:paraId="7A8A32B7" w14:textId="77777777" w:rsidR="00CA66E4" w:rsidRPr="00D05C05" w:rsidRDefault="00CA66E4" w:rsidP="00784510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E</w:t>
            </w:r>
            <w:r w:rsidR="00784510" w:rsidRPr="00D05C05">
              <w:rPr>
                <w:rFonts w:ascii="Times New Roman" w:hAnsi="Times New Roman"/>
                <w:szCs w:val="22"/>
                <w:lang w:val="es-ES"/>
              </w:rPr>
              <w:t>nfisema</w:t>
            </w:r>
          </w:p>
        </w:tc>
        <w:tc>
          <w:tcPr>
            <w:tcW w:w="3096" w:type="dxa"/>
            <w:shd w:val="clear" w:color="auto" w:fill="auto"/>
          </w:tcPr>
          <w:p w14:paraId="22C89377" w14:textId="77777777" w:rsidR="00CA66E4" w:rsidRPr="00D05C05" w:rsidRDefault="00784510" w:rsidP="00784510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Poco frecuentes</w:t>
            </w:r>
          </w:p>
        </w:tc>
      </w:tr>
      <w:tr w:rsidR="00CA66E4" w:rsidRPr="00D05C05" w14:paraId="107CBC0B" w14:textId="77777777" w:rsidTr="009838D3">
        <w:tc>
          <w:tcPr>
            <w:tcW w:w="3095" w:type="dxa"/>
            <w:vMerge w:val="restart"/>
            <w:shd w:val="clear" w:color="auto" w:fill="auto"/>
          </w:tcPr>
          <w:p w14:paraId="0E4F45FB" w14:textId="77777777" w:rsidR="00CA66E4" w:rsidRPr="00D05C05" w:rsidRDefault="00784510" w:rsidP="00784510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Trastornos g</w:t>
            </w:r>
            <w:r w:rsidR="00CA66E4" w:rsidRPr="00D05C05">
              <w:rPr>
                <w:rFonts w:ascii="Times New Roman" w:hAnsi="Times New Roman"/>
                <w:szCs w:val="22"/>
                <w:lang w:val="es-ES"/>
              </w:rPr>
              <w:t>astrointestinal</w:t>
            </w:r>
            <w:r w:rsidRPr="00D05C05">
              <w:rPr>
                <w:rFonts w:ascii="Times New Roman" w:hAnsi="Times New Roman"/>
                <w:szCs w:val="22"/>
                <w:lang w:val="es-ES"/>
              </w:rPr>
              <w:t>es</w:t>
            </w:r>
            <w:r w:rsidR="00CA66E4" w:rsidRPr="00D05C05">
              <w:rPr>
                <w:rFonts w:ascii="Times New Roman" w:hAnsi="Times New Roman"/>
                <w:szCs w:val="22"/>
                <w:lang w:val="es-ES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</w:tcPr>
          <w:p w14:paraId="123C6C4D" w14:textId="77777777" w:rsidR="00CA66E4" w:rsidRPr="00D05C05" w:rsidRDefault="00784510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Náuseas, vómito, hernia de hiato, reflujo gastroesofágico</w:t>
            </w:r>
          </w:p>
        </w:tc>
        <w:tc>
          <w:tcPr>
            <w:tcW w:w="3096" w:type="dxa"/>
            <w:shd w:val="clear" w:color="auto" w:fill="auto"/>
          </w:tcPr>
          <w:p w14:paraId="33138FB4" w14:textId="77777777" w:rsidR="00CA66E4" w:rsidRPr="00D05C05" w:rsidRDefault="00784510" w:rsidP="00784510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Frecuentes</w:t>
            </w:r>
          </w:p>
        </w:tc>
      </w:tr>
      <w:tr w:rsidR="00CA66E4" w:rsidRPr="00D05C05" w14:paraId="316177AF" w14:textId="77777777" w:rsidTr="009838D3">
        <w:tc>
          <w:tcPr>
            <w:tcW w:w="3095" w:type="dxa"/>
            <w:vMerge/>
            <w:shd w:val="clear" w:color="auto" w:fill="auto"/>
          </w:tcPr>
          <w:p w14:paraId="1C46A8B2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</w:p>
        </w:tc>
        <w:tc>
          <w:tcPr>
            <w:tcW w:w="3095" w:type="dxa"/>
            <w:shd w:val="clear" w:color="auto" w:fill="auto"/>
          </w:tcPr>
          <w:p w14:paraId="5DC27F11" w14:textId="77777777" w:rsidR="00CA66E4" w:rsidRPr="00D05C05" w:rsidRDefault="00784510" w:rsidP="00784510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H</w:t>
            </w:r>
            <w:r w:rsidR="00CA66E4" w:rsidRPr="00D05C05">
              <w:rPr>
                <w:rFonts w:ascii="Times New Roman" w:hAnsi="Times New Roman"/>
                <w:szCs w:val="22"/>
                <w:lang w:val="es-ES"/>
              </w:rPr>
              <w:t>emorroid</w:t>
            </w:r>
            <w:r w:rsidRPr="00D05C05">
              <w:rPr>
                <w:rFonts w:ascii="Times New Roman" w:hAnsi="Times New Roman"/>
                <w:szCs w:val="22"/>
                <w:lang w:val="es-ES"/>
              </w:rPr>
              <w:t>e</w:t>
            </w:r>
            <w:r w:rsidR="00CA66E4" w:rsidRPr="00D05C05">
              <w:rPr>
                <w:rFonts w:ascii="Times New Roman" w:hAnsi="Times New Roman"/>
                <w:szCs w:val="22"/>
                <w:lang w:val="es-ES"/>
              </w:rPr>
              <w:t>s</w:t>
            </w:r>
          </w:p>
        </w:tc>
        <w:tc>
          <w:tcPr>
            <w:tcW w:w="3096" w:type="dxa"/>
            <w:shd w:val="clear" w:color="auto" w:fill="auto"/>
          </w:tcPr>
          <w:p w14:paraId="0991972E" w14:textId="77777777" w:rsidR="00CA66E4" w:rsidRPr="00D05C05" w:rsidRDefault="00784510" w:rsidP="00784510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Poco frecuentes</w:t>
            </w:r>
          </w:p>
        </w:tc>
      </w:tr>
      <w:tr w:rsidR="00CA66E4" w:rsidRPr="00D05C05" w14:paraId="31EE3A07" w14:textId="77777777" w:rsidTr="009838D3">
        <w:tc>
          <w:tcPr>
            <w:tcW w:w="3095" w:type="dxa"/>
            <w:shd w:val="clear" w:color="auto" w:fill="auto"/>
          </w:tcPr>
          <w:p w14:paraId="0339425B" w14:textId="77777777" w:rsidR="00CA66E4" w:rsidRPr="00D05C05" w:rsidRDefault="00ED5ED1" w:rsidP="00ED5ED1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Trastornos de la piel y del tejido subcutáneo</w:t>
            </w:r>
          </w:p>
        </w:tc>
        <w:tc>
          <w:tcPr>
            <w:tcW w:w="3095" w:type="dxa"/>
            <w:shd w:val="clear" w:color="auto" w:fill="auto"/>
          </w:tcPr>
          <w:p w14:paraId="46B33F00" w14:textId="77777777" w:rsidR="00CA66E4" w:rsidRPr="00D05C05" w:rsidRDefault="00ED5ED1" w:rsidP="00ED5ED1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Aumento de la sudoración</w:t>
            </w:r>
          </w:p>
        </w:tc>
        <w:tc>
          <w:tcPr>
            <w:tcW w:w="3096" w:type="dxa"/>
            <w:shd w:val="clear" w:color="auto" w:fill="auto"/>
          </w:tcPr>
          <w:p w14:paraId="6584C7B4" w14:textId="77777777" w:rsidR="00CA66E4" w:rsidRPr="00D05C05" w:rsidRDefault="00ED5ED1" w:rsidP="00ED5ED1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Frecuentes</w:t>
            </w:r>
          </w:p>
        </w:tc>
      </w:tr>
      <w:tr w:rsidR="00CA66E4" w:rsidRPr="00D05C05" w14:paraId="39DCD7C4" w14:textId="77777777" w:rsidTr="009838D3">
        <w:tc>
          <w:tcPr>
            <w:tcW w:w="3095" w:type="dxa"/>
            <w:vMerge w:val="restart"/>
            <w:shd w:val="clear" w:color="auto" w:fill="auto"/>
          </w:tcPr>
          <w:p w14:paraId="1B34FF21" w14:textId="77777777" w:rsidR="00CA66E4" w:rsidRPr="00D05C05" w:rsidRDefault="00ED5ED1" w:rsidP="00ED5ED1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Trastornos musculoesqueléticos y del tejido conjuntivo</w:t>
            </w:r>
          </w:p>
        </w:tc>
        <w:tc>
          <w:tcPr>
            <w:tcW w:w="3095" w:type="dxa"/>
            <w:shd w:val="clear" w:color="auto" w:fill="auto"/>
          </w:tcPr>
          <w:p w14:paraId="5B2C4DA2" w14:textId="77777777" w:rsidR="00CA66E4" w:rsidRPr="00D05C05" w:rsidRDefault="00ED5ED1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Dolor en las extremidades</w:t>
            </w:r>
          </w:p>
        </w:tc>
        <w:tc>
          <w:tcPr>
            <w:tcW w:w="3096" w:type="dxa"/>
            <w:shd w:val="clear" w:color="auto" w:fill="auto"/>
          </w:tcPr>
          <w:p w14:paraId="4DAB25FA" w14:textId="77777777" w:rsidR="00CA66E4" w:rsidRPr="00D05C05" w:rsidRDefault="00ED5ED1" w:rsidP="00ED5ED1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Muy frecuentes</w:t>
            </w:r>
          </w:p>
        </w:tc>
      </w:tr>
      <w:tr w:rsidR="00CA66E4" w:rsidRPr="00D05C05" w14:paraId="34719686" w14:textId="77777777" w:rsidTr="009838D3">
        <w:tc>
          <w:tcPr>
            <w:tcW w:w="3095" w:type="dxa"/>
            <w:vMerge/>
            <w:shd w:val="clear" w:color="auto" w:fill="auto"/>
          </w:tcPr>
          <w:p w14:paraId="684E3BEA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</w:p>
        </w:tc>
        <w:tc>
          <w:tcPr>
            <w:tcW w:w="3095" w:type="dxa"/>
            <w:shd w:val="clear" w:color="auto" w:fill="auto"/>
          </w:tcPr>
          <w:p w14:paraId="1C5D6550" w14:textId="77777777" w:rsidR="00CA66E4" w:rsidRPr="00D05C05" w:rsidRDefault="00ED5ED1" w:rsidP="00ED5ED1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Calambres musculares</w:t>
            </w:r>
          </w:p>
        </w:tc>
        <w:tc>
          <w:tcPr>
            <w:tcW w:w="3096" w:type="dxa"/>
            <w:shd w:val="clear" w:color="auto" w:fill="auto"/>
          </w:tcPr>
          <w:p w14:paraId="460477B8" w14:textId="77777777" w:rsidR="00CA66E4" w:rsidRPr="00D05C05" w:rsidRDefault="00ED5ED1" w:rsidP="00ED5ED1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Frecuentes</w:t>
            </w:r>
          </w:p>
        </w:tc>
      </w:tr>
      <w:tr w:rsidR="00CA66E4" w:rsidRPr="00D05C05" w14:paraId="7314F611" w14:textId="77777777" w:rsidTr="009838D3">
        <w:tc>
          <w:tcPr>
            <w:tcW w:w="3095" w:type="dxa"/>
            <w:vMerge/>
            <w:shd w:val="clear" w:color="auto" w:fill="auto"/>
          </w:tcPr>
          <w:p w14:paraId="04A873DE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</w:p>
        </w:tc>
        <w:tc>
          <w:tcPr>
            <w:tcW w:w="3095" w:type="dxa"/>
            <w:shd w:val="clear" w:color="auto" w:fill="auto"/>
          </w:tcPr>
          <w:p w14:paraId="4D71AF50" w14:textId="77777777" w:rsidR="00CA66E4" w:rsidRPr="00D05C05" w:rsidRDefault="00ED5ED1" w:rsidP="00ED5ED1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 xml:space="preserve">Mialgia, artralgia, calambres/ dolor de espalda </w:t>
            </w:r>
            <w:r w:rsidR="00CA66E4" w:rsidRPr="00D05C05">
              <w:rPr>
                <w:rFonts w:ascii="Times New Roman" w:hAnsi="Times New Roman"/>
                <w:szCs w:val="22"/>
                <w:lang w:val="es-ES"/>
              </w:rPr>
              <w:t>*</w:t>
            </w:r>
          </w:p>
        </w:tc>
        <w:tc>
          <w:tcPr>
            <w:tcW w:w="3096" w:type="dxa"/>
            <w:shd w:val="clear" w:color="auto" w:fill="auto"/>
          </w:tcPr>
          <w:p w14:paraId="1D5F7B96" w14:textId="77777777" w:rsidR="00CA66E4" w:rsidRPr="00D05C05" w:rsidRDefault="009042C2" w:rsidP="009042C2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Poco frecuentes</w:t>
            </w:r>
          </w:p>
        </w:tc>
      </w:tr>
      <w:tr w:rsidR="00CA66E4" w:rsidRPr="00D05C05" w14:paraId="6F04BBAB" w14:textId="77777777" w:rsidTr="009838D3">
        <w:tc>
          <w:tcPr>
            <w:tcW w:w="3095" w:type="dxa"/>
            <w:vMerge w:val="restart"/>
            <w:shd w:val="clear" w:color="auto" w:fill="auto"/>
          </w:tcPr>
          <w:p w14:paraId="0630DC72" w14:textId="77777777" w:rsidR="00CA66E4" w:rsidRPr="00D05C05" w:rsidRDefault="009042C2" w:rsidP="009042C2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Trastornos r</w:t>
            </w:r>
            <w:r w:rsidR="00CA66E4" w:rsidRPr="00D05C05">
              <w:rPr>
                <w:rFonts w:ascii="Times New Roman" w:hAnsi="Times New Roman"/>
                <w:szCs w:val="22"/>
                <w:lang w:val="es-ES"/>
              </w:rPr>
              <w:t>enal</w:t>
            </w:r>
            <w:r w:rsidRPr="00D05C05">
              <w:rPr>
                <w:rFonts w:ascii="Times New Roman" w:hAnsi="Times New Roman"/>
                <w:szCs w:val="22"/>
                <w:lang w:val="es-ES"/>
              </w:rPr>
              <w:t xml:space="preserve">es y </w:t>
            </w:r>
            <w:r w:rsidR="00CA66E4" w:rsidRPr="00D05C05">
              <w:rPr>
                <w:rFonts w:ascii="Times New Roman" w:hAnsi="Times New Roman"/>
                <w:szCs w:val="22"/>
                <w:lang w:val="es-ES"/>
              </w:rPr>
              <w:t>urinar</w:t>
            </w:r>
            <w:r w:rsidRPr="00D05C05">
              <w:rPr>
                <w:rFonts w:ascii="Times New Roman" w:hAnsi="Times New Roman"/>
                <w:szCs w:val="22"/>
                <w:lang w:val="es-ES"/>
              </w:rPr>
              <w:t>ios</w:t>
            </w:r>
          </w:p>
        </w:tc>
        <w:tc>
          <w:tcPr>
            <w:tcW w:w="3095" w:type="dxa"/>
            <w:shd w:val="clear" w:color="auto" w:fill="auto"/>
          </w:tcPr>
          <w:p w14:paraId="1B85B50B" w14:textId="77777777" w:rsidR="00CA66E4" w:rsidRPr="00D05C05" w:rsidRDefault="009042C2" w:rsidP="009042C2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 xml:space="preserve">Incontinencia urinaria, poliuria, urgencia miccional, nefrolitiasis </w:t>
            </w:r>
          </w:p>
        </w:tc>
        <w:tc>
          <w:tcPr>
            <w:tcW w:w="3096" w:type="dxa"/>
            <w:shd w:val="clear" w:color="auto" w:fill="auto"/>
          </w:tcPr>
          <w:p w14:paraId="737F203D" w14:textId="77777777" w:rsidR="00CA66E4" w:rsidRPr="00D05C05" w:rsidRDefault="009042C2" w:rsidP="009042C2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Poco frecuentes</w:t>
            </w:r>
          </w:p>
        </w:tc>
      </w:tr>
      <w:tr w:rsidR="00CA66E4" w:rsidRPr="00D05C05" w14:paraId="110B2CEB" w14:textId="77777777" w:rsidTr="009838D3">
        <w:tc>
          <w:tcPr>
            <w:tcW w:w="3095" w:type="dxa"/>
            <w:vMerge/>
            <w:shd w:val="clear" w:color="auto" w:fill="auto"/>
          </w:tcPr>
          <w:p w14:paraId="23A08489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</w:p>
        </w:tc>
        <w:tc>
          <w:tcPr>
            <w:tcW w:w="3095" w:type="dxa"/>
            <w:shd w:val="clear" w:color="auto" w:fill="auto"/>
          </w:tcPr>
          <w:p w14:paraId="60094785" w14:textId="77777777" w:rsidR="00CA66E4" w:rsidRPr="00D05C05" w:rsidRDefault="009042C2" w:rsidP="009042C2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fallo</w:t>
            </w:r>
            <w:r w:rsidR="00CA66E4" w:rsidRPr="00D05C05">
              <w:rPr>
                <w:rFonts w:ascii="Times New Roman" w:hAnsi="Times New Roman"/>
                <w:szCs w:val="22"/>
                <w:lang w:val="es-ES"/>
              </w:rPr>
              <w:t>/</w:t>
            </w:r>
            <w:r w:rsidRPr="00D05C05">
              <w:rPr>
                <w:rFonts w:ascii="Times New Roman" w:hAnsi="Times New Roman"/>
                <w:szCs w:val="22"/>
                <w:lang w:val="es-ES"/>
              </w:rPr>
              <w:t>insuficiencia renal</w:t>
            </w:r>
          </w:p>
        </w:tc>
        <w:tc>
          <w:tcPr>
            <w:tcW w:w="3096" w:type="dxa"/>
            <w:shd w:val="clear" w:color="auto" w:fill="auto"/>
          </w:tcPr>
          <w:p w14:paraId="5F09ABA8" w14:textId="77777777" w:rsidR="00CA66E4" w:rsidRPr="00D05C05" w:rsidRDefault="00CA66E4" w:rsidP="009042C2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Rar</w:t>
            </w:r>
            <w:r w:rsidR="009042C2" w:rsidRPr="00D05C05">
              <w:rPr>
                <w:rFonts w:ascii="Times New Roman" w:hAnsi="Times New Roman"/>
                <w:szCs w:val="22"/>
                <w:lang w:val="es-ES"/>
              </w:rPr>
              <w:t>as</w:t>
            </w:r>
          </w:p>
        </w:tc>
      </w:tr>
      <w:tr w:rsidR="002F60B4" w:rsidRPr="00D05C05" w14:paraId="7A74C9BE" w14:textId="77777777" w:rsidTr="009838D3">
        <w:tc>
          <w:tcPr>
            <w:tcW w:w="309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79"/>
            </w:tblGrid>
            <w:tr w:rsidR="002F60B4" w:rsidRPr="002F60B4" w14:paraId="0CC6CDB1" w14:textId="77777777" w:rsidTr="004D3DAC">
              <w:trPr>
                <w:trHeight w:val="226"/>
              </w:trPr>
              <w:tc>
                <w:tcPr>
                  <w:tcW w:w="0" w:type="auto"/>
                </w:tcPr>
                <w:p w14:paraId="74C6E186" w14:textId="77777777" w:rsidR="002F60B4" w:rsidRPr="002F60B4" w:rsidRDefault="002F60B4" w:rsidP="002F60B4">
                  <w:pPr>
                    <w:pStyle w:val="Text"/>
                    <w:rPr>
                      <w:rFonts w:ascii="Times New Roman" w:hAnsi="Times New Roman"/>
                      <w:b/>
                      <w:szCs w:val="22"/>
                      <w:lang w:val="es-ES"/>
                    </w:rPr>
                  </w:pPr>
                  <w:r w:rsidRPr="002F60B4">
                    <w:rPr>
                      <w:rFonts w:ascii="Times New Roman" w:hAnsi="Times New Roman"/>
                      <w:b/>
                      <w:szCs w:val="22"/>
                      <w:lang w:val="es-ES"/>
                    </w:rPr>
                    <w:lastRenderedPageBreak/>
                    <w:t xml:space="preserve">Clasificación por Órganos y Sistemas MedDRA (SOC) </w:t>
                  </w:r>
                </w:p>
              </w:tc>
            </w:tr>
          </w:tbl>
          <w:p w14:paraId="41CDA417" w14:textId="77777777" w:rsidR="002F60B4" w:rsidRPr="002F60B4" w:rsidRDefault="002F60B4" w:rsidP="002F60B4">
            <w:pPr>
              <w:pStyle w:val="Text"/>
              <w:rPr>
                <w:rFonts w:ascii="Times New Roman" w:hAnsi="Times New Roman"/>
                <w:b/>
                <w:szCs w:val="22"/>
                <w:lang w:val="es-ES"/>
              </w:rPr>
            </w:pPr>
          </w:p>
        </w:tc>
        <w:tc>
          <w:tcPr>
            <w:tcW w:w="3095" w:type="dxa"/>
            <w:shd w:val="clear" w:color="auto" w:fill="auto"/>
          </w:tcPr>
          <w:p w14:paraId="091CE751" w14:textId="77777777" w:rsidR="002F60B4" w:rsidRPr="002F60B4" w:rsidRDefault="002F60B4" w:rsidP="002F60B4">
            <w:pPr>
              <w:pStyle w:val="Text"/>
              <w:rPr>
                <w:rFonts w:ascii="Times New Roman" w:hAnsi="Times New Roman"/>
                <w:b/>
                <w:szCs w:val="22"/>
                <w:lang w:val="es-ES"/>
              </w:rPr>
            </w:pPr>
            <w:r w:rsidRPr="002F60B4">
              <w:rPr>
                <w:rFonts w:ascii="Times New Roman" w:hAnsi="Times New Roman"/>
                <w:b/>
                <w:szCs w:val="22"/>
                <w:lang w:val="es-ES"/>
              </w:rPr>
              <w:t>Reacción adversa</w:t>
            </w:r>
          </w:p>
        </w:tc>
        <w:tc>
          <w:tcPr>
            <w:tcW w:w="3096" w:type="dxa"/>
            <w:shd w:val="clear" w:color="auto" w:fill="auto"/>
          </w:tcPr>
          <w:p w14:paraId="34E2C38D" w14:textId="77777777" w:rsidR="002F60B4" w:rsidRPr="002F60B4" w:rsidRDefault="002F60B4" w:rsidP="002F60B4">
            <w:pPr>
              <w:pStyle w:val="Text"/>
              <w:rPr>
                <w:rFonts w:ascii="Times New Roman" w:hAnsi="Times New Roman"/>
                <w:b/>
                <w:szCs w:val="22"/>
                <w:lang w:val="es-ES"/>
              </w:rPr>
            </w:pPr>
            <w:r w:rsidRPr="002F60B4">
              <w:rPr>
                <w:rFonts w:ascii="Times New Roman" w:hAnsi="Times New Roman"/>
                <w:b/>
                <w:szCs w:val="22"/>
                <w:lang w:val="es-ES"/>
              </w:rPr>
              <w:t>Frecuencia</w:t>
            </w:r>
          </w:p>
        </w:tc>
      </w:tr>
      <w:tr w:rsidR="00CA66E4" w:rsidRPr="00D05C05" w14:paraId="72C425A3" w14:textId="77777777" w:rsidTr="009838D3">
        <w:tc>
          <w:tcPr>
            <w:tcW w:w="3095" w:type="dxa"/>
            <w:vMerge w:val="restart"/>
            <w:shd w:val="clear" w:color="auto" w:fill="auto"/>
          </w:tcPr>
          <w:p w14:paraId="6D6C6FD6" w14:textId="77777777" w:rsidR="00CA66E4" w:rsidRPr="00D05C05" w:rsidRDefault="009042C2" w:rsidP="009042C2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Trastornos g</w:t>
            </w:r>
            <w:r w:rsidR="00CA66E4" w:rsidRPr="00D05C05">
              <w:rPr>
                <w:rFonts w:ascii="Times New Roman" w:hAnsi="Times New Roman"/>
                <w:szCs w:val="22"/>
                <w:lang w:val="es-ES"/>
              </w:rPr>
              <w:t>eneral</w:t>
            </w:r>
            <w:r w:rsidRPr="00D05C05">
              <w:rPr>
                <w:rFonts w:ascii="Times New Roman" w:hAnsi="Times New Roman"/>
                <w:szCs w:val="22"/>
                <w:lang w:val="es-ES"/>
              </w:rPr>
              <w:t>es y alteraciones en el lugar de administración</w:t>
            </w:r>
          </w:p>
        </w:tc>
        <w:tc>
          <w:tcPr>
            <w:tcW w:w="3095" w:type="dxa"/>
            <w:shd w:val="clear" w:color="auto" w:fill="auto"/>
          </w:tcPr>
          <w:p w14:paraId="740B61A5" w14:textId="77777777" w:rsidR="00CA66E4" w:rsidRPr="00D05C05" w:rsidRDefault="009042C2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Fatiga, dolor torácico, astenia, acontecimientos leves y transitorios en el lugar de la inyección, incluyendo dolor, hinchazón, eritema, hematoma localizado, prurito y ligero sangrado en el lugar de la inyección</w:t>
            </w:r>
          </w:p>
        </w:tc>
        <w:tc>
          <w:tcPr>
            <w:tcW w:w="3096" w:type="dxa"/>
            <w:shd w:val="clear" w:color="auto" w:fill="auto"/>
          </w:tcPr>
          <w:p w14:paraId="73ADEF59" w14:textId="77777777" w:rsidR="00CA66E4" w:rsidRPr="00D05C05" w:rsidRDefault="009042C2" w:rsidP="009042C2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Frecuentes</w:t>
            </w:r>
          </w:p>
        </w:tc>
      </w:tr>
      <w:tr w:rsidR="00CA66E4" w:rsidRPr="00D05C05" w14:paraId="25B75174" w14:textId="77777777" w:rsidTr="009838D3">
        <w:tc>
          <w:tcPr>
            <w:tcW w:w="3095" w:type="dxa"/>
            <w:vMerge/>
            <w:shd w:val="clear" w:color="auto" w:fill="auto"/>
          </w:tcPr>
          <w:p w14:paraId="69E4C53D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</w:p>
        </w:tc>
        <w:tc>
          <w:tcPr>
            <w:tcW w:w="3095" w:type="dxa"/>
            <w:shd w:val="clear" w:color="auto" w:fill="auto"/>
          </w:tcPr>
          <w:p w14:paraId="086FAC13" w14:textId="77777777" w:rsidR="00CA66E4" w:rsidRPr="00D05C05" w:rsidRDefault="009042C2" w:rsidP="009042C2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 xml:space="preserve">Eritema en el lugar de inyección, reacción en el lugar de inyección </w:t>
            </w:r>
          </w:p>
        </w:tc>
        <w:tc>
          <w:tcPr>
            <w:tcW w:w="3096" w:type="dxa"/>
            <w:shd w:val="clear" w:color="auto" w:fill="auto"/>
          </w:tcPr>
          <w:p w14:paraId="3F29127E" w14:textId="77777777" w:rsidR="00CA66E4" w:rsidRPr="00D05C05" w:rsidRDefault="009042C2" w:rsidP="009042C2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Poco frecuentes</w:t>
            </w:r>
          </w:p>
        </w:tc>
      </w:tr>
      <w:tr w:rsidR="00CA66E4" w:rsidRPr="00D05C05" w14:paraId="795B3B2C" w14:textId="77777777" w:rsidTr="009838D3">
        <w:tc>
          <w:tcPr>
            <w:tcW w:w="3095" w:type="dxa"/>
            <w:vMerge/>
            <w:shd w:val="clear" w:color="auto" w:fill="auto"/>
          </w:tcPr>
          <w:p w14:paraId="04BC9547" w14:textId="77777777" w:rsidR="00CA66E4" w:rsidRPr="00D05C05" w:rsidRDefault="00CA66E4" w:rsidP="00CA66E4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</w:p>
        </w:tc>
        <w:tc>
          <w:tcPr>
            <w:tcW w:w="3095" w:type="dxa"/>
            <w:shd w:val="clear" w:color="auto" w:fill="auto"/>
          </w:tcPr>
          <w:p w14:paraId="51B778DE" w14:textId="77777777" w:rsidR="00CA66E4" w:rsidRPr="00D05C05" w:rsidRDefault="009042C2" w:rsidP="009042C2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Posibles acontecimientos alérgicos inmediatamente después de la inyección: disnea aguda, edema oro/facial, urticaria generalizada, dolor torácico, edema (principalmente periférico)</w:t>
            </w:r>
          </w:p>
        </w:tc>
        <w:tc>
          <w:tcPr>
            <w:tcW w:w="3096" w:type="dxa"/>
            <w:shd w:val="clear" w:color="auto" w:fill="auto"/>
          </w:tcPr>
          <w:p w14:paraId="06A4BFB5" w14:textId="77777777" w:rsidR="00CA66E4" w:rsidRPr="00D05C05" w:rsidRDefault="00CA66E4" w:rsidP="009042C2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Rar</w:t>
            </w:r>
            <w:r w:rsidR="009042C2" w:rsidRPr="00D05C05">
              <w:rPr>
                <w:rFonts w:ascii="Times New Roman" w:hAnsi="Times New Roman"/>
                <w:szCs w:val="22"/>
                <w:lang w:val="es-ES"/>
              </w:rPr>
              <w:t>as</w:t>
            </w:r>
          </w:p>
        </w:tc>
      </w:tr>
      <w:tr w:rsidR="00CA66E4" w:rsidRPr="00D05C05" w14:paraId="08F4D839" w14:textId="77777777" w:rsidTr="009838D3">
        <w:tc>
          <w:tcPr>
            <w:tcW w:w="3095" w:type="dxa"/>
            <w:shd w:val="clear" w:color="auto" w:fill="auto"/>
          </w:tcPr>
          <w:p w14:paraId="3BF9FE92" w14:textId="77777777" w:rsidR="00CA66E4" w:rsidRPr="00D05C05" w:rsidRDefault="009042C2" w:rsidP="009042C2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Exploraciones complementarias</w:t>
            </w:r>
          </w:p>
        </w:tc>
        <w:tc>
          <w:tcPr>
            <w:tcW w:w="3095" w:type="dxa"/>
            <w:shd w:val="clear" w:color="auto" w:fill="auto"/>
          </w:tcPr>
          <w:p w14:paraId="00A7FCFC" w14:textId="77777777" w:rsidR="00CA66E4" w:rsidRPr="00D05C05" w:rsidRDefault="009042C2" w:rsidP="009042C2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 xml:space="preserve">Aumento de peso, soplo cardíaco, incremento de la fosfatasa alcalina </w:t>
            </w:r>
          </w:p>
        </w:tc>
        <w:tc>
          <w:tcPr>
            <w:tcW w:w="3096" w:type="dxa"/>
            <w:shd w:val="clear" w:color="auto" w:fill="auto"/>
          </w:tcPr>
          <w:p w14:paraId="47A11023" w14:textId="77777777" w:rsidR="00CA66E4" w:rsidRPr="00D05C05" w:rsidRDefault="009042C2" w:rsidP="009042C2">
            <w:pPr>
              <w:pStyle w:val="Text"/>
              <w:rPr>
                <w:rFonts w:ascii="Times New Roman" w:hAnsi="Times New Roman"/>
                <w:szCs w:val="22"/>
                <w:lang w:val="es-ES"/>
              </w:rPr>
            </w:pPr>
            <w:r w:rsidRPr="00D05C05">
              <w:rPr>
                <w:rFonts w:ascii="Times New Roman" w:hAnsi="Times New Roman"/>
                <w:szCs w:val="22"/>
                <w:lang w:val="es-ES"/>
              </w:rPr>
              <w:t>Poco frecuentes</w:t>
            </w:r>
          </w:p>
        </w:tc>
      </w:tr>
    </w:tbl>
    <w:p w14:paraId="3417C8EA" w14:textId="77777777" w:rsidR="00BB1609" w:rsidRPr="00D05C05" w:rsidRDefault="00BB1609" w:rsidP="00BB1609">
      <w:pPr>
        <w:pStyle w:val="Text"/>
        <w:spacing w:line="240" w:lineRule="auto"/>
        <w:rPr>
          <w:rFonts w:ascii="Times New Roman" w:hAnsi="Times New Roman"/>
          <w:szCs w:val="22"/>
          <w:lang w:val="es-ES"/>
        </w:rPr>
      </w:pPr>
      <w:r w:rsidRPr="00D05C05">
        <w:rPr>
          <w:rFonts w:ascii="Times New Roman" w:hAnsi="Times New Roman"/>
          <w:szCs w:val="22"/>
          <w:lang w:val="es-ES"/>
        </w:rPr>
        <w:t>*Se han notificado casos graves de calambres o dolor de espalda transcurridos unos minutos después de la inyección.</w:t>
      </w:r>
    </w:p>
    <w:p w14:paraId="0F839A6B" w14:textId="77777777" w:rsidR="00693925" w:rsidRDefault="00693925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"/>
        </w:rPr>
      </w:pPr>
    </w:p>
    <w:p w14:paraId="46C7B371" w14:textId="77777777" w:rsidR="00E43537" w:rsidRDefault="00E43537" w:rsidP="00FC5464">
      <w:pPr>
        <w:rPr>
          <w:sz w:val="22"/>
          <w:szCs w:val="22"/>
          <w:u w:val="single"/>
        </w:rPr>
      </w:pPr>
      <w:r w:rsidRPr="00E43537">
        <w:rPr>
          <w:sz w:val="22"/>
          <w:szCs w:val="22"/>
          <w:u w:val="single"/>
        </w:rPr>
        <w:t>Descripción de las reacciones adversas</w:t>
      </w:r>
    </w:p>
    <w:p w14:paraId="763BD535" w14:textId="77777777" w:rsidR="00EC399F" w:rsidRPr="00E43537" w:rsidRDefault="00EC399F" w:rsidP="00FC5464">
      <w:pPr>
        <w:rPr>
          <w:sz w:val="22"/>
          <w:szCs w:val="22"/>
          <w:u w:val="single"/>
        </w:rPr>
      </w:pPr>
    </w:p>
    <w:p w14:paraId="706F4651" w14:textId="77777777" w:rsidR="0052453A" w:rsidRPr="00FC5464" w:rsidRDefault="0052453A" w:rsidP="00FC5464">
      <w:r w:rsidRPr="00FC5464">
        <w:rPr>
          <w:sz w:val="22"/>
          <w:szCs w:val="22"/>
        </w:rPr>
        <w:t>En</w:t>
      </w:r>
      <w:r w:rsidR="00FC5464" w:rsidRPr="00FC5464">
        <w:rPr>
          <w:sz w:val="22"/>
          <w:szCs w:val="22"/>
        </w:rPr>
        <w:t xml:space="preserve"> los</w:t>
      </w:r>
      <w:r w:rsidRPr="00FC5464">
        <w:rPr>
          <w:sz w:val="22"/>
          <w:szCs w:val="22"/>
        </w:rPr>
        <w:t xml:space="preserve"> ensayos clínicos </w:t>
      </w:r>
      <w:r w:rsidR="00FC5464" w:rsidRPr="00FC5464">
        <w:rPr>
          <w:sz w:val="22"/>
          <w:szCs w:val="22"/>
        </w:rPr>
        <w:t xml:space="preserve">las siguientes reacciones adversas fueron notificadas con una diferencia de frecuencia ≥ 1% comparado con placebo: </w:t>
      </w:r>
      <w:r w:rsidR="00E43537">
        <w:rPr>
          <w:sz w:val="22"/>
          <w:szCs w:val="22"/>
        </w:rPr>
        <w:t>v</w:t>
      </w:r>
      <w:r w:rsidR="00FC5464" w:rsidRPr="00FC5464">
        <w:rPr>
          <w:sz w:val="22"/>
          <w:szCs w:val="22"/>
        </w:rPr>
        <w:t>értigo, náusea</w:t>
      </w:r>
      <w:r w:rsidR="002C4E38">
        <w:rPr>
          <w:sz w:val="22"/>
          <w:szCs w:val="22"/>
        </w:rPr>
        <w:t>s</w:t>
      </w:r>
      <w:r w:rsidR="00FC5464" w:rsidRPr="00FC5464">
        <w:rPr>
          <w:sz w:val="22"/>
          <w:szCs w:val="22"/>
        </w:rPr>
        <w:t>, dolor en las extremidades, mareo, depresión, disnea</w:t>
      </w:r>
      <w:r w:rsidR="002C4E38">
        <w:rPr>
          <w:sz w:val="22"/>
          <w:szCs w:val="22"/>
        </w:rPr>
        <w:t>.</w:t>
      </w:r>
    </w:p>
    <w:p w14:paraId="77E97933" w14:textId="77777777" w:rsidR="00693925" w:rsidRDefault="00693925" w:rsidP="00E84F80">
      <w:pPr>
        <w:rPr>
          <w:sz w:val="22"/>
          <w:lang w:val="es-ES_tradnl"/>
        </w:rPr>
      </w:pPr>
    </w:p>
    <w:p w14:paraId="52DB8965" w14:textId="77777777" w:rsidR="00693925" w:rsidRDefault="002E6886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>Teriparatida</w:t>
      </w:r>
      <w:r w:rsidR="00693925">
        <w:rPr>
          <w:sz w:val="22"/>
          <w:lang w:val="es-ES_tradnl"/>
        </w:rPr>
        <w:t xml:space="preserve"> aumenta las concentraciones séricas de ácido úrico. En ensayos clínicos, 2,8% de los pacientes tratados con </w:t>
      </w:r>
      <w:r>
        <w:rPr>
          <w:sz w:val="22"/>
          <w:lang w:val="es-ES_tradnl"/>
        </w:rPr>
        <w:t>teriparatida</w:t>
      </w:r>
      <w:r w:rsidR="00693925">
        <w:rPr>
          <w:sz w:val="22"/>
          <w:lang w:val="es-ES_tradnl"/>
        </w:rPr>
        <w:t xml:space="preserve"> tuvieron concentraciones séricas de ácido úrico por encima del límite superior de la normalidad en comparación con el 0,7% para los pacientes tratados con placebo. Sin embargo, la hiperuricemia no produjo un aumento de gota, artralgia o urolitiasis.</w:t>
      </w:r>
    </w:p>
    <w:p w14:paraId="4B32C8DF" w14:textId="77777777" w:rsidR="00CB4597" w:rsidRPr="00CB4597" w:rsidRDefault="00CB4597" w:rsidP="00E84F80">
      <w:pPr>
        <w:rPr>
          <w:sz w:val="22"/>
        </w:rPr>
      </w:pPr>
    </w:p>
    <w:p w14:paraId="76510367" w14:textId="77777777" w:rsidR="00693925" w:rsidRDefault="00693925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En un ensayo clínico grande, se detectaron anticuerpos que producían una reacción cruzada con teriparatida en un 2,8% de las mujeres que recibieron </w:t>
      </w:r>
      <w:r w:rsidR="002E6886">
        <w:rPr>
          <w:rFonts w:ascii="Times New Roman" w:hAnsi="Times New Roman"/>
          <w:lang w:val="es-ES_tradnl"/>
        </w:rPr>
        <w:t>teriparatida</w:t>
      </w:r>
      <w:r>
        <w:rPr>
          <w:rFonts w:ascii="Times New Roman" w:hAnsi="Times New Roman"/>
          <w:lang w:val="es-ES_tradnl"/>
        </w:rPr>
        <w:t xml:space="preserve">. Generalmente, los anticuerpos se detectaron por primera vez después de 12 meses de tratamiento y disminuyeron después de la retirada del tratamiento. No hubo evidencia de reacciones de hipersensibilidad, reacciones alérgicas, efectos sobre el calcio sérico o efectos en la respuesta de </w:t>
      </w:r>
      <w:smartTag w:uri="urn:schemas-microsoft-com:office:smarttags" w:element="PersonName">
        <w:smartTagPr>
          <w:attr w:name="ProductID" w:val="la Densidad Mineral"/>
        </w:smartTagPr>
        <w:r>
          <w:rPr>
            <w:rFonts w:ascii="Times New Roman" w:hAnsi="Times New Roman"/>
            <w:lang w:val="es-ES_tradnl"/>
          </w:rPr>
          <w:t xml:space="preserve">la </w:t>
        </w:r>
        <w:r w:rsidR="00E43537">
          <w:rPr>
            <w:rFonts w:ascii="Times New Roman" w:hAnsi="Times New Roman"/>
            <w:lang w:val="es-ES_tradnl"/>
          </w:rPr>
          <w:t>Densidad Mineral</w:t>
        </w:r>
      </w:smartTag>
      <w:r w:rsidR="00E43537">
        <w:rPr>
          <w:rFonts w:ascii="Times New Roman" w:hAnsi="Times New Roman"/>
          <w:lang w:val="es-ES_tradnl"/>
        </w:rPr>
        <w:t xml:space="preserve"> Ósea (</w:t>
      </w:r>
      <w:r>
        <w:rPr>
          <w:rFonts w:ascii="Times New Roman" w:hAnsi="Times New Roman"/>
          <w:lang w:val="es-ES_tradnl"/>
        </w:rPr>
        <w:t>DMO</w:t>
      </w:r>
      <w:r w:rsidR="00E43537">
        <w:rPr>
          <w:rFonts w:ascii="Times New Roman" w:hAnsi="Times New Roman"/>
          <w:lang w:val="es-ES_tradnl"/>
        </w:rPr>
        <w:t>)</w:t>
      </w:r>
      <w:r>
        <w:rPr>
          <w:rFonts w:ascii="Times New Roman" w:hAnsi="Times New Roman"/>
          <w:lang w:val="es-ES_tradnl"/>
        </w:rPr>
        <w:t>.</w:t>
      </w:r>
    </w:p>
    <w:p w14:paraId="1CFC71F1" w14:textId="77777777" w:rsidR="004A73AB" w:rsidRDefault="004A73AB" w:rsidP="00E84F80">
      <w:pPr>
        <w:rPr>
          <w:b/>
          <w:sz w:val="22"/>
          <w:szCs w:val="22"/>
          <w:lang w:val="es-ES_tradnl"/>
        </w:rPr>
      </w:pPr>
    </w:p>
    <w:p w14:paraId="1BABF734" w14:textId="77777777" w:rsidR="00816F54" w:rsidRDefault="00816F54" w:rsidP="00E84F80">
      <w:pPr>
        <w:rPr>
          <w:sz w:val="22"/>
          <w:szCs w:val="22"/>
          <w:u w:val="single"/>
          <w:lang w:val="es-ES_tradnl"/>
        </w:rPr>
      </w:pPr>
      <w:r w:rsidRPr="003B1F35">
        <w:rPr>
          <w:sz w:val="22"/>
          <w:szCs w:val="22"/>
          <w:u w:val="single"/>
          <w:lang w:val="es-ES_tradnl"/>
        </w:rPr>
        <w:t>Notificación de sospechas de reacciones adversa</w:t>
      </w:r>
      <w:r>
        <w:rPr>
          <w:sz w:val="22"/>
          <w:szCs w:val="22"/>
          <w:u w:val="single"/>
          <w:lang w:val="es-ES_tradnl"/>
        </w:rPr>
        <w:t>s</w:t>
      </w:r>
    </w:p>
    <w:p w14:paraId="2F3758C3" w14:textId="77777777" w:rsidR="00EC399F" w:rsidRDefault="00EC399F" w:rsidP="00E84F80">
      <w:pPr>
        <w:rPr>
          <w:sz w:val="22"/>
          <w:szCs w:val="22"/>
          <w:lang w:val="es-ES_tradnl"/>
        </w:rPr>
      </w:pPr>
    </w:p>
    <w:p w14:paraId="795506A1" w14:textId="66B7B249" w:rsidR="00DC7DC7" w:rsidRPr="005864DF" w:rsidRDefault="00DC7DC7" w:rsidP="00DC7DC7">
      <w:pPr>
        <w:rPr>
          <w:sz w:val="22"/>
          <w:szCs w:val="22"/>
        </w:rPr>
      </w:pPr>
      <w:r w:rsidRPr="00DC7DC7">
        <w:rPr>
          <w:sz w:val="22"/>
          <w:szCs w:val="22"/>
          <w:lang w:val="es-ES_tradnl"/>
        </w:rPr>
        <w:t xml:space="preserve">Es importante notificar sospechas de reacciones adversas al medicamento tras su autorización. Ello permite una supervisión continuada de la relación beneficio/riesgo del medicamento. Se invita a los profesionales sanitarios a notificar las sospechas de reacciones adversas a través del </w:t>
      </w:r>
      <w:r w:rsidRPr="00BD0030">
        <w:rPr>
          <w:sz w:val="22"/>
          <w:szCs w:val="22"/>
          <w:highlight w:val="lightGray"/>
          <w:lang w:val="pt-PT"/>
        </w:rPr>
        <w:t xml:space="preserve">sistema nacional de notificación incluido en el </w:t>
      </w:r>
      <w:r w:rsidR="005864DF" w:rsidRPr="00ED7C2F">
        <w:rPr>
          <w:rStyle w:val="Hipervnculo1"/>
          <w:highlight w:val="lightGray"/>
          <w:lang w:eastAsia="es-ES" w:bidi="es-ES"/>
        </w:rPr>
        <w:t>Apéndice V</w:t>
      </w:r>
      <w:r w:rsidRPr="005864DF">
        <w:rPr>
          <w:sz w:val="22"/>
          <w:szCs w:val="22"/>
        </w:rPr>
        <w:t>.</w:t>
      </w:r>
    </w:p>
    <w:p w14:paraId="4DEC4DDE" w14:textId="77777777" w:rsidR="00693925" w:rsidRDefault="00693925" w:rsidP="00EB544D">
      <w:pPr>
        <w:keepNext/>
        <w:widowControl w:val="0"/>
        <w:rPr>
          <w:sz w:val="22"/>
          <w:lang w:val="es-ES_tradnl"/>
        </w:rPr>
      </w:pPr>
      <w:r>
        <w:rPr>
          <w:b/>
          <w:sz w:val="22"/>
          <w:lang w:val="es-ES_tradnl"/>
        </w:rPr>
        <w:lastRenderedPageBreak/>
        <w:t>4.9</w:t>
      </w:r>
      <w:r>
        <w:rPr>
          <w:b/>
          <w:sz w:val="22"/>
          <w:lang w:val="es-ES_tradnl"/>
        </w:rPr>
        <w:tab/>
        <w:t>Sobredosis</w:t>
      </w:r>
    </w:p>
    <w:p w14:paraId="7D740F64" w14:textId="77777777" w:rsidR="00693925" w:rsidRDefault="00693925" w:rsidP="00EB544D">
      <w:pPr>
        <w:keepNext/>
        <w:widowControl w:val="0"/>
        <w:rPr>
          <w:sz w:val="22"/>
          <w:lang w:val="es-ES_tradnl"/>
        </w:rPr>
      </w:pPr>
    </w:p>
    <w:p w14:paraId="687F760C" w14:textId="77777777" w:rsidR="00693925" w:rsidRDefault="00693925" w:rsidP="00EF0F91">
      <w:pPr>
        <w:keepNext/>
        <w:rPr>
          <w:spacing w:val="-3"/>
          <w:sz w:val="22"/>
          <w:u w:val="single"/>
          <w:lang w:val="es-ES_tradnl"/>
        </w:rPr>
      </w:pPr>
      <w:r w:rsidRPr="00E43537">
        <w:rPr>
          <w:spacing w:val="-3"/>
          <w:sz w:val="22"/>
          <w:u w:val="single"/>
          <w:lang w:val="es-ES_tradnl"/>
        </w:rPr>
        <w:t>Signos y síntomas</w:t>
      </w:r>
    </w:p>
    <w:p w14:paraId="7CE09AF9" w14:textId="77777777" w:rsidR="00EC399F" w:rsidRPr="00E43537" w:rsidRDefault="00EC399F" w:rsidP="00EF0F91">
      <w:pPr>
        <w:keepNext/>
        <w:rPr>
          <w:spacing w:val="-3"/>
          <w:sz w:val="22"/>
          <w:u w:val="single"/>
          <w:lang w:val="es-ES_tradnl"/>
        </w:rPr>
      </w:pPr>
    </w:p>
    <w:p w14:paraId="4FA642E2" w14:textId="77777777" w:rsidR="00693925" w:rsidRDefault="00C1545E" w:rsidP="00EF0F91">
      <w:pPr>
        <w:keepNext/>
        <w:rPr>
          <w:spacing w:val="-3"/>
          <w:sz w:val="22"/>
          <w:lang w:val="es-ES_tradnl"/>
        </w:rPr>
      </w:pPr>
      <w:r>
        <w:rPr>
          <w:sz w:val="22"/>
          <w:lang w:val="es-ES_tradnl"/>
        </w:rPr>
        <w:t>Teriparatida</w:t>
      </w:r>
      <w:r w:rsidR="00693925">
        <w:rPr>
          <w:spacing w:val="-3"/>
          <w:sz w:val="22"/>
          <w:lang w:val="es-ES_tradnl"/>
        </w:rPr>
        <w:t xml:space="preserve"> se ha administrado en dosis únicas de hasta 100 microgramos y en dosis repetidas de hasta 60 microgramos/día durante 6 semanas.</w:t>
      </w:r>
    </w:p>
    <w:p w14:paraId="3860BED4" w14:textId="77777777" w:rsidR="00693925" w:rsidRDefault="00693925" w:rsidP="00E84F80">
      <w:pPr>
        <w:rPr>
          <w:spacing w:val="-3"/>
          <w:sz w:val="22"/>
          <w:lang w:val="es-ES_tradnl"/>
        </w:rPr>
      </w:pPr>
    </w:p>
    <w:p w14:paraId="7285A5FA" w14:textId="77777777" w:rsidR="00693925" w:rsidRDefault="00693925" w:rsidP="00E84F80">
      <w:pPr>
        <w:rPr>
          <w:spacing w:val="-3"/>
          <w:sz w:val="22"/>
          <w:lang w:val="es-ES_tradnl"/>
        </w:rPr>
      </w:pPr>
      <w:r>
        <w:rPr>
          <w:spacing w:val="-3"/>
          <w:sz w:val="22"/>
          <w:lang w:val="es-ES_tradnl"/>
        </w:rPr>
        <w:t>Los efectos que se pueden producir en caso de sobredosis incluyen hipercalcemia tardía y riesgo de hipotensión ortostática. También se pueden producir náuseas, vómitos, mareos y cefaleas.</w:t>
      </w:r>
    </w:p>
    <w:p w14:paraId="0C3D554B" w14:textId="77777777" w:rsidR="00693925" w:rsidRDefault="00693925" w:rsidP="00E84F80">
      <w:pPr>
        <w:rPr>
          <w:spacing w:val="-3"/>
          <w:sz w:val="22"/>
          <w:lang w:val="es-ES_tradnl"/>
        </w:rPr>
      </w:pPr>
    </w:p>
    <w:p w14:paraId="27FDE042" w14:textId="77777777" w:rsidR="00693925" w:rsidRDefault="00693925" w:rsidP="00E84F80">
      <w:pPr>
        <w:rPr>
          <w:iCs/>
          <w:spacing w:val="-3"/>
          <w:sz w:val="22"/>
          <w:u w:val="single"/>
          <w:lang w:val="es-ES_tradnl"/>
        </w:rPr>
      </w:pPr>
      <w:r w:rsidRPr="00E43537">
        <w:rPr>
          <w:iCs/>
          <w:spacing w:val="-3"/>
          <w:sz w:val="22"/>
          <w:u w:val="single"/>
          <w:lang w:val="es-ES_tradnl"/>
        </w:rPr>
        <w:t xml:space="preserve">Experiencia en </w:t>
      </w:r>
      <w:r w:rsidR="00203895" w:rsidRPr="00E43537">
        <w:rPr>
          <w:iCs/>
          <w:spacing w:val="-3"/>
          <w:sz w:val="22"/>
          <w:u w:val="single"/>
          <w:lang w:val="es-ES_tradnl"/>
        </w:rPr>
        <w:t xml:space="preserve">sobredosis </w:t>
      </w:r>
      <w:r w:rsidRPr="00E43537">
        <w:rPr>
          <w:iCs/>
          <w:spacing w:val="-3"/>
          <w:sz w:val="22"/>
          <w:u w:val="single"/>
          <w:lang w:val="es-ES_tradnl"/>
        </w:rPr>
        <w:t xml:space="preserve">basada en las </w:t>
      </w:r>
      <w:r w:rsidR="009516F6" w:rsidRPr="00E43537">
        <w:rPr>
          <w:iCs/>
          <w:spacing w:val="-3"/>
          <w:sz w:val="22"/>
          <w:u w:val="single"/>
          <w:lang w:val="es-ES_tradnl"/>
        </w:rPr>
        <w:t xml:space="preserve">notificaciones </w:t>
      </w:r>
      <w:r w:rsidRPr="00E43537">
        <w:rPr>
          <w:iCs/>
          <w:spacing w:val="-3"/>
          <w:sz w:val="22"/>
          <w:u w:val="single"/>
          <w:lang w:val="es-ES_tradnl"/>
        </w:rPr>
        <w:t>espontáneas después de la comercialización</w:t>
      </w:r>
    </w:p>
    <w:p w14:paraId="51911ECA" w14:textId="77777777" w:rsidR="00EC399F" w:rsidRDefault="00EC399F" w:rsidP="00E84F80">
      <w:pPr>
        <w:rPr>
          <w:i/>
          <w:iCs/>
          <w:spacing w:val="-3"/>
          <w:sz w:val="22"/>
          <w:lang w:val="es-ES_tradnl"/>
        </w:rPr>
      </w:pPr>
    </w:p>
    <w:p w14:paraId="47570AEB" w14:textId="77777777" w:rsidR="00693925" w:rsidRDefault="00693925" w:rsidP="00E84F80">
      <w:pPr>
        <w:rPr>
          <w:spacing w:val="-3"/>
          <w:sz w:val="22"/>
          <w:lang w:val="es-ES_tradnl"/>
        </w:rPr>
      </w:pPr>
      <w:r>
        <w:rPr>
          <w:spacing w:val="-3"/>
          <w:sz w:val="22"/>
          <w:lang w:val="es-ES_tradnl"/>
        </w:rPr>
        <w:t xml:space="preserve">En las </w:t>
      </w:r>
      <w:r w:rsidR="0054615D">
        <w:rPr>
          <w:spacing w:val="-3"/>
          <w:sz w:val="22"/>
          <w:lang w:val="es-ES_tradnl"/>
        </w:rPr>
        <w:t xml:space="preserve">notificaciones </w:t>
      </w:r>
      <w:r>
        <w:rPr>
          <w:spacing w:val="-3"/>
          <w:sz w:val="22"/>
          <w:lang w:val="es-ES_tradnl"/>
        </w:rPr>
        <w:t>espontáneas después de la comercialización se han producido casos en los que por error se administró la totalidad del contenido de la pluma de teriparatida como única dosis (hasta 800 </w:t>
      </w:r>
      <w:r w:rsidR="00E43537">
        <w:rPr>
          <w:spacing w:val="-3"/>
          <w:sz w:val="22"/>
          <w:lang w:val="es-ES_tradnl"/>
        </w:rPr>
        <w:t>µg</w:t>
      </w:r>
      <w:r>
        <w:rPr>
          <w:spacing w:val="-3"/>
          <w:sz w:val="22"/>
          <w:lang w:val="es-ES_tradnl"/>
        </w:rPr>
        <w:t xml:space="preserve">). Se </w:t>
      </w:r>
      <w:r w:rsidR="0054615D">
        <w:rPr>
          <w:spacing w:val="-3"/>
          <w:sz w:val="22"/>
          <w:lang w:val="es-ES_tradnl"/>
        </w:rPr>
        <w:t xml:space="preserve">notificaron </w:t>
      </w:r>
      <w:r>
        <w:rPr>
          <w:spacing w:val="-3"/>
          <w:sz w:val="22"/>
          <w:lang w:val="es-ES_tradnl"/>
        </w:rPr>
        <w:t xml:space="preserve">efectos transitorios, que incluyen náuseas, debilidad/letargo e hipotensión. En algunos casos, no se han producido </w:t>
      </w:r>
      <w:r w:rsidR="0054615D">
        <w:rPr>
          <w:spacing w:val="-3"/>
          <w:sz w:val="22"/>
          <w:lang w:val="es-ES_tradnl"/>
        </w:rPr>
        <w:t>reacciones ad</w:t>
      </w:r>
      <w:r w:rsidR="00996AD9">
        <w:rPr>
          <w:spacing w:val="-3"/>
          <w:sz w:val="22"/>
          <w:lang w:val="es-ES_tradnl"/>
        </w:rPr>
        <w:t>versas</w:t>
      </w:r>
      <w:r>
        <w:rPr>
          <w:spacing w:val="-3"/>
          <w:sz w:val="22"/>
          <w:lang w:val="es-ES_tradnl"/>
        </w:rPr>
        <w:t xml:space="preserve"> como resultado de la sobredosis. No se ha </w:t>
      </w:r>
      <w:r w:rsidR="0054615D">
        <w:rPr>
          <w:spacing w:val="-3"/>
          <w:sz w:val="22"/>
          <w:lang w:val="es-ES_tradnl"/>
        </w:rPr>
        <w:t xml:space="preserve">notificado </w:t>
      </w:r>
      <w:r>
        <w:rPr>
          <w:spacing w:val="-3"/>
          <w:sz w:val="22"/>
          <w:lang w:val="es-ES_tradnl"/>
        </w:rPr>
        <w:t>ningún desenlace fatal asociado con la sobredosis.</w:t>
      </w:r>
    </w:p>
    <w:p w14:paraId="714AA38C" w14:textId="77777777" w:rsidR="00693925" w:rsidRDefault="00693925" w:rsidP="00E84F80">
      <w:pPr>
        <w:rPr>
          <w:spacing w:val="-3"/>
          <w:sz w:val="22"/>
          <w:lang w:val="es-ES_tradnl"/>
        </w:rPr>
      </w:pPr>
    </w:p>
    <w:p w14:paraId="57712B51" w14:textId="77777777" w:rsidR="00693925" w:rsidRDefault="00693925" w:rsidP="00E84F80">
      <w:pPr>
        <w:rPr>
          <w:spacing w:val="-3"/>
          <w:sz w:val="22"/>
          <w:u w:val="single"/>
          <w:lang w:val="es-ES_tradnl"/>
        </w:rPr>
      </w:pPr>
      <w:r w:rsidRPr="00E43537">
        <w:rPr>
          <w:spacing w:val="-3"/>
          <w:sz w:val="22"/>
          <w:u w:val="single"/>
          <w:lang w:val="es-ES_tradnl"/>
        </w:rPr>
        <w:t>Tratamiento de la sobredosis</w:t>
      </w:r>
    </w:p>
    <w:p w14:paraId="2B97AD33" w14:textId="77777777" w:rsidR="00EC399F" w:rsidRPr="00E43537" w:rsidRDefault="00EC399F" w:rsidP="00E84F80">
      <w:pPr>
        <w:rPr>
          <w:spacing w:val="-3"/>
          <w:sz w:val="22"/>
          <w:u w:val="single"/>
          <w:lang w:val="es-ES_tradnl"/>
        </w:rPr>
      </w:pPr>
    </w:p>
    <w:p w14:paraId="74DC5125" w14:textId="77777777" w:rsidR="00693925" w:rsidRDefault="00693925" w:rsidP="00E84F80">
      <w:pPr>
        <w:rPr>
          <w:sz w:val="22"/>
          <w:lang w:val="es-ES_tradnl"/>
        </w:rPr>
      </w:pPr>
      <w:r>
        <w:rPr>
          <w:spacing w:val="-3"/>
          <w:sz w:val="22"/>
          <w:lang w:val="es-ES_tradnl"/>
        </w:rPr>
        <w:t xml:space="preserve">No existe un antídoto específico para </w:t>
      </w:r>
      <w:r w:rsidR="00C1545E">
        <w:rPr>
          <w:spacing w:val="-3"/>
          <w:sz w:val="22"/>
          <w:lang w:val="es-ES_tradnl"/>
        </w:rPr>
        <w:t>teriparatida</w:t>
      </w:r>
      <w:r>
        <w:rPr>
          <w:sz w:val="22"/>
          <w:lang w:val="es-ES_tradnl"/>
        </w:rPr>
        <w:t xml:space="preserve">. </w:t>
      </w:r>
      <w:r w:rsidR="007B1371">
        <w:rPr>
          <w:sz w:val="22"/>
          <w:lang w:val="es-ES_tradnl"/>
        </w:rPr>
        <w:t>Si se sospecha de una sobredosis, e</w:t>
      </w:r>
      <w:r>
        <w:rPr>
          <w:sz w:val="22"/>
          <w:lang w:val="es-ES_tradnl"/>
        </w:rPr>
        <w:t xml:space="preserve">l tratamiento debe incluir la suspensión transitoria de </w:t>
      </w:r>
      <w:r w:rsidR="00C1545E">
        <w:rPr>
          <w:sz w:val="22"/>
          <w:lang w:val="es-ES_tradnl"/>
        </w:rPr>
        <w:t>teriparatida</w:t>
      </w:r>
      <w:r>
        <w:rPr>
          <w:sz w:val="22"/>
          <w:lang w:val="es-ES_tradnl"/>
        </w:rPr>
        <w:t>, monitorización del calcio sérico y la instauración de medidas de soporte adecuadas, como la hidratación.</w:t>
      </w:r>
    </w:p>
    <w:p w14:paraId="4321ED8E" w14:textId="77777777" w:rsidR="00693925" w:rsidRDefault="00693925" w:rsidP="00E84F80">
      <w:pPr>
        <w:rPr>
          <w:sz w:val="22"/>
          <w:lang w:val="es-ES_tradnl"/>
        </w:rPr>
      </w:pPr>
    </w:p>
    <w:p w14:paraId="07A336D5" w14:textId="77777777" w:rsidR="00693925" w:rsidRDefault="00693925" w:rsidP="00E84F80">
      <w:pPr>
        <w:rPr>
          <w:sz w:val="22"/>
          <w:lang w:val="es-ES_tradnl"/>
        </w:rPr>
      </w:pPr>
    </w:p>
    <w:p w14:paraId="1B7B3F7B" w14:textId="77777777" w:rsidR="00693925" w:rsidRDefault="00693925" w:rsidP="00DC37FA">
      <w:pPr>
        <w:keepNext/>
        <w:widowControl w:val="0"/>
        <w:ind w:left="567" w:hanging="567"/>
        <w:rPr>
          <w:caps/>
          <w:sz w:val="22"/>
          <w:lang w:val="es-ES_tradnl"/>
        </w:rPr>
      </w:pPr>
      <w:r>
        <w:rPr>
          <w:b/>
          <w:caps/>
          <w:sz w:val="22"/>
          <w:lang w:val="es-ES_tradnl"/>
        </w:rPr>
        <w:t>5.</w:t>
      </w:r>
      <w:r>
        <w:rPr>
          <w:b/>
          <w:caps/>
          <w:sz w:val="22"/>
          <w:lang w:val="es-ES_tradnl"/>
        </w:rPr>
        <w:tab/>
      </w:r>
      <w:r>
        <w:rPr>
          <w:b/>
          <w:sz w:val="22"/>
          <w:lang w:val="es-ES_tradnl"/>
        </w:rPr>
        <w:t>PROPIEDADES FARMACOLÓGICAS</w:t>
      </w:r>
    </w:p>
    <w:p w14:paraId="623F0AB4" w14:textId="77777777" w:rsidR="00693925" w:rsidRDefault="00693925" w:rsidP="00EB544D">
      <w:pPr>
        <w:keepNext/>
        <w:widowControl w:val="0"/>
        <w:rPr>
          <w:sz w:val="22"/>
          <w:lang w:val="es-ES_tradnl"/>
        </w:rPr>
      </w:pPr>
    </w:p>
    <w:p w14:paraId="278A7E00" w14:textId="77777777" w:rsidR="00693925" w:rsidRDefault="00693925" w:rsidP="00DC37FA">
      <w:pPr>
        <w:keepNext/>
        <w:ind w:left="567" w:hanging="567"/>
        <w:rPr>
          <w:sz w:val="22"/>
          <w:lang w:val="es-ES_tradnl"/>
        </w:rPr>
      </w:pPr>
      <w:r>
        <w:rPr>
          <w:b/>
          <w:sz w:val="22"/>
          <w:lang w:val="es-ES_tradnl"/>
        </w:rPr>
        <w:t>5.1</w:t>
      </w:r>
      <w:r>
        <w:rPr>
          <w:b/>
          <w:sz w:val="22"/>
          <w:lang w:val="es-ES_tradnl"/>
        </w:rPr>
        <w:tab/>
        <w:t>Propiedades farmacodinámicas</w:t>
      </w:r>
    </w:p>
    <w:p w14:paraId="07107AFA" w14:textId="77777777" w:rsidR="00693925" w:rsidRDefault="00693925" w:rsidP="00EB544D">
      <w:pPr>
        <w:keepNext/>
        <w:rPr>
          <w:sz w:val="22"/>
          <w:lang w:val="es-ES_tradnl"/>
        </w:rPr>
      </w:pPr>
    </w:p>
    <w:p w14:paraId="1E4A8C68" w14:textId="77777777" w:rsidR="00693925" w:rsidRDefault="00693925" w:rsidP="00E84F80">
      <w:pPr>
        <w:rPr>
          <w:sz w:val="22"/>
          <w:lang w:val="es-ES_tradnl"/>
        </w:rPr>
      </w:pPr>
      <w:r w:rsidRPr="00FC5464">
        <w:rPr>
          <w:sz w:val="22"/>
          <w:szCs w:val="22"/>
          <w:lang w:val="es-ES_tradnl"/>
        </w:rPr>
        <w:t>Grupo farmacoterapéutico</w:t>
      </w:r>
      <w:r w:rsidR="00FC5464" w:rsidRPr="00FC5464">
        <w:rPr>
          <w:sz w:val="22"/>
          <w:szCs w:val="22"/>
          <w:lang w:val="es-ES_tradnl"/>
        </w:rPr>
        <w:t xml:space="preserve">: </w:t>
      </w:r>
      <w:r w:rsidR="00E43537">
        <w:rPr>
          <w:sz w:val="22"/>
          <w:szCs w:val="22"/>
          <w:lang w:val="es-ES_tradnl"/>
        </w:rPr>
        <w:t xml:space="preserve">Homeostasis del calcio, </w:t>
      </w:r>
      <w:r w:rsidR="00FC5464" w:rsidRPr="00FC5464">
        <w:rPr>
          <w:sz w:val="22"/>
          <w:szCs w:val="22"/>
          <w:lang w:val="es-ES_tradnl"/>
        </w:rPr>
        <w:t>horm</w:t>
      </w:r>
      <w:r w:rsidR="00D15191">
        <w:rPr>
          <w:sz w:val="22"/>
          <w:szCs w:val="22"/>
          <w:lang w:val="es-ES_tradnl"/>
        </w:rPr>
        <w:t>o</w:t>
      </w:r>
      <w:r w:rsidR="00FC5464" w:rsidRPr="00FC5464">
        <w:rPr>
          <w:sz w:val="22"/>
          <w:szCs w:val="22"/>
          <w:lang w:val="es-ES_tradnl"/>
        </w:rPr>
        <w:t>n</w:t>
      </w:r>
      <w:r w:rsidR="00D15191">
        <w:rPr>
          <w:sz w:val="22"/>
          <w:szCs w:val="22"/>
          <w:lang w:val="es-ES_tradnl"/>
        </w:rPr>
        <w:t>a</w:t>
      </w:r>
      <w:r w:rsidR="00FC5464" w:rsidRPr="00FC5464">
        <w:rPr>
          <w:sz w:val="22"/>
          <w:szCs w:val="22"/>
          <w:lang w:val="es-ES_tradnl"/>
        </w:rPr>
        <w:t>s parat</w:t>
      </w:r>
      <w:r w:rsidR="007B1371">
        <w:rPr>
          <w:sz w:val="22"/>
          <w:szCs w:val="22"/>
          <w:lang w:val="es-ES_tradnl"/>
        </w:rPr>
        <w:t>ir</w:t>
      </w:r>
      <w:r w:rsidR="00FC5464" w:rsidRPr="00FC5464">
        <w:rPr>
          <w:sz w:val="22"/>
          <w:szCs w:val="22"/>
          <w:lang w:val="es-ES_tradnl"/>
        </w:rPr>
        <w:t>oideas y análogos, c</w:t>
      </w:r>
      <w:r w:rsidRPr="00FC5464">
        <w:rPr>
          <w:sz w:val="22"/>
          <w:szCs w:val="22"/>
          <w:lang w:val="es-ES_tradnl"/>
        </w:rPr>
        <w:t xml:space="preserve">ódigo ATC: </w:t>
      </w:r>
      <w:r w:rsidR="00FC5464" w:rsidRPr="00FC5464">
        <w:rPr>
          <w:rFonts w:eastAsia="MS Mincho"/>
          <w:sz w:val="22"/>
          <w:szCs w:val="22"/>
          <w:lang w:eastAsia="ja-JP"/>
        </w:rPr>
        <w:t>H05 AA0</w:t>
      </w:r>
      <w:r w:rsidR="005F28BB">
        <w:rPr>
          <w:rFonts w:eastAsia="MS Mincho"/>
          <w:sz w:val="22"/>
          <w:szCs w:val="22"/>
          <w:lang w:eastAsia="ja-JP"/>
        </w:rPr>
        <w:t>2</w:t>
      </w:r>
      <w:r>
        <w:rPr>
          <w:sz w:val="22"/>
          <w:lang w:val="es-ES_tradnl"/>
        </w:rPr>
        <w:t>.</w:t>
      </w:r>
    </w:p>
    <w:p w14:paraId="2CF9457A" w14:textId="77777777" w:rsidR="00693925" w:rsidRDefault="00693925" w:rsidP="00E84F80">
      <w:pPr>
        <w:rPr>
          <w:sz w:val="22"/>
          <w:lang w:val="es-ES_tradnl"/>
        </w:rPr>
      </w:pPr>
    </w:p>
    <w:p w14:paraId="71EB2F09" w14:textId="77777777" w:rsidR="00693925" w:rsidRDefault="00693925" w:rsidP="00E84F80">
      <w:pPr>
        <w:rPr>
          <w:sz w:val="22"/>
          <w:u w:val="single"/>
          <w:lang w:val="es-ES_tradnl"/>
        </w:rPr>
      </w:pPr>
      <w:r w:rsidRPr="00CA7B4F">
        <w:rPr>
          <w:sz w:val="22"/>
          <w:u w:val="single"/>
          <w:lang w:val="es-ES_tradnl"/>
        </w:rPr>
        <w:t>Mecanismo de acción</w:t>
      </w:r>
    </w:p>
    <w:p w14:paraId="667864AD" w14:textId="77777777" w:rsidR="00EC399F" w:rsidRPr="00CA7B4F" w:rsidRDefault="00EC399F" w:rsidP="00E84F80">
      <w:pPr>
        <w:rPr>
          <w:sz w:val="22"/>
          <w:u w:val="single"/>
          <w:lang w:val="es-ES_tradnl"/>
        </w:rPr>
      </w:pPr>
    </w:p>
    <w:p w14:paraId="33BB3D28" w14:textId="77777777" w:rsidR="00693925" w:rsidRDefault="00693925" w:rsidP="00E84F80">
      <w:pPr>
        <w:rPr>
          <w:snapToGrid w:val="0"/>
          <w:sz w:val="22"/>
          <w:lang w:val="es-ES_tradnl"/>
        </w:rPr>
      </w:pPr>
      <w:r>
        <w:rPr>
          <w:sz w:val="22"/>
          <w:lang w:val="es-ES_tradnl"/>
        </w:rPr>
        <w:t xml:space="preserve">La hormona paratiroidea endógena de 84 aminoácidos (PTH) es la reguladora principal del metabolismo del calcio y del fósforo en el hueso y </w:t>
      </w:r>
      <w:r w:rsidR="0054615D">
        <w:rPr>
          <w:sz w:val="22"/>
          <w:lang w:val="es-ES_tradnl"/>
        </w:rPr>
        <w:t xml:space="preserve">el </w:t>
      </w:r>
      <w:r>
        <w:rPr>
          <w:sz w:val="22"/>
          <w:lang w:val="es-ES_tradnl"/>
        </w:rPr>
        <w:t xml:space="preserve">riñón. </w:t>
      </w:r>
      <w:r w:rsidR="00C1545E">
        <w:rPr>
          <w:sz w:val="22"/>
          <w:lang w:val="es-ES_tradnl"/>
        </w:rPr>
        <w:t>Teriparatida</w:t>
      </w:r>
      <w:r>
        <w:rPr>
          <w:snapToGrid w:val="0"/>
          <w:sz w:val="22"/>
          <w:lang w:val="es-ES_tradnl"/>
        </w:rPr>
        <w:t xml:space="preserve"> (</w:t>
      </w:r>
      <w:proofErr w:type="spellStart"/>
      <w:r>
        <w:rPr>
          <w:snapToGrid w:val="0"/>
          <w:sz w:val="22"/>
          <w:lang w:val="es-ES_tradnl"/>
        </w:rPr>
        <w:t>rhPTH</w:t>
      </w:r>
      <w:proofErr w:type="spellEnd"/>
      <w:r>
        <w:rPr>
          <w:snapToGrid w:val="0"/>
          <w:sz w:val="22"/>
          <w:lang w:val="es-ES_tradnl"/>
        </w:rPr>
        <w:t>(1-34)) es el fragmento activo (1-34) de la hormona paratiroidea humana endógena.</w:t>
      </w:r>
      <w:r>
        <w:rPr>
          <w:sz w:val="22"/>
          <w:lang w:val="es-ES_tradnl"/>
        </w:rPr>
        <w:t xml:space="preserve"> Las acciones fisiológicas de </w:t>
      </w:r>
      <w:smartTag w:uri="urn:schemas-microsoft-com:office:smarttags" w:element="PersonName">
        <w:smartTagPr>
          <w:attr w:name="ProductID" w:val="la PTH"/>
        </w:smartTagPr>
        <w:r>
          <w:rPr>
            <w:sz w:val="22"/>
            <w:lang w:val="es-ES_tradnl"/>
          </w:rPr>
          <w:t>la PTH</w:t>
        </w:r>
      </w:smartTag>
      <w:r>
        <w:rPr>
          <w:sz w:val="22"/>
          <w:lang w:val="es-ES_tradnl"/>
        </w:rPr>
        <w:t xml:space="preserve"> incluyen la estimulación de la formación de hueso por efecto directo sobre las células formadoras de hueso (osteoblastos) aumentando indirectamente la absorción intestinal de calcio y aumentando en el riñón la reabsorción tubular de calcio y la excreción de fosfato.</w:t>
      </w:r>
      <w:r>
        <w:rPr>
          <w:snapToGrid w:val="0"/>
          <w:sz w:val="22"/>
          <w:lang w:val="es-ES_tradnl"/>
        </w:rPr>
        <w:t xml:space="preserve"> </w:t>
      </w:r>
    </w:p>
    <w:p w14:paraId="3125E81F" w14:textId="77777777" w:rsidR="00693925" w:rsidRDefault="00693925" w:rsidP="00E84F80">
      <w:pPr>
        <w:rPr>
          <w:sz w:val="22"/>
          <w:lang w:val="es-ES_tradnl"/>
        </w:rPr>
      </w:pPr>
    </w:p>
    <w:p w14:paraId="1646B6C5" w14:textId="77777777" w:rsidR="00693925" w:rsidRDefault="00693925" w:rsidP="00E84F80">
      <w:pPr>
        <w:rPr>
          <w:sz w:val="22"/>
          <w:u w:val="single"/>
          <w:lang w:val="es-ES_tradnl"/>
        </w:rPr>
      </w:pPr>
      <w:r w:rsidRPr="00CA7B4F">
        <w:rPr>
          <w:sz w:val="22"/>
          <w:u w:val="single"/>
          <w:lang w:val="es-ES_tradnl"/>
        </w:rPr>
        <w:t>Efectos farmacodinámicos</w:t>
      </w:r>
    </w:p>
    <w:p w14:paraId="31DE5E50" w14:textId="77777777" w:rsidR="00EC399F" w:rsidRPr="00CA7B4F" w:rsidRDefault="00EC399F" w:rsidP="00E84F80">
      <w:pPr>
        <w:rPr>
          <w:sz w:val="22"/>
          <w:u w:val="single"/>
          <w:lang w:val="es-ES_tradnl"/>
        </w:rPr>
      </w:pPr>
    </w:p>
    <w:p w14:paraId="3AD4E620" w14:textId="77777777" w:rsidR="00693925" w:rsidRDefault="00C1545E" w:rsidP="00E84F80">
      <w:pPr>
        <w:pStyle w:val="Text"/>
        <w:spacing w:before="0" w:line="240" w:lineRule="auto"/>
        <w:jc w:val="left"/>
        <w:rPr>
          <w:rFonts w:ascii="Times New Roman" w:hAnsi="Times New Roman"/>
          <w:snapToGrid w:val="0"/>
          <w:lang w:val="es-ES_tradnl"/>
        </w:rPr>
      </w:pPr>
      <w:r>
        <w:rPr>
          <w:rFonts w:ascii="Times New Roman" w:hAnsi="Times New Roman"/>
          <w:lang w:val="es-ES_tradnl"/>
        </w:rPr>
        <w:t>Teriparatida</w:t>
      </w:r>
      <w:r w:rsidR="00693925">
        <w:rPr>
          <w:rFonts w:ascii="Times New Roman" w:hAnsi="Times New Roman"/>
          <w:lang w:val="es-ES_tradnl"/>
        </w:rPr>
        <w:t xml:space="preserve"> </w:t>
      </w:r>
      <w:r w:rsidR="00693925">
        <w:rPr>
          <w:rFonts w:ascii="Times New Roman" w:hAnsi="Times New Roman"/>
          <w:snapToGrid w:val="0"/>
          <w:lang w:val="es-ES_tradnl"/>
        </w:rPr>
        <w:t xml:space="preserve">es un agente formador de hueso que se utiliza para el tratamiento de la osteoporosis. Los efectos de </w:t>
      </w:r>
      <w:r>
        <w:rPr>
          <w:rFonts w:ascii="Times New Roman" w:hAnsi="Times New Roman"/>
          <w:snapToGrid w:val="0"/>
          <w:lang w:val="es-ES_tradnl"/>
        </w:rPr>
        <w:t>teriparatida</w:t>
      </w:r>
      <w:r w:rsidR="00693925">
        <w:rPr>
          <w:rFonts w:ascii="Times New Roman" w:hAnsi="Times New Roman"/>
          <w:snapToGrid w:val="0"/>
          <w:lang w:val="es-ES_tradnl"/>
        </w:rPr>
        <w:t xml:space="preserve"> sobre el esqueleto dependen del patrón de exposición sistémica. La administración una vez al día de </w:t>
      </w:r>
      <w:r>
        <w:rPr>
          <w:rFonts w:ascii="Times New Roman" w:hAnsi="Times New Roman"/>
          <w:snapToGrid w:val="0"/>
          <w:lang w:val="es-ES_tradnl"/>
        </w:rPr>
        <w:t>teriparatida</w:t>
      </w:r>
      <w:r w:rsidR="00693925">
        <w:rPr>
          <w:rFonts w:ascii="Times New Roman" w:hAnsi="Times New Roman"/>
          <w:snapToGrid w:val="0"/>
          <w:lang w:val="es-ES_tradnl"/>
        </w:rPr>
        <w:t xml:space="preserve"> produce un aumento de la aposición de hueso nuevo en las superficies óseas trabecular y cortical al estimular en mayor medida la actividad osteoblástica sobre la actividad osteoclástica. </w:t>
      </w:r>
    </w:p>
    <w:p w14:paraId="148D22E8" w14:textId="77777777" w:rsidR="00693925" w:rsidRDefault="00693925" w:rsidP="00E84F80">
      <w:pPr>
        <w:rPr>
          <w:sz w:val="22"/>
          <w:lang w:val="es-ES_tradnl"/>
        </w:rPr>
      </w:pPr>
    </w:p>
    <w:p w14:paraId="0580EA7D" w14:textId="77777777" w:rsidR="00693925" w:rsidRPr="00CA7B4F" w:rsidRDefault="00693925" w:rsidP="00CA7B4F">
      <w:pPr>
        <w:keepNext/>
        <w:rPr>
          <w:sz w:val="22"/>
          <w:u w:val="single"/>
          <w:lang w:val="es-ES_tradnl"/>
        </w:rPr>
      </w:pPr>
      <w:r w:rsidRPr="00CA7B4F">
        <w:rPr>
          <w:sz w:val="22"/>
          <w:u w:val="single"/>
          <w:lang w:val="es-ES_tradnl"/>
        </w:rPr>
        <w:lastRenderedPageBreak/>
        <w:t>Eficacia clínic</w:t>
      </w:r>
      <w:r w:rsidR="00B25D49" w:rsidRPr="00CA7B4F">
        <w:rPr>
          <w:sz w:val="22"/>
          <w:u w:val="single"/>
          <w:lang w:val="es-ES_tradnl"/>
        </w:rPr>
        <w:t>a</w:t>
      </w:r>
    </w:p>
    <w:p w14:paraId="3DB06679" w14:textId="77777777" w:rsidR="004A73AB" w:rsidRDefault="004A73AB" w:rsidP="00CA7B4F">
      <w:pPr>
        <w:keepNext/>
        <w:rPr>
          <w:sz w:val="22"/>
          <w:lang w:val="es-ES_tradnl"/>
        </w:rPr>
      </w:pPr>
    </w:p>
    <w:p w14:paraId="3357F81D" w14:textId="77777777" w:rsidR="004A73AB" w:rsidRPr="00CA7B4F" w:rsidRDefault="004A73AB" w:rsidP="00CA7B4F">
      <w:pPr>
        <w:keepNext/>
        <w:rPr>
          <w:i/>
          <w:sz w:val="22"/>
          <w:lang w:val="es-ES_tradnl"/>
        </w:rPr>
      </w:pPr>
      <w:r w:rsidRPr="00CA7B4F">
        <w:rPr>
          <w:i/>
          <w:sz w:val="22"/>
          <w:lang w:val="es-ES_tradnl"/>
        </w:rPr>
        <w:t>Factores de riesgo</w:t>
      </w:r>
    </w:p>
    <w:p w14:paraId="50D6474D" w14:textId="77777777" w:rsidR="00B25D49" w:rsidRDefault="000E20E3" w:rsidP="00CA7B4F">
      <w:pPr>
        <w:keepNext/>
        <w:rPr>
          <w:sz w:val="22"/>
          <w:lang w:val="es-ES_tradnl"/>
        </w:rPr>
      </w:pPr>
      <w:r>
        <w:rPr>
          <w:sz w:val="22"/>
          <w:lang w:val="es-ES_tradnl"/>
        </w:rPr>
        <w:t>Se debe</w:t>
      </w:r>
      <w:r w:rsidR="0054615D">
        <w:rPr>
          <w:sz w:val="22"/>
          <w:lang w:val="es-ES_tradnl"/>
        </w:rPr>
        <w:t>n</w:t>
      </w:r>
      <w:r>
        <w:rPr>
          <w:sz w:val="22"/>
          <w:lang w:val="es-ES_tradnl"/>
        </w:rPr>
        <w:t xml:space="preserve"> considerar</w:t>
      </w:r>
      <w:r w:rsidR="005224D0">
        <w:rPr>
          <w:sz w:val="22"/>
          <w:lang w:val="es-ES_tradnl"/>
        </w:rPr>
        <w:t xml:space="preserve"> los</w:t>
      </w:r>
      <w:r>
        <w:rPr>
          <w:sz w:val="22"/>
          <w:lang w:val="es-ES_tradnl"/>
        </w:rPr>
        <w:t xml:space="preserve"> factores de riesgo independientes</w:t>
      </w:r>
      <w:r w:rsidR="007B1371">
        <w:rPr>
          <w:sz w:val="22"/>
          <w:lang w:val="es-ES_tradnl"/>
        </w:rPr>
        <w:t>,</w:t>
      </w:r>
      <w:r>
        <w:rPr>
          <w:sz w:val="22"/>
          <w:lang w:val="es-ES_tradnl"/>
        </w:rPr>
        <w:t xml:space="preserve"> como por ejemplo, DMO baja, edad, existencia de fracturas previas, historial familiar de fracturas de cadera, remodelado óseo alto e índice de masa corporal</w:t>
      </w:r>
      <w:r w:rsidRPr="000E20E3">
        <w:rPr>
          <w:sz w:val="22"/>
          <w:lang w:val="es-ES_tradnl"/>
        </w:rPr>
        <w:t xml:space="preserve"> </w:t>
      </w:r>
      <w:r>
        <w:rPr>
          <w:sz w:val="22"/>
          <w:lang w:val="es-ES_tradnl"/>
        </w:rPr>
        <w:t xml:space="preserve">bajo con el fin de identificar a las mujeres y a los hombres con </w:t>
      </w:r>
      <w:r w:rsidR="00B25D49">
        <w:rPr>
          <w:sz w:val="22"/>
          <w:lang w:val="es-ES_tradnl"/>
        </w:rPr>
        <w:t xml:space="preserve">riesgo incrementado de fracturas osteoporóticas </w:t>
      </w:r>
      <w:r>
        <w:rPr>
          <w:sz w:val="22"/>
          <w:lang w:val="es-ES_tradnl"/>
        </w:rPr>
        <w:t>y que se podrían</w:t>
      </w:r>
      <w:r w:rsidR="00B25D49">
        <w:rPr>
          <w:sz w:val="22"/>
          <w:lang w:val="es-ES_tradnl"/>
        </w:rPr>
        <w:t xml:space="preserve"> beneficiar </w:t>
      </w:r>
      <w:r>
        <w:rPr>
          <w:sz w:val="22"/>
          <w:lang w:val="es-ES_tradnl"/>
        </w:rPr>
        <w:t>de este tratamiento.</w:t>
      </w:r>
    </w:p>
    <w:p w14:paraId="477A3BD9" w14:textId="77777777" w:rsidR="000E20E3" w:rsidRDefault="000E20E3" w:rsidP="00E84F80">
      <w:pPr>
        <w:rPr>
          <w:sz w:val="22"/>
          <w:lang w:val="es-ES_tradnl"/>
        </w:rPr>
      </w:pPr>
    </w:p>
    <w:p w14:paraId="3756DCBC" w14:textId="77777777" w:rsidR="00D1049D" w:rsidRPr="00D1049D" w:rsidRDefault="00D1049D" w:rsidP="00D1049D">
      <w:pPr>
        <w:rPr>
          <w:sz w:val="22"/>
          <w:szCs w:val="22"/>
        </w:rPr>
      </w:pPr>
      <w:r w:rsidRPr="00D40257">
        <w:rPr>
          <w:sz w:val="22"/>
          <w:szCs w:val="22"/>
        </w:rPr>
        <w:t>Las mujeres premenopáusicas</w:t>
      </w:r>
      <w:r w:rsidRPr="00D1049D">
        <w:rPr>
          <w:sz w:val="22"/>
          <w:szCs w:val="22"/>
        </w:rPr>
        <w:t xml:space="preserve"> con osteoporosis ind</w:t>
      </w:r>
      <w:r w:rsidR="006935F9">
        <w:rPr>
          <w:sz w:val="22"/>
          <w:szCs w:val="22"/>
        </w:rPr>
        <w:t>ucida por glucocorticoides debe</w:t>
      </w:r>
      <w:r w:rsidR="008504BB">
        <w:rPr>
          <w:sz w:val="22"/>
          <w:szCs w:val="22"/>
        </w:rPr>
        <w:t xml:space="preserve">n </w:t>
      </w:r>
      <w:r w:rsidRPr="00D1049D">
        <w:rPr>
          <w:sz w:val="22"/>
          <w:szCs w:val="22"/>
        </w:rPr>
        <w:t>considera</w:t>
      </w:r>
      <w:r w:rsidR="00860EB7">
        <w:rPr>
          <w:sz w:val="22"/>
          <w:szCs w:val="22"/>
        </w:rPr>
        <w:t>rse</w:t>
      </w:r>
      <w:r w:rsidR="008504BB">
        <w:rPr>
          <w:sz w:val="22"/>
          <w:szCs w:val="22"/>
        </w:rPr>
        <w:t xml:space="preserve"> </w:t>
      </w:r>
      <w:r w:rsidRPr="00D1049D">
        <w:rPr>
          <w:sz w:val="22"/>
          <w:szCs w:val="22"/>
        </w:rPr>
        <w:t xml:space="preserve">con un riesgo </w:t>
      </w:r>
      <w:r w:rsidR="00860EB7">
        <w:rPr>
          <w:sz w:val="22"/>
          <w:szCs w:val="22"/>
        </w:rPr>
        <w:t>elevado</w:t>
      </w:r>
      <w:r w:rsidR="00860EB7" w:rsidRPr="00D1049D">
        <w:rPr>
          <w:sz w:val="22"/>
          <w:szCs w:val="22"/>
        </w:rPr>
        <w:t xml:space="preserve"> </w:t>
      </w:r>
      <w:r w:rsidRPr="00D1049D">
        <w:rPr>
          <w:sz w:val="22"/>
          <w:szCs w:val="22"/>
        </w:rPr>
        <w:t>de sufrir fracturas si tienen fracturas prevalentes o una combinación de factores de riesgo que confiera</w:t>
      </w:r>
      <w:r w:rsidR="00860EB7">
        <w:rPr>
          <w:sz w:val="22"/>
          <w:szCs w:val="22"/>
        </w:rPr>
        <w:t>n</w:t>
      </w:r>
      <w:r w:rsidRPr="00D1049D">
        <w:rPr>
          <w:sz w:val="22"/>
          <w:szCs w:val="22"/>
        </w:rPr>
        <w:t xml:space="preserve"> un riesgo </w:t>
      </w:r>
      <w:r w:rsidR="00860EB7">
        <w:rPr>
          <w:sz w:val="22"/>
          <w:szCs w:val="22"/>
        </w:rPr>
        <w:t xml:space="preserve">elevado </w:t>
      </w:r>
      <w:r w:rsidRPr="00D1049D">
        <w:rPr>
          <w:sz w:val="22"/>
          <w:szCs w:val="22"/>
        </w:rPr>
        <w:t>de sufrir fracturas (</w:t>
      </w:r>
      <w:r w:rsidR="00E44E95">
        <w:rPr>
          <w:sz w:val="22"/>
          <w:szCs w:val="22"/>
        </w:rPr>
        <w:t>p. ej.</w:t>
      </w:r>
      <w:r w:rsidRPr="00D1049D">
        <w:rPr>
          <w:sz w:val="22"/>
          <w:szCs w:val="22"/>
        </w:rPr>
        <w:t>, baj</w:t>
      </w:r>
      <w:r w:rsidR="006D5B4C">
        <w:rPr>
          <w:sz w:val="22"/>
          <w:szCs w:val="22"/>
        </w:rPr>
        <w:t>a densidad ósea, [</w:t>
      </w:r>
      <w:r w:rsidR="00E44E95">
        <w:rPr>
          <w:sz w:val="22"/>
          <w:szCs w:val="22"/>
        </w:rPr>
        <w:t>p. ej.</w:t>
      </w:r>
      <w:r w:rsidR="006D5B4C">
        <w:rPr>
          <w:sz w:val="22"/>
          <w:szCs w:val="22"/>
        </w:rPr>
        <w:t>, T sc</w:t>
      </w:r>
      <w:r w:rsidR="006935F9">
        <w:rPr>
          <w:sz w:val="22"/>
          <w:szCs w:val="22"/>
        </w:rPr>
        <w:t>ore </w:t>
      </w:r>
      <w:r w:rsidRPr="00D1049D">
        <w:rPr>
          <w:sz w:val="22"/>
          <w:szCs w:val="22"/>
        </w:rPr>
        <w:t>≤</w:t>
      </w:r>
      <w:r w:rsidR="006935F9">
        <w:rPr>
          <w:sz w:val="22"/>
          <w:szCs w:val="22"/>
        </w:rPr>
        <w:t> </w:t>
      </w:r>
      <w:r w:rsidRPr="00D1049D">
        <w:rPr>
          <w:sz w:val="22"/>
          <w:szCs w:val="22"/>
        </w:rPr>
        <w:t xml:space="preserve">-2], terapia </w:t>
      </w:r>
      <w:r w:rsidR="00BD405D">
        <w:rPr>
          <w:sz w:val="22"/>
          <w:szCs w:val="22"/>
        </w:rPr>
        <w:t xml:space="preserve">con </w:t>
      </w:r>
      <w:r w:rsidR="006935F9">
        <w:rPr>
          <w:sz w:val="22"/>
          <w:szCs w:val="22"/>
        </w:rPr>
        <w:t>una dosis alta</w:t>
      </w:r>
      <w:r w:rsidRPr="00D1049D">
        <w:rPr>
          <w:sz w:val="22"/>
          <w:szCs w:val="22"/>
        </w:rPr>
        <w:t xml:space="preserve"> de glucocorticoides</w:t>
      </w:r>
      <w:r w:rsidR="006935F9">
        <w:rPr>
          <w:sz w:val="22"/>
          <w:szCs w:val="22"/>
        </w:rPr>
        <w:t xml:space="preserve"> </w:t>
      </w:r>
      <w:r w:rsidR="006935F9">
        <w:rPr>
          <w:sz w:val="22"/>
          <w:szCs w:val="22"/>
          <w:lang w:val="es-ES_tradnl"/>
        </w:rPr>
        <w:t xml:space="preserve">mantenida en el tiempo </w:t>
      </w:r>
      <w:r w:rsidR="006935F9">
        <w:rPr>
          <w:sz w:val="22"/>
          <w:szCs w:val="22"/>
        </w:rPr>
        <w:t>[</w:t>
      </w:r>
      <w:r w:rsidR="00E44E95">
        <w:rPr>
          <w:sz w:val="22"/>
          <w:szCs w:val="22"/>
        </w:rPr>
        <w:t>p. ej.</w:t>
      </w:r>
      <w:r w:rsidR="006935F9">
        <w:rPr>
          <w:sz w:val="22"/>
          <w:szCs w:val="22"/>
        </w:rPr>
        <w:t>, ≥ 7,</w:t>
      </w:r>
      <w:r w:rsidRPr="00D1049D">
        <w:rPr>
          <w:sz w:val="22"/>
          <w:szCs w:val="22"/>
        </w:rPr>
        <w:t>5</w:t>
      </w:r>
      <w:r w:rsidR="00430397">
        <w:rPr>
          <w:sz w:val="22"/>
          <w:szCs w:val="22"/>
        </w:rPr>
        <w:t> </w:t>
      </w:r>
      <w:r w:rsidRPr="00D1049D">
        <w:rPr>
          <w:sz w:val="22"/>
          <w:szCs w:val="22"/>
        </w:rPr>
        <w:t>mg/día durante al menos 6 meses</w:t>
      </w:r>
      <w:r w:rsidR="006935F9">
        <w:rPr>
          <w:sz w:val="22"/>
          <w:szCs w:val="22"/>
        </w:rPr>
        <w:t>], alta actividad de la enfermedad</w:t>
      </w:r>
      <w:r w:rsidRPr="00D1049D">
        <w:rPr>
          <w:sz w:val="22"/>
          <w:szCs w:val="22"/>
        </w:rPr>
        <w:t xml:space="preserve"> </w:t>
      </w:r>
      <w:r w:rsidR="006935F9">
        <w:rPr>
          <w:sz w:val="22"/>
          <w:szCs w:val="22"/>
        </w:rPr>
        <w:t>de base</w:t>
      </w:r>
      <w:r w:rsidRPr="00D1049D">
        <w:rPr>
          <w:sz w:val="22"/>
          <w:szCs w:val="22"/>
        </w:rPr>
        <w:t>, niveles bajos de esteroides sexuales).</w:t>
      </w:r>
    </w:p>
    <w:p w14:paraId="1A5ED72A" w14:textId="77777777" w:rsidR="00D1049D" w:rsidRPr="00D1049D" w:rsidRDefault="00D1049D" w:rsidP="00E84F80">
      <w:pPr>
        <w:rPr>
          <w:sz w:val="22"/>
        </w:rPr>
      </w:pPr>
    </w:p>
    <w:p w14:paraId="437128F2" w14:textId="77777777" w:rsidR="000B7FB3" w:rsidRDefault="00101112" w:rsidP="00CA7B4F">
      <w:pPr>
        <w:keepNext/>
        <w:rPr>
          <w:sz w:val="22"/>
          <w:u w:val="single"/>
          <w:lang w:val="es-ES_tradnl"/>
        </w:rPr>
      </w:pPr>
      <w:r w:rsidRPr="00CA7B4F">
        <w:rPr>
          <w:i/>
          <w:sz w:val="22"/>
          <w:lang w:val="es-ES_tradnl"/>
        </w:rPr>
        <w:t>Osteoporosis posmenopáusica</w:t>
      </w:r>
    </w:p>
    <w:p w14:paraId="673C98B7" w14:textId="77777777" w:rsidR="00693925" w:rsidRDefault="00693925" w:rsidP="00CA7B4F">
      <w:pPr>
        <w:keepNext/>
        <w:rPr>
          <w:sz w:val="22"/>
          <w:lang w:val="es-ES_tradnl"/>
        </w:rPr>
      </w:pPr>
      <w:r>
        <w:rPr>
          <w:sz w:val="22"/>
          <w:lang w:val="es-ES_tradnl"/>
        </w:rPr>
        <w:t xml:space="preserve">El </w:t>
      </w:r>
      <w:r w:rsidR="0054615D" w:rsidRPr="002564A8">
        <w:rPr>
          <w:sz w:val="22"/>
          <w:lang w:val="es-ES_tradnl"/>
        </w:rPr>
        <w:t xml:space="preserve">ensayo </w:t>
      </w:r>
      <w:proofErr w:type="spellStart"/>
      <w:r w:rsidR="0054615D" w:rsidRPr="002564A8">
        <w:rPr>
          <w:sz w:val="22"/>
          <w:lang w:val="es-ES_tradnl"/>
        </w:rPr>
        <w:t>pivotal</w:t>
      </w:r>
      <w:proofErr w:type="spellEnd"/>
      <w:r>
        <w:rPr>
          <w:sz w:val="22"/>
          <w:lang w:val="es-ES_tradnl"/>
        </w:rPr>
        <w:t xml:space="preserve"> incluyó 1.637 mujeres posmenopáusicas (edad media 69,5 años). Al principio del </w:t>
      </w:r>
      <w:r w:rsidR="0054615D">
        <w:rPr>
          <w:sz w:val="22"/>
          <w:lang w:val="es-ES_tradnl"/>
        </w:rPr>
        <w:t xml:space="preserve">ensayo </w:t>
      </w:r>
      <w:r>
        <w:rPr>
          <w:sz w:val="22"/>
          <w:lang w:val="es-ES_tradnl"/>
        </w:rPr>
        <w:t>el noventa por ciento de las pacientes tenían una o más fracturas vertebrales</w:t>
      </w:r>
      <w:r w:rsidR="0057645C">
        <w:rPr>
          <w:sz w:val="22"/>
          <w:lang w:val="es-ES_tradnl"/>
        </w:rPr>
        <w:t>,</w:t>
      </w:r>
      <w:r w:rsidR="000B7FB3">
        <w:rPr>
          <w:sz w:val="22"/>
          <w:lang w:val="es-ES_tradnl"/>
        </w:rPr>
        <w:t xml:space="preserve"> y de media, </w:t>
      </w:r>
      <w:smartTag w:uri="urn:schemas-microsoft-com:office:smarttags" w:element="PersonName">
        <w:smartTagPr>
          <w:attr w:name="ProductID" w:val="la DMO"/>
        </w:smartTagPr>
        <w:r w:rsidR="000B7FB3">
          <w:rPr>
            <w:sz w:val="22"/>
            <w:lang w:val="es-ES_tradnl"/>
          </w:rPr>
          <w:t>la DMO</w:t>
        </w:r>
      </w:smartTag>
      <w:r w:rsidR="000B7FB3">
        <w:rPr>
          <w:sz w:val="22"/>
          <w:lang w:val="es-ES_tradnl"/>
        </w:rPr>
        <w:t xml:space="preserve"> vertebral fue 0,82</w:t>
      </w:r>
      <w:r w:rsidR="005B762B">
        <w:rPr>
          <w:sz w:val="22"/>
          <w:lang w:val="es-ES_tradnl"/>
        </w:rPr>
        <w:t> </w:t>
      </w:r>
      <w:r w:rsidR="000B7FB3">
        <w:rPr>
          <w:sz w:val="22"/>
          <w:lang w:val="es-ES_tradnl"/>
        </w:rPr>
        <w:t>g/cm</w:t>
      </w:r>
      <w:r w:rsidR="000B7FB3">
        <w:rPr>
          <w:sz w:val="22"/>
          <w:vertAlign w:val="superscript"/>
          <w:lang w:val="es-ES_tradnl"/>
        </w:rPr>
        <w:t>2</w:t>
      </w:r>
      <w:r w:rsidR="000B7FB3">
        <w:rPr>
          <w:sz w:val="22"/>
          <w:lang w:val="es-ES_tradnl"/>
        </w:rPr>
        <w:t xml:space="preserve"> (</w:t>
      </w:r>
      <w:r w:rsidR="00E84F80">
        <w:rPr>
          <w:sz w:val="22"/>
          <w:lang w:val="es-ES_tradnl"/>
        </w:rPr>
        <w:t xml:space="preserve">equivalente a </w:t>
      </w:r>
      <w:r w:rsidR="000E20E3">
        <w:rPr>
          <w:sz w:val="22"/>
          <w:lang w:val="es-ES_tradnl"/>
        </w:rPr>
        <w:t>una T</w:t>
      </w:r>
      <w:r w:rsidR="005B762B">
        <w:rPr>
          <w:sz w:val="22"/>
          <w:lang w:val="es-ES_tradnl"/>
        </w:rPr>
        <w:t>-</w:t>
      </w:r>
      <w:r w:rsidR="000E20E3">
        <w:rPr>
          <w:sz w:val="22"/>
          <w:lang w:val="es-ES_tradnl"/>
        </w:rPr>
        <w:t xml:space="preserve">score </w:t>
      </w:r>
      <w:r w:rsidR="000E20E3" w:rsidRPr="00CC39DB">
        <w:rPr>
          <w:sz w:val="22"/>
          <w:szCs w:val="22"/>
          <w:lang w:val="es-ES_tradnl"/>
        </w:rPr>
        <w:t xml:space="preserve">de </w:t>
      </w:r>
      <w:r w:rsidR="00E84F80" w:rsidRPr="002564A8">
        <w:rPr>
          <w:bCs/>
          <w:snapToGrid w:val="0"/>
          <w:sz w:val="22"/>
          <w:szCs w:val="22"/>
        </w:rPr>
        <w:t>- 2,6</w:t>
      </w:r>
      <w:r w:rsidR="009D58EB">
        <w:rPr>
          <w:bCs/>
          <w:snapToGrid w:val="0"/>
        </w:rPr>
        <w:t>)</w:t>
      </w:r>
      <w:r w:rsidR="005224D0">
        <w:rPr>
          <w:bCs/>
          <w:snapToGrid w:val="0"/>
        </w:rPr>
        <w:t>.</w:t>
      </w:r>
      <w:r>
        <w:rPr>
          <w:sz w:val="22"/>
          <w:lang w:val="es-ES_tradnl"/>
        </w:rPr>
        <w:t xml:space="preserve"> A todas las pacientes se les administraron 1</w:t>
      </w:r>
      <w:r w:rsidR="00EA201D">
        <w:rPr>
          <w:sz w:val="22"/>
          <w:lang w:val="es-ES_tradnl"/>
        </w:rPr>
        <w:t> </w:t>
      </w:r>
      <w:r>
        <w:rPr>
          <w:sz w:val="22"/>
          <w:lang w:val="es-ES_tradnl"/>
        </w:rPr>
        <w:t xml:space="preserve">000 mg de calcio al día y al menos 400 UI de vitamina D al día. Después de 24 meses de tratamiento con </w:t>
      </w:r>
      <w:r w:rsidR="00D40257">
        <w:rPr>
          <w:sz w:val="22"/>
          <w:lang w:val="es-ES_tradnl"/>
        </w:rPr>
        <w:t>teriparatida</w:t>
      </w:r>
      <w:r>
        <w:rPr>
          <w:sz w:val="22"/>
          <w:lang w:val="es-ES_tradnl"/>
        </w:rPr>
        <w:t xml:space="preserve"> (mediana: 19 meses) se demostró una reducción de las fracturas estadísticamente significativa (Tabla </w:t>
      </w:r>
      <w:r w:rsidR="0005605E">
        <w:rPr>
          <w:sz w:val="22"/>
          <w:lang w:val="es-ES_tradnl"/>
        </w:rPr>
        <w:t>1</w:t>
      </w:r>
      <w:r>
        <w:rPr>
          <w:sz w:val="22"/>
          <w:lang w:val="es-ES_tradnl"/>
        </w:rPr>
        <w:t>). El número necesario de pacientes que se necesita tratar para prevenir una o más fracturas vertebrales nuevas fue de 11 mujeres en una mediana de 19 meses.</w:t>
      </w:r>
    </w:p>
    <w:p w14:paraId="1ABB854A" w14:textId="77777777" w:rsidR="00693925" w:rsidRDefault="00693925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26F5356F" w14:textId="77777777" w:rsidR="0057645C" w:rsidRDefault="00693925" w:rsidP="00EB544D">
      <w:pPr>
        <w:pStyle w:val="Text"/>
        <w:keepNext/>
        <w:spacing w:before="0" w:line="240" w:lineRule="auto"/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b/>
          <w:lang w:val="es-ES_tradnl"/>
        </w:rPr>
        <w:t xml:space="preserve">Tabla </w:t>
      </w:r>
      <w:r w:rsidR="00845A9B">
        <w:rPr>
          <w:rFonts w:ascii="Times New Roman" w:hAnsi="Times New Roman"/>
          <w:b/>
          <w:lang w:val="es-ES_tradnl"/>
        </w:rPr>
        <w:t>2</w:t>
      </w:r>
      <w:r w:rsidR="00D40257" w:rsidRPr="00D40257">
        <w:rPr>
          <w:rFonts w:ascii="Times New Roman" w:hAnsi="Times New Roman"/>
          <w:sz w:val="20"/>
          <w:lang w:val="es-ES_tradnl"/>
        </w:rPr>
        <w:t xml:space="preserve"> </w:t>
      </w:r>
      <w:r w:rsidR="00D40257" w:rsidRPr="00D40257">
        <w:rPr>
          <w:rFonts w:ascii="Times New Roman" w:hAnsi="Times New Roman"/>
          <w:b/>
          <w:lang w:val="es-ES_tradnl"/>
        </w:rPr>
        <w:t>Incidencia de Fracturas en Mujeres Posmenopáusicas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410"/>
        <w:gridCol w:w="2409"/>
        <w:gridCol w:w="2126"/>
      </w:tblGrid>
      <w:tr w:rsidR="00693925" w14:paraId="2F6CFD48" w14:textId="77777777">
        <w:tc>
          <w:tcPr>
            <w:tcW w:w="2660" w:type="dxa"/>
          </w:tcPr>
          <w:p w14:paraId="280FBD17" w14:textId="77777777" w:rsidR="00693925" w:rsidRDefault="00693925" w:rsidP="00EB544D">
            <w:pPr>
              <w:pStyle w:val="Text"/>
              <w:keepNext/>
              <w:spacing w:before="0" w:line="240" w:lineRule="auto"/>
              <w:jc w:val="left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2410" w:type="dxa"/>
          </w:tcPr>
          <w:p w14:paraId="7ED5E60E" w14:textId="77777777" w:rsidR="00693925" w:rsidRDefault="00693925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Placebo</w:t>
            </w:r>
          </w:p>
          <w:p w14:paraId="6EE7AAF5" w14:textId="77777777" w:rsidR="00693925" w:rsidRDefault="00693925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(N = </w:t>
            </w:r>
            <w:r w:rsidR="00E84F80">
              <w:rPr>
                <w:rFonts w:ascii="Times New Roman" w:hAnsi="Times New Roman"/>
                <w:lang w:val="en-US"/>
              </w:rPr>
              <w:t>544</w:t>
            </w:r>
            <w:r>
              <w:rPr>
                <w:rFonts w:ascii="Times New Roman" w:hAnsi="Times New Roman"/>
                <w:lang w:val="en-US"/>
              </w:rPr>
              <w:t>) (%)</w:t>
            </w:r>
          </w:p>
        </w:tc>
        <w:tc>
          <w:tcPr>
            <w:tcW w:w="2409" w:type="dxa"/>
          </w:tcPr>
          <w:p w14:paraId="48966D38" w14:textId="77777777" w:rsidR="00693925" w:rsidRDefault="00D40257" w:rsidP="002564A8">
            <w:pPr>
              <w:pStyle w:val="Text"/>
              <w:keepNext/>
              <w:spacing w:before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lang w:val="en-US"/>
              </w:rPr>
              <w:t>Teriparatida</w:t>
            </w:r>
            <w:proofErr w:type="spellEnd"/>
          </w:p>
          <w:p w14:paraId="4DE8CCB1" w14:textId="77777777" w:rsidR="00693925" w:rsidRPr="0059356F" w:rsidRDefault="00693925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64A8">
              <w:rPr>
                <w:rFonts w:ascii="Times New Roman" w:hAnsi="Times New Roman"/>
                <w:lang w:val="en-US"/>
              </w:rPr>
              <w:t>(</w:t>
            </w:r>
            <w:r w:rsidRPr="0059356F">
              <w:rPr>
                <w:rFonts w:ascii="Times New Roman" w:hAnsi="Times New Roman"/>
                <w:lang w:val="en-US"/>
              </w:rPr>
              <w:t>N = </w:t>
            </w:r>
            <w:r w:rsidR="00E84F80" w:rsidRPr="0059356F">
              <w:rPr>
                <w:rFonts w:ascii="Times New Roman" w:hAnsi="Times New Roman"/>
                <w:lang w:val="en-US"/>
              </w:rPr>
              <w:t>541</w:t>
            </w:r>
            <w:r w:rsidRPr="002564A8">
              <w:rPr>
                <w:rFonts w:ascii="Times New Roman" w:hAnsi="Times New Roman"/>
                <w:lang w:val="en-US"/>
              </w:rPr>
              <w:t>) (%)</w:t>
            </w:r>
          </w:p>
        </w:tc>
        <w:tc>
          <w:tcPr>
            <w:tcW w:w="2126" w:type="dxa"/>
          </w:tcPr>
          <w:p w14:paraId="770189D9" w14:textId="77777777" w:rsidR="00693925" w:rsidRDefault="00693925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Riesgo relativo</w:t>
            </w:r>
          </w:p>
          <w:p w14:paraId="11124B16" w14:textId="77777777" w:rsidR="00693925" w:rsidRDefault="00693925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(IC</w:t>
            </w:r>
            <w:r w:rsidR="00940349">
              <w:rPr>
                <w:rFonts w:ascii="Times New Roman" w:hAnsi="Times New Roman"/>
                <w:lang w:val="es-ES_tradnl"/>
              </w:rPr>
              <w:t xml:space="preserve"> </w:t>
            </w:r>
            <w:r w:rsidR="0000787F">
              <w:rPr>
                <w:rFonts w:ascii="Times New Roman" w:hAnsi="Times New Roman"/>
                <w:lang w:val="es-ES_tradnl"/>
              </w:rPr>
              <w:t xml:space="preserve">del </w:t>
            </w:r>
            <w:r w:rsidR="00940349">
              <w:rPr>
                <w:rFonts w:ascii="Times New Roman" w:hAnsi="Times New Roman"/>
                <w:lang w:val="es-ES_tradnl"/>
              </w:rPr>
              <w:t>95%</w:t>
            </w:r>
            <w:r>
              <w:rPr>
                <w:rFonts w:ascii="Times New Roman" w:hAnsi="Times New Roman"/>
                <w:lang w:val="es-ES_tradnl"/>
              </w:rPr>
              <w:t>)</w:t>
            </w:r>
          </w:p>
          <w:p w14:paraId="05D74B36" w14:textId="77777777" w:rsidR="00693925" w:rsidRDefault="00693925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lang w:val="es-ES_tradnl"/>
              </w:rPr>
            </w:pPr>
            <w:r w:rsidRPr="007B1371">
              <w:rPr>
                <w:rFonts w:ascii="Times New Roman" w:hAnsi="Times New Roman"/>
                <w:i/>
                <w:lang w:val="es-ES_tradnl"/>
              </w:rPr>
              <w:t>vs</w:t>
            </w:r>
            <w:r>
              <w:rPr>
                <w:rFonts w:ascii="Times New Roman" w:hAnsi="Times New Roman"/>
                <w:lang w:val="es-ES_tradnl"/>
              </w:rPr>
              <w:t>. placebo</w:t>
            </w:r>
          </w:p>
        </w:tc>
      </w:tr>
      <w:tr w:rsidR="00693925" w14:paraId="4BB9269C" w14:textId="77777777">
        <w:tc>
          <w:tcPr>
            <w:tcW w:w="2660" w:type="dxa"/>
          </w:tcPr>
          <w:p w14:paraId="033D8282" w14:textId="77777777" w:rsidR="00693925" w:rsidRPr="000E20E3" w:rsidRDefault="00693925" w:rsidP="00EB544D">
            <w:pPr>
              <w:pStyle w:val="Text"/>
              <w:keepNext/>
              <w:spacing w:before="0" w:line="240" w:lineRule="auto"/>
              <w:jc w:val="left"/>
              <w:rPr>
                <w:rFonts w:ascii="Times New Roman" w:hAnsi="Times New Roman"/>
                <w:vertAlign w:val="superscript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 xml:space="preserve">Nueva fractura </w:t>
            </w:r>
            <w:r w:rsidR="00E84F80">
              <w:rPr>
                <w:rFonts w:ascii="Times New Roman" w:hAnsi="Times New Roman"/>
                <w:lang w:val="es-ES_tradnl"/>
              </w:rPr>
              <w:t xml:space="preserve">vertebral </w:t>
            </w:r>
            <w:r>
              <w:rPr>
                <w:lang w:val="es-ES_tradnl"/>
              </w:rPr>
              <w:t>(</w:t>
            </w:r>
            <w:r>
              <w:sym w:font="Symbol" w:char="F0B3"/>
            </w:r>
            <w:r>
              <w:rPr>
                <w:lang w:val="es-ES_tradnl"/>
              </w:rPr>
              <w:t> </w:t>
            </w:r>
            <w:r w:rsidRPr="002564A8">
              <w:rPr>
                <w:rFonts w:ascii="Times New Roman" w:hAnsi="Times New Roman"/>
                <w:lang w:val="es-ES_tradnl"/>
              </w:rPr>
              <w:t>1</w:t>
            </w:r>
            <w:r>
              <w:rPr>
                <w:lang w:val="es-ES_tradnl"/>
              </w:rPr>
              <w:t>)</w:t>
            </w:r>
            <w:r w:rsidR="000E20E3" w:rsidRPr="009D58EB">
              <w:rPr>
                <w:rFonts w:ascii="Times New Roman" w:hAnsi="Times New Roman"/>
                <w:vertAlign w:val="superscript"/>
                <w:lang w:val="es-ES_tradnl"/>
              </w:rPr>
              <w:t>a</w:t>
            </w:r>
          </w:p>
        </w:tc>
        <w:tc>
          <w:tcPr>
            <w:tcW w:w="2410" w:type="dxa"/>
          </w:tcPr>
          <w:p w14:paraId="69C47669" w14:textId="77777777" w:rsidR="00693925" w:rsidRDefault="00693925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14,3</w:t>
            </w:r>
          </w:p>
        </w:tc>
        <w:tc>
          <w:tcPr>
            <w:tcW w:w="2409" w:type="dxa"/>
          </w:tcPr>
          <w:p w14:paraId="30FF9B66" w14:textId="77777777" w:rsidR="00693925" w:rsidRDefault="00693925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5,0</w:t>
            </w:r>
            <w:r w:rsidR="00E84F80" w:rsidRPr="000E20E3">
              <w:rPr>
                <w:rFonts w:ascii="Times New Roman" w:hAnsi="Times New Roman"/>
                <w:position w:val="4"/>
                <w:vertAlign w:val="superscript"/>
                <w:lang w:val="es-ES_tradnl"/>
              </w:rPr>
              <w:t>b</w:t>
            </w:r>
          </w:p>
        </w:tc>
        <w:tc>
          <w:tcPr>
            <w:tcW w:w="2126" w:type="dxa"/>
          </w:tcPr>
          <w:p w14:paraId="58F96F32" w14:textId="77777777" w:rsidR="00693925" w:rsidRDefault="00693925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0,35</w:t>
            </w:r>
          </w:p>
          <w:p w14:paraId="742BB484" w14:textId="77777777" w:rsidR="00693925" w:rsidRDefault="00693925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lang w:val="es-ES_tradnl"/>
              </w:rPr>
            </w:pPr>
            <w:r w:rsidRPr="000E20E3">
              <w:rPr>
                <w:rFonts w:ascii="Times New Roman" w:hAnsi="Times New Roman"/>
                <w:lang w:val="es-ES_tradnl"/>
              </w:rPr>
              <w:t>(0,22 – 0,55)</w:t>
            </w:r>
          </w:p>
        </w:tc>
      </w:tr>
      <w:tr w:rsidR="00693925" w14:paraId="09F78FA2" w14:textId="77777777">
        <w:tc>
          <w:tcPr>
            <w:tcW w:w="2660" w:type="dxa"/>
          </w:tcPr>
          <w:p w14:paraId="190B15DA" w14:textId="77777777" w:rsidR="00693925" w:rsidRPr="00D75226" w:rsidRDefault="00693925" w:rsidP="00EB544D">
            <w:pPr>
              <w:pStyle w:val="Text"/>
              <w:keepNext/>
              <w:spacing w:before="0" w:line="240" w:lineRule="auto"/>
              <w:jc w:val="left"/>
              <w:rPr>
                <w:rFonts w:ascii="Times New Roman" w:hAnsi="Times New Roman"/>
                <w:vertAlign w:val="superscript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 xml:space="preserve">Fracturas </w:t>
            </w:r>
            <w:r w:rsidR="00D75226">
              <w:rPr>
                <w:rFonts w:ascii="Times New Roman" w:hAnsi="Times New Roman"/>
                <w:lang w:val="es-ES_tradnl"/>
              </w:rPr>
              <w:t xml:space="preserve">vertebrales </w:t>
            </w:r>
            <w:r>
              <w:rPr>
                <w:rFonts w:ascii="Times New Roman" w:hAnsi="Times New Roman"/>
                <w:lang w:val="es-ES_tradnl"/>
              </w:rPr>
              <w:t xml:space="preserve">múltiples </w:t>
            </w:r>
            <w:r>
              <w:rPr>
                <w:lang w:val="es-ES_tradnl"/>
              </w:rPr>
              <w:t>(</w:t>
            </w:r>
            <w:r>
              <w:sym w:font="Symbol" w:char="F0B3"/>
            </w:r>
            <w:r>
              <w:rPr>
                <w:lang w:val="es-ES_tradnl"/>
              </w:rPr>
              <w:t> </w:t>
            </w:r>
            <w:r w:rsidRPr="002564A8">
              <w:rPr>
                <w:rFonts w:ascii="Times New Roman" w:hAnsi="Times New Roman"/>
                <w:lang w:val="es-ES_tradnl"/>
              </w:rPr>
              <w:t>2</w:t>
            </w:r>
            <w:r>
              <w:rPr>
                <w:lang w:val="es-ES_tradnl"/>
              </w:rPr>
              <w:t>)</w:t>
            </w:r>
            <w:r w:rsidR="00D75226" w:rsidRPr="009D58EB">
              <w:rPr>
                <w:rFonts w:ascii="Times New Roman" w:hAnsi="Times New Roman"/>
                <w:vertAlign w:val="superscript"/>
                <w:lang w:val="es-ES_tradnl"/>
              </w:rPr>
              <w:t>a</w:t>
            </w:r>
          </w:p>
        </w:tc>
        <w:tc>
          <w:tcPr>
            <w:tcW w:w="2410" w:type="dxa"/>
          </w:tcPr>
          <w:p w14:paraId="5952043E" w14:textId="77777777" w:rsidR="00693925" w:rsidRDefault="00693925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4,9</w:t>
            </w:r>
          </w:p>
        </w:tc>
        <w:tc>
          <w:tcPr>
            <w:tcW w:w="2409" w:type="dxa"/>
          </w:tcPr>
          <w:p w14:paraId="3A799345" w14:textId="77777777" w:rsidR="00693925" w:rsidRPr="000E20E3" w:rsidRDefault="00693925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vertAlign w:val="superscript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1,1</w:t>
            </w:r>
            <w:r w:rsidR="000E20E3" w:rsidRPr="000E20E3">
              <w:rPr>
                <w:rFonts w:ascii="Times New Roman" w:hAnsi="Times New Roman"/>
                <w:position w:val="4"/>
                <w:szCs w:val="22"/>
                <w:vertAlign w:val="superscript"/>
                <w:lang w:val="es-ES_tradnl"/>
              </w:rPr>
              <w:t>b</w:t>
            </w:r>
          </w:p>
        </w:tc>
        <w:tc>
          <w:tcPr>
            <w:tcW w:w="2126" w:type="dxa"/>
          </w:tcPr>
          <w:p w14:paraId="65138240" w14:textId="77777777" w:rsidR="00693925" w:rsidRDefault="00693925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0,23</w:t>
            </w:r>
          </w:p>
          <w:p w14:paraId="3878B654" w14:textId="77777777" w:rsidR="00693925" w:rsidRDefault="00693925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lang w:val="es-ES_tradnl"/>
              </w:rPr>
            </w:pPr>
            <w:r w:rsidRPr="000E20E3">
              <w:rPr>
                <w:rFonts w:ascii="Times New Roman" w:hAnsi="Times New Roman"/>
                <w:lang w:val="es-ES_tradnl"/>
              </w:rPr>
              <w:t>(0,09 – 0,60)</w:t>
            </w:r>
          </w:p>
        </w:tc>
      </w:tr>
      <w:tr w:rsidR="00D75226" w14:paraId="74EA4229" w14:textId="77777777">
        <w:tc>
          <w:tcPr>
            <w:tcW w:w="2660" w:type="dxa"/>
          </w:tcPr>
          <w:p w14:paraId="794DE887" w14:textId="77777777" w:rsidR="00D75226" w:rsidRPr="00D75226" w:rsidRDefault="005224D0" w:rsidP="00EB544D">
            <w:pPr>
              <w:pStyle w:val="Text"/>
              <w:keepNext/>
              <w:spacing w:before="0" w:line="240" w:lineRule="auto"/>
              <w:jc w:val="left"/>
              <w:rPr>
                <w:rFonts w:ascii="Times New Roman" w:hAnsi="Times New Roman"/>
                <w:vertAlign w:val="superscript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F</w:t>
            </w:r>
            <w:r w:rsidR="00D75226">
              <w:rPr>
                <w:rFonts w:ascii="Times New Roman" w:hAnsi="Times New Roman"/>
                <w:lang w:val="es-ES_tradnl"/>
              </w:rPr>
              <w:t>racturas no vertebrales</w:t>
            </w:r>
            <w:r>
              <w:rPr>
                <w:rFonts w:ascii="Times New Roman" w:hAnsi="Times New Roman"/>
                <w:lang w:val="es-ES_tradnl"/>
              </w:rPr>
              <w:t xml:space="preserve"> por </w:t>
            </w:r>
            <w:proofErr w:type="spellStart"/>
            <w:r>
              <w:rPr>
                <w:rFonts w:ascii="Times New Roman" w:hAnsi="Times New Roman"/>
                <w:lang w:val="es-ES_tradnl"/>
              </w:rPr>
              <w:t>fragilidad</w:t>
            </w:r>
            <w:r w:rsidR="00D75226">
              <w:rPr>
                <w:rFonts w:ascii="Times New Roman" w:hAnsi="Times New Roman"/>
                <w:vertAlign w:val="superscript"/>
                <w:lang w:val="es-ES_tradnl"/>
              </w:rPr>
              <w:t>c</w:t>
            </w:r>
            <w:proofErr w:type="spellEnd"/>
          </w:p>
        </w:tc>
        <w:tc>
          <w:tcPr>
            <w:tcW w:w="2410" w:type="dxa"/>
          </w:tcPr>
          <w:p w14:paraId="3CDE8977" w14:textId="77777777" w:rsidR="00D75226" w:rsidRDefault="00D75226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5,5</w:t>
            </w:r>
          </w:p>
        </w:tc>
        <w:tc>
          <w:tcPr>
            <w:tcW w:w="2409" w:type="dxa"/>
          </w:tcPr>
          <w:p w14:paraId="404C6EFA" w14:textId="77777777" w:rsidR="00D75226" w:rsidRPr="00D75226" w:rsidRDefault="00D75226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vertAlign w:val="superscript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2,6</w:t>
            </w:r>
            <w:r w:rsidR="007140E9">
              <w:rPr>
                <w:rFonts w:ascii="Times New Roman" w:hAnsi="Times New Roman"/>
                <w:vertAlign w:val="superscript"/>
                <w:lang w:val="es-ES_tradnl"/>
              </w:rPr>
              <w:t>d</w:t>
            </w:r>
          </w:p>
        </w:tc>
        <w:tc>
          <w:tcPr>
            <w:tcW w:w="2126" w:type="dxa"/>
          </w:tcPr>
          <w:p w14:paraId="4F4A3101" w14:textId="77777777" w:rsidR="00D75226" w:rsidRDefault="00D75226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0,47</w:t>
            </w:r>
          </w:p>
          <w:p w14:paraId="6C46D870" w14:textId="77777777" w:rsidR="00D75226" w:rsidRDefault="00D75226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(0,25 – 0,87)</w:t>
            </w:r>
          </w:p>
        </w:tc>
      </w:tr>
      <w:tr w:rsidR="00D75226" w14:paraId="759E9AC8" w14:textId="77777777">
        <w:tc>
          <w:tcPr>
            <w:tcW w:w="2660" w:type="dxa"/>
          </w:tcPr>
          <w:p w14:paraId="59F91A4D" w14:textId="77777777" w:rsidR="00D75226" w:rsidRDefault="005224D0" w:rsidP="00EB544D">
            <w:pPr>
              <w:pStyle w:val="Text"/>
              <w:keepNext/>
              <w:spacing w:before="0" w:line="240" w:lineRule="auto"/>
              <w:jc w:val="left"/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F</w:t>
            </w:r>
            <w:r w:rsidR="00D75226">
              <w:rPr>
                <w:rFonts w:ascii="Times New Roman" w:hAnsi="Times New Roman"/>
                <w:lang w:val="es-ES_tradnl"/>
              </w:rPr>
              <w:t>racturas mayores no vertebrales</w:t>
            </w:r>
            <w:r>
              <w:rPr>
                <w:rFonts w:ascii="Times New Roman" w:hAnsi="Times New Roman"/>
                <w:lang w:val="es-ES_tradnl"/>
              </w:rPr>
              <w:t xml:space="preserve"> por </w:t>
            </w:r>
            <w:proofErr w:type="spellStart"/>
            <w:r>
              <w:rPr>
                <w:rFonts w:ascii="Times New Roman" w:hAnsi="Times New Roman"/>
                <w:lang w:val="es-ES_tradnl"/>
              </w:rPr>
              <w:t>fragilidad</w:t>
            </w:r>
            <w:r w:rsidR="00D75226">
              <w:rPr>
                <w:rFonts w:ascii="Times New Roman" w:hAnsi="Times New Roman"/>
                <w:vertAlign w:val="superscript"/>
                <w:lang w:val="es-ES_tradnl"/>
              </w:rPr>
              <w:t>c</w:t>
            </w:r>
            <w:proofErr w:type="spellEnd"/>
          </w:p>
          <w:p w14:paraId="4472DC1B" w14:textId="77777777" w:rsidR="00D75226" w:rsidRPr="00D75226" w:rsidRDefault="00D75226" w:rsidP="00EB544D">
            <w:pPr>
              <w:pStyle w:val="Text"/>
              <w:keepNext/>
              <w:spacing w:before="0" w:line="240" w:lineRule="auto"/>
              <w:jc w:val="left"/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(cadera, radio, húmero, costillas y pelvis)</w:t>
            </w:r>
          </w:p>
        </w:tc>
        <w:tc>
          <w:tcPr>
            <w:tcW w:w="2410" w:type="dxa"/>
          </w:tcPr>
          <w:p w14:paraId="0572D360" w14:textId="77777777" w:rsidR="00D75226" w:rsidRDefault="00D75226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3,9</w:t>
            </w:r>
          </w:p>
        </w:tc>
        <w:tc>
          <w:tcPr>
            <w:tcW w:w="2409" w:type="dxa"/>
          </w:tcPr>
          <w:p w14:paraId="2123BC01" w14:textId="77777777" w:rsidR="00D75226" w:rsidRPr="00D75226" w:rsidRDefault="00D75226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1,5</w:t>
            </w:r>
            <w:r w:rsidR="007140E9">
              <w:rPr>
                <w:rFonts w:ascii="Times New Roman" w:hAnsi="Times New Roman"/>
                <w:vertAlign w:val="superscript"/>
                <w:lang w:val="es-ES_tradnl"/>
              </w:rPr>
              <w:t>d</w:t>
            </w:r>
          </w:p>
        </w:tc>
        <w:tc>
          <w:tcPr>
            <w:tcW w:w="2126" w:type="dxa"/>
          </w:tcPr>
          <w:p w14:paraId="72F039B1" w14:textId="77777777" w:rsidR="00D75226" w:rsidRDefault="00D75226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0,38</w:t>
            </w:r>
          </w:p>
          <w:p w14:paraId="04E23883" w14:textId="77777777" w:rsidR="00D75226" w:rsidRDefault="00D75226" w:rsidP="002564A8">
            <w:pPr>
              <w:pStyle w:val="Text"/>
              <w:keepNext/>
              <w:spacing w:before="0" w:line="240" w:lineRule="auto"/>
              <w:jc w:val="center"/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(0,17 – 0,86)</w:t>
            </w:r>
          </w:p>
        </w:tc>
      </w:tr>
    </w:tbl>
    <w:p w14:paraId="60A4D667" w14:textId="77777777" w:rsidR="00703862" w:rsidRPr="002564A8" w:rsidRDefault="00203895" w:rsidP="00703862">
      <w:pPr>
        <w:ind w:left="180"/>
        <w:rPr>
          <w:sz w:val="16"/>
          <w:szCs w:val="16"/>
        </w:rPr>
      </w:pPr>
      <w:r w:rsidRPr="007B1371">
        <w:rPr>
          <w:position w:val="4"/>
          <w:sz w:val="16"/>
          <w:lang w:val="es-ES_tradnl"/>
        </w:rPr>
        <w:t>Abreviaturas</w:t>
      </w:r>
      <w:r w:rsidR="00703862" w:rsidRPr="007B1371">
        <w:rPr>
          <w:position w:val="4"/>
          <w:sz w:val="16"/>
          <w:lang w:val="es-ES_tradnl"/>
        </w:rPr>
        <w:t>: N = número de pacientes asignados aleatoriamente a cada grupo de tratamiento;</w:t>
      </w:r>
      <w:r w:rsidR="0059356F">
        <w:rPr>
          <w:position w:val="4"/>
          <w:sz w:val="16"/>
          <w:lang w:val="es-ES_tradnl"/>
        </w:rPr>
        <w:t xml:space="preserve"> IC = intervalo de confianza</w:t>
      </w:r>
    </w:p>
    <w:p w14:paraId="2EC20F0D" w14:textId="77777777" w:rsidR="00703862" w:rsidRPr="002564A8" w:rsidRDefault="00703862" w:rsidP="00E84F80">
      <w:pPr>
        <w:rPr>
          <w:position w:val="4"/>
          <w:sz w:val="22"/>
          <w:szCs w:val="22"/>
          <w:lang w:val="es-ES_tradnl"/>
        </w:rPr>
      </w:pPr>
    </w:p>
    <w:p w14:paraId="65C83332" w14:textId="77777777" w:rsidR="00703862" w:rsidRDefault="00703862" w:rsidP="00E84F80">
      <w:pPr>
        <w:rPr>
          <w:sz w:val="18"/>
        </w:rPr>
      </w:pPr>
      <w:r w:rsidRPr="00703862">
        <w:rPr>
          <w:position w:val="4"/>
          <w:sz w:val="18"/>
          <w:szCs w:val="18"/>
          <w:vertAlign w:val="superscript"/>
          <w:lang w:val="es-ES_tradnl"/>
        </w:rPr>
        <w:t>a</w:t>
      </w:r>
      <w:r>
        <w:rPr>
          <w:sz w:val="18"/>
        </w:rPr>
        <w:t xml:space="preserve"> La incidencia de fracturas vertebrales fue evaluada en 448 pacientes </w:t>
      </w:r>
      <w:r w:rsidR="007A20C1">
        <w:rPr>
          <w:sz w:val="18"/>
        </w:rPr>
        <w:t xml:space="preserve">tratados con </w:t>
      </w:r>
      <w:r>
        <w:rPr>
          <w:sz w:val="18"/>
        </w:rPr>
        <w:t>placebo y en 444 pacientes</w:t>
      </w:r>
      <w:r w:rsidR="00693925">
        <w:rPr>
          <w:sz w:val="18"/>
        </w:rPr>
        <w:t xml:space="preserve"> </w:t>
      </w:r>
      <w:r w:rsidR="007A20C1">
        <w:rPr>
          <w:sz w:val="18"/>
        </w:rPr>
        <w:t>tratados con</w:t>
      </w:r>
      <w:r>
        <w:rPr>
          <w:sz w:val="18"/>
        </w:rPr>
        <w:t xml:space="preserve"> </w:t>
      </w:r>
      <w:r w:rsidR="00D40257">
        <w:rPr>
          <w:sz w:val="18"/>
        </w:rPr>
        <w:t>teriparatida</w:t>
      </w:r>
      <w:r w:rsidR="00D83551">
        <w:rPr>
          <w:sz w:val="18"/>
        </w:rPr>
        <w:t xml:space="preserve"> quienes tenían radiografías de columna iniciales y de seguimiento.</w:t>
      </w:r>
    </w:p>
    <w:p w14:paraId="4C60FE53" w14:textId="77777777" w:rsidR="00D83551" w:rsidRDefault="00D83551" w:rsidP="00E84F80">
      <w:pPr>
        <w:rPr>
          <w:sz w:val="18"/>
        </w:rPr>
      </w:pPr>
      <w:r>
        <w:rPr>
          <w:sz w:val="18"/>
          <w:vertAlign w:val="superscript"/>
        </w:rPr>
        <w:t>b</w:t>
      </w:r>
      <w:r w:rsidR="007B1371">
        <w:rPr>
          <w:sz w:val="18"/>
          <w:vertAlign w:val="superscript"/>
        </w:rPr>
        <w:t xml:space="preserve"> </w:t>
      </w:r>
      <w:r>
        <w:rPr>
          <w:sz w:val="18"/>
        </w:rPr>
        <w:t>p</w:t>
      </w:r>
      <w:r w:rsidR="008A4906">
        <w:rPr>
          <w:sz w:val="18"/>
        </w:rPr>
        <w:t> </w:t>
      </w:r>
      <w:r>
        <w:rPr>
          <w:sz w:val="18"/>
        </w:rPr>
        <w:t>≤</w:t>
      </w:r>
      <w:r w:rsidR="008A4906">
        <w:rPr>
          <w:sz w:val="18"/>
        </w:rPr>
        <w:t> </w:t>
      </w:r>
      <w:r w:rsidR="007A20C1">
        <w:rPr>
          <w:sz w:val="18"/>
        </w:rPr>
        <w:t xml:space="preserve">0,001 </w:t>
      </w:r>
      <w:r w:rsidR="009D58EB">
        <w:rPr>
          <w:sz w:val="18"/>
        </w:rPr>
        <w:t xml:space="preserve">comparado con </w:t>
      </w:r>
      <w:r w:rsidR="007A20C1">
        <w:rPr>
          <w:sz w:val="18"/>
        </w:rPr>
        <w:t>placebo</w:t>
      </w:r>
    </w:p>
    <w:p w14:paraId="400984FA" w14:textId="77777777" w:rsidR="007140E9" w:rsidRPr="007140E9" w:rsidRDefault="007140E9" w:rsidP="00E84F80">
      <w:pPr>
        <w:rPr>
          <w:sz w:val="18"/>
        </w:rPr>
      </w:pPr>
      <w:r>
        <w:rPr>
          <w:sz w:val="18"/>
          <w:vertAlign w:val="superscript"/>
        </w:rPr>
        <w:t>c</w:t>
      </w:r>
      <w:r>
        <w:rPr>
          <w:sz w:val="18"/>
        </w:rPr>
        <w:t xml:space="preserve"> No se ha demostrado una reducción significativa en la incidencia de fracturas de cadera</w:t>
      </w:r>
    </w:p>
    <w:p w14:paraId="483F47F5" w14:textId="77777777" w:rsidR="007A20C1" w:rsidRPr="007A20C1" w:rsidRDefault="007140E9" w:rsidP="00E84F80">
      <w:pPr>
        <w:rPr>
          <w:sz w:val="18"/>
        </w:rPr>
      </w:pPr>
      <w:r>
        <w:rPr>
          <w:sz w:val="18"/>
          <w:vertAlign w:val="superscript"/>
        </w:rPr>
        <w:t>d</w:t>
      </w:r>
      <w:r w:rsidR="007B1371">
        <w:rPr>
          <w:sz w:val="18"/>
          <w:vertAlign w:val="superscript"/>
        </w:rPr>
        <w:t xml:space="preserve"> </w:t>
      </w:r>
      <w:r w:rsidR="007A20C1">
        <w:rPr>
          <w:sz w:val="18"/>
        </w:rPr>
        <w:t>p</w:t>
      </w:r>
      <w:r w:rsidR="008A4906">
        <w:rPr>
          <w:sz w:val="18"/>
        </w:rPr>
        <w:t> </w:t>
      </w:r>
      <w:r w:rsidR="007A20C1">
        <w:rPr>
          <w:sz w:val="18"/>
        </w:rPr>
        <w:t>≤</w:t>
      </w:r>
      <w:r w:rsidR="008A4906">
        <w:rPr>
          <w:sz w:val="18"/>
        </w:rPr>
        <w:t> </w:t>
      </w:r>
      <w:r w:rsidR="007A20C1">
        <w:rPr>
          <w:sz w:val="18"/>
        </w:rPr>
        <w:t xml:space="preserve">0,025 </w:t>
      </w:r>
      <w:r w:rsidR="009D58EB">
        <w:rPr>
          <w:sz w:val="18"/>
        </w:rPr>
        <w:t xml:space="preserve">comparado </w:t>
      </w:r>
      <w:r w:rsidR="007A20C1">
        <w:rPr>
          <w:sz w:val="18"/>
        </w:rPr>
        <w:t>con placebo</w:t>
      </w:r>
    </w:p>
    <w:p w14:paraId="3EB85360" w14:textId="77777777" w:rsidR="00703862" w:rsidRDefault="00703862" w:rsidP="00E84F80">
      <w:pPr>
        <w:rPr>
          <w:sz w:val="18"/>
        </w:rPr>
      </w:pPr>
    </w:p>
    <w:p w14:paraId="40636DC1" w14:textId="77777777" w:rsidR="00693925" w:rsidRDefault="00693925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>La DMO aumentó significativamente después de 19 meses de tratamiento (mediana) en la columna lumbar y en cadera total, en un 9</w:t>
      </w:r>
      <w:r w:rsidR="00713B57">
        <w:rPr>
          <w:sz w:val="22"/>
          <w:lang w:val="es-ES_tradnl"/>
        </w:rPr>
        <w:t> </w:t>
      </w:r>
      <w:r>
        <w:rPr>
          <w:sz w:val="22"/>
          <w:lang w:val="es-ES_tradnl"/>
        </w:rPr>
        <w:t>% y 4</w:t>
      </w:r>
      <w:r w:rsidR="00713B57">
        <w:rPr>
          <w:sz w:val="22"/>
          <w:lang w:val="es-ES_tradnl"/>
        </w:rPr>
        <w:t> </w:t>
      </w:r>
      <w:r>
        <w:rPr>
          <w:sz w:val="22"/>
          <w:lang w:val="es-ES_tradnl"/>
        </w:rPr>
        <w:t>% respectivamente, en comparación con placebo (p</w:t>
      </w:r>
      <w:r w:rsidR="008A4906">
        <w:rPr>
          <w:sz w:val="22"/>
          <w:lang w:val="es-ES_tradnl"/>
        </w:rPr>
        <w:t> </w:t>
      </w:r>
      <w:r>
        <w:rPr>
          <w:sz w:val="22"/>
          <w:lang w:val="es-ES_tradnl"/>
        </w:rPr>
        <w:t xml:space="preserve">&lt; 0,001). </w:t>
      </w:r>
    </w:p>
    <w:p w14:paraId="417663D3" w14:textId="77777777" w:rsidR="00693925" w:rsidRDefault="00693925" w:rsidP="00E84F80">
      <w:pPr>
        <w:rPr>
          <w:sz w:val="22"/>
          <w:lang w:val="es-ES_tradnl"/>
        </w:rPr>
      </w:pPr>
    </w:p>
    <w:p w14:paraId="75E05FE7" w14:textId="77777777" w:rsidR="00693925" w:rsidRDefault="00693925" w:rsidP="00E84F80">
      <w:pPr>
        <w:rPr>
          <w:sz w:val="22"/>
          <w:lang w:val="es-ES_tradnl"/>
        </w:rPr>
      </w:pPr>
      <w:proofErr w:type="spellStart"/>
      <w:r>
        <w:rPr>
          <w:sz w:val="22"/>
          <w:lang w:val="es-ES_tradnl"/>
        </w:rPr>
        <w:t>Post-tratamiento</w:t>
      </w:r>
      <w:proofErr w:type="spellEnd"/>
      <w:r>
        <w:rPr>
          <w:sz w:val="22"/>
          <w:lang w:val="es-ES_tradnl"/>
        </w:rPr>
        <w:t xml:space="preserve">: después del tratamiento con </w:t>
      </w:r>
      <w:r w:rsidR="00D40257">
        <w:rPr>
          <w:sz w:val="22"/>
          <w:lang w:val="es-ES_tradnl"/>
        </w:rPr>
        <w:t>teriparatida</w:t>
      </w:r>
      <w:r>
        <w:rPr>
          <w:sz w:val="22"/>
          <w:lang w:val="es-ES_tradnl"/>
        </w:rPr>
        <w:t>, 1</w:t>
      </w:r>
      <w:r w:rsidR="008A4906">
        <w:rPr>
          <w:sz w:val="22"/>
          <w:lang w:val="es-ES_tradnl"/>
        </w:rPr>
        <w:t>.</w:t>
      </w:r>
      <w:r>
        <w:rPr>
          <w:sz w:val="22"/>
          <w:lang w:val="es-ES_tradnl"/>
        </w:rPr>
        <w:t xml:space="preserve">262 mujeres posmenopáusicas del ensayo principal participaron en un </w:t>
      </w:r>
      <w:r w:rsidR="00203895">
        <w:rPr>
          <w:sz w:val="22"/>
          <w:lang w:val="es-ES_tradnl"/>
        </w:rPr>
        <w:t xml:space="preserve">ensayo </w:t>
      </w:r>
      <w:r>
        <w:rPr>
          <w:sz w:val="22"/>
          <w:lang w:val="es-ES_tradnl"/>
        </w:rPr>
        <w:t xml:space="preserve">de seguimiento </w:t>
      </w:r>
      <w:proofErr w:type="spellStart"/>
      <w:r>
        <w:rPr>
          <w:sz w:val="22"/>
          <w:lang w:val="es-ES_tradnl"/>
        </w:rPr>
        <w:t>post-tratamiento</w:t>
      </w:r>
      <w:proofErr w:type="spellEnd"/>
      <w:r>
        <w:rPr>
          <w:sz w:val="22"/>
          <w:lang w:val="es-ES_tradnl"/>
        </w:rPr>
        <w:t xml:space="preserve">. El objetivo principal del </w:t>
      </w:r>
      <w:r w:rsidR="00203895">
        <w:rPr>
          <w:sz w:val="22"/>
          <w:lang w:val="es-ES_tradnl"/>
        </w:rPr>
        <w:t xml:space="preserve">ensayo </w:t>
      </w:r>
      <w:r>
        <w:rPr>
          <w:sz w:val="22"/>
          <w:lang w:val="es-ES_tradnl"/>
        </w:rPr>
        <w:t xml:space="preserve">fue recoger datos de seguridad de </w:t>
      </w:r>
      <w:r w:rsidR="00D40257">
        <w:rPr>
          <w:sz w:val="22"/>
          <w:lang w:val="es-ES_tradnl"/>
        </w:rPr>
        <w:t>teriparatida</w:t>
      </w:r>
      <w:r>
        <w:rPr>
          <w:sz w:val="22"/>
          <w:lang w:val="es-ES_tradnl"/>
        </w:rPr>
        <w:t>. Durante este periodo observacional</w:t>
      </w:r>
      <w:r w:rsidR="003C102E">
        <w:rPr>
          <w:sz w:val="22"/>
          <w:lang w:val="es-ES_tradnl"/>
        </w:rPr>
        <w:t>,</w:t>
      </w:r>
      <w:r>
        <w:rPr>
          <w:sz w:val="22"/>
          <w:lang w:val="es-ES_tradnl"/>
        </w:rPr>
        <w:t xml:space="preserve"> se permitieron otros tratamientos para la osteoporosis y se realizó una evaluación adicional de fracturas vertebrales.</w:t>
      </w:r>
    </w:p>
    <w:p w14:paraId="3BCC2158" w14:textId="77777777" w:rsidR="00693925" w:rsidRDefault="00693925" w:rsidP="00E84F80">
      <w:pPr>
        <w:rPr>
          <w:sz w:val="22"/>
          <w:lang w:val="es-ES_tradnl"/>
        </w:rPr>
      </w:pPr>
    </w:p>
    <w:p w14:paraId="212813B3" w14:textId="77777777" w:rsidR="00693925" w:rsidRDefault="00693925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lastRenderedPageBreak/>
        <w:t xml:space="preserve">Durante una mediana de 18 meses después de la discontinuación de </w:t>
      </w:r>
      <w:r w:rsidR="00D40257">
        <w:rPr>
          <w:sz w:val="22"/>
          <w:lang w:val="es-ES_tradnl"/>
        </w:rPr>
        <w:t>teriparatida</w:t>
      </w:r>
      <w:r>
        <w:rPr>
          <w:sz w:val="22"/>
          <w:lang w:val="es-ES_tradnl"/>
        </w:rPr>
        <w:t>, el número de pacientes con al menos una nueva fractura vertebral fue un 41</w:t>
      </w:r>
      <w:r w:rsidR="008A4906">
        <w:rPr>
          <w:sz w:val="22"/>
          <w:lang w:val="es-ES_tradnl"/>
        </w:rPr>
        <w:t> </w:t>
      </w:r>
      <w:r>
        <w:rPr>
          <w:lang w:val="es-ES_tradnl"/>
        </w:rPr>
        <w:t xml:space="preserve">% </w:t>
      </w:r>
      <w:r>
        <w:rPr>
          <w:sz w:val="22"/>
          <w:lang w:val="es-ES_tradnl"/>
        </w:rPr>
        <w:t>menor (p</w:t>
      </w:r>
      <w:r w:rsidR="008A4906">
        <w:rPr>
          <w:sz w:val="22"/>
          <w:lang w:val="es-ES_tradnl"/>
        </w:rPr>
        <w:t> </w:t>
      </w:r>
      <w:r>
        <w:rPr>
          <w:sz w:val="22"/>
          <w:lang w:val="es-ES_tradnl"/>
        </w:rPr>
        <w:t>= 0,004)</w:t>
      </w:r>
      <w:r>
        <w:rPr>
          <w:lang w:val="es-ES_tradnl"/>
        </w:rPr>
        <w:t xml:space="preserve"> </w:t>
      </w:r>
      <w:r>
        <w:rPr>
          <w:sz w:val="22"/>
          <w:lang w:val="es-ES_tradnl"/>
        </w:rPr>
        <w:t xml:space="preserve">en el grupo tratado con </w:t>
      </w:r>
      <w:r w:rsidR="00D40257">
        <w:rPr>
          <w:sz w:val="22"/>
          <w:lang w:val="es-ES_tradnl"/>
        </w:rPr>
        <w:t>teriparatida</w:t>
      </w:r>
      <w:r>
        <w:rPr>
          <w:sz w:val="22"/>
          <w:lang w:val="es-ES_tradnl"/>
        </w:rPr>
        <w:t xml:space="preserve"> que en el grupo tratado con placebo.</w:t>
      </w:r>
    </w:p>
    <w:p w14:paraId="19886EA1" w14:textId="77777777" w:rsidR="00D56783" w:rsidRDefault="00D56783" w:rsidP="00E84F80">
      <w:pPr>
        <w:rPr>
          <w:sz w:val="22"/>
          <w:lang w:val="es-ES_tradnl"/>
        </w:rPr>
      </w:pPr>
    </w:p>
    <w:p w14:paraId="2208DD99" w14:textId="77777777" w:rsidR="00860C01" w:rsidRDefault="00860C01" w:rsidP="00860C01">
      <w:pPr>
        <w:rPr>
          <w:sz w:val="22"/>
          <w:lang w:val="es-ES_tradnl"/>
        </w:rPr>
      </w:pPr>
      <w:r>
        <w:rPr>
          <w:sz w:val="22"/>
          <w:lang w:val="es-ES_tradnl"/>
        </w:rPr>
        <w:t xml:space="preserve">En un </w:t>
      </w:r>
      <w:r w:rsidR="00E3645C">
        <w:rPr>
          <w:sz w:val="22"/>
          <w:lang w:val="es-ES_tradnl"/>
        </w:rPr>
        <w:t>ensayo</w:t>
      </w:r>
      <w:r>
        <w:rPr>
          <w:sz w:val="22"/>
          <w:lang w:val="es-ES_tradnl"/>
        </w:rPr>
        <w:t xml:space="preserve"> abierto, 503 mujeres posmenopáusicas con osteoporosis </w:t>
      </w:r>
      <w:r w:rsidR="00A265D3">
        <w:rPr>
          <w:sz w:val="22"/>
          <w:lang w:val="es-ES_tradnl"/>
        </w:rPr>
        <w:t xml:space="preserve">grave </w:t>
      </w:r>
      <w:r>
        <w:rPr>
          <w:sz w:val="22"/>
          <w:lang w:val="es-ES_tradnl"/>
        </w:rPr>
        <w:t xml:space="preserve">y </w:t>
      </w:r>
      <w:r w:rsidR="007B1371">
        <w:rPr>
          <w:sz w:val="22"/>
          <w:lang w:val="es-ES_tradnl"/>
        </w:rPr>
        <w:t xml:space="preserve">una </w:t>
      </w:r>
      <w:r>
        <w:rPr>
          <w:sz w:val="22"/>
          <w:lang w:val="es-ES_tradnl"/>
        </w:rPr>
        <w:t>fractura por fragilidad</w:t>
      </w:r>
      <w:r w:rsidR="00D4144B">
        <w:rPr>
          <w:sz w:val="22"/>
          <w:lang w:val="es-ES_tradnl"/>
        </w:rPr>
        <w:t xml:space="preserve"> en los </w:t>
      </w:r>
      <w:r>
        <w:rPr>
          <w:sz w:val="22"/>
          <w:lang w:val="es-ES_tradnl"/>
        </w:rPr>
        <w:t xml:space="preserve">3 años </w:t>
      </w:r>
      <w:r w:rsidR="00D4144B">
        <w:rPr>
          <w:sz w:val="22"/>
          <w:lang w:val="es-ES_tradnl"/>
        </w:rPr>
        <w:t xml:space="preserve">anteriores </w:t>
      </w:r>
      <w:r w:rsidR="002F250F">
        <w:rPr>
          <w:sz w:val="22"/>
          <w:lang w:val="es-ES_tradnl"/>
        </w:rPr>
        <w:t>(</w:t>
      </w:r>
      <w:r>
        <w:rPr>
          <w:sz w:val="22"/>
          <w:lang w:val="es-ES_tradnl"/>
        </w:rPr>
        <w:t>83 %</w:t>
      </w:r>
      <w:r w:rsidR="002F250F">
        <w:rPr>
          <w:sz w:val="22"/>
          <w:lang w:val="es-ES_tradnl"/>
        </w:rPr>
        <w:t xml:space="preserve"> </w:t>
      </w:r>
      <w:r>
        <w:rPr>
          <w:sz w:val="22"/>
          <w:lang w:val="es-ES_tradnl"/>
        </w:rPr>
        <w:t>había</w:t>
      </w:r>
      <w:r w:rsidR="002F250F">
        <w:rPr>
          <w:sz w:val="22"/>
          <w:lang w:val="es-ES_tradnl"/>
        </w:rPr>
        <w:t>n</w:t>
      </w:r>
      <w:r>
        <w:rPr>
          <w:sz w:val="22"/>
          <w:lang w:val="es-ES_tradnl"/>
        </w:rPr>
        <w:t xml:space="preserve"> recibido una tera</w:t>
      </w:r>
      <w:r w:rsidR="002F250F">
        <w:rPr>
          <w:sz w:val="22"/>
          <w:lang w:val="es-ES_tradnl"/>
        </w:rPr>
        <w:t>pia previa para la osteoporosis</w:t>
      </w:r>
      <w:r w:rsidR="007B1371">
        <w:rPr>
          <w:sz w:val="22"/>
          <w:lang w:val="es-ES_tradnl"/>
        </w:rPr>
        <w:t>)</w:t>
      </w:r>
      <w:r w:rsidR="002F250F">
        <w:rPr>
          <w:sz w:val="22"/>
          <w:lang w:val="es-ES_tradnl"/>
        </w:rPr>
        <w:t>,</w:t>
      </w:r>
      <w:r>
        <w:rPr>
          <w:sz w:val="22"/>
          <w:lang w:val="es-ES_tradnl"/>
        </w:rPr>
        <w:t xml:space="preserve"> fueron tratadas con </w:t>
      </w:r>
      <w:r w:rsidR="00D40257">
        <w:rPr>
          <w:sz w:val="22"/>
          <w:lang w:val="es-ES_tradnl"/>
        </w:rPr>
        <w:t>teriparatida</w:t>
      </w:r>
      <w:r>
        <w:rPr>
          <w:sz w:val="22"/>
          <w:lang w:val="es-ES_tradnl"/>
        </w:rPr>
        <w:t xml:space="preserve"> durante un máximo de 24 meses. A los 24 meses, el incremento medio de </w:t>
      </w:r>
      <w:smartTag w:uri="urn:schemas-microsoft-com:office:smarttags" w:element="PersonName">
        <w:smartTagPr>
          <w:attr w:name="ProductID" w:val="la DMO"/>
        </w:smartTagPr>
        <w:r>
          <w:rPr>
            <w:sz w:val="22"/>
            <w:lang w:val="es-ES_tradnl"/>
          </w:rPr>
          <w:t>la DMO</w:t>
        </w:r>
      </w:smartTag>
      <w:r>
        <w:rPr>
          <w:sz w:val="22"/>
          <w:lang w:val="es-ES_tradnl"/>
        </w:rPr>
        <w:t xml:space="preserve"> en la columna lumbar, cadera total y cuello femoral, con respecto al inicio del tratamiento, fue del 10,5 %, 2,6 % y 3,9 % respectivamente. El incremento medio de </w:t>
      </w:r>
      <w:smartTag w:uri="urn:schemas-microsoft-com:office:smarttags" w:element="PersonName">
        <w:smartTagPr>
          <w:attr w:name="ProductID" w:val="la DMO"/>
        </w:smartTagPr>
        <w:r>
          <w:rPr>
            <w:sz w:val="22"/>
            <w:lang w:val="es-ES_tradnl"/>
          </w:rPr>
          <w:t>la DMO</w:t>
        </w:r>
      </w:smartTag>
      <w:r>
        <w:rPr>
          <w:sz w:val="22"/>
          <w:lang w:val="es-ES_tradnl"/>
        </w:rPr>
        <w:t xml:space="preserve"> desde 18 hasta 24 meses fue del 1,4 %, 1,2 %, y 1,6 % en la </w:t>
      </w:r>
      <w:r w:rsidR="001E13A1">
        <w:rPr>
          <w:sz w:val="22"/>
          <w:lang w:val="es-ES_tradnl"/>
        </w:rPr>
        <w:t>columna</w:t>
      </w:r>
      <w:r>
        <w:rPr>
          <w:sz w:val="22"/>
          <w:lang w:val="es-ES_tradnl"/>
        </w:rPr>
        <w:t xml:space="preserve"> lumbar, cadera total y cuello femoral, respectivamente.</w:t>
      </w:r>
    </w:p>
    <w:p w14:paraId="4929F885" w14:textId="77777777" w:rsidR="00693925" w:rsidRDefault="00693925" w:rsidP="00E84F80">
      <w:pPr>
        <w:rPr>
          <w:sz w:val="22"/>
          <w:lang w:val="es-ES_tradnl"/>
        </w:rPr>
      </w:pPr>
    </w:p>
    <w:p w14:paraId="6A2FDA29" w14:textId="77777777" w:rsidR="0049113C" w:rsidRDefault="00713B57" w:rsidP="00191717">
      <w:pPr>
        <w:rPr>
          <w:sz w:val="22"/>
          <w:lang w:val="es-ES_tradnl"/>
        </w:rPr>
      </w:pPr>
      <w:r>
        <w:rPr>
          <w:sz w:val="22"/>
          <w:lang w:val="es-ES_tradnl"/>
        </w:rPr>
        <w:t>En un ensayo fase 4</w:t>
      </w:r>
      <w:r w:rsidR="00005E25">
        <w:rPr>
          <w:sz w:val="22"/>
          <w:lang w:val="es-ES_tradnl"/>
        </w:rPr>
        <w:t>, aleatorizado, doble ciego,</w:t>
      </w:r>
      <w:r w:rsidR="00620BCC">
        <w:rPr>
          <w:sz w:val="22"/>
          <w:lang w:val="es-ES_tradnl"/>
        </w:rPr>
        <w:t xml:space="preserve"> controlado con </w:t>
      </w:r>
      <w:r w:rsidR="003A741D">
        <w:rPr>
          <w:sz w:val="22"/>
          <w:lang w:val="es-ES_tradnl"/>
        </w:rPr>
        <w:t xml:space="preserve">un </w:t>
      </w:r>
      <w:r w:rsidR="00620BCC">
        <w:rPr>
          <w:sz w:val="22"/>
          <w:lang w:val="es-ES_tradnl"/>
        </w:rPr>
        <w:t>comparador</w:t>
      </w:r>
      <w:r w:rsidR="00AD2A08">
        <w:rPr>
          <w:sz w:val="22"/>
          <w:lang w:val="es-ES_tradnl"/>
        </w:rPr>
        <w:t xml:space="preserve">, </w:t>
      </w:r>
      <w:r w:rsidR="003A741D">
        <w:rPr>
          <w:sz w:val="22"/>
          <w:lang w:val="es-ES_tradnl"/>
        </w:rPr>
        <w:t>de 24 meses de duración</w:t>
      </w:r>
      <w:r w:rsidR="00620BCC">
        <w:rPr>
          <w:sz w:val="22"/>
          <w:lang w:val="es-ES_tradnl"/>
        </w:rPr>
        <w:t>,</w:t>
      </w:r>
      <w:r w:rsidR="00005E25">
        <w:rPr>
          <w:sz w:val="22"/>
          <w:lang w:val="es-ES_tradnl"/>
        </w:rPr>
        <w:t xml:space="preserve"> </w:t>
      </w:r>
      <w:r w:rsidR="00620BCC">
        <w:rPr>
          <w:sz w:val="22"/>
          <w:lang w:val="es-ES_tradnl"/>
        </w:rPr>
        <w:t xml:space="preserve">se </w:t>
      </w:r>
      <w:r w:rsidR="00005E25">
        <w:rPr>
          <w:sz w:val="22"/>
          <w:lang w:val="es-ES_tradnl"/>
        </w:rPr>
        <w:t>incluy</w:t>
      </w:r>
      <w:r w:rsidR="00620BCC">
        <w:rPr>
          <w:sz w:val="22"/>
          <w:lang w:val="es-ES_tradnl"/>
        </w:rPr>
        <w:t>eron</w:t>
      </w:r>
      <w:r w:rsidR="00005E25">
        <w:rPr>
          <w:sz w:val="22"/>
          <w:lang w:val="es-ES_tradnl"/>
        </w:rPr>
        <w:t xml:space="preserve"> 1.360</w:t>
      </w:r>
      <w:r w:rsidR="00620BCC">
        <w:rPr>
          <w:sz w:val="22"/>
          <w:lang w:val="es-ES_tradnl"/>
        </w:rPr>
        <w:t xml:space="preserve"> mujeres posmenopáusicas con osteoporosis establecida. </w:t>
      </w:r>
      <w:r w:rsidR="003A741D" w:rsidRPr="003A741D">
        <w:rPr>
          <w:sz w:val="22"/>
          <w:lang w:val="es-ES_tradnl"/>
        </w:rPr>
        <w:t xml:space="preserve">Se aleatorizaron </w:t>
      </w:r>
      <w:r w:rsidR="003A741D">
        <w:rPr>
          <w:sz w:val="22"/>
          <w:lang w:val="es-ES_tradnl"/>
        </w:rPr>
        <w:t>680 paciente</w:t>
      </w:r>
      <w:r w:rsidR="009E7CB4">
        <w:rPr>
          <w:sz w:val="22"/>
          <w:lang w:val="es-ES_tradnl"/>
        </w:rPr>
        <w:t xml:space="preserve">s a </w:t>
      </w:r>
      <w:r w:rsidR="00726959">
        <w:rPr>
          <w:sz w:val="22"/>
          <w:lang w:val="es-ES_tradnl"/>
        </w:rPr>
        <w:t>teriparatida</w:t>
      </w:r>
      <w:r w:rsidR="003A741D">
        <w:rPr>
          <w:sz w:val="22"/>
          <w:lang w:val="es-ES_tradnl"/>
        </w:rPr>
        <w:t xml:space="preserve"> </w:t>
      </w:r>
      <w:r w:rsidR="009E7CB4">
        <w:rPr>
          <w:sz w:val="22"/>
          <w:lang w:val="es-ES_tradnl"/>
        </w:rPr>
        <w:t xml:space="preserve">y 680 a </w:t>
      </w:r>
      <w:proofErr w:type="spellStart"/>
      <w:r w:rsidR="009E7CB4">
        <w:rPr>
          <w:sz w:val="22"/>
          <w:lang w:val="es-ES_tradnl"/>
        </w:rPr>
        <w:t>risedronato</w:t>
      </w:r>
      <w:proofErr w:type="spellEnd"/>
      <w:r w:rsidR="009E7CB4">
        <w:rPr>
          <w:sz w:val="22"/>
          <w:lang w:val="es-ES_tradnl"/>
        </w:rPr>
        <w:t xml:space="preserve"> oral</w:t>
      </w:r>
      <w:r w:rsidR="005918FB">
        <w:rPr>
          <w:sz w:val="22"/>
          <w:lang w:val="es-ES_tradnl"/>
        </w:rPr>
        <w:t xml:space="preserve"> 35 mg/semana</w:t>
      </w:r>
      <w:r w:rsidR="0049113C">
        <w:rPr>
          <w:sz w:val="22"/>
          <w:lang w:val="es-ES_tradnl"/>
        </w:rPr>
        <w:t xml:space="preserve">. </w:t>
      </w:r>
      <w:r w:rsidR="00E91843">
        <w:rPr>
          <w:sz w:val="22"/>
          <w:lang w:val="es-ES_tradnl"/>
        </w:rPr>
        <w:t>Al inicio</w:t>
      </w:r>
      <w:r w:rsidR="003A741D">
        <w:rPr>
          <w:sz w:val="22"/>
          <w:lang w:val="es-ES_tradnl"/>
        </w:rPr>
        <w:t xml:space="preserve"> del estudio</w:t>
      </w:r>
      <w:r w:rsidR="00E91843">
        <w:rPr>
          <w:sz w:val="22"/>
          <w:lang w:val="es-ES_tradnl"/>
        </w:rPr>
        <w:t xml:space="preserve"> las mujeres tenían una edad media de 72,1 años y </w:t>
      </w:r>
      <w:r w:rsidR="00E91843" w:rsidRPr="00557AAE">
        <w:rPr>
          <w:sz w:val="22"/>
          <w:lang w:val="es-ES_tradnl"/>
        </w:rPr>
        <w:t>una mediana de 2 fracturas vertebrales prevalentes</w:t>
      </w:r>
      <w:r w:rsidR="003A741D">
        <w:rPr>
          <w:sz w:val="22"/>
          <w:lang w:val="es-ES_tradnl"/>
        </w:rPr>
        <w:t>.</w:t>
      </w:r>
      <w:r w:rsidR="00845EA0">
        <w:rPr>
          <w:sz w:val="22"/>
          <w:lang w:val="es-ES_tradnl"/>
        </w:rPr>
        <w:t xml:space="preserve"> </w:t>
      </w:r>
      <w:r w:rsidR="003A741D">
        <w:rPr>
          <w:sz w:val="22"/>
          <w:lang w:val="es-ES_tradnl"/>
        </w:rPr>
        <w:t>E</w:t>
      </w:r>
      <w:r w:rsidR="00191717">
        <w:rPr>
          <w:sz w:val="22"/>
          <w:lang w:val="es-ES_tradnl"/>
        </w:rPr>
        <w:t>l 57,9 % de las pacientes</w:t>
      </w:r>
      <w:r w:rsidR="005918FB">
        <w:rPr>
          <w:sz w:val="22"/>
          <w:lang w:val="es-ES_tradnl"/>
        </w:rPr>
        <w:t xml:space="preserve"> </w:t>
      </w:r>
      <w:r w:rsidR="00191717">
        <w:rPr>
          <w:sz w:val="22"/>
          <w:lang w:val="es-ES_tradnl"/>
        </w:rPr>
        <w:t xml:space="preserve">habían recibido tratamiento previo con </w:t>
      </w:r>
      <w:proofErr w:type="spellStart"/>
      <w:r w:rsidR="00191717">
        <w:rPr>
          <w:sz w:val="22"/>
          <w:lang w:val="es-ES_tradnl"/>
        </w:rPr>
        <w:t>bi</w:t>
      </w:r>
      <w:r w:rsidR="003A741D">
        <w:rPr>
          <w:sz w:val="22"/>
          <w:lang w:val="es-ES_tradnl"/>
        </w:rPr>
        <w:t>s</w:t>
      </w:r>
      <w:r w:rsidR="00191717">
        <w:rPr>
          <w:sz w:val="22"/>
          <w:lang w:val="es-ES_tradnl"/>
        </w:rPr>
        <w:t>fosfonatos</w:t>
      </w:r>
      <w:proofErr w:type="spellEnd"/>
      <w:r w:rsidR="0026710E">
        <w:rPr>
          <w:sz w:val="22"/>
          <w:lang w:val="es-ES_tradnl"/>
        </w:rPr>
        <w:t xml:space="preserve"> y el 18,8 </w:t>
      </w:r>
      <w:r w:rsidR="0049113C">
        <w:rPr>
          <w:sz w:val="22"/>
          <w:lang w:val="es-ES_tradnl"/>
        </w:rPr>
        <w:t xml:space="preserve">% </w:t>
      </w:r>
      <w:r w:rsidR="0026710E">
        <w:rPr>
          <w:sz w:val="22"/>
          <w:lang w:val="es-ES_tradnl"/>
        </w:rPr>
        <w:t>recibió</w:t>
      </w:r>
      <w:r w:rsidR="003A741D" w:rsidRPr="003A741D">
        <w:t xml:space="preserve"> </w:t>
      </w:r>
      <w:r w:rsidR="003A741D" w:rsidRPr="003A741D">
        <w:rPr>
          <w:sz w:val="22"/>
          <w:lang w:val="es-ES_tradnl"/>
        </w:rPr>
        <w:t>tratamiento concomitante con</w:t>
      </w:r>
      <w:r w:rsidR="0049113C" w:rsidRPr="003A741D">
        <w:rPr>
          <w:sz w:val="22"/>
          <w:lang w:val="es-ES_tradnl"/>
        </w:rPr>
        <w:t xml:space="preserve"> </w:t>
      </w:r>
      <w:r w:rsidR="0049113C" w:rsidRPr="0049113C">
        <w:rPr>
          <w:sz w:val="22"/>
          <w:lang w:val="es-ES_tradnl"/>
        </w:rPr>
        <w:t>glucocorticoid</w:t>
      </w:r>
      <w:r w:rsidR="0049113C">
        <w:rPr>
          <w:sz w:val="22"/>
          <w:lang w:val="es-ES_tradnl"/>
        </w:rPr>
        <w:t>e</w:t>
      </w:r>
      <w:r w:rsidR="0049113C" w:rsidRPr="0049113C">
        <w:rPr>
          <w:sz w:val="22"/>
          <w:lang w:val="es-ES_tradnl"/>
        </w:rPr>
        <w:t>s</w:t>
      </w:r>
      <w:r w:rsidR="0049113C">
        <w:rPr>
          <w:sz w:val="22"/>
          <w:lang w:val="es-ES_tradnl"/>
        </w:rPr>
        <w:t xml:space="preserve"> </w:t>
      </w:r>
      <w:r w:rsidR="00D972A6">
        <w:rPr>
          <w:sz w:val="22"/>
          <w:lang w:val="es-ES_tradnl"/>
        </w:rPr>
        <w:t>durante el e</w:t>
      </w:r>
      <w:r w:rsidR="003A741D">
        <w:rPr>
          <w:sz w:val="22"/>
          <w:lang w:val="es-ES_tradnl"/>
        </w:rPr>
        <w:t>studio</w:t>
      </w:r>
      <w:r w:rsidR="00D972A6">
        <w:rPr>
          <w:sz w:val="22"/>
          <w:lang w:val="es-ES_tradnl"/>
        </w:rPr>
        <w:t>.</w:t>
      </w:r>
      <w:r w:rsidR="0026710E">
        <w:rPr>
          <w:sz w:val="22"/>
          <w:lang w:val="es-ES_tradnl"/>
        </w:rPr>
        <w:t xml:space="preserve"> 1.013 (74,5 %) pacientes completaron </w:t>
      </w:r>
      <w:r w:rsidR="003A741D">
        <w:rPr>
          <w:sz w:val="22"/>
          <w:lang w:val="es-ES_tradnl"/>
        </w:rPr>
        <w:t xml:space="preserve">los </w:t>
      </w:r>
      <w:r w:rsidR="0026710E">
        <w:rPr>
          <w:sz w:val="22"/>
          <w:lang w:val="es-ES_tradnl"/>
        </w:rPr>
        <w:t>24 meses</w:t>
      </w:r>
      <w:r w:rsidR="003A741D">
        <w:rPr>
          <w:sz w:val="22"/>
          <w:lang w:val="es-ES_tradnl"/>
        </w:rPr>
        <w:t xml:space="preserve"> de seguimiento</w:t>
      </w:r>
      <w:r w:rsidR="0026710E">
        <w:rPr>
          <w:sz w:val="22"/>
          <w:lang w:val="es-ES_tradnl"/>
        </w:rPr>
        <w:t>.</w:t>
      </w:r>
      <w:r w:rsidR="003A741D">
        <w:rPr>
          <w:sz w:val="22"/>
          <w:lang w:val="es-ES_tradnl"/>
        </w:rPr>
        <w:t xml:space="preserve"> </w:t>
      </w:r>
      <w:r w:rsidR="00B05BB5">
        <w:rPr>
          <w:sz w:val="22"/>
          <w:lang w:val="es-ES_tradnl"/>
        </w:rPr>
        <w:t>La dosis acumulada media (mediana) de glucocorticoide</w:t>
      </w:r>
      <w:r w:rsidR="00B249D4">
        <w:rPr>
          <w:sz w:val="22"/>
          <w:lang w:val="es-ES_tradnl"/>
        </w:rPr>
        <w:t>s</w:t>
      </w:r>
      <w:r w:rsidR="00B05BB5">
        <w:rPr>
          <w:sz w:val="22"/>
          <w:lang w:val="es-ES_tradnl"/>
        </w:rPr>
        <w:t xml:space="preserve"> </w:t>
      </w:r>
      <w:r w:rsidR="00F241DF">
        <w:rPr>
          <w:sz w:val="22"/>
          <w:lang w:val="es-ES_tradnl"/>
        </w:rPr>
        <w:t>fue de 474,3 </w:t>
      </w:r>
      <w:r w:rsidR="00372443">
        <w:rPr>
          <w:sz w:val="22"/>
          <w:lang w:val="es-ES_tradnl"/>
        </w:rPr>
        <w:t>(66,</w:t>
      </w:r>
      <w:r w:rsidR="0000787F">
        <w:rPr>
          <w:sz w:val="22"/>
          <w:lang w:val="es-ES_tradnl"/>
        </w:rPr>
        <w:t>2) </w:t>
      </w:r>
      <w:r w:rsidR="00372443" w:rsidRPr="00372443">
        <w:rPr>
          <w:sz w:val="22"/>
          <w:lang w:val="es-ES_tradnl"/>
        </w:rPr>
        <w:t>mg</w:t>
      </w:r>
      <w:r w:rsidR="00372443">
        <w:rPr>
          <w:sz w:val="22"/>
          <w:lang w:val="es-ES_tradnl"/>
        </w:rPr>
        <w:t xml:space="preserve"> en el </w:t>
      </w:r>
      <w:r w:rsidR="00B249D4">
        <w:rPr>
          <w:sz w:val="22"/>
          <w:lang w:val="es-ES_tradnl"/>
        </w:rPr>
        <w:t>grupo</w:t>
      </w:r>
      <w:r w:rsidR="00372443">
        <w:rPr>
          <w:sz w:val="22"/>
          <w:lang w:val="es-ES_tradnl"/>
        </w:rPr>
        <w:t xml:space="preserve"> de teriparatida</w:t>
      </w:r>
      <w:r w:rsidR="00372443" w:rsidRPr="00372443">
        <w:rPr>
          <w:sz w:val="22"/>
          <w:lang w:val="es-ES_tradnl"/>
        </w:rPr>
        <w:t xml:space="preserve"> </w:t>
      </w:r>
      <w:r w:rsidR="00372443">
        <w:rPr>
          <w:sz w:val="22"/>
          <w:lang w:val="es-ES_tradnl"/>
        </w:rPr>
        <w:t>y de 898,0 (100,</w:t>
      </w:r>
      <w:r w:rsidR="0000787F">
        <w:rPr>
          <w:sz w:val="22"/>
          <w:lang w:val="es-ES_tradnl"/>
        </w:rPr>
        <w:t>0) </w:t>
      </w:r>
      <w:r w:rsidR="00372443" w:rsidRPr="00372443">
        <w:rPr>
          <w:sz w:val="22"/>
          <w:lang w:val="es-ES_tradnl"/>
        </w:rPr>
        <w:t xml:space="preserve">mg </w:t>
      </w:r>
      <w:r w:rsidR="00372443">
        <w:rPr>
          <w:sz w:val="22"/>
          <w:lang w:val="es-ES_tradnl"/>
        </w:rPr>
        <w:t xml:space="preserve">en el </w:t>
      </w:r>
      <w:r w:rsidR="00B249D4">
        <w:rPr>
          <w:sz w:val="22"/>
          <w:lang w:val="es-ES_tradnl"/>
        </w:rPr>
        <w:t>grupo</w:t>
      </w:r>
      <w:r w:rsidR="00F241DF">
        <w:rPr>
          <w:sz w:val="22"/>
          <w:lang w:val="es-ES_tradnl"/>
        </w:rPr>
        <w:t xml:space="preserve"> </w:t>
      </w:r>
      <w:r w:rsidR="00372443">
        <w:rPr>
          <w:sz w:val="22"/>
          <w:lang w:val="es-ES_tradnl"/>
        </w:rPr>
        <w:t xml:space="preserve">de </w:t>
      </w:r>
      <w:proofErr w:type="spellStart"/>
      <w:r w:rsidR="00372443">
        <w:rPr>
          <w:sz w:val="22"/>
          <w:lang w:val="es-ES_tradnl"/>
        </w:rPr>
        <w:t>risedronato</w:t>
      </w:r>
      <w:proofErr w:type="spellEnd"/>
      <w:r w:rsidR="00372443">
        <w:rPr>
          <w:sz w:val="22"/>
          <w:lang w:val="es-ES_tradnl"/>
        </w:rPr>
        <w:t>.</w:t>
      </w:r>
      <w:r w:rsidR="00473180">
        <w:rPr>
          <w:sz w:val="22"/>
          <w:lang w:val="es-ES_tradnl"/>
        </w:rPr>
        <w:t xml:space="preserve"> La ingesta media (mediana) de vitamina D en el </w:t>
      </w:r>
      <w:r w:rsidR="00B249D4">
        <w:rPr>
          <w:sz w:val="22"/>
          <w:lang w:val="es-ES_tradnl"/>
        </w:rPr>
        <w:t>grupo</w:t>
      </w:r>
      <w:r w:rsidR="00473180">
        <w:rPr>
          <w:sz w:val="22"/>
          <w:lang w:val="es-ES_tradnl"/>
        </w:rPr>
        <w:t xml:space="preserve"> de teriparatida fue 1.433</w:t>
      </w:r>
      <w:r w:rsidR="00E80D0D">
        <w:rPr>
          <w:sz w:val="22"/>
          <w:lang w:val="es-ES_tradnl"/>
        </w:rPr>
        <w:t> </w:t>
      </w:r>
      <w:r w:rsidR="00473180">
        <w:rPr>
          <w:sz w:val="22"/>
          <w:lang w:val="es-ES_tradnl"/>
        </w:rPr>
        <w:t>UI/día</w:t>
      </w:r>
      <w:r w:rsidR="00E80D0D">
        <w:rPr>
          <w:sz w:val="22"/>
          <w:lang w:val="es-ES_tradnl"/>
        </w:rPr>
        <w:t xml:space="preserve"> (1.400 UI/día)</w:t>
      </w:r>
      <w:r w:rsidR="00AA0779">
        <w:rPr>
          <w:sz w:val="22"/>
          <w:lang w:val="es-ES_tradnl"/>
        </w:rPr>
        <w:t xml:space="preserve"> y en el </w:t>
      </w:r>
      <w:r w:rsidR="00B249D4">
        <w:rPr>
          <w:sz w:val="22"/>
          <w:lang w:val="es-ES_tradnl"/>
        </w:rPr>
        <w:t>grupo</w:t>
      </w:r>
      <w:r w:rsidR="00AA0779">
        <w:rPr>
          <w:sz w:val="22"/>
          <w:lang w:val="es-ES_tradnl"/>
        </w:rPr>
        <w:t xml:space="preserve"> de </w:t>
      </w:r>
      <w:proofErr w:type="spellStart"/>
      <w:r w:rsidR="00AA0779">
        <w:rPr>
          <w:sz w:val="22"/>
          <w:lang w:val="es-ES_tradnl"/>
        </w:rPr>
        <w:t>risedronato</w:t>
      </w:r>
      <w:proofErr w:type="spellEnd"/>
      <w:r w:rsidR="00AA0779">
        <w:rPr>
          <w:sz w:val="22"/>
          <w:lang w:val="es-ES_tradnl"/>
        </w:rPr>
        <w:t xml:space="preserve"> </w:t>
      </w:r>
      <w:r w:rsidR="00B249D4">
        <w:rPr>
          <w:sz w:val="22"/>
          <w:lang w:val="es-ES_tradnl"/>
        </w:rPr>
        <w:t>d</w:t>
      </w:r>
      <w:r w:rsidR="00AA0779">
        <w:rPr>
          <w:sz w:val="22"/>
          <w:lang w:val="es-ES_tradnl"/>
        </w:rPr>
        <w:t>e 1.191 UI/día (900 UI/día).</w:t>
      </w:r>
      <w:r w:rsidR="00676AD8">
        <w:rPr>
          <w:sz w:val="22"/>
          <w:lang w:val="es-ES_tradnl"/>
        </w:rPr>
        <w:t xml:space="preserve"> </w:t>
      </w:r>
      <w:r w:rsidR="00B249D4">
        <w:rPr>
          <w:sz w:val="22"/>
          <w:lang w:val="es-ES_tradnl"/>
        </w:rPr>
        <w:t>En aquella</w:t>
      </w:r>
      <w:r w:rsidR="00676AD8">
        <w:rPr>
          <w:sz w:val="22"/>
          <w:lang w:val="es-ES_tradnl"/>
        </w:rPr>
        <w:t xml:space="preserve">s </w:t>
      </w:r>
      <w:r w:rsidR="00B249D4">
        <w:rPr>
          <w:sz w:val="22"/>
          <w:lang w:val="es-ES_tradnl"/>
        </w:rPr>
        <w:t>pacientes</w:t>
      </w:r>
      <w:r w:rsidR="00676AD8">
        <w:rPr>
          <w:sz w:val="22"/>
          <w:lang w:val="es-ES_tradnl"/>
        </w:rPr>
        <w:t xml:space="preserve"> que tenían </w:t>
      </w:r>
      <w:r w:rsidR="00676AD8" w:rsidRPr="00676AD8">
        <w:rPr>
          <w:sz w:val="22"/>
          <w:lang w:val="es-ES_tradnl"/>
        </w:rPr>
        <w:t>radiografías de columna iniciales y de seguimiento</w:t>
      </w:r>
      <w:r w:rsidR="00DA5BC7">
        <w:rPr>
          <w:sz w:val="22"/>
          <w:lang w:val="es-ES_tradnl"/>
        </w:rPr>
        <w:t xml:space="preserve">, la incidencia de nuevas fracturas vertebrales fue </w:t>
      </w:r>
      <w:r w:rsidR="00DA5BC7" w:rsidRPr="00DA5BC7">
        <w:rPr>
          <w:sz w:val="22"/>
          <w:lang w:val="es-ES_tradnl"/>
        </w:rPr>
        <w:t>28/516 (5</w:t>
      </w:r>
      <w:r w:rsidR="00DA5BC7">
        <w:rPr>
          <w:sz w:val="22"/>
          <w:lang w:val="es-ES_tradnl"/>
        </w:rPr>
        <w:t>,</w:t>
      </w:r>
      <w:r w:rsidR="00DA5BC7" w:rsidRPr="00DA5BC7">
        <w:rPr>
          <w:sz w:val="22"/>
          <w:lang w:val="es-ES_tradnl"/>
        </w:rPr>
        <w:t>4</w:t>
      </w:r>
      <w:r w:rsidR="00EA2176">
        <w:rPr>
          <w:sz w:val="22"/>
          <w:lang w:val="es-ES_tradnl"/>
        </w:rPr>
        <w:t> </w:t>
      </w:r>
      <w:r w:rsidR="00DA5BC7" w:rsidRPr="00DA5BC7">
        <w:rPr>
          <w:sz w:val="22"/>
          <w:lang w:val="es-ES_tradnl"/>
        </w:rPr>
        <w:t>%)</w:t>
      </w:r>
      <w:r w:rsidR="00DA5BC7">
        <w:rPr>
          <w:sz w:val="22"/>
          <w:lang w:val="es-ES_tradnl"/>
        </w:rPr>
        <w:t xml:space="preserve"> en l</w:t>
      </w:r>
      <w:r w:rsidR="005918FB">
        <w:rPr>
          <w:sz w:val="22"/>
          <w:lang w:val="es-ES_tradnl"/>
        </w:rPr>
        <w:t>as pacientes tratada</w:t>
      </w:r>
      <w:r w:rsidR="00DA5BC7">
        <w:rPr>
          <w:sz w:val="22"/>
          <w:lang w:val="es-ES_tradnl"/>
        </w:rPr>
        <w:t xml:space="preserve">s con </w:t>
      </w:r>
      <w:r w:rsidR="00726959">
        <w:rPr>
          <w:sz w:val="22"/>
          <w:lang w:val="es-ES_tradnl"/>
        </w:rPr>
        <w:t>teriparatida</w:t>
      </w:r>
      <w:r w:rsidR="00B249D4">
        <w:rPr>
          <w:sz w:val="22"/>
          <w:lang w:val="es-ES_tradnl"/>
        </w:rPr>
        <w:t xml:space="preserve"> </w:t>
      </w:r>
      <w:r w:rsidR="00DA5BC7">
        <w:rPr>
          <w:sz w:val="22"/>
          <w:lang w:val="es-ES_tradnl"/>
        </w:rPr>
        <w:t>y 64/533 (12,</w:t>
      </w:r>
      <w:r w:rsidR="00DA5BC7" w:rsidRPr="00DA5BC7">
        <w:rPr>
          <w:sz w:val="22"/>
          <w:lang w:val="es-ES_tradnl"/>
        </w:rPr>
        <w:t>0</w:t>
      </w:r>
      <w:r w:rsidR="00EA2176">
        <w:rPr>
          <w:sz w:val="22"/>
          <w:lang w:val="es-ES_tradnl"/>
        </w:rPr>
        <w:t> </w:t>
      </w:r>
      <w:r w:rsidR="00DA5BC7" w:rsidRPr="00DA5BC7">
        <w:rPr>
          <w:sz w:val="22"/>
          <w:lang w:val="es-ES_tradnl"/>
        </w:rPr>
        <w:t xml:space="preserve">%) </w:t>
      </w:r>
      <w:r w:rsidR="00DA5BC7">
        <w:rPr>
          <w:sz w:val="22"/>
          <w:lang w:val="es-ES_tradnl"/>
        </w:rPr>
        <w:t>e</w:t>
      </w:r>
      <w:r w:rsidR="00DA5BC7" w:rsidRPr="00DA5BC7">
        <w:rPr>
          <w:sz w:val="22"/>
          <w:lang w:val="es-ES_tradnl"/>
        </w:rPr>
        <w:t>n</w:t>
      </w:r>
      <w:r w:rsidR="005918FB">
        <w:rPr>
          <w:sz w:val="22"/>
          <w:lang w:val="es-ES_tradnl"/>
        </w:rPr>
        <w:t xml:space="preserve"> las pacientes tratada</w:t>
      </w:r>
      <w:r w:rsidR="00DA5BC7">
        <w:rPr>
          <w:sz w:val="22"/>
          <w:lang w:val="es-ES_tradnl"/>
        </w:rPr>
        <w:t>s con</w:t>
      </w:r>
      <w:r w:rsidR="00DA5BC7" w:rsidRPr="00DA5BC7">
        <w:rPr>
          <w:sz w:val="22"/>
          <w:lang w:val="es-ES_tradnl"/>
        </w:rPr>
        <w:t xml:space="preserve"> </w:t>
      </w:r>
      <w:proofErr w:type="spellStart"/>
      <w:r w:rsidR="00DA5BC7">
        <w:rPr>
          <w:sz w:val="22"/>
          <w:lang w:val="es-ES_tradnl"/>
        </w:rPr>
        <w:t>risedronato</w:t>
      </w:r>
      <w:proofErr w:type="spellEnd"/>
      <w:r w:rsidR="0039277A">
        <w:rPr>
          <w:sz w:val="22"/>
          <w:lang w:val="es-ES_tradnl"/>
        </w:rPr>
        <w:t>, riesgo relativo (IC del 95</w:t>
      </w:r>
      <w:r w:rsidR="00EA2176">
        <w:rPr>
          <w:sz w:val="22"/>
          <w:lang w:val="es-ES_tradnl"/>
        </w:rPr>
        <w:t> </w:t>
      </w:r>
      <w:r w:rsidR="0039277A">
        <w:rPr>
          <w:sz w:val="22"/>
          <w:lang w:val="es-ES_tradnl"/>
        </w:rPr>
        <w:t>%)</w:t>
      </w:r>
      <w:r w:rsidR="00EA2176">
        <w:rPr>
          <w:sz w:val="22"/>
          <w:lang w:val="es-ES_tradnl"/>
        </w:rPr>
        <w:t xml:space="preserve"> = </w:t>
      </w:r>
      <w:r w:rsidR="00B249D4">
        <w:rPr>
          <w:sz w:val="22"/>
          <w:lang w:val="es-ES_tradnl"/>
        </w:rPr>
        <w:t>0,44 </w:t>
      </w:r>
      <w:r w:rsidR="0039277A">
        <w:rPr>
          <w:sz w:val="22"/>
          <w:lang w:val="es-ES_tradnl"/>
        </w:rPr>
        <w:t>(0,29-0,68)</w:t>
      </w:r>
      <w:r w:rsidR="0000787F">
        <w:rPr>
          <w:sz w:val="22"/>
          <w:lang w:val="es-ES_tradnl"/>
        </w:rPr>
        <w:t xml:space="preserve">, </w:t>
      </w:r>
      <w:r w:rsidR="0039277A">
        <w:rPr>
          <w:sz w:val="22"/>
          <w:lang w:val="es-ES_tradnl"/>
        </w:rPr>
        <w:t>p&lt;0,0001.</w:t>
      </w:r>
      <w:r w:rsidR="00EA2176">
        <w:rPr>
          <w:sz w:val="22"/>
          <w:lang w:val="es-ES_tradnl"/>
        </w:rPr>
        <w:t xml:space="preserve"> La incidencia acumulada de fracturas clínicas (</w:t>
      </w:r>
      <w:r w:rsidR="00B249D4">
        <w:rPr>
          <w:sz w:val="22"/>
          <w:lang w:val="es-ES_tradnl"/>
        </w:rPr>
        <w:t xml:space="preserve">conjunto de </w:t>
      </w:r>
      <w:r w:rsidR="00EA2176">
        <w:rPr>
          <w:sz w:val="22"/>
          <w:lang w:val="es-ES_tradnl"/>
        </w:rPr>
        <w:t xml:space="preserve">fracturas clínicas vertebrales y no vertebrales) fue </w:t>
      </w:r>
      <w:r w:rsidR="00B249D4">
        <w:rPr>
          <w:sz w:val="22"/>
          <w:lang w:val="es-ES_tradnl"/>
        </w:rPr>
        <w:t xml:space="preserve">del </w:t>
      </w:r>
      <w:r w:rsidR="00EA2176">
        <w:rPr>
          <w:sz w:val="22"/>
          <w:lang w:val="es-ES_tradnl"/>
        </w:rPr>
        <w:t>4,8 % en</w:t>
      </w:r>
      <w:r w:rsidR="0000787F">
        <w:rPr>
          <w:sz w:val="22"/>
          <w:lang w:val="es-ES_tradnl"/>
        </w:rPr>
        <w:t xml:space="preserve"> l</w:t>
      </w:r>
      <w:r w:rsidR="005918FB">
        <w:rPr>
          <w:sz w:val="22"/>
          <w:lang w:val="es-ES_tradnl"/>
        </w:rPr>
        <w:t>a</w:t>
      </w:r>
      <w:r w:rsidR="0000787F">
        <w:rPr>
          <w:sz w:val="22"/>
          <w:lang w:val="es-ES_tradnl"/>
        </w:rPr>
        <w:t>s</w:t>
      </w:r>
      <w:r w:rsidR="005918FB">
        <w:rPr>
          <w:sz w:val="22"/>
          <w:lang w:val="es-ES_tradnl"/>
        </w:rPr>
        <w:t xml:space="preserve"> pacientes tratada</w:t>
      </w:r>
      <w:r w:rsidR="00EA2176">
        <w:rPr>
          <w:sz w:val="22"/>
          <w:lang w:val="es-ES_tradnl"/>
        </w:rPr>
        <w:t xml:space="preserve">s con </w:t>
      </w:r>
      <w:r w:rsidR="00726959">
        <w:rPr>
          <w:sz w:val="22"/>
          <w:lang w:val="es-ES_tradnl"/>
        </w:rPr>
        <w:t>teriparatida</w:t>
      </w:r>
      <w:r w:rsidR="00B249D4">
        <w:rPr>
          <w:sz w:val="22"/>
          <w:lang w:val="es-ES_tradnl"/>
        </w:rPr>
        <w:t xml:space="preserve"> </w:t>
      </w:r>
      <w:r w:rsidR="00C561E3">
        <w:rPr>
          <w:sz w:val="22"/>
          <w:lang w:val="es-ES_tradnl"/>
        </w:rPr>
        <w:t xml:space="preserve">y </w:t>
      </w:r>
      <w:r w:rsidR="00B249D4">
        <w:rPr>
          <w:sz w:val="22"/>
          <w:lang w:val="es-ES_tradnl"/>
        </w:rPr>
        <w:t xml:space="preserve">del </w:t>
      </w:r>
      <w:r w:rsidR="00C561E3">
        <w:rPr>
          <w:sz w:val="22"/>
          <w:lang w:val="es-ES_tradnl"/>
        </w:rPr>
        <w:t xml:space="preserve">9,8 % </w:t>
      </w:r>
      <w:r w:rsidR="005918FB">
        <w:rPr>
          <w:sz w:val="22"/>
          <w:lang w:val="es-ES_tradnl"/>
        </w:rPr>
        <w:t>en las tratada</w:t>
      </w:r>
      <w:r w:rsidR="0000787F">
        <w:rPr>
          <w:sz w:val="22"/>
          <w:lang w:val="es-ES_tradnl"/>
        </w:rPr>
        <w:t xml:space="preserve">s </w:t>
      </w:r>
      <w:r w:rsidR="00C561E3">
        <w:rPr>
          <w:sz w:val="22"/>
          <w:lang w:val="es-ES_tradnl"/>
        </w:rPr>
        <w:t xml:space="preserve">con </w:t>
      </w:r>
      <w:proofErr w:type="spellStart"/>
      <w:r w:rsidR="00C561E3">
        <w:rPr>
          <w:sz w:val="22"/>
          <w:lang w:val="es-ES_tradnl"/>
        </w:rPr>
        <w:t>risedronato</w:t>
      </w:r>
      <w:proofErr w:type="spellEnd"/>
      <w:r w:rsidR="00C561E3">
        <w:rPr>
          <w:sz w:val="22"/>
          <w:lang w:val="es-ES_tradnl"/>
        </w:rPr>
        <w:t>,</w:t>
      </w:r>
      <w:r w:rsidR="00771757">
        <w:rPr>
          <w:sz w:val="22"/>
          <w:lang w:val="es-ES_tradnl"/>
        </w:rPr>
        <w:t xml:space="preserve"> </w:t>
      </w:r>
      <w:r w:rsidR="00B249D4">
        <w:rPr>
          <w:sz w:val="22"/>
          <w:lang w:val="es-ES_tradnl"/>
        </w:rPr>
        <w:t xml:space="preserve">razón de </w:t>
      </w:r>
      <w:r w:rsidR="00C561E3">
        <w:rPr>
          <w:sz w:val="22"/>
          <w:lang w:val="es-ES_tradnl"/>
        </w:rPr>
        <w:t>riesgo</w:t>
      </w:r>
      <w:r w:rsidR="00B249D4">
        <w:rPr>
          <w:sz w:val="22"/>
          <w:lang w:val="es-ES_tradnl"/>
        </w:rPr>
        <w:t xml:space="preserve"> (IC del 95%) = 0,48 </w:t>
      </w:r>
      <w:r w:rsidR="00C561E3">
        <w:rPr>
          <w:sz w:val="22"/>
          <w:lang w:val="es-ES_tradnl"/>
        </w:rPr>
        <w:t>(0,32-0,</w:t>
      </w:r>
      <w:r w:rsidR="00C561E3" w:rsidRPr="00C561E3">
        <w:rPr>
          <w:sz w:val="22"/>
          <w:lang w:val="es-ES_tradnl"/>
        </w:rPr>
        <w:t xml:space="preserve">74), </w:t>
      </w:r>
      <w:r w:rsidR="00C561E3">
        <w:rPr>
          <w:sz w:val="22"/>
          <w:lang w:val="es-ES_tradnl"/>
        </w:rPr>
        <w:t>p=0,</w:t>
      </w:r>
      <w:r w:rsidR="00C561E3" w:rsidRPr="00C561E3">
        <w:rPr>
          <w:sz w:val="22"/>
          <w:lang w:val="es-ES_tradnl"/>
        </w:rPr>
        <w:t>0009</w:t>
      </w:r>
      <w:r w:rsidR="00C561E3">
        <w:rPr>
          <w:sz w:val="22"/>
          <w:lang w:val="es-ES_tradnl"/>
        </w:rPr>
        <w:t>.</w:t>
      </w:r>
    </w:p>
    <w:p w14:paraId="48D13A8D" w14:textId="77777777" w:rsidR="00713B57" w:rsidRPr="002564A8" w:rsidRDefault="00713B57" w:rsidP="00E84F80">
      <w:pPr>
        <w:rPr>
          <w:sz w:val="22"/>
        </w:rPr>
      </w:pPr>
    </w:p>
    <w:p w14:paraId="1DBFFD08" w14:textId="77777777" w:rsidR="007A20C1" w:rsidRPr="00CA7B4F" w:rsidRDefault="00693925" w:rsidP="00CA7B4F">
      <w:pPr>
        <w:pStyle w:val="Text"/>
        <w:keepNext/>
        <w:spacing w:before="0" w:line="240" w:lineRule="auto"/>
        <w:jc w:val="left"/>
        <w:rPr>
          <w:rFonts w:ascii="Times New Roman" w:hAnsi="Times New Roman"/>
          <w:i/>
          <w:lang w:val="es-ES_tradnl"/>
        </w:rPr>
      </w:pPr>
      <w:r w:rsidRPr="00CA7B4F">
        <w:rPr>
          <w:rFonts w:ascii="Times New Roman" w:hAnsi="Times New Roman"/>
          <w:i/>
          <w:lang w:val="es-ES_tradnl"/>
        </w:rPr>
        <w:t>Osteoporosis en varones</w:t>
      </w:r>
    </w:p>
    <w:p w14:paraId="695ACC28" w14:textId="77777777" w:rsidR="008B0D92" w:rsidRDefault="007A20C1" w:rsidP="00CA7B4F">
      <w:pPr>
        <w:pStyle w:val="Text"/>
        <w:keepNext/>
        <w:spacing w:before="0" w:line="240" w:lineRule="auto"/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S</w:t>
      </w:r>
      <w:r w:rsidR="00693925">
        <w:rPr>
          <w:rFonts w:ascii="Times New Roman" w:hAnsi="Times New Roman"/>
          <w:lang w:val="es-ES_tradnl"/>
        </w:rPr>
        <w:t xml:space="preserve">e incluyeron 437 </w:t>
      </w:r>
      <w:r>
        <w:rPr>
          <w:rFonts w:ascii="Times New Roman" w:hAnsi="Times New Roman"/>
          <w:lang w:val="es-ES_tradnl"/>
        </w:rPr>
        <w:t>pacientes (edad media 58,7 años</w:t>
      </w:r>
      <w:r w:rsidR="009E2573">
        <w:rPr>
          <w:rFonts w:ascii="Times New Roman" w:hAnsi="Times New Roman"/>
          <w:lang w:val="es-ES_tradnl"/>
        </w:rPr>
        <w:t>)</w:t>
      </w:r>
      <w:r>
        <w:rPr>
          <w:rFonts w:ascii="Times New Roman" w:hAnsi="Times New Roman"/>
          <w:lang w:val="es-ES_tradnl"/>
        </w:rPr>
        <w:t xml:space="preserve"> </w:t>
      </w:r>
      <w:r w:rsidR="009E2573">
        <w:rPr>
          <w:rFonts w:ascii="Times New Roman" w:hAnsi="Times New Roman"/>
          <w:lang w:val="es-ES_tradnl"/>
        </w:rPr>
        <w:t xml:space="preserve">en un ensayo clínico para varones </w:t>
      </w:r>
      <w:r w:rsidR="00693925">
        <w:rPr>
          <w:rFonts w:ascii="Times New Roman" w:hAnsi="Times New Roman"/>
          <w:lang w:val="es-ES_tradnl"/>
        </w:rPr>
        <w:t xml:space="preserve">con osteoporosis </w:t>
      </w:r>
      <w:proofErr w:type="spellStart"/>
      <w:r w:rsidR="00693925">
        <w:rPr>
          <w:rFonts w:ascii="Times New Roman" w:hAnsi="Times New Roman"/>
          <w:lang w:val="es-ES_tradnl"/>
        </w:rPr>
        <w:t>hipogonadal</w:t>
      </w:r>
      <w:proofErr w:type="spellEnd"/>
      <w:r w:rsidR="009E2573">
        <w:rPr>
          <w:rFonts w:ascii="Times New Roman" w:hAnsi="Times New Roman"/>
          <w:lang w:val="es-ES_tradnl"/>
        </w:rPr>
        <w:t xml:space="preserve"> (definida </w:t>
      </w:r>
      <w:r w:rsidR="00503232">
        <w:rPr>
          <w:rFonts w:ascii="Times New Roman" w:hAnsi="Times New Roman"/>
          <w:lang w:val="es-ES_tradnl"/>
        </w:rPr>
        <w:t>por</w:t>
      </w:r>
      <w:r w:rsidR="009E2573">
        <w:rPr>
          <w:rFonts w:ascii="Times New Roman" w:hAnsi="Times New Roman"/>
          <w:lang w:val="es-ES_tradnl"/>
        </w:rPr>
        <w:t xml:space="preserve"> niveles </w:t>
      </w:r>
      <w:r w:rsidR="00503232">
        <w:rPr>
          <w:rFonts w:ascii="Times New Roman" w:hAnsi="Times New Roman"/>
          <w:lang w:val="es-ES_tradnl"/>
        </w:rPr>
        <w:t xml:space="preserve">bajos </w:t>
      </w:r>
      <w:r w:rsidR="009E2573">
        <w:rPr>
          <w:rFonts w:ascii="Times New Roman" w:hAnsi="Times New Roman"/>
          <w:lang w:val="es-ES_tradnl"/>
        </w:rPr>
        <w:t>de testosteron</w:t>
      </w:r>
      <w:r w:rsidR="00503232">
        <w:rPr>
          <w:rFonts w:ascii="Times New Roman" w:hAnsi="Times New Roman"/>
          <w:lang w:val="es-ES_tradnl"/>
        </w:rPr>
        <w:t>a</w:t>
      </w:r>
      <w:r w:rsidR="009E2573">
        <w:rPr>
          <w:rFonts w:ascii="Times New Roman" w:hAnsi="Times New Roman"/>
          <w:lang w:val="es-ES_tradnl"/>
        </w:rPr>
        <w:t xml:space="preserve"> libre por la mañana o niveles elevados de FSH o LH)</w:t>
      </w:r>
      <w:r w:rsidR="00693925">
        <w:rPr>
          <w:rFonts w:ascii="Times New Roman" w:hAnsi="Times New Roman"/>
          <w:lang w:val="es-ES_tradnl"/>
        </w:rPr>
        <w:t xml:space="preserve"> o idiopática</w:t>
      </w:r>
      <w:r w:rsidR="005224D0">
        <w:rPr>
          <w:rFonts w:ascii="Times New Roman" w:hAnsi="Times New Roman"/>
          <w:lang w:val="es-ES_tradnl"/>
        </w:rPr>
        <w:t xml:space="preserve">. </w:t>
      </w:r>
      <w:r w:rsidR="009E2573">
        <w:rPr>
          <w:rFonts w:ascii="Times New Roman" w:hAnsi="Times New Roman"/>
          <w:lang w:val="es-ES_tradnl"/>
        </w:rPr>
        <w:t>Los valores medios de T</w:t>
      </w:r>
      <w:r w:rsidR="007E7E08">
        <w:rPr>
          <w:rFonts w:ascii="Times New Roman" w:hAnsi="Times New Roman"/>
          <w:lang w:val="es-ES_tradnl"/>
        </w:rPr>
        <w:t>-</w:t>
      </w:r>
      <w:r w:rsidR="00503232">
        <w:rPr>
          <w:rFonts w:ascii="Times New Roman" w:hAnsi="Times New Roman"/>
          <w:lang w:val="es-ES_tradnl"/>
        </w:rPr>
        <w:t>score</w:t>
      </w:r>
      <w:r w:rsidR="009E2573">
        <w:rPr>
          <w:rFonts w:ascii="Times New Roman" w:hAnsi="Times New Roman"/>
          <w:lang w:val="es-ES_tradnl"/>
        </w:rPr>
        <w:t xml:space="preserve"> de densidad mineral ósea </w:t>
      </w:r>
      <w:r w:rsidR="008B0D92">
        <w:rPr>
          <w:rFonts w:ascii="Times New Roman" w:hAnsi="Times New Roman"/>
          <w:lang w:val="es-ES_tradnl"/>
        </w:rPr>
        <w:t>en</w:t>
      </w:r>
      <w:r w:rsidR="009E2573">
        <w:rPr>
          <w:rFonts w:ascii="Times New Roman" w:hAnsi="Times New Roman"/>
          <w:lang w:val="es-ES_tradnl"/>
        </w:rPr>
        <w:t xml:space="preserve"> columna y cuello femoral </w:t>
      </w:r>
      <w:r w:rsidR="00503232">
        <w:rPr>
          <w:rFonts w:ascii="Times New Roman" w:hAnsi="Times New Roman"/>
          <w:lang w:val="es-ES_tradnl"/>
        </w:rPr>
        <w:t xml:space="preserve">al inicio del </w:t>
      </w:r>
      <w:r w:rsidR="00203895">
        <w:rPr>
          <w:rFonts w:ascii="Times New Roman" w:hAnsi="Times New Roman"/>
          <w:lang w:val="es-ES_tradnl"/>
        </w:rPr>
        <w:t>ensayo</w:t>
      </w:r>
      <w:r w:rsidR="00503232">
        <w:rPr>
          <w:rFonts w:ascii="Times New Roman" w:hAnsi="Times New Roman"/>
          <w:lang w:val="es-ES_tradnl"/>
        </w:rPr>
        <w:t xml:space="preserve"> </w:t>
      </w:r>
      <w:r w:rsidR="009E2573">
        <w:rPr>
          <w:rFonts w:ascii="Times New Roman" w:hAnsi="Times New Roman"/>
          <w:lang w:val="es-ES_tradnl"/>
        </w:rPr>
        <w:t>fueron -2,2 y -2,1, respectivamente</w:t>
      </w:r>
      <w:r w:rsidR="00693925">
        <w:rPr>
          <w:rFonts w:ascii="Times New Roman" w:hAnsi="Times New Roman"/>
          <w:lang w:val="es-ES_tradnl"/>
        </w:rPr>
        <w:t xml:space="preserve">. </w:t>
      </w:r>
      <w:r w:rsidR="00503232">
        <w:rPr>
          <w:rFonts w:ascii="Times New Roman" w:hAnsi="Times New Roman"/>
          <w:lang w:val="es-ES_tradnl"/>
        </w:rPr>
        <w:t>El</w:t>
      </w:r>
      <w:r w:rsidR="008B0D92">
        <w:rPr>
          <w:rFonts w:ascii="Times New Roman" w:hAnsi="Times New Roman"/>
          <w:lang w:val="es-ES_tradnl"/>
        </w:rPr>
        <w:t xml:space="preserve"> 35 % de los pacientes </w:t>
      </w:r>
      <w:r w:rsidR="00503232">
        <w:rPr>
          <w:rFonts w:ascii="Times New Roman" w:hAnsi="Times New Roman"/>
          <w:lang w:val="es-ES_tradnl"/>
        </w:rPr>
        <w:t>tenían</w:t>
      </w:r>
      <w:r w:rsidR="008B0D92">
        <w:rPr>
          <w:rFonts w:ascii="Times New Roman" w:hAnsi="Times New Roman"/>
          <w:lang w:val="es-ES_tradnl"/>
        </w:rPr>
        <w:t xml:space="preserve"> una fractura vertebral y un 59 % </w:t>
      </w:r>
      <w:r w:rsidR="00503232">
        <w:rPr>
          <w:rFonts w:ascii="Times New Roman" w:hAnsi="Times New Roman"/>
          <w:lang w:val="es-ES_tradnl"/>
        </w:rPr>
        <w:t>tenían</w:t>
      </w:r>
      <w:r w:rsidR="008B0D92">
        <w:rPr>
          <w:rFonts w:ascii="Times New Roman" w:hAnsi="Times New Roman"/>
          <w:lang w:val="es-ES_tradnl"/>
        </w:rPr>
        <w:t xml:space="preserve"> una fractura no vertebral</w:t>
      </w:r>
      <w:r w:rsidR="00503232">
        <w:rPr>
          <w:rFonts w:ascii="Times New Roman" w:hAnsi="Times New Roman"/>
          <w:lang w:val="es-ES_tradnl"/>
        </w:rPr>
        <w:t xml:space="preserve"> </w:t>
      </w:r>
      <w:r w:rsidR="005224D0">
        <w:rPr>
          <w:rFonts w:ascii="Times New Roman" w:hAnsi="Times New Roman"/>
          <w:lang w:val="es-ES_tradnl"/>
        </w:rPr>
        <w:t xml:space="preserve">en el momento de entrar en el </w:t>
      </w:r>
      <w:r w:rsidR="00203895">
        <w:rPr>
          <w:rFonts w:ascii="Times New Roman" w:hAnsi="Times New Roman"/>
          <w:lang w:val="es-ES_tradnl"/>
        </w:rPr>
        <w:t>ensayo</w:t>
      </w:r>
      <w:r w:rsidR="008B0D92">
        <w:rPr>
          <w:rFonts w:ascii="Times New Roman" w:hAnsi="Times New Roman"/>
          <w:lang w:val="es-ES_tradnl"/>
        </w:rPr>
        <w:t>.</w:t>
      </w:r>
    </w:p>
    <w:p w14:paraId="5B5719D5" w14:textId="77777777" w:rsidR="008B0D92" w:rsidRDefault="008B0D92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3786F185" w14:textId="77777777" w:rsidR="00693925" w:rsidRDefault="00693925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A todos los pacientes se les dio 1</w:t>
      </w:r>
      <w:r w:rsidR="00EA201D">
        <w:rPr>
          <w:rFonts w:ascii="Times New Roman" w:hAnsi="Times New Roman"/>
          <w:lang w:val="es-ES_tradnl"/>
        </w:rPr>
        <w:t> </w:t>
      </w:r>
      <w:r>
        <w:rPr>
          <w:rFonts w:ascii="Times New Roman" w:hAnsi="Times New Roman"/>
          <w:lang w:val="es-ES_tradnl"/>
        </w:rPr>
        <w:t xml:space="preserve">000 mg de calcio y al menos 400 UI de vitamina D al día. </w:t>
      </w:r>
      <w:smartTag w:uri="urn:schemas-microsoft-com:office:smarttags" w:element="PersonName">
        <w:smartTagPr>
          <w:attr w:name="ProductID" w:val="la DMO"/>
        </w:smartTagPr>
        <w:r>
          <w:rPr>
            <w:rFonts w:ascii="Times New Roman" w:hAnsi="Times New Roman"/>
            <w:lang w:val="es-ES_tradnl"/>
          </w:rPr>
          <w:t>La DMO</w:t>
        </w:r>
      </w:smartTag>
      <w:r>
        <w:rPr>
          <w:rFonts w:ascii="Times New Roman" w:hAnsi="Times New Roman"/>
          <w:lang w:val="es-ES_tradnl"/>
        </w:rPr>
        <w:t xml:space="preserve"> en columna lumbar aumentó significativamente a los 3 meses. Después de 12 meses de tratamiento, </w:t>
      </w:r>
      <w:smartTag w:uri="urn:schemas-microsoft-com:office:smarttags" w:element="PersonName">
        <w:smartTagPr>
          <w:attr w:name="ProductID" w:val="la DMO"/>
        </w:smartTagPr>
        <w:r>
          <w:rPr>
            <w:rFonts w:ascii="Times New Roman" w:hAnsi="Times New Roman"/>
            <w:lang w:val="es-ES_tradnl"/>
          </w:rPr>
          <w:t>la DMO</w:t>
        </w:r>
      </w:smartTag>
      <w:r>
        <w:rPr>
          <w:rFonts w:ascii="Times New Roman" w:hAnsi="Times New Roman"/>
          <w:lang w:val="es-ES_tradnl"/>
        </w:rPr>
        <w:t xml:space="preserve"> aumentó en la columna lumbar y en cadera total en un 5</w:t>
      </w:r>
      <w:r w:rsidR="008A4906">
        <w:rPr>
          <w:rFonts w:ascii="Times New Roman" w:hAnsi="Times New Roman"/>
          <w:lang w:val="es-ES_tradnl"/>
        </w:rPr>
        <w:t> </w:t>
      </w:r>
      <w:r>
        <w:rPr>
          <w:rFonts w:ascii="Times New Roman" w:hAnsi="Times New Roman"/>
          <w:lang w:val="es-ES_tradnl"/>
        </w:rPr>
        <w:t>% y 1</w:t>
      </w:r>
      <w:r w:rsidR="008A4906">
        <w:rPr>
          <w:rFonts w:ascii="Times New Roman" w:hAnsi="Times New Roman"/>
          <w:lang w:val="es-ES_tradnl"/>
        </w:rPr>
        <w:t> </w:t>
      </w:r>
      <w:r>
        <w:rPr>
          <w:rFonts w:ascii="Times New Roman" w:hAnsi="Times New Roman"/>
          <w:lang w:val="es-ES_tradnl"/>
        </w:rPr>
        <w:t>% respectivamente, en comparación con placebo. Sin embargo, no se ha demostrado un efecto significativo en la incidencia de fracturas.</w:t>
      </w:r>
    </w:p>
    <w:p w14:paraId="4EEC5FCB" w14:textId="77777777" w:rsidR="00EF0F91" w:rsidRDefault="00EF0F91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5D23DED6" w14:textId="77777777" w:rsidR="00EF0F91" w:rsidRDefault="00EF0F91" w:rsidP="00EB544D">
      <w:pPr>
        <w:pStyle w:val="Text"/>
        <w:keepNext/>
        <w:spacing w:before="0" w:line="240" w:lineRule="auto"/>
        <w:jc w:val="left"/>
        <w:rPr>
          <w:rFonts w:ascii="Times New Roman" w:hAnsi="Times New Roman"/>
          <w:u w:val="single"/>
          <w:lang w:val="es-ES_tradnl"/>
        </w:rPr>
      </w:pPr>
      <w:r w:rsidRPr="00181685">
        <w:rPr>
          <w:rFonts w:ascii="Times New Roman" w:hAnsi="Times New Roman"/>
          <w:i/>
          <w:lang w:val="es-ES_tradnl"/>
        </w:rPr>
        <w:t>Osteoporosis inducida por glucocorticoides</w:t>
      </w:r>
    </w:p>
    <w:p w14:paraId="4428ADC1" w14:textId="77777777" w:rsidR="00C541BC" w:rsidRDefault="00C541BC" w:rsidP="00C541BC">
      <w:pPr>
        <w:rPr>
          <w:sz w:val="22"/>
          <w:szCs w:val="22"/>
        </w:rPr>
      </w:pPr>
      <w:r w:rsidRPr="00C541BC">
        <w:rPr>
          <w:sz w:val="22"/>
          <w:szCs w:val="22"/>
        </w:rPr>
        <w:t>En</w:t>
      </w:r>
      <w:r w:rsidR="00860C01">
        <w:rPr>
          <w:sz w:val="22"/>
          <w:szCs w:val="22"/>
        </w:rPr>
        <w:t xml:space="preserve"> la primera fase de 18 meses del</w:t>
      </w:r>
      <w:r w:rsidRPr="00C541BC">
        <w:rPr>
          <w:sz w:val="22"/>
          <w:szCs w:val="22"/>
        </w:rPr>
        <w:t xml:space="preserve"> </w:t>
      </w:r>
      <w:r w:rsidR="0026287E">
        <w:rPr>
          <w:sz w:val="22"/>
          <w:szCs w:val="22"/>
        </w:rPr>
        <w:t>ensayo</w:t>
      </w:r>
      <w:r w:rsidRPr="00C541BC">
        <w:rPr>
          <w:sz w:val="22"/>
          <w:szCs w:val="22"/>
        </w:rPr>
        <w:t xml:space="preserve"> doble ciego, aleatorizado</w:t>
      </w:r>
      <w:r w:rsidR="004B1876">
        <w:rPr>
          <w:sz w:val="22"/>
          <w:szCs w:val="22"/>
        </w:rPr>
        <w:t>, con comparador (alendronato 10 mg/día)</w:t>
      </w:r>
      <w:r w:rsidRPr="00C541BC">
        <w:rPr>
          <w:sz w:val="22"/>
          <w:szCs w:val="22"/>
        </w:rPr>
        <w:t xml:space="preserve"> y de </w:t>
      </w:r>
      <w:r w:rsidR="00EC39A8">
        <w:rPr>
          <w:sz w:val="22"/>
          <w:szCs w:val="22"/>
        </w:rPr>
        <w:t>36</w:t>
      </w:r>
      <w:r w:rsidRPr="00C541BC">
        <w:rPr>
          <w:sz w:val="22"/>
          <w:szCs w:val="22"/>
        </w:rPr>
        <w:t xml:space="preserve"> meses de duración</w:t>
      </w:r>
      <w:r>
        <w:rPr>
          <w:sz w:val="22"/>
          <w:szCs w:val="22"/>
        </w:rPr>
        <w:t>,</w:t>
      </w:r>
      <w:r w:rsidRPr="00C541BC">
        <w:rPr>
          <w:sz w:val="22"/>
          <w:szCs w:val="22"/>
        </w:rPr>
        <w:t xml:space="preserve"> se ha demostrado la eficacia de </w:t>
      </w:r>
      <w:r w:rsidR="00726959">
        <w:rPr>
          <w:sz w:val="22"/>
          <w:szCs w:val="22"/>
        </w:rPr>
        <w:t>teriparatida</w:t>
      </w:r>
      <w:r w:rsidRPr="00C541BC">
        <w:rPr>
          <w:sz w:val="22"/>
          <w:szCs w:val="22"/>
        </w:rPr>
        <w:t xml:space="preserve"> en hombres y mujeres (N=428) tratados con una terapia sistémica </w:t>
      </w:r>
      <w:r w:rsidR="00084011">
        <w:rPr>
          <w:sz w:val="22"/>
          <w:szCs w:val="22"/>
        </w:rPr>
        <w:t>mantenida</w:t>
      </w:r>
      <w:r w:rsidRPr="00C541BC">
        <w:rPr>
          <w:sz w:val="22"/>
          <w:szCs w:val="22"/>
        </w:rPr>
        <w:t xml:space="preserve"> con glucocorticoides (equivalente a una dosis de 5 mg o mayor de prednisona durante al menos 3 meses). Al inicio del </w:t>
      </w:r>
      <w:r w:rsidR="0026287E">
        <w:rPr>
          <w:sz w:val="22"/>
          <w:szCs w:val="22"/>
        </w:rPr>
        <w:t>ensayo</w:t>
      </w:r>
      <w:r w:rsidRPr="00C541BC">
        <w:rPr>
          <w:sz w:val="22"/>
          <w:szCs w:val="22"/>
        </w:rPr>
        <w:t xml:space="preserve">, el 28 % de los pacientes tenían una o más fracturas vertebrales diagnosticadas radiológicamente. A todos los pacientes se les </w:t>
      </w:r>
      <w:r w:rsidR="008F1A1C">
        <w:rPr>
          <w:sz w:val="22"/>
          <w:szCs w:val="22"/>
        </w:rPr>
        <w:t>administraron</w:t>
      </w:r>
      <w:r w:rsidRPr="00C541BC">
        <w:rPr>
          <w:sz w:val="22"/>
          <w:szCs w:val="22"/>
        </w:rPr>
        <w:t xml:space="preserve"> 1</w:t>
      </w:r>
      <w:r w:rsidR="00EA201D">
        <w:rPr>
          <w:sz w:val="22"/>
          <w:szCs w:val="22"/>
        </w:rPr>
        <w:t> </w:t>
      </w:r>
      <w:r w:rsidRPr="00C541BC">
        <w:rPr>
          <w:sz w:val="22"/>
          <w:szCs w:val="22"/>
        </w:rPr>
        <w:t>000 mg de calcio al día y 800 UI de vitamina D al día.</w:t>
      </w:r>
    </w:p>
    <w:p w14:paraId="679EA22C" w14:textId="77777777" w:rsidR="00EC399F" w:rsidRDefault="00EC399F" w:rsidP="00C541BC">
      <w:pPr>
        <w:rPr>
          <w:sz w:val="22"/>
          <w:szCs w:val="22"/>
        </w:rPr>
      </w:pPr>
    </w:p>
    <w:p w14:paraId="4BC062C0" w14:textId="77777777" w:rsidR="00C541BC" w:rsidRPr="00C541BC" w:rsidRDefault="00C541BC" w:rsidP="00C541BC">
      <w:pPr>
        <w:rPr>
          <w:sz w:val="22"/>
          <w:szCs w:val="22"/>
        </w:rPr>
      </w:pPr>
      <w:r w:rsidRPr="00C541BC">
        <w:rPr>
          <w:sz w:val="22"/>
          <w:szCs w:val="22"/>
        </w:rPr>
        <w:t>Este</w:t>
      </w:r>
      <w:r w:rsidR="0026287E">
        <w:rPr>
          <w:sz w:val="22"/>
          <w:szCs w:val="22"/>
        </w:rPr>
        <w:t xml:space="preserve"> ensayo</w:t>
      </w:r>
      <w:r w:rsidRPr="00C541BC">
        <w:rPr>
          <w:sz w:val="22"/>
          <w:szCs w:val="22"/>
        </w:rPr>
        <w:t xml:space="preserve"> incluyó mujeres posmenopáusicas (N=277), mujeres premenopáusicas (N=67), y hombres (N=83). </w:t>
      </w:r>
      <w:r w:rsidR="006935F9">
        <w:rPr>
          <w:sz w:val="22"/>
          <w:szCs w:val="22"/>
        </w:rPr>
        <w:t xml:space="preserve">Al inicio del </w:t>
      </w:r>
      <w:r w:rsidR="0026287E">
        <w:rPr>
          <w:sz w:val="22"/>
          <w:szCs w:val="22"/>
        </w:rPr>
        <w:t>ensayo</w:t>
      </w:r>
      <w:r w:rsidRPr="00C541BC">
        <w:rPr>
          <w:sz w:val="22"/>
          <w:szCs w:val="22"/>
        </w:rPr>
        <w:t xml:space="preserve">, las mujeres posmenopáusicas tenían una media de edad 61 años, valor medio de T score de DMO </w:t>
      </w:r>
      <w:r w:rsidR="00217981">
        <w:rPr>
          <w:sz w:val="22"/>
          <w:szCs w:val="22"/>
        </w:rPr>
        <w:t>e</w:t>
      </w:r>
      <w:r w:rsidR="004C71F0">
        <w:rPr>
          <w:sz w:val="22"/>
          <w:szCs w:val="22"/>
        </w:rPr>
        <w:t>n</w:t>
      </w:r>
      <w:r w:rsidRPr="00C541BC">
        <w:rPr>
          <w:sz w:val="22"/>
          <w:szCs w:val="22"/>
        </w:rPr>
        <w:t xml:space="preserve"> </w:t>
      </w:r>
      <w:r w:rsidR="005F016C">
        <w:rPr>
          <w:sz w:val="22"/>
          <w:szCs w:val="22"/>
        </w:rPr>
        <w:t>la columna</w:t>
      </w:r>
      <w:r w:rsidRPr="00C541BC">
        <w:rPr>
          <w:sz w:val="22"/>
          <w:szCs w:val="22"/>
        </w:rPr>
        <w:t xml:space="preserve"> lumbar de -2,7, una mediana de 7,5 mg/día de dosis equivalente de prednisona, y un 34</w:t>
      </w:r>
      <w:r w:rsidR="00217981">
        <w:rPr>
          <w:sz w:val="22"/>
          <w:szCs w:val="22"/>
        </w:rPr>
        <w:t> </w:t>
      </w:r>
      <w:r w:rsidRPr="00C541BC">
        <w:rPr>
          <w:sz w:val="22"/>
          <w:szCs w:val="22"/>
        </w:rPr>
        <w:t xml:space="preserve">% tenían una o más fracturas vertebrales diagnosticadas radiológicamente; las mujeres premenopáusicas tenían una media de edad de 37 años, valor medio de T score de DMO </w:t>
      </w:r>
      <w:r w:rsidR="005F016C">
        <w:rPr>
          <w:sz w:val="22"/>
          <w:szCs w:val="22"/>
        </w:rPr>
        <w:t>en la columna</w:t>
      </w:r>
      <w:r w:rsidRPr="00C541BC">
        <w:rPr>
          <w:sz w:val="22"/>
          <w:szCs w:val="22"/>
        </w:rPr>
        <w:t xml:space="preserve"> lumbar de -2,5, una mediana de 10 mg/día de dosis equivalente de prednisona, y un 9 % tenían </w:t>
      </w:r>
      <w:r w:rsidRPr="00C541BC">
        <w:rPr>
          <w:sz w:val="22"/>
          <w:szCs w:val="22"/>
        </w:rPr>
        <w:lastRenderedPageBreak/>
        <w:t xml:space="preserve">una o más fracturas vertebrales diagnosticadas radiológicamente; y los hombres tenían una media de edad de 57 años, valor medio de T score de DMO </w:t>
      </w:r>
      <w:r w:rsidR="005F016C">
        <w:rPr>
          <w:sz w:val="22"/>
          <w:szCs w:val="22"/>
        </w:rPr>
        <w:t>en la columna</w:t>
      </w:r>
      <w:r w:rsidRPr="00C541BC">
        <w:rPr>
          <w:sz w:val="22"/>
          <w:szCs w:val="22"/>
        </w:rPr>
        <w:t xml:space="preserve"> lumbar de -2,2, una mediana de 10 mg/día de dosis equivalente de prednisona y el 24 % de los pacientes ten</w:t>
      </w:r>
      <w:r w:rsidR="007E7E08">
        <w:rPr>
          <w:sz w:val="22"/>
          <w:szCs w:val="22"/>
        </w:rPr>
        <w:t>í</w:t>
      </w:r>
      <w:r w:rsidRPr="00C541BC">
        <w:rPr>
          <w:sz w:val="22"/>
          <w:szCs w:val="22"/>
        </w:rPr>
        <w:t>a una o más fracturas vertebrales diagnosticadas radiológicamente.</w:t>
      </w:r>
    </w:p>
    <w:p w14:paraId="2E9947C0" w14:textId="77777777" w:rsidR="00C541BC" w:rsidRPr="00C541BC" w:rsidRDefault="00C541BC" w:rsidP="00C541BC">
      <w:pPr>
        <w:rPr>
          <w:sz w:val="22"/>
          <w:szCs w:val="22"/>
        </w:rPr>
      </w:pPr>
    </w:p>
    <w:p w14:paraId="49626F16" w14:textId="77777777" w:rsidR="00EC39A8" w:rsidRDefault="00C541BC" w:rsidP="00EC39A8">
      <w:pPr>
        <w:rPr>
          <w:sz w:val="22"/>
          <w:szCs w:val="22"/>
        </w:rPr>
      </w:pPr>
      <w:r w:rsidRPr="00C541BC">
        <w:rPr>
          <w:sz w:val="22"/>
          <w:szCs w:val="22"/>
        </w:rPr>
        <w:t xml:space="preserve">El 69 % de los pacientes completó </w:t>
      </w:r>
      <w:r w:rsidR="00EC39A8">
        <w:rPr>
          <w:sz w:val="22"/>
          <w:szCs w:val="22"/>
        </w:rPr>
        <w:t xml:space="preserve">la primera fase </w:t>
      </w:r>
      <w:r w:rsidRPr="00C541BC">
        <w:rPr>
          <w:sz w:val="22"/>
          <w:szCs w:val="22"/>
        </w:rPr>
        <w:t xml:space="preserve">de 18 meses. </w:t>
      </w:r>
      <w:r w:rsidR="004B1876">
        <w:rPr>
          <w:sz w:val="22"/>
          <w:szCs w:val="22"/>
        </w:rPr>
        <w:t xml:space="preserve">Al final de los </w:t>
      </w:r>
      <w:r w:rsidR="00EC39A8">
        <w:rPr>
          <w:sz w:val="22"/>
          <w:szCs w:val="22"/>
        </w:rPr>
        <w:t>18 meses</w:t>
      </w:r>
      <w:r w:rsidRPr="00C541BC">
        <w:rPr>
          <w:sz w:val="22"/>
          <w:szCs w:val="22"/>
        </w:rPr>
        <w:t xml:space="preserve">, </w:t>
      </w:r>
      <w:r w:rsidR="00726959">
        <w:rPr>
          <w:sz w:val="22"/>
          <w:szCs w:val="22"/>
        </w:rPr>
        <w:t>teriparatida</w:t>
      </w:r>
      <w:r w:rsidRPr="00C541BC">
        <w:rPr>
          <w:sz w:val="22"/>
          <w:szCs w:val="22"/>
        </w:rPr>
        <w:t xml:space="preserve"> había incrementado de forma significativa </w:t>
      </w:r>
      <w:smartTag w:uri="urn:schemas-microsoft-com:office:smarttags" w:element="PersonName">
        <w:smartTagPr>
          <w:attr w:name="ProductID" w:val="la DMO"/>
        </w:smartTagPr>
        <w:r w:rsidRPr="00C541BC">
          <w:rPr>
            <w:sz w:val="22"/>
            <w:szCs w:val="22"/>
          </w:rPr>
          <w:t>la DMO</w:t>
        </w:r>
      </w:smartTag>
      <w:r w:rsidRPr="00C541BC">
        <w:rPr>
          <w:sz w:val="22"/>
          <w:szCs w:val="22"/>
        </w:rPr>
        <w:t xml:space="preserve"> </w:t>
      </w:r>
      <w:r w:rsidR="005F016C">
        <w:rPr>
          <w:sz w:val="22"/>
          <w:szCs w:val="22"/>
        </w:rPr>
        <w:t>en la columna</w:t>
      </w:r>
      <w:r w:rsidRPr="00C541BC">
        <w:rPr>
          <w:sz w:val="22"/>
          <w:szCs w:val="22"/>
        </w:rPr>
        <w:t xml:space="preserve"> lumbar (7,2 %) en comparación con alendronato (3,4 %) (p&lt;0,001). </w:t>
      </w:r>
      <w:r w:rsidR="00726959">
        <w:rPr>
          <w:sz w:val="22"/>
          <w:szCs w:val="22"/>
        </w:rPr>
        <w:t>Teriparatida</w:t>
      </w:r>
      <w:r w:rsidRPr="00C541BC">
        <w:rPr>
          <w:sz w:val="22"/>
          <w:szCs w:val="22"/>
        </w:rPr>
        <w:t xml:space="preserve"> incrementó </w:t>
      </w:r>
      <w:r w:rsidR="00217981">
        <w:rPr>
          <w:sz w:val="22"/>
          <w:szCs w:val="22"/>
        </w:rPr>
        <w:t xml:space="preserve">también </w:t>
      </w:r>
      <w:smartTag w:uri="urn:schemas-microsoft-com:office:smarttags" w:element="PersonName">
        <w:smartTagPr>
          <w:attr w:name="ProductID" w:val="la DMO"/>
        </w:smartTagPr>
        <w:r w:rsidRPr="00C541BC">
          <w:rPr>
            <w:sz w:val="22"/>
            <w:szCs w:val="22"/>
          </w:rPr>
          <w:t>la DMO</w:t>
        </w:r>
      </w:smartTag>
      <w:r w:rsidRPr="00C541BC">
        <w:rPr>
          <w:sz w:val="22"/>
          <w:szCs w:val="22"/>
        </w:rPr>
        <w:t xml:space="preserve"> </w:t>
      </w:r>
      <w:r w:rsidR="005F016C">
        <w:rPr>
          <w:sz w:val="22"/>
          <w:szCs w:val="22"/>
        </w:rPr>
        <w:t>en</w:t>
      </w:r>
      <w:r w:rsidRPr="00C541BC">
        <w:rPr>
          <w:sz w:val="22"/>
          <w:szCs w:val="22"/>
        </w:rPr>
        <w:t xml:space="preserve"> cadera total (3,6 %) comparado con alendronato (2,2 %) (p&lt;0,01) así como la del cuello femoral (3,7 %) en comparación con alendronato (2,1</w:t>
      </w:r>
      <w:r w:rsidR="000D50E2">
        <w:rPr>
          <w:sz w:val="22"/>
          <w:szCs w:val="22"/>
        </w:rPr>
        <w:t> </w:t>
      </w:r>
      <w:r w:rsidRPr="00C541BC">
        <w:rPr>
          <w:sz w:val="22"/>
          <w:szCs w:val="22"/>
        </w:rPr>
        <w:t>%) (p&lt;0,05).</w:t>
      </w:r>
      <w:r w:rsidR="00EC39A8" w:rsidRPr="00EC39A8">
        <w:rPr>
          <w:sz w:val="22"/>
          <w:szCs w:val="22"/>
        </w:rPr>
        <w:t xml:space="preserve"> </w:t>
      </w:r>
      <w:r w:rsidR="00EC39A8">
        <w:rPr>
          <w:sz w:val="22"/>
          <w:szCs w:val="22"/>
        </w:rPr>
        <w:t xml:space="preserve">En pacientes tratados con teriparatida, </w:t>
      </w:r>
      <w:r w:rsidR="00192A39">
        <w:rPr>
          <w:sz w:val="22"/>
          <w:szCs w:val="22"/>
        </w:rPr>
        <w:t xml:space="preserve">desde los </w:t>
      </w:r>
      <w:smartTag w:uri="urn:schemas-microsoft-com:office:smarttags" w:element="metricconverter">
        <w:smartTagPr>
          <w:attr w:name="ProductID" w:val="18 a"/>
        </w:smartTagPr>
        <w:r w:rsidR="00192A39">
          <w:rPr>
            <w:sz w:val="22"/>
            <w:szCs w:val="22"/>
          </w:rPr>
          <w:t>18 a</w:t>
        </w:r>
      </w:smartTag>
      <w:r w:rsidR="00192A39">
        <w:rPr>
          <w:sz w:val="22"/>
          <w:szCs w:val="22"/>
        </w:rPr>
        <w:t xml:space="preserve"> 24 meses se produjo un incremento adicional de </w:t>
      </w:r>
      <w:smartTag w:uri="urn:schemas-microsoft-com:office:smarttags" w:element="PersonName">
        <w:smartTagPr>
          <w:attr w:name="ProductID" w:val="la DMO"/>
        </w:smartTagPr>
        <w:r w:rsidR="00192A39">
          <w:rPr>
            <w:sz w:val="22"/>
            <w:szCs w:val="22"/>
          </w:rPr>
          <w:t>la DMO</w:t>
        </w:r>
      </w:smartTag>
      <w:r w:rsidR="00192A39">
        <w:rPr>
          <w:sz w:val="22"/>
          <w:szCs w:val="22"/>
        </w:rPr>
        <w:t xml:space="preserve"> en </w:t>
      </w:r>
      <w:r w:rsidR="00EC39A8">
        <w:rPr>
          <w:sz w:val="22"/>
          <w:szCs w:val="22"/>
        </w:rPr>
        <w:t>la columna lumbar, c</w:t>
      </w:r>
      <w:r w:rsidR="00192A39">
        <w:rPr>
          <w:sz w:val="22"/>
          <w:szCs w:val="22"/>
        </w:rPr>
        <w:t>adera total y cuello femoral de</w:t>
      </w:r>
      <w:r w:rsidR="00EC39A8">
        <w:rPr>
          <w:sz w:val="22"/>
          <w:szCs w:val="22"/>
        </w:rPr>
        <w:t xml:space="preserve"> 1,7 %, 0,9 % y 0,4 %, respectivamente.</w:t>
      </w:r>
    </w:p>
    <w:p w14:paraId="604C6CC4" w14:textId="77777777" w:rsidR="00EC39A8" w:rsidRPr="00C541BC" w:rsidRDefault="00EC39A8" w:rsidP="00EC39A8">
      <w:pPr>
        <w:rPr>
          <w:sz w:val="22"/>
          <w:szCs w:val="22"/>
        </w:rPr>
      </w:pPr>
    </w:p>
    <w:p w14:paraId="6EF589DF" w14:textId="77777777" w:rsidR="00C541BC" w:rsidRDefault="00EC39A8" w:rsidP="00EC39A8">
      <w:pPr>
        <w:rPr>
          <w:sz w:val="22"/>
          <w:szCs w:val="22"/>
        </w:rPr>
      </w:pPr>
      <w:r>
        <w:rPr>
          <w:sz w:val="22"/>
          <w:szCs w:val="22"/>
        </w:rPr>
        <w:t xml:space="preserve">A los 36 meses, el análisis de las radiografías de </w:t>
      </w:r>
      <w:r w:rsidR="00192A39">
        <w:rPr>
          <w:sz w:val="22"/>
          <w:szCs w:val="22"/>
        </w:rPr>
        <w:t xml:space="preserve">columna de </w:t>
      </w:r>
      <w:r>
        <w:rPr>
          <w:sz w:val="22"/>
          <w:szCs w:val="22"/>
        </w:rPr>
        <w:t xml:space="preserve">169 pacientes tratados con alendronato y de 173 pacientes tratados con </w:t>
      </w:r>
      <w:r w:rsidR="00726959">
        <w:rPr>
          <w:sz w:val="22"/>
          <w:szCs w:val="22"/>
        </w:rPr>
        <w:t>teriparatida</w:t>
      </w:r>
      <w:r>
        <w:rPr>
          <w:sz w:val="22"/>
          <w:szCs w:val="22"/>
        </w:rPr>
        <w:t>, mostraron que 13 pacientes del grupo tratado con alendronato (7,7 %) habían experimentado una nueva fractura vertebral frente a 3 pacientes del grupo tra</w:t>
      </w:r>
      <w:r w:rsidR="00192A39">
        <w:rPr>
          <w:sz w:val="22"/>
          <w:szCs w:val="22"/>
        </w:rPr>
        <w:t xml:space="preserve">tado con </w:t>
      </w:r>
      <w:r w:rsidR="00726959">
        <w:rPr>
          <w:sz w:val="22"/>
          <w:szCs w:val="22"/>
        </w:rPr>
        <w:t>teriparatida</w:t>
      </w:r>
      <w:r w:rsidR="00192A39">
        <w:rPr>
          <w:sz w:val="22"/>
          <w:szCs w:val="22"/>
        </w:rPr>
        <w:t xml:space="preserve"> (1,7 %) (p=0,0</w:t>
      </w:r>
      <w:r>
        <w:rPr>
          <w:sz w:val="22"/>
          <w:szCs w:val="22"/>
        </w:rPr>
        <w:t>1). Asimismo</w:t>
      </w:r>
      <w:r w:rsidR="0000787F">
        <w:rPr>
          <w:sz w:val="22"/>
          <w:szCs w:val="22"/>
        </w:rPr>
        <w:t>,</w:t>
      </w:r>
      <w:r>
        <w:rPr>
          <w:sz w:val="22"/>
          <w:szCs w:val="22"/>
        </w:rPr>
        <w:t xml:space="preserve"> se vio que 15 de los 214 pacientes del grupo tratado con alendronato (7,0 %) habían experimentado una fractura no vertebral frente a los 16 de los 214 pacientes del grupo tratado con </w:t>
      </w:r>
      <w:r w:rsidR="00726959">
        <w:rPr>
          <w:sz w:val="22"/>
          <w:szCs w:val="22"/>
        </w:rPr>
        <w:t>teriparatida</w:t>
      </w:r>
      <w:r>
        <w:rPr>
          <w:sz w:val="22"/>
          <w:szCs w:val="22"/>
        </w:rPr>
        <w:t xml:space="preserve"> (7,5 %) (p=0,84).</w:t>
      </w:r>
    </w:p>
    <w:p w14:paraId="5CB714B7" w14:textId="77777777" w:rsidR="00EC39A8" w:rsidRPr="00C541BC" w:rsidRDefault="00EC39A8" w:rsidP="00C541BC">
      <w:pPr>
        <w:rPr>
          <w:sz w:val="22"/>
          <w:szCs w:val="22"/>
        </w:rPr>
      </w:pPr>
    </w:p>
    <w:p w14:paraId="76A28F1D" w14:textId="77777777" w:rsidR="00EF0F91" w:rsidRPr="008A4906" w:rsidRDefault="00C541BC" w:rsidP="005F016C">
      <w:pPr>
        <w:rPr>
          <w:sz w:val="22"/>
          <w:szCs w:val="22"/>
          <w:lang w:val="es-ES_tradnl"/>
        </w:rPr>
      </w:pPr>
      <w:r w:rsidRPr="008A4906">
        <w:rPr>
          <w:sz w:val="22"/>
          <w:szCs w:val="22"/>
        </w:rPr>
        <w:t xml:space="preserve">En mujeres premenopáusicas, el incremento de </w:t>
      </w:r>
      <w:smartTag w:uri="urn:schemas-microsoft-com:office:smarttags" w:element="PersonName">
        <w:smartTagPr>
          <w:attr w:name="ProductID" w:val="la DMO"/>
        </w:smartTagPr>
        <w:r w:rsidRPr="008A4906">
          <w:rPr>
            <w:sz w:val="22"/>
            <w:szCs w:val="22"/>
          </w:rPr>
          <w:t>la DMO</w:t>
        </w:r>
      </w:smartTag>
      <w:r w:rsidRPr="008A4906">
        <w:rPr>
          <w:sz w:val="22"/>
          <w:szCs w:val="22"/>
        </w:rPr>
        <w:t xml:space="preserve"> desde el inicio del </w:t>
      </w:r>
      <w:r w:rsidR="0026287E">
        <w:rPr>
          <w:sz w:val="22"/>
          <w:szCs w:val="22"/>
        </w:rPr>
        <w:t>ensayo</w:t>
      </w:r>
      <w:r w:rsidRPr="008A4906">
        <w:rPr>
          <w:sz w:val="22"/>
          <w:szCs w:val="22"/>
        </w:rPr>
        <w:t xml:space="preserve"> </w:t>
      </w:r>
      <w:r w:rsidR="00E3645C">
        <w:rPr>
          <w:sz w:val="22"/>
          <w:szCs w:val="22"/>
        </w:rPr>
        <w:t xml:space="preserve">a los 18 meses, </w:t>
      </w:r>
      <w:r w:rsidRPr="008A4906">
        <w:rPr>
          <w:sz w:val="22"/>
          <w:szCs w:val="22"/>
        </w:rPr>
        <w:t xml:space="preserve">fue significativamente mayor en el grupo </w:t>
      </w:r>
      <w:r w:rsidR="005F016C" w:rsidRPr="008A4906">
        <w:rPr>
          <w:sz w:val="22"/>
          <w:szCs w:val="22"/>
        </w:rPr>
        <w:t>tratado con</w:t>
      </w:r>
      <w:r w:rsidRPr="008A4906">
        <w:rPr>
          <w:sz w:val="22"/>
          <w:szCs w:val="22"/>
        </w:rPr>
        <w:t xml:space="preserve"> </w:t>
      </w:r>
      <w:r w:rsidR="00E26E0D">
        <w:rPr>
          <w:sz w:val="22"/>
          <w:szCs w:val="22"/>
        </w:rPr>
        <w:t>teriparatida</w:t>
      </w:r>
      <w:r w:rsidRPr="008A4906">
        <w:rPr>
          <w:sz w:val="22"/>
          <w:szCs w:val="22"/>
        </w:rPr>
        <w:t xml:space="preserve"> en comparación con el de alendronato en </w:t>
      </w:r>
      <w:r w:rsidR="005F016C" w:rsidRPr="008A4906">
        <w:rPr>
          <w:sz w:val="22"/>
          <w:szCs w:val="22"/>
        </w:rPr>
        <w:t>columna</w:t>
      </w:r>
      <w:r w:rsidRPr="008A4906">
        <w:rPr>
          <w:sz w:val="22"/>
          <w:szCs w:val="22"/>
        </w:rPr>
        <w:t xml:space="preserve"> lumbar (4,2</w:t>
      </w:r>
      <w:r w:rsidR="000D50E2">
        <w:rPr>
          <w:sz w:val="22"/>
          <w:szCs w:val="22"/>
        </w:rPr>
        <w:t> </w:t>
      </w:r>
      <w:r w:rsidRPr="008A4906">
        <w:rPr>
          <w:sz w:val="22"/>
          <w:szCs w:val="22"/>
        </w:rPr>
        <w:t xml:space="preserve">% frente a -1,9 %; p&lt;0,001) y en cadera total (3,8 % frente a 0,9 %; p=0,005). De cualquier modo, no se ha demostrado un efecto significativo sobre </w:t>
      </w:r>
      <w:r w:rsidR="00217981" w:rsidRPr="008A4906">
        <w:rPr>
          <w:sz w:val="22"/>
          <w:szCs w:val="22"/>
        </w:rPr>
        <w:t>la tasa</w:t>
      </w:r>
      <w:r w:rsidRPr="008A4906">
        <w:rPr>
          <w:sz w:val="22"/>
          <w:szCs w:val="22"/>
        </w:rPr>
        <w:t xml:space="preserve"> de fracturas.</w:t>
      </w:r>
    </w:p>
    <w:p w14:paraId="5559352F" w14:textId="77777777" w:rsidR="00693925" w:rsidRDefault="00693925" w:rsidP="00E84F80">
      <w:pPr>
        <w:rPr>
          <w:sz w:val="22"/>
          <w:lang w:val="es-ES_tradnl"/>
        </w:rPr>
      </w:pPr>
    </w:p>
    <w:p w14:paraId="5A5A2A68" w14:textId="77777777" w:rsidR="00693925" w:rsidRDefault="00693925" w:rsidP="007E7E08">
      <w:pPr>
        <w:keepNext/>
        <w:ind w:left="567" w:hanging="567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5.2</w:t>
      </w:r>
      <w:r>
        <w:rPr>
          <w:b/>
          <w:sz w:val="22"/>
          <w:lang w:val="es-ES_tradnl"/>
        </w:rPr>
        <w:tab/>
        <w:t>Propiedades farmacocinéticas</w:t>
      </w:r>
    </w:p>
    <w:p w14:paraId="5019CBEB" w14:textId="77777777" w:rsidR="00693925" w:rsidRDefault="00693925" w:rsidP="00EB544D">
      <w:pPr>
        <w:keepNext/>
        <w:rPr>
          <w:b/>
          <w:sz w:val="22"/>
          <w:lang w:val="es-ES_tradnl"/>
        </w:rPr>
      </w:pPr>
    </w:p>
    <w:p w14:paraId="08B0E50B" w14:textId="77777777" w:rsidR="000D50E2" w:rsidRDefault="000D50E2" w:rsidP="00EB544D">
      <w:pPr>
        <w:keepNext/>
        <w:rPr>
          <w:sz w:val="22"/>
          <w:u w:val="single"/>
          <w:lang w:val="es-ES_tradnl"/>
        </w:rPr>
      </w:pPr>
      <w:r w:rsidRPr="000D50E2">
        <w:rPr>
          <w:sz w:val="22"/>
          <w:u w:val="single"/>
          <w:lang w:val="es-ES_tradnl"/>
        </w:rPr>
        <w:t>Distribución</w:t>
      </w:r>
    </w:p>
    <w:p w14:paraId="054F9557" w14:textId="77777777" w:rsidR="00EC399F" w:rsidRPr="000D50E2" w:rsidRDefault="00EC399F" w:rsidP="00EB544D">
      <w:pPr>
        <w:keepNext/>
        <w:rPr>
          <w:sz w:val="22"/>
          <w:u w:val="single"/>
          <w:lang w:val="es-ES_tradnl"/>
        </w:rPr>
      </w:pPr>
    </w:p>
    <w:p w14:paraId="5920E2E0" w14:textId="77777777" w:rsidR="000D50E2" w:rsidRDefault="00693925" w:rsidP="005F016C">
      <w:pPr>
        <w:pStyle w:val="Text"/>
        <w:keepNext/>
        <w:spacing w:before="0" w:line="240" w:lineRule="auto"/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El volumen de distribución es de aproximadamente 1,7 l/kg. La semivida de </w:t>
      </w:r>
      <w:r w:rsidR="00E26E0D">
        <w:rPr>
          <w:rFonts w:ascii="Times New Roman" w:hAnsi="Times New Roman"/>
          <w:lang w:val="es-ES_tradnl"/>
        </w:rPr>
        <w:t>teriparatida</w:t>
      </w:r>
      <w:r>
        <w:rPr>
          <w:rFonts w:ascii="Times New Roman" w:hAnsi="Times New Roman"/>
          <w:lang w:val="es-ES_tradnl"/>
        </w:rPr>
        <w:t xml:space="preserve"> es de aproximadamente 1 hora cuando se administra por vía subcutánea, lo que refleja el tiempo requerido para la absorción desde el lugar de inyección. </w:t>
      </w:r>
    </w:p>
    <w:p w14:paraId="5DAC9506" w14:textId="77777777" w:rsidR="000D50E2" w:rsidRDefault="000D50E2" w:rsidP="005F016C">
      <w:pPr>
        <w:pStyle w:val="Text"/>
        <w:keepNext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40DDE55D" w14:textId="77777777" w:rsidR="000D50E2" w:rsidRDefault="000D50E2" w:rsidP="005F016C">
      <w:pPr>
        <w:pStyle w:val="Text"/>
        <w:keepNext/>
        <w:spacing w:before="0" w:line="240" w:lineRule="auto"/>
        <w:jc w:val="left"/>
        <w:rPr>
          <w:rFonts w:ascii="Times New Roman" w:hAnsi="Times New Roman"/>
          <w:u w:val="single"/>
          <w:lang w:val="es-ES_tradnl"/>
        </w:rPr>
      </w:pPr>
      <w:r w:rsidRPr="000D50E2">
        <w:rPr>
          <w:rFonts w:ascii="Times New Roman" w:hAnsi="Times New Roman"/>
          <w:u w:val="single"/>
          <w:lang w:val="es-ES_tradnl"/>
        </w:rPr>
        <w:t>Biotransformación</w:t>
      </w:r>
    </w:p>
    <w:p w14:paraId="1BB506FD" w14:textId="77777777" w:rsidR="00EC399F" w:rsidRPr="000D50E2" w:rsidRDefault="00EC399F" w:rsidP="005F016C">
      <w:pPr>
        <w:pStyle w:val="Text"/>
        <w:keepNext/>
        <w:spacing w:before="0" w:line="240" w:lineRule="auto"/>
        <w:jc w:val="left"/>
        <w:rPr>
          <w:rFonts w:ascii="Times New Roman" w:hAnsi="Times New Roman"/>
          <w:u w:val="single"/>
          <w:lang w:val="es-ES_tradnl"/>
        </w:rPr>
      </w:pPr>
    </w:p>
    <w:p w14:paraId="0AD9E876" w14:textId="77777777" w:rsidR="00693925" w:rsidRDefault="00693925" w:rsidP="005F016C">
      <w:pPr>
        <w:pStyle w:val="Text"/>
        <w:keepNext/>
        <w:spacing w:before="0" w:line="240" w:lineRule="auto"/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No se han realizado estudios de metabolismo o de excreción con </w:t>
      </w:r>
      <w:r w:rsidR="00E26E0D">
        <w:rPr>
          <w:rFonts w:ascii="Times New Roman" w:hAnsi="Times New Roman"/>
          <w:lang w:val="es-ES_tradnl"/>
        </w:rPr>
        <w:t>teriparatida</w:t>
      </w:r>
      <w:r>
        <w:rPr>
          <w:rFonts w:ascii="Times New Roman" w:hAnsi="Times New Roman"/>
          <w:lang w:val="es-ES_tradnl"/>
        </w:rPr>
        <w:t>, pero se cree que el metabolismo periférico de la hormona paratiroidea se produce predominantemente en el hígado y riñón.</w:t>
      </w:r>
    </w:p>
    <w:p w14:paraId="64B7B475" w14:textId="77777777" w:rsidR="00693925" w:rsidRDefault="00693925" w:rsidP="00E84F80">
      <w:pPr>
        <w:rPr>
          <w:sz w:val="22"/>
          <w:lang w:val="es-ES_tradnl"/>
        </w:rPr>
      </w:pPr>
    </w:p>
    <w:p w14:paraId="7692D22E" w14:textId="77777777" w:rsidR="000D50E2" w:rsidRDefault="000D50E2" w:rsidP="00E84F80">
      <w:pPr>
        <w:rPr>
          <w:sz w:val="22"/>
          <w:u w:val="single"/>
          <w:lang w:val="es-ES_tradnl"/>
        </w:rPr>
      </w:pPr>
      <w:r w:rsidRPr="000D50E2">
        <w:rPr>
          <w:sz w:val="22"/>
          <w:u w:val="single"/>
          <w:lang w:val="es-ES_tradnl"/>
        </w:rPr>
        <w:t>Eliminación</w:t>
      </w:r>
    </w:p>
    <w:p w14:paraId="79961B34" w14:textId="77777777" w:rsidR="00EC399F" w:rsidRPr="000D50E2" w:rsidRDefault="00EC399F" w:rsidP="00E84F80">
      <w:pPr>
        <w:rPr>
          <w:sz w:val="22"/>
          <w:u w:val="single"/>
          <w:lang w:val="es-ES_tradnl"/>
        </w:rPr>
      </w:pPr>
    </w:p>
    <w:p w14:paraId="0E9E9AB2" w14:textId="77777777" w:rsidR="000D50E2" w:rsidRDefault="00E26E0D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>Teriparatida</w:t>
      </w:r>
      <w:r w:rsidR="000D50E2">
        <w:rPr>
          <w:sz w:val="22"/>
          <w:lang w:val="es-ES_tradnl"/>
        </w:rPr>
        <w:t xml:space="preserve"> se elimina mediante aclaramiento hepático y </w:t>
      </w:r>
      <w:proofErr w:type="spellStart"/>
      <w:r w:rsidR="000D50E2">
        <w:rPr>
          <w:sz w:val="22"/>
          <w:lang w:val="es-ES_tradnl"/>
        </w:rPr>
        <w:t>extra-hepático</w:t>
      </w:r>
      <w:proofErr w:type="spellEnd"/>
      <w:r w:rsidR="000D50E2">
        <w:rPr>
          <w:sz w:val="22"/>
          <w:lang w:val="es-ES_tradnl"/>
        </w:rPr>
        <w:t xml:space="preserve"> (aproximadamente 62 l/h en mujeres y 94 l/h en hombres).</w:t>
      </w:r>
    </w:p>
    <w:p w14:paraId="75A15B6E" w14:textId="77777777" w:rsidR="000D50E2" w:rsidRDefault="000D50E2" w:rsidP="00E84F80">
      <w:pPr>
        <w:rPr>
          <w:sz w:val="22"/>
          <w:lang w:val="es-ES_tradnl"/>
        </w:rPr>
      </w:pPr>
    </w:p>
    <w:p w14:paraId="4A3D70B7" w14:textId="77777777" w:rsidR="00693925" w:rsidRDefault="000D50E2" w:rsidP="00F87F6A">
      <w:pPr>
        <w:keepNext/>
        <w:rPr>
          <w:sz w:val="22"/>
          <w:u w:val="single"/>
          <w:lang w:val="es-ES_tradnl"/>
        </w:rPr>
      </w:pPr>
      <w:r w:rsidRPr="000D50E2">
        <w:rPr>
          <w:sz w:val="22"/>
          <w:u w:val="single"/>
          <w:lang w:val="es-ES_tradnl"/>
        </w:rPr>
        <w:t>Pacientes de edad avanzada</w:t>
      </w:r>
    </w:p>
    <w:p w14:paraId="3219E9BC" w14:textId="77777777" w:rsidR="00EC399F" w:rsidRDefault="00EC399F" w:rsidP="00F87F6A">
      <w:pPr>
        <w:keepNext/>
        <w:rPr>
          <w:i/>
          <w:sz w:val="22"/>
          <w:lang w:val="es-ES_tradnl"/>
        </w:rPr>
      </w:pPr>
    </w:p>
    <w:p w14:paraId="27288F31" w14:textId="77777777" w:rsidR="00693925" w:rsidRDefault="00693925" w:rsidP="00F87F6A">
      <w:pPr>
        <w:keepNext/>
        <w:rPr>
          <w:i/>
          <w:sz w:val="22"/>
          <w:lang w:val="es-ES_tradnl"/>
        </w:rPr>
      </w:pPr>
      <w:r>
        <w:rPr>
          <w:sz w:val="22"/>
          <w:lang w:val="es-ES_tradnl"/>
        </w:rPr>
        <w:t xml:space="preserve">No se han detectado diferencias en la farmacocinética de </w:t>
      </w:r>
      <w:r w:rsidR="00E26E0D">
        <w:rPr>
          <w:sz w:val="22"/>
          <w:lang w:val="es-ES_tradnl"/>
        </w:rPr>
        <w:t>teriparatida</w:t>
      </w:r>
      <w:r>
        <w:rPr>
          <w:sz w:val="22"/>
          <w:lang w:val="es-ES_tradnl"/>
        </w:rPr>
        <w:t xml:space="preserve"> con la edad (rango </w:t>
      </w:r>
      <w:smartTag w:uri="urn:schemas-microsoft-com:office:smarttags" w:element="metricconverter">
        <w:smartTagPr>
          <w:attr w:name="ProductID" w:val="31 a"/>
        </w:smartTagPr>
        <w:r>
          <w:rPr>
            <w:sz w:val="22"/>
            <w:lang w:val="es-ES_tradnl"/>
          </w:rPr>
          <w:t>31 a</w:t>
        </w:r>
      </w:smartTag>
      <w:r>
        <w:rPr>
          <w:sz w:val="22"/>
          <w:lang w:val="es-ES_tradnl"/>
        </w:rPr>
        <w:t xml:space="preserve"> 85 años). No es necesario realizar un ajuste de la dosis en función de la edad.</w:t>
      </w:r>
    </w:p>
    <w:p w14:paraId="5A09FFA0" w14:textId="77777777" w:rsidR="00693925" w:rsidRDefault="00693925" w:rsidP="00E84F80">
      <w:pPr>
        <w:rPr>
          <w:sz w:val="22"/>
          <w:lang w:val="es-ES_tradnl"/>
        </w:rPr>
      </w:pPr>
    </w:p>
    <w:p w14:paraId="4CA07923" w14:textId="77777777" w:rsidR="00693925" w:rsidRDefault="00693925" w:rsidP="00EB544D">
      <w:pPr>
        <w:keepNext/>
        <w:rPr>
          <w:sz w:val="22"/>
          <w:lang w:val="es-ES_tradnl"/>
        </w:rPr>
      </w:pPr>
      <w:r>
        <w:rPr>
          <w:b/>
          <w:sz w:val="22"/>
          <w:lang w:val="es-ES_tradnl"/>
        </w:rPr>
        <w:t>5.3</w:t>
      </w:r>
      <w:r>
        <w:rPr>
          <w:b/>
          <w:sz w:val="22"/>
          <w:lang w:val="es-ES_tradnl"/>
        </w:rPr>
        <w:tab/>
        <w:t>Datos preclínicos sobre seguridad</w:t>
      </w:r>
    </w:p>
    <w:p w14:paraId="43540FA7" w14:textId="77777777" w:rsidR="00693925" w:rsidRDefault="00693925" w:rsidP="00EB544D">
      <w:pPr>
        <w:keepNext/>
        <w:rPr>
          <w:sz w:val="22"/>
          <w:lang w:val="es-ES_tradnl"/>
        </w:rPr>
      </w:pPr>
    </w:p>
    <w:p w14:paraId="0AE94EA4" w14:textId="77777777" w:rsidR="00693925" w:rsidRPr="0010319B" w:rsidRDefault="00693925" w:rsidP="00E84F80">
      <w:pPr>
        <w:rPr>
          <w:sz w:val="22"/>
        </w:rPr>
      </w:pPr>
      <w:r>
        <w:rPr>
          <w:sz w:val="22"/>
          <w:lang w:val="es-ES_tradnl"/>
        </w:rPr>
        <w:t xml:space="preserve">Teriparatida no fue genotóxica en ninguno de los ensayos de una batería estándar. No produjo efectos teratógenos en ratas, ratones ni conejos. </w:t>
      </w:r>
      <w:r w:rsidR="0010319B" w:rsidRPr="0010319B">
        <w:rPr>
          <w:sz w:val="22"/>
          <w:szCs w:val="22"/>
        </w:rPr>
        <w:t xml:space="preserve">No se observaron efectos importantes en ratas o ratones preñados a los que se les administró teriparatida a dosis diarias de </w:t>
      </w:r>
      <w:smartTag w:uri="urn:schemas-microsoft-com:office:smarttags" w:element="metricconverter">
        <w:smartTagPr>
          <w:attr w:name="ProductID" w:val="30 a"/>
        </w:smartTagPr>
        <w:r w:rsidR="0010319B" w:rsidRPr="0010319B">
          <w:rPr>
            <w:sz w:val="22"/>
            <w:szCs w:val="22"/>
          </w:rPr>
          <w:t>30 a</w:t>
        </w:r>
      </w:smartTag>
      <w:r w:rsidR="0010319B" w:rsidRPr="0010319B">
        <w:rPr>
          <w:sz w:val="22"/>
          <w:szCs w:val="22"/>
        </w:rPr>
        <w:t xml:space="preserve"> 1</w:t>
      </w:r>
      <w:r w:rsidR="00EA201D">
        <w:rPr>
          <w:sz w:val="22"/>
          <w:szCs w:val="22"/>
        </w:rPr>
        <w:t> </w:t>
      </w:r>
      <w:r w:rsidR="0010319B" w:rsidRPr="0010319B">
        <w:rPr>
          <w:sz w:val="22"/>
          <w:szCs w:val="22"/>
        </w:rPr>
        <w:t>000 </w:t>
      </w:r>
      <w:r w:rsidR="000D50E2">
        <w:rPr>
          <w:sz w:val="22"/>
          <w:szCs w:val="22"/>
        </w:rPr>
        <w:t>µg</w:t>
      </w:r>
      <w:r w:rsidR="0010319B" w:rsidRPr="0010319B">
        <w:rPr>
          <w:sz w:val="22"/>
          <w:szCs w:val="22"/>
        </w:rPr>
        <w:t>/</w:t>
      </w:r>
      <w:r w:rsidR="000D50E2">
        <w:rPr>
          <w:sz w:val="22"/>
          <w:szCs w:val="22"/>
        </w:rPr>
        <w:t>k</w:t>
      </w:r>
      <w:r w:rsidR="0010319B" w:rsidRPr="0010319B">
        <w:rPr>
          <w:sz w:val="22"/>
          <w:szCs w:val="22"/>
        </w:rPr>
        <w:t xml:space="preserve">g. No obstante, las conejas </w:t>
      </w:r>
      <w:r w:rsidR="0010319B" w:rsidRPr="0010319B">
        <w:rPr>
          <w:sz w:val="22"/>
          <w:szCs w:val="22"/>
        </w:rPr>
        <w:lastRenderedPageBreak/>
        <w:t>preñadas a las que se les administró teripa</w:t>
      </w:r>
      <w:r w:rsidR="006935F9">
        <w:rPr>
          <w:sz w:val="22"/>
          <w:szCs w:val="22"/>
        </w:rPr>
        <w:t xml:space="preserve">ratida a dosis diarias de </w:t>
      </w:r>
      <w:smartTag w:uri="urn:schemas-microsoft-com:office:smarttags" w:element="metricconverter">
        <w:smartTagPr>
          <w:attr w:name="ProductID" w:val="3 a"/>
        </w:smartTagPr>
        <w:r w:rsidR="006935F9">
          <w:rPr>
            <w:sz w:val="22"/>
            <w:szCs w:val="22"/>
          </w:rPr>
          <w:t>3 a</w:t>
        </w:r>
      </w:smartTag>
      <w:r w:rsidR="006935F9">
        <w:rPr>
          <w:sz w:val="22"/>
          <w:szCs w:val="22"/>
        </w:rPr>
        <w:t xml:space="preserve"> 1</w:t>
      </w:r>
      <w:r w:rsidR="0010319B" w:rsidRPr="0010319B">
        <w:rPr>
          <w:sz w:val="22"/>
          <w:szCs w:val="22"/>
        </w:rPr>
        <w:t>00 </w:t>
      </w:r>
      <w:r w:rsidR="000D50E2">
        <w:rPr>
          <w:sz w:val="22"/>
          <w:szCs w:val="22"/>
        </w:rPr>
        <w:t>µg</w:t>
      </w:r>
      <w:r w:rsidR="0010319B" w:rsidRPr="0010319B">
        <w:rPr>
          <w:sz w:val="22"/>
          <w:szCs w:val="22"/>
        </w:rPr>
        <w:t>/</w:t>
      </w:r>
      <w:r w:rsidR="000D50E2">
        <w:rPr>
          <w:sz w:val="22"/>
          <w:szCs w:val="22"/>
        </w:rPr>
        <w:t>k</w:t>
      </w:r>
      <w:r w:rsidR="0010319B" w:rsidRPr="0010319B">
        <w:rPr>
          <w:sz w:val="22"/>
          <w:szCs w:val="22"/>
        </w:rPr>
        <w:t xml:space="preserve">g experimentaron resorción fetal y una reducción en el tamaño de la camada. La embriotoxicidad observada en las conejas puede estar relacionada con su mayor sensibilidad a los </w:t>
      </w:r>
      <w:r w:rsidR="0010319B" w:rsidRPr="001156C1">
        <w:rPr>
          <w:sz w:val="22"/>
          <w:szCs w:val="22"/>
        </w:rPr>
        <w:t xml:space="preserve">efectos que tiene </w:t>
      </w:r>
      <w:smartTag w:uri="urn:schemas-microsoft-com:office:smarttags" w:element="PersonName">
        <w:smartTagPr>
          <w:attr w:name="ProductID" w:val="la PTH"/>
        </w:smartTagPr>
        <w:r w:rsidR="0010319B" w:rsidRPr="001156C1">
          <w:rPr>
            <w:sz w:val="22"/>
            <w:szCs w:val="22"/>
          </w:rPr>
          <w:t>la PTH</w:t>
        </w:r>
      </w:smartTag>
      <w:r w:rsidR="0010319B" w:rsidRPr="001156C1">
        <w:rPr>
          <w:sz w:val="22"/>
          <w:szCs w:val="22"/>
        </w:rPr>
        <w:t xml:space="preserve"> sobre el </w:t>
      </w:r>
      <w:proofErr w:type="spellStart"/>
      <w:r w:rsidR="0026287E" w:rsidRPr="001156C1">
        <w:rPr>
          <w:sz w:val="22"/>
          <w:szCs w:val="22"/>
        </w:rPr>
        <w:t>ión</w:t>
      </w:r>
      <w:proofErr w:type="spellEnd"/>
      <w:r w:rsidR="0026287E" w:rsidRPr="001156C1">
        <w:rPr>
          <w:sz w:val="22"/>
          <w:szCs w:val="22"/>
        </w:rPr>
        <w:t xml:space="preserve"> </w:t>
      </w:r>
      <w:r w:rsidR="0010319B" w:rsidRPr="001156C1">
        <w:rPr>
          <w:sz w:val="22"/>
          <w:szCs w:val="22"/>
        </w:rPr>
        <w:t>calcio</w:t>
      </w:r>
      <w:r w:rsidR="006935F9">
        <w:rPr>
          <w:sz w:val="22"/>
          <w:szCs w:val="22"/>
        </w:rPr>
        <w:t xml:space="preserve"> en sangre</w:t>
      </w:r>
      <w:r w:rsidR="0010319B" w:rsidRPr="0010319B">
        <w:rPr>
          <w:sz w:val="22"/>
          <w:szCs w:val="22"/>
        </w:rPr>
        <w:t xml:space="preserve"> e</w:t>
      </w:r>
      <w:r w:rsidR="00B63AAF">
        <w:rPr>
          <w:sz w:val="22"/>
          <w:szCs w:val="22"/>
        </w:rPr>
        <w:t>n comparación con los roedores.</w:t>
      </w:r>
    </w:p>
    <w:p w14:paraId="337A9C4E" w14:textId="77777777" w:rsidR="00693925" w:rsidRDefault="00693925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01CB350E" w14:textId="77777777" w:rsidR="00693925" w:rsidRDefault="00693925" w:rsidP="00E84F80">
      <w:pPr>
        <w:rPr>
          <w:sz w:val="22"/>
          <w:lang w:val="es-ES_tradnl"/>
        </w:rPr>
      </w:pPr>
      <w:r>
        <w:rPr>
          <w:snapToGrid w:val="0"/>
          <w:sz w:val="22"/>
          <w:lang w:val="es-ES_tradnl"/>
        </w:rPr>
        <w:t>Las ratas tratadas durante casi toda su vida con inyecciones diarias presentar</w:t>
      </w:r>
      <w:r w:rsidR="005F28BB">
        <w:rPr>
          <w:snapToGrid w:val="0"/>
          <w:sz w:val="22"/>
          <w:lang w:val="es-ES_tradnl"/>
        </w:rPr>
        <w:t>on formación de hueso exagerada</w:t>
      </w:r>
      <w:r w:rsidR="00203895">
        <w:rPr>
          <w:snapToGrid w:val="0"/>
          <w:sz w:val="22"/>
          <w:lang w:val="es-ES_tradnl"/>
        </w:rPr>
        <w:t xml:space="preserve">, </w:t>
      </w:r>
      <w:r w:rsidR="005F28BB">
        <w:rPr>
          <w:snapToGrid w:val="0"/>
          <w:sz w:val="22"/>
          <w:lang w:val="es-ES_tradnl"/>
        </w:rPr>
        <w:t>dependiente</w:t>
      </w:r>
      <w:r>
        <w:rPr>
          <w:snapToGrid w:val="0"/>
          <w:sz w:val="22"/>
          <w:lang w:val="es-ES_tradnl"/>
        </w:rPr>
        <w:t xml:space="preserve"> de la dosis y aumento en la incidencia de osteosarcomas debido probablemente a un mecanismo epigenético. </w:t>
      </w:r>
      <w:r>
        <w:rPr>
          <w:sz w:val="22"/>
          <w:lang w:val="es-ES_tradnl"/>
        </w:rPr>
        <w:t xml:space="preserve">Teriparatida no aumentó la incidencia de ningún otro tipo de neoplasia en ratas. Debido a las diferencias en la fisiología del hueso en ratas y en humanos, la relevancia clínica de estos hallazgos es probablemente poco relevante. No se han observado tumores óseos en </w:t>
      </w:r>
      <w:r w:rsidR="00ED275A">
        <w:rPr>
          <w:sz w:val="22"/>
          <w:lang w:val="es-ES_tradnl"/>
        </w:rPr>
        <w:t xml:space="preserve">las </w:t>
      </w:r>
      <w:r>
        <w:rPr>
          <w:sz w:val="22"/>
          <w:lang w:val="es-ES_tradnl"/>
        </w:rPr>
        <w:t xml:space="preserve">monas </w:t>
      </w:r>
      <w:proofErr w:type="spellStart"/>
      <w:r>
        <w:rPr>
          <w:sz w:val="22"/>
          <w:lang w:val="es-ES_tradnl"/>
        </w:rPr>
        <w:t>ovariectomizadas</w:t>
      </w:r>
      <w:proofErr w:type="spellEnd"/>
      <w:r>
        <w:rPr>
          <w:sz w:val="22"/>
          <w:lang w:val="es-ES_tradnl"/>
        </w:rPr>
        <w:t xml:space="preserve"> tratadas durante 18 meses</w:t>
      </w:r>
      <w:r w:rsidR="00E3645C">
        <w:rPr>
          <w:sz w:val="22"/>
          <w:lang w:val="es-ES_tradnl"/>
        </w:rPr>
        <w:t xml:space="preserve"> o durante un periodo de seguimiento de 3 años después de </w:t>
      </w:r>
      <w:r w:rsidR="00192A39">
        <w:rPr>
          <w:sz w:val="22"/>
          <w:lang w:val="es-ES_tradnl"/>
        </w:rPr>
        <w:t>suspender</w:t>
      </w:r>
      <w:r w:rsidR="00E3645C">
        <w:rPr>
          <w:sz w:val="22"/>
          <w:lang w:val="es-ES_tradnl"/>
        </w:rPr>
        <w:t xml:space="preserve"> </w:t>
      </w:r>
      <w:r w:rsidR="00C372EC">
        <w:rPr>
          <w:sz w:val="22"/>
          <w:lang w:val="es-ES_tradnl"/>
        </w:rPr>
        <w:t xml:space="preserve">el </w:t>
      </w:r>
      <w:r w:rsidR="00E3645C">
        <w:rPr>
          <w:sz w:val="22"/>
          <w:lang w:val="es-ES_tradnl"/>
        </w:rPr>
        <w:t>tratamiento</w:t>
      </w:r>
      <w:r>
        <w:rPr>
          <w:sz w:val="22"/>
          <w:lang w:val="es-ES_tradnl"/>
        </w:rPr>
        <w:t>. Además, no se han observado osteosarcomas en ensayos clínicos o durante el estudio de seguimiento post tratamiento.</w:t>
      </w:r>
    </w:p>
    <w:p w14:paraId="6BBF0FF5" w14:textId="77777777" w:rsidR="00693925" w:rsidRDefault="00693925" w:rsidP="00E84F80">
      <w:pPr>
        <w:rPr>
          <w:sz w:val="22"/>
          <w:lang w:val="es-ES_tradnl"/>
        </w:rPr>
      </w:pPr>
    </w:p>
    <w:p w14:paraId="1BD41ADA" w14:textId="77777777" w:rsidR="00693925" w:rsidRDefault="00693925" w:rsidP="00E84F80">
      <w:pPr>
        <w:rPr>
          <w:sz w:val="22"/>
          <w:lang w:val="es-ES_tradnl"/>
        </w:rPr>
      </w:pPr>
      <w:r>
        <w:rPr>
          <w:snapToGrid w:val="0"/>
          <w:sz w:val="22"/>
          <w:lang w:val="es-ES_tradnl"/>
        </w:rPr>
        <w:t xml:space="preserve">En los estudios en animales se ha demostrado que una reducción marcada en el flujo sanguíneo hepático disminuye la exposición de </w:t>
      </w:r>
      <w:smartTag w:uri="urn:schemas-microsoft-com:office:smarttags" w:element="PersonName">
        <w:smartTagPr>
          <w:attr w:name="ProductID" w:val="la PTH"/>
        </w:smartTagPr>
        <w:r>
          <w:rPr>
            <w:snapToGrid w:val="0"/>
            <w:sz w:val="22"/>
            <w:lang w:val="es-ES_tradnl"/>
          </w:rPr>
          <w:t>la PTH</w:t>
        </w:r>
      </w:smartTag>
      <w:r>
        <w:rPr>
          <w:snapToGrid w:val="0"/>
          <w:sz w:val="22"/>
          <w:lang w:val="es-ES_tradnl"/>
        </w:rPr>
        <w:t xml:space="preserve"> al principal sistema de eliminación (células de Kupffer) y, en consecuencia, del aclaramiento de </w:t>
      </w:r>
      <w:smartTag w:uri="urn:schemas-microsoft-com:office:smarttags" w:element="PersonName">
        <w:smartTagPr>
          <w:attr w:name="ProductID" w:val="la PTH"/>
        </w:smartTagPr>
        <w:r>
          <w:rPr>
            <w:snapToGrid w:val="0"/>
            <w:sz w:val="22"/>
            <w:lang w:val="es-ES_tradnl"/>
          </w:rPr>
          <w:t>la PTH</w:t>
        </w:r>
      </w:smartTag>
      <w:r>
        <w:rPr>
          <w:snapToGrid w:val="0"/>
          <w:sz w:val="22"/>
          <w:lang w:val="es-ES_tradnl"/>
        </w:rPr>
        <w:t>(1-84).</w:t>
      </w:r>
    </w:p>
    <w:p w14:paraId="3316D684" w14:textId="77777777" w:rsidR="00693925" w:rsidRDefault="00693925" w:rsidP="00E84F80">
      <w:pPr>
        <w:rPr>
          <w:sz w:val="22"/>
          <w:lang w:val="es-ES_tradnl"/>
        </w:rPr>
      </w:pPr>
    </w:p>
    <w:p w14:paraId="0E305E12" w14:textId="77777777" w:rsidR="00693925" w:rsidRDefault="00693925" w:rsidP="00E84F80">
      <w:pPr>
        <w:rPr>
          <w:sz w:val="22"/>
          <w:lang w:val="es-ES_tradnl"/>
        </w:rPr>
      </w:pPr>
    </w:p>
    <w:p w14:paraId="7095A364" w14:textId="77777777" w:rsidR="00693925" w:rsidRDefault="00693925" w:rsidP="0088244D">
      <w:pPr>
        <w:keepNext/>
        <w:ind w:left="567" w:hanging="567"/>
        <w:rPr>
          <w:b/>
          <w:caps/>
          <w:sz w:val="22"/>
          <w:lang w:val="es-ES_tradnl"/>
        </w:rPr>
      </w:pPr>
      <w:r>
        <w:rPr>
          <w:b/>
          <w:caps/>
          <w:sz w:val="22"/>
          <w:lang w:val="es-ES_tradnl"/>
        </w:rPr>
        <w:t>6.</w:t>
      </w:r>
      <w:r>
        <w:rPr>
          <w:b/>
          <w:caps/>
          <w:sz w:val="22"/>
          <w:lang w:val="es-ES_tradnl"/>
        </w:rPr>
        <w:tab/>
        <w:t xml:space="preserve">DATOS FARMACÉUTICOS </w:t>
      </w:r>
    </w:p>
    <w:p w14:paraId="37AA1EC7" w14:textId="77777777" w:rsidR="00693925" w:rsidRDefault="00693925" w:rsidP="00EB544D">
      <w:pPr>
        <w:keepNext/>
        <w:rPr>
          <w:sz w:val="22"/>
          <w:lang w:val="es-ES_tradnl"/>
        </w:rPr>
      </w:pPr>
    </w:p>
    <w:p w14:paraId="146B7E0E" w14:textId="77777777" w:rsidR="00693925" w:rsidRDefault="00693925" w:rsidP="0088244D">
      <w:pPr>
        <w:keepNext/>
        <w:ind w:left="567" w:hanging="567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6.1</w:t>
      </w:r>
      <w:r>
        <w:rPr>
          <w:b/>
          <w:sz w:val="22"/>
          <w:lang w:val="es-ES_tradnl"/>
        </w:rPr>
        <w:tab/>
        <w:t>Lista de excipientes</w:t>
      </w:r>
    </w:p>
    <w:p w14:paraId="7ACF96AE" w14:textId="77777777" w:rsidR="00693925" w:rsidRDefault="00693925" w:rsidP="00EB544D">
      <w:pPr>
        <w:keepNext/>
        <w:rPr>
          <w:i/>
          <w:snapToGrid w:val="0"/>
          <w:sz w:val="22"/>
          <w:lang w:val="es-ES_tradnl"/>
        </w:rPr>
      </w:pPr>
    </w:p>
    <w:p w14:paraId="08D488E0" w14:textId="77777777" w:rsidR="00693925" w:rsidRDefault="00693925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>Ácido acético glacial</w:t>
      </w:r>
      <w:r w:rsidR="00E26E0D">
        <w:rPr>
          <w:sz w:val="22"/>
          <w:lang w:val="es-ES_tradnl"/>
        </w:rPr>
        <w:t xml:space="preserve"> (E260)</w:t>
      </w:r>
    </w:p>
    <w:p w14:paraId="5C93AFFF" w14:textId="77777777" w:rsidR="00693925" w:rsidRDefault="00693925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>Acetato de sodio anhidro</w:t>
      </w:r>
      <w:r w:rsidR="00E26E0D">
        <w:rPr>
          <w:sz w:val="22"/>
          <w:lang w:val="es-ES_tradnl"/>
        </w:rPr>
        <w:t xml:space="preserve"> (E262</w:t>
      </w:r>
      <w:r>
        <w:rPr>
          <w:sz w:val="22"/>
          <w:lang w:val="es-ES_tradnl"/>
        </w:rPr>
        <w:t>)</w:t>
      </w:r>
    </w:p>
    <w:p w14:paraId="28D3B370" w14:textId="77777777" w:rsidR="008B0D92" w:rsidRDefault="00693925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>Manitol</w:t>
      </w:r>
      <w:r w:rsidR="00E26E0D">
        <w:rPr>
          <w:sz w:val="22"/>
          <w:lang w:val="es-ES_tradnl"/>
        </w:rPr>
        <w:t xml:space="preserve"> (E421)</w:t>
      </w:r>
    </w:p>
    <w:p w14:paraId="5C979572" w14:textId="77777777" w:rsidR="00693925" w:rsidRDefault="00693925" w:rsidP="00E84F80">
      <w:pPr>
        <w:rPr>
          <w:sz w:val="22"/>
          <w:lang w:val="es-ES_tradnl"/>
        </w:rPr>
      </w:pPr>
      <w:proofErr w:type="spellStart"/>
      <w:r>
        <w:rPr>
          <w:sz w:val="22"/>
          <w:lang w:val="es-ES_tradnl"/>
        </w:rPr>
        <w:t>Metacresol</w:t>
      </w:r>
      <w:proofErr w:type="spellEnd"/>
    </w:p>
    <w:p w14:paraId="3E4D1460" w14:textId="77777777" w:rsidR="00693925" w:rsidRDefault="00693925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>Ácido clorhídrico</w:t>
      </w:r>
      <w:r w:rsidR="000D50E2">
        <w:rPr>
          <w:sz w:val="22"/>
          <w:lang w:val="es-ES_tradnl"/>
        </w:rPr>
        <w:t xml:space="preserve"> (para ajustar el pH)</w:t>
      </w:r>
      <w:r w:rsidR="00E26E0D">
        <w:rPr>
          <w:sz w:val="22"/>
          <w:lang w:val="es-ES_tradnl"/>
        </w:rPr>
        <w:t xml:space="preserve"> (E507)</w:t>
      </w:r>
    </w:p>
    <w:p w14:paraId="2E13782C" w14:textId="77777777" w:rsidR="00693925" w:rsidRDefault="00693925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>Hidróxido de sodio</w:t>
      </w:r>
      <w:r w:rsidR="000D50E2">
        <w:rPr>
          <w:sz w:val="22"/>
          <w:lang w:val="es-ES_tradnl"/>
        </w:rPr>
        <w:t xml:space="preserve"> (para ajustar el pH)</w:t>
      </w:r>
      <w:r w:rsidR="00E26E0D">
        <w:rPr>
          <w:sz w:val="22"/>
          <w:lang w:val="es-ES_tradnl"/>
        </w:rPr>
        <w:t xml:space="preserve"> (E524)</w:t>
      </w:r>
    </w:p>
    <w:p w14:paraId="3BF60CE5" w14:textId="77777777" w:rsidR="00693925" w:rsidRDefault="00693925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 xml:space="preserve">Agua para </w:t>
      </w:r>
      <w:r w:rsidR="00203895">
        <w:rPr>
          <w:sz w:val="22"/>
          <w:lang w:val="es-ES_tradnl"/>
        </w:rPr>
        <w:t>preparaciones inyectables</w:t>
      </w:r>
    </w:p>
    <w:p w14:paraId="69599005" w14:textId="77777777" w:rsidR="00693925" w:rsidRDefault="00693925" w:rsidP="00E84F80">
      <w:pPr>
        <w:ind w:left="567" w:hanging="567"/>
        <w:rPr>
          <w:sz w:val="22"/>
          <w:lang w:val="es-ES_tradnl"/>
        </w:rPr>
      </w:pPr>
    </w:p>
    <w:p w14:paraId="2BF7000F" w14:textId="77777777" w:rsidR="00693925" w:rsidRDefault="00693925" w:rsidP="0088244D">
      <w:pPr>
        <w:keepNext/>
        <w:ind w:left="567" w:hanging="567"/>
        <w:rPr>
          <w:sz w:val="22"/>
          <w:lang w:val="es-ES_tradnl"/>
        </w:rPr>
      </w:pPr>
      <w:r>
        <w:rPr>
          <w:b/>
          <w:sz w:val="22"/>
          <w:lang w:val="es-ES_tradnl"/>
        </w:rPr>
        <w:t>6.2</w:t>
      </w:r>
      <w:r>
        <w:rPr>
          <w:b/>
          <w:sz w:val="22"/>
          <w:lang w:val="es-ES_tradnl"/>
        </w:rPr>
        <w:tab/>
        <w:t>Incompatibilidades</w:t>
      </w:r>
    </w:p>
    <w:p w14:paraId="3DCA1D09" w14:textId="77777777" w:rsidR="00693925" w:rsidRDefault="00693925" w:rsidP="00EB544D">
      <w:pPr>
        <w:keepNext/>
        <w:rPr>
          <w:sz w:val="22"/>
          <w:lang w:val="es-ES_tradnl"/>
        </w:rPr>
      </w:pPr>
    </w:p>
    <w:p w14:paraId="0DC8B717" w14:textId="77777777" w:rsidR="00693925" w:rsidRDefault="00693925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>En ausencia de estudios de compatibilidad, este medicamento no debe mezclar</w:t>
      </w:r>
      <w:r w:rsidR="00DF5460">
        <w:rPr>
          <w:sz w:val="22"/>
          <w:lang w:val="es-ES_tradnl"/>
        </w:rPr>
        <w:t>se</w:t>
      </w:r>
      <w:r>
        <w:rPr>
          <w:sz w:val="22"/>
          <w:lang w:val="es-ES_tradnl"/>
        </w:rPr>
        <w:t xml:space="preserve"> con </w:t>
      </w:r>
      <w:r w:rsidR="00DF5460">
        <w:rPr>
          <w:sz w:val="22"/>
          <w:lang w:val="es-ES_tradnl"/>
        </w:rPr>
        <w:t>otros.</w:t>
      </w:r>
    </w:p>
    <w:p w14:paraId="6824B882" w14:textId="77777777" w:rsidR="00693925" w:rsidRDefault="00693925" w:rsidP="00E84F80">
      <w:pPr>
        <w:rPr>
          <w:sz w:val="22"/>
          <w:lang w:val="es-ES_tradnl"/>
        </w:rPr>
      </w:pPr>
    </w:p>
    <w:p w14:paraId="63C7342F" w14:textId="77777777" w:rsidR="00693925" w:rsidRDefault="00693925" w:rsidP="0088244D">
      <w:pPr>
        <w:keepNext/>
        <w:ind w:left="567" w:hanging="567"/>
        <w:rPr>
          <w:sz w:val="22"/>
          <w:lang w:val="es-ES_tradnl"/>
        </w:rPr>
      </w:pPr>
      <w:r>
        <w:rPr>
          <w:b/>
          <w:sz w:val="22"/>
          <w:lang w:val="es-ES_tradnl"/>
        </w:rPr>
        <w:t>6.3</w:t>
      </w:r>
      <w:r>
        <w:rPr>
          <w:b/>
          <w:sz w:val="22"/>
          <w:lang w:val="es-ES_tradnl"/>
        </w:rPr>
        <w:tab/>
        <w:t xml:space="preserve">Período de validez </w:t>
      </w:r>
    </w:p>
    <w:p w14:paraId="6C29CA8F" w14:textId="77777777" w:rsidR="00693925" w:rsidRDefault="00693925" w:rsidP="00EB544D">
      <w:pPr>
        <w:keepNext/>
        <w:rPr>
          <w:sz w:val="22"/>
          <w:lang w:val="es-ES_tradnl"/>
        </w:rPr>
      </w:pPr>
    </w:p>
    <w:p w14:paraId="1A4CC7D6" w14:textId="77777777" w:rsidR="00693925" w:rsidRDefault="000D39F7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>2</w:t>
      </w:r>
      <w:r w:rsidR="00693925">
        <w:rPr>
          <w:sz w:val="22"/>
          <w:lang w:val="es-ES_tradnl"/>
        </w:rPr>
        <w:t xml:space="preserve"> año</w:t>
      </w:r>
      <w:r>
        <w:rPr>
          <w:sz w:val="22"/>
          <w:lang w:val="es-ES_tradnl"/>
        </w:rPr>
        <w:t>s</w:t>
      </w:r>
      <w:r w:rsidR="00693925">
        <w:rPr>
          <w:sz w:val="22"/>
          <w:lang w:val="es-ES_tradnl"/>
        </w:rPr>
        <w:t>.</w:t>
      </w:r>
    </w:p>
    <w:p w14:paraId="0E9B2833" w14:textId="77777777" w:rsidR="00693925" w:rsidRDefault="00693925" w:rsidP="00E84F80">
      <w:pPr>
        <w:rPr>
          <w:sz w:val="22"/>
          <w:lang w:val="es-ES_tradnl"/>
        </w:rPr>
      </w:pPr>
    </w:p>
    <w:p w14:paraId="7161DCA1" w14:textId="544A5FC6" w:rsidR="00E26E0D" w:rsidRPr="00D05C05" w:rsidRDefault="00E26E0D" w:rsidP="00E84F80">
      <w:pPr>
        <w:pStyle w:val="Text"/>
        <w:spacing w:before="0" w:line="240" w:lineRule="auto"/>
        <w:jc w:val="left"/>
        <w:rPr>
          <w:rFonts w:ascii="Times New Roman" w:hAnsi="Times New Roman"/>
          <w:u w:val="single"/>
          <w:lang w:val="es-ES_tradnl"/>
        </w:rPr>
      </w:pPr>
      <w:r w:rsidRPr="00D05C05">
        <w:rPr>
          <w:rFonts w:ascii="Times New Roman" w:hAnsi="Times New Roman"/>
          <w:u w:val="single"/>
          <w:lang w:val="es-ES_tradnl"/>
        </w:rPr>
        <w:t>Después de la primera apertura</w:t>
      </w:r>
    </w:p>
    <w:p w14:paraId="616C8DA7" w14:textId="77777777" w:rsidR="00693925" w:rsidRDefault="00693925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Se ha demostrado una estabilidad química, física y microbiológica en uso durante 28 días a 2</w:t>
      </w:r>
      <w:r w:rsidR="00B63AAF">
        <w:rPr>
          <w:rFonts w:ascii="Times New Roman" w:hAnsi="Times New Roman"/>
          <w:lang w:val="es-ES_tradnl"/>
        </w:rPr>
        <w:t> </w:t>
      </w:r>
      <w:proofErr w:type="spellStart"/>
      <w:r w:rsidR="00034818">
        <w:rPr>
          <w:rFonts w:ascii="Times New Roman" w:hAnsi="Times New Roman"/>
          <w:lang w:val="es-ES_tradnl"/>
        </w:rPr>
        <w:t>ºC</w:t>
      </w:r>
      <w:proofErr w:type="spellEnd"/>
      <w:r w:rsidR="00034818">
        <w:rPr>
          <w:rFonts w:ascii="Times New Roman" w:hAnsi="Times New Roman"/>
          <w:lang w:val="es-ES_tradnl"/>
        </w:rPr>
        <w:noBreakHyphen/>
      </w:r>
      <w:r w:rsidR="00034818" w:rsidDel="00034818">
        <w:rPr>
          <w:rFonts w:ascii="Times New Roman" w:hAnsi="Times New Roman"/>
          <w:lang w:val="es-ES_tradnl"/>
        </w:rPr>
        <w:t xml:space="preserve"> </w:t>
      </w:r>
      <w:r>
        <w:rPr>
          <w:rFonts w:ascii="Times New Roman" w:hAnsi="Times New Roman"/>
          <w:lang w:val="es-ES_tradnl"/>
        </w:rPr>
        <w:t>8</w:t>
      </w:r>
      <w:r w:rsidR="00B63AAF">
        <w:rPr>
          <w:rFonts w:ascii="Times New Roman" w:hAnsi="Times New Roman"/>
          <w:lang w:val="es-ES_tradnl"/>
        </w:rPr>
        <w:t> </w:t>
      </w:r>
      <w:proofErr w:type="spellStart"/>
      <w:r>
        <w:rPr>
          <w:rFonts w:ascii="Times New Roman" w:hAnsi="Times New Roman"/>
          <w:lang w:val="es-ES_tradnl"/>
        </w:rPr>
        <w:t>ºC</w:t>
      </w:r>
      <w:proofErr w:type="spellEnd"/>
      <w:r>
        <w:rPr>
          <w:rFonts w:ascii="Times New Roman" w:hAnsi="Times New Roman"/>
          <w:lang w:val="es-ES_tradnl"/>
        </w:rPr>
        <w:t>. Una vez abierto, el producto se puede conservar durante un máximo de 28 días a 2</w:t>
      </w:r>
      <w:r w:rsidR="005F49A6">
        <w:rPr>
          <w:rFonts w:ascii="Times New Roman" w:hAnsi="Times New Roman"/>
          <w:lang w:val="es-ES_tradnl"/>
        </w:rPr>
        <w:t> </w:t>
      </w:r>
      <w:r>
        <w:rPr>
          <w:rFonts w:ascii="Times New Roman" w:hAnsi="Times New Roman"/>
          <w:lang w:val="es-ES_tradnl"/>
        </w:rPr>
        <w:t>ºC</w:t>
      </w:r>
      <w:r w:rsidR="005F49A6">
        <w:rPr>
          <w:rFonts w:ascii="Times New Roman" w:hAnsi="Times New Roman"/>
          <w:lang w:val="es-ES_tradnl"/>
        </w:rPr>
        <w:noBreakHyphen/>
      </w:r>
      <w:r>
        <w:rPr>
          <w:rFonts w:ascii="Times New Roman" w:hAnsi="Times New Roman"/>
          <w:lang w:val="es-ES_tradnl"/>
        </w:rPr>
        <w:t>8</w:t>
      </w:r>
      <w:r w:rsidR="005F49A6">
        <w:rPr>
          <w:rFonts w:ascii="Times New Roman" w:hAnsi="Times New Roman"/>
          <w:lang w:val="es-ES_tradnl"/>
        </w:rPr>
        <w:t> </w:t>
      </w:r>
      <w:proofErr w:type="spellStart"/>
      <w:r>
        <w:rPr>
          <w:rFonts w:ascii="Times New Roman" w:hAnsi="Times New Roman"/>
          <w:lang w:val="es-ES_tradnl"/>
        </w:rPr>
        <w:t>ºC</w:t>
      </w:r>
      <w:proofErr w:type="spellEnd"/>
      <w:r>
        <w:rPr>
          <w:rFonts w:ascii="Times New Roman" w:hAnsi="Times New Roman"/>
          <w:lang w:val="es-ES_tradnl"/>
        </w:rPr>
        <w:t>. Otros tiempos y condiciones de conservación en uso son responsabilidad del usuario.</w:t>
      </w:r>
    </w:p>
    <w:p w14:paraId="1C832A5E" w14:textId="77777777" w:rsidR="00693925" w:rsidRDefault="00693925" w:rsidP="00E84F80">
      <w:pPr>
        <w:rPr>
          <w:b/>
          <w:i/>
          <w:sz w:val="22"/>
          <w:lang w:val="es-ES_tradnl"/>
        </w:rPr>
      </w:pPr>
    </w:p>
    <w:p w14:paraId="6EFD24CC" w14:textId="77777777" w:rsidR="00693925" w:rsidRDefault="00693925" w:rsidP="00AD3634">
      <w:pPr>
        <w:keepNext/>
        <w:ind w:left="567" w:hanging="567"/>
        <w:rPr>
          <w:sz w:val="22"/>
          <w:lang w:val="es-ES_tradnl"/>
        </w:rPr>
      </w:pPr>
      <w:r>
        <w:rPr>
          <w:b/>
          <w:sz w:val="22"/>
          <w:lang w:val="es-ES_tradnl"/>
        </w:rPr>
        <w:t>6.4</w:t>
      </w:r>
      <w:r>
        <w:rPr>
          <w:b/>
          <w:sz w:val="22"/>
          <w:lang w:val="es-ES_tradnl"/>
        </w:rPr>
        <w:tab/>
        <w:t>Precauciones especiales de conservación</w:t>
      </w:r>
    </w:p>
    <w:p w14:paraId="00799F59" w14:textId="77777777" w:rsidR="00693925" w:rsidRDefault="00693925" w:rsidP="000D50E2">
      <w:pPr>
        <w:keepNext/>
        <w:rPr>
          <w:sz w:val="22"/>
          <w:lang w:val="es-ES_tradnl"/>
        </w:rPr>
      </w:pPr>
    </w:p>
    <w:p w14:paraId="54E2C8E9" w14:textId="77777777" w:rsidR="00693925" w:rsidRDefault="00693925" w:rsidP="000D50E2">
      <w:pPr>
        <w:keepNext/>
        <w:rPr>
          <w:sz w:val="22"/>
          <w:lang w:val="es-ES_tradnl"/>
        </w:rPr>
      </w:pPr>
      <w:r>
        <w:rPr>
          <w:sz w:val="22"/>
          <w:lang w:val="es-ES_tradnl"/>
        </w:rPr>
        <w:t>Conservar</w:t>
      </w:r>
      <w:r w:rsidR="00DF5460">
        <w:rPr>
          <w:sz w:val="22"/>
          <w:lang w:val="es-ES_tradnl"/>
        </w:rPr>
        <w:t xml:space="preserve"> en nevera</w:t>
      </w:r>
      <w:r>
        <w:rPr>
          <w:sz w:val="22"/>
          <w:lang w:val="es-ES_tradnl"/>
        </w:rPr>
        <w:t xml:space="preserve"> </w:t>
      </w:r>
      <w:r w:rsidR="001C3FCA">
        <w:rPr>
          <w:sz w:val="22"/>
          <w:lang w:val="es-ES_tradnl"/>
        </w:rPr>
        <w:t>(</w:t>
      </w:r>
      <w:r>
        <w:rPr>
          <w:sz w:val="22"/>
          <w:lang w:val="es-ES_tradnl"/>
        </w:rPr>
        <w:t xml:space="preserve">entre </w:t>
      </w:r>
      <w:smartTag w:uri="urn:schemas-microsoft-com:office:smarttags" w:element="metricconverter">
        <w:smartTagPr>
          <w:attr w:name="ProductID" w:val="2ﾠﾰC"/>
        </w:smartTagPr>
        <w:r>
          <w:rPr>
            <w:sz w:val="22"/>
            <w:lang w:val="es-ES_tradnl"/>
          </w:rPr>
          <w:t>2</w:t>
        </w:r>
        <w:r w:rsidR="005F49A6">
          <w:rPr>
            <w:sz w:val="22"/>
            <w:lang w:val="es-ES_tradnl"/>
          </w:rPr>
          <w:t> </w:t>
        </w:r>
        <w:r>
          <w:rPr>
            <w:sz w:val="22"/>
            <w:lang w:val="es-ES_tradnl"/>
          </w:rPr>
          <w:t>°C</w:t>
        </w:r>
      </w:smartTag>
      <w:r>
        <w:rPr>
          <w:sz w:val="22"/>
          <w:lang w:val="es-ES_tradnl"/>
        </w:rPr>
        <w:t xml:space="preserve"> y </w:t>
      </w:r>
      <w:smartTag w:uri="urn:schemas-microsoft-com:office:smarttags" w:element="metricconverter">
        <w:smartTagPr>
          <w:attr w:name="ProductID" w:val="8ﾠﾰC"/>
        </w:smartTagPr>
        <w:r>
          <w:rPr>
            <w:sz w:val="22"/>
            <w:lang w:val="es-ES_tradnl"/>
          </w:rPr>
          <w:t>8</w:t>
        </w:r>
        <w:r w:rsidR="005F49A6">
          <w:rPr>
            <w:sz w:val="22"/>
            <w:lang w:val="es-ES_tradnl"/>
          </w:rPr>
          <w:t> </w:t>
        </w:r>
        <w:r>
          <w:rPr>
            <w:sz w:val="22"/>
            <w:lang w:val="es-ES_tradnl"/>
          </w:rPr>
          <w:t>°C</w:t>
        </w:r>
      </w:smartTag>
      <w:r w:rsidR="001C3FCA">
        <w:rPr>
          <w:sz w:val="22"/>
          <w:lang w:val="es-ES_tradnl"/>
        </w:rPr>
        <w:t>)</w:t>
      </w:r>
      <w:r>
        <w:rPr>
          <w:sz w:val="22"/>
          <w:lang w:val="es-ES_tradnl"/>
        </w:rPr>
        <w:t>. No congelar.</w:t>
      </w:r>
    </w:p>
    <w:p w14:paraId="1B42799A" w14:textId="77777777" w:rsidR="00693925" w:rsidRDefault="00693925" w:rsidP="00E84F80">
      <w:pPr>
        <w:rPr>
          <w:sz w:val="22"/>
          <w:lang w:val="es-ES_tradnl"/>
        </w:rPr>
      </w:pPr>
    </w:p>
    <w:p w14:paraId="603FB78D" w14:textId="01C464FF" w:rsidR="00693925" w:rsidRDefault="00E26E0D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>Para las condiciones de conservación tras la primera apertura, ver sección 6.3</w:t>
      </w:r>
      <w:r w:rsidR="00693925">
        <w:rPr>
          <w:sz w:val="22"/>
          <w:lang w:val="es-ES_tradnl"/>
        </w:rPr>
        <w:t>.</w:t>
      </w:r>
    </w:p>
    <w:p w14:paraId="66632935" w14:textId="0530B44C" w:rsidR="00ED4611" w:rsidRDefault="00ED4611" w:rsidP="00E84F80">
      <w:pPr>
        <w:rPr>
          <w:sz w:val="22"/>
          <w:lang w:val="es-ES_tradnl"/>
        </w:rPr>
      </w:pPr>
    </w:p>
    <w:p w14:paraId="57D229E4" w14:textId="77777777" w:rsidR="00ED4611" w:rsidRPr="00ED7C2F" w:rsidRDefault="00ED4611" w:rsidP="00ED4611">
      <w:pPr>
        <w:pStyle w:val="Text"/>
        <w:spacing w:before="0"/>
        <w:rPr>
          <w:rFonts w:ascii="Times New Roman" w:hAnsi="Times New Roman"/>
          <w:szCs w:val="22"/>
          <w:u w:val="single"/>
          <w:lang w:val="es-ES_tradnl"/>
        </w:rPr>
      </w:pPr>
      <w:r w:rsidRPr="00ED7C2F">
        <w:rPr>
          <w:rFonts w:ascii="Times New Roman" w:hAnsi="Times New Roman"/>
          <w:szCs w:val="22"/>
          <w:u w:val="single"/>
          <w:lang w:val="es-ES_tradnl"/>
        </w:rPr>
        <w:t>Antes de la primera apertura</w:t>
      </w:r>
    </w:p>
    <w:p w14:paraId="38816A27" w14:textId="349DF3DC" w:rsidR="00ED4611" w:rsidRPr="00ED7C2F" w:rsidRDefault="00ED4611" w:rsidP="00ED4611">
      <w:pPr>
        <w:rPr>
          <w:sz w:val="22"/>
          <w:szCs w:val="22"/>
          <w:lang w:val="es-ES_tradnl"/>
        </w:rPr>
      </w:pPr>
      <w:r w:rsidRPr="00ED7C2F">
        <w:rPr>
          <w:sz w:val="22"/>
          <w:szCs w:val="22"/>
          <w:lang w:val="es-ES_tradnl"/>
        </w:rPr>
        <w:t>El producto puede almacenarse a 25°C durante 24 horas.</w:t>
      </w:r>
    </w:p>
    <w:p w14:paraId="07717551" w14:textId="77777777" w:rsidR="00693925" w:rsidRDefault="00693925" w:rsidP="00E84F80">
      <w:pPr>
        <w:rPr>
          <w:sz w:val="22"/>
          <w:lang w:val="es-ES_tradnl"/>
        </w:rPr>
      </w:pPr>
    </w:p>
    <w:p w14:paraId="26AE56C8" w14:textId="77777777" w:rsidR="00693925" w:rsidRDefault="00693925" w:rsidP="00461F15">
      <w:pPr>
        <w:keepNext/>
        <w:ind w:left="567" w:hanging="567"/>
        <w:rPr>
          <w:sz w:val="22"/>
          <w:lang w:val="es-ES_tradnl"/>
        </w:rPr>
      </w:pPr>
      <w:r>
        <w:rPr>
          <w:b/>
          <w:sz w:val="22"/>
          <w:lang w:val="es-ES_tradnl"/>
        </w:rPr>
        <w:lastRenderedPageBreak/>
        <w:t>6.5</w:t>
      </w:r>
      <w:r>
        <w:rPr>
          <w:b/>
          <w:sz w:val="22"/>
          <w:lang w:val="es-ES_tradnl"/>
        </w:rPr>
        <w:tab/>
        <w:t xml:space="preserve">Naturaleza y contenido del </w:t>
      </w:r>
      <w:r w:rsidR="001C3FCA">
        <w:rPr>
          <w:b/>
          <w:sz w:val="22"/>
          <w:lang w:val="es-ES_tradnl"/>
        </w:rPr>
        <w:t>envase</w:t>
      </w:r>
    </w:p>
    <w:p w14:paraId="0943EC89" w14:textId="77777777" w:rsidR="00693925" w:rsidRDefault="00693925" w:rsidP="00EB544D">
      <w:pPr>
        <w:pStyle w:val="Text"/>
        <w:keepNext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0DD5E7E3" w14:textId="77777777" w:rsidR="00693925" w:rsidRDefault="00693925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Cartucho con </w:t>
      </w:r>
      <w:r w:rsidR="00F60569">
        <w:rPr>
          <w:rFonts w:ascii="Times New Roman" w:hAnsi="Times New Roman"/>
          <w:lang w:val="es-ES_tradnl"/>
        </w:rPr>
        <w:t>2,4 </w:t>
      </w:r>
      <w:r>
        <w:rPr>
          <w:rFonts w:ascii="Times New Roman" w:hAnsi="Times New Roman"/>
          <w:lang w:val="es-ES_tradnl"/>
        </w:rPr>
        <w:t xml:space="preserve">ml de solución (vidrio tratado con silicona) con un émbolo (goma de </w:t>
      </w:r>
      <w:proofErr w:type="spellStart"/>
      <w:r>
        <w:rPr>
          <w:rFonts w:ascii="Times New Roman" w:hAnsi="Times New Roman"/>
          <w:lang w:val="es-ES_tradnl"/>
        </w:rPr>
        <w:t>halobutilo</w:t>
      </w:r>
      <w:proofErr w:type="spellEnd"/>
      <w:r>
        <w:rPr>
          <w:rFonts w:ascii="Times New Roman" w:hAnsi="Times New Roman"/>
          <w:lang w:val="es-ES_tradnl"/>
        </w:rPr>
        <w:t xml:space="preserve">), un disco hermético (goma laminada de </w:t>
      </w:r>
      <w:proofErr w:type="spellStart"/>
      <w:r>
        <w:rPr>
          <w:rFonts w:ascii="Times New Roman" w:hAnsi="Times New Roman"/>
          <w:lang w:val="es-ES_tradnl"/>
        </w:rPr>
        <w:t>poliisopropeno</w:t>
      </w:r>
      <w:proofErr w:type="spellEnd"/>
      <w:r>
        <w:rPr>
          <w:rFonts w:ascii="Times New Roman" w:hAnsi="Times New Roman"/>
          <w:lang w:val="es-ES_tradnl"/>
        </w:rPr>
        <w:t>/</w:t>
      </w:r>
      <w:proofErr w:type="spellStart"/>
      <w:r>
        <w:rPr>
          <w:rFonts w:ascii="Times New Roman" w:hAnsi="Times New Roman"/>
          <w:lang w:val="es-ES_tradnl"/>
        </w:rPr>
        <w:t>bromobutilo</w:t>
      </w:r>
      <w:proofErr w:type="spellEnd"/>
      <w:r>
        <w:rPr>
          <w:rFonts w:ascii="Times New Roman" w:hAnsi="Times New Roman"/>
          <w:lang w:val="es-ES_tradnl"/>
        </w:rPr>
        <w:t xml:space="preserve">) </w:t>
      </w:r>
      <w:r w:rsidR="00F60569">
        <w:rPr>
          <w:rFonts w:ascii="Times New Roman" w:hAnsi="Times New Roman"/>
          <w:lang w:val="es-ES_tradnl"/>
        </w:rPr>
        <w:t>/ aluminio</w:t>
      </w:r>
      <w:r>
        <w:rPr>
          <w:rFonts w:ascii="Times New Roman" w:hAnsi="Times New Roman"/>
          <w:lang w:val="es-ES_tradnl"/>
        </w:rPr>
        <w:t>, ensamblado en una pluma desechable.</w:t>
      </w:r>
    </w:p>
    <w:p w14:paraId="622DB812" w14:textId="77777777" w:rsidR="00693925" w:rsidRDefault="00693925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0EFB64C2" w14:textId="77777777" w:rsidR="001C3FCA" w:rsidRDefault="00EA201D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Teriparatida</w:t>
      </w:r>
      <w:r w:rsidR="00275B2B">
        <w:rPr>
          <w:rFonts w:ascii="Times New Roman" w:hAnsi="Times New Roman"/>
          <w:lang w:val="es-ES_tradnl"/>
        </w:rPr>
        <w:t xml:space="preserve"> SUN</w:t>
      </w:r>
      <w:r w:rsidR="00693925">
        <w:rPr>
          <w:rFonts w:ascii="Times New Roman" w:hAnsi="Times New Roman"/>
          <w:lang w:val="es-ES_tradnl"/>
        </w:rPr>
        <w:t xml:space="preserve"> está disponible en envases de 1 </w:t>
      </w:r>
      <w:r w:rsidR="00A72813">
        <w:rPr>
          <w:rFonts w:ascii="Times New Roman" w:hAnsi="Times New Roman"/>
          <w:lang w:val="es-ES_tradnl"/>
        </w:rPr>
        <w:t>o</w:t>
      </w:r>
      <w:r w:rsidR="00693925">
        <w:rPr>
          <w:rFonts w:ascii="Times New Roman" w:hAnsi="Times New Roman"/>
          <w:lang w:val="es-ES_tradnl"/>
        </w:rPr>
        <w:t xml:space="preserve"> 3</w:t>
      </w:r>
      <w:r w:rsidR="007B1883" w:rsidRPr="00D05C05">
        <w:rPr>
          <w:lang w:val="es-ES"/>
        </w:rPr>
        <w:t xml:space="preserve"> </w:t>
      </w:r>
      <w:r w:rsidR="007B1883" w:rsidRPr="007B1883">
        <w:rPr>
          <w:rFonts w:ascii="Times New Roman" w:hAnsi="Times New Roman"/>
          <w:lang w:val="es-ES_tradnl"/>
        </w:rPr>
        <w:t>plumas</w:t>
      </w:r>
      <w:r w:rsidR="007B1883">
        <w:rPr>
          <w:rFonts w:ascii="Times New Roman" w:hAnsi="Times New Roman"/>
          <w:lang w:val="es-ES_tradnl"/>
        </w:rPr>
        <w:t xml:space="preserve"> precargadas</w:t>
      </w:r>
      <w:r w:rsidR="00693925">
        <w:rPr>
          <w:rFonts w:ascii="Times New Roman" w:hAnsi="Times New Roman"/>
          <w:lang w:val="es-ES_tradnl"/>
        </w:rPr>
        <w:t xml:space="preserve">. Cada pluma </w:t>
      </w:r>
      <w:r w:rsidR="007B1883">
        <w:rPr>
          <w:rFonts w:ascii="Times New Roman" w:hAnsi="Times New Roman"/>
          <w:lang w:val="es-ES_tradnl"/>
        </w:rPr>
        <w:t xml:space="preserve">precargada </w:t>
      </w:r>
      <w:r w:rsidR="00693925">
        <w:rPr>
          <w:rFonts w:ascii="Times New Roman" w:hAnsi="Times New Roman"/>
          <w:lang w:val="es-ES_tradnl"/>
        </w:rPr>
        <w:t>contiene 28 dosis de 20</w:t>
      </w:r>
      <w:r w:rsidR="005F49A6">
        <w:rPr>
          <w:rFonts w:ascii="Times New Roman" w:hAnsi="Times New Roman"/>
          <w:lang w:val="es-ES_tradnl"/>
        </w:rPr>
        <w:t> </w:t>
      </w:r>
      <w:r w:rsidR="00693925">
        <w:rPr>
          <w:rFonts w:ascii="Times New Roman" w:hAnsi="Times New Roman"/>
          <w:lang w:val="es-ES_tradnl"/>
        </w:rPr>
        <w:t>microgramos (por 80</w:t>
      </w:r>
      <w:r w:rsidR="005F49A6">
        <w:rPr>
          <w:rFonts w:ascii="Times New Roman" w:hAnsi="Times New Roman"/>
          <w:lang w:val="es-ES_tradnl"/>
        </w:rPr>
        <w:t> </w:t>
      </w:r>
      <w:r w:rsidR="00693925">
        <w:rPr>
          <w:rFonts w:ascii="Times New Roman" w:hAnsi="Times New Roman"/>
          <w:lang w:val="es-ES_tradnl"/>
        </w:rPr>
        <w:t>microlitros).</w:t>
      </w:r>
    </w:p>
    <w:p w14:paraId="5D550E43" w14:textId="77777777" w:rsidR="001C3FCA" w:rsidRDefault="001C3FCA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23110B7D" w14:textId="77777777" w:rsidR="00693925" w:rsidRDefault="001C3FCA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Puede que solamente estén comercializados algunos tamaños de envases</w:t>
      </w:r>
      <w:r w:rsidR="00693925">
        <w:rPr>
          <w:rFonts w:ascii="Times New Roman" w:hAnsi="Times New Roman"/>
          <w:lang w:val="es-ES_tradnl"/>
        </w:rPr>
        <w:t>.</w:t>
      </w:r>
    </w:p>
    <w:p w14:paraId="5FF28A82" w14:textId="77777777" w:rsidR="00693925" w:rsidRDefault="00693925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</w:p>
    <w:p w14:paraId="76B87DBB" w14:textId="77777777" w:rsidR="00693925" w:rsidRDefault="00693925" w:rsidP="008168B5">
      <w:pPr>
        <w:keepNext/>
        <w:ind w:left="567" w:hanging="567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6.6</w:t>
      </w:r>
      <w:r>
        <w:rPr>
          <w:b/>
          <w:sz w:val="22"/>
          <w:lang w:val="es-ES_tradnl"/>
        </w:rPr>
        <w:tab/>
      </w:r>
      <w:r w:rsidR="001C3FCA" w:rsidRPr="00275B2B">
        <w:rPr>
          <w:b/>
          <w:sz w:val="22"/>
          <w:lang w:val="es-ES_tradnl"/>
        </w:rPr>
        <w:t>Precauciones especiales de eliminación</w:t>
      </w:r>
      <w:r w:rsidR="00275B2B">
        <w:rPr>
          <w:b/>
          <w:sz w:val="22"/>
          <w:lang w:val="es-ES_tradnl"/>
        </w:rPr>
        <w:t xml:space="preserve"> y otras manipulaciones</w:t>
      </w:r>
    </w:p>
    <w:p w14:paraId="1EBC6D57" w14:textId="77777777" w:rsidR="00693925" w:rsidRDefault="00693925" w:rsidP="00EB544D">
      <w:pPr>
        <w:keepNext/>
        <w:rPr>
          <w:sz w:val="22"/>
          <w:lang w:val="es-ES_tradnl"/>
        </w:rPr>
      </w:pPr>
    </w:p>
    <w:p w14:paraId="3DBB6691" w14:textId="77777777" w:rsidR="00275B2B" w:rsidRPr="00D05C05" w:rsidRDefault="00275B2B" w:rsidP="00E84F80">
      <w:pPr>
        <w:rPr>
          <w:sz w:val="22"/>
          <w:u w:val="single"/>
          <w:lang w:val="es-ES_tradnl"/>
        </w:rPr>
      </w:pPr>
      <w:r w:rsidRPr="00D05C05">
        <w:rPr>
          <w:sz w:val="22"/>
          <w:u w:val="single"/>
          <w:lang w:val="es-ES_tradnl"/>
        </w:rPr>
        <w:t>Manipulación</w:t>
      </w:r>
    </w:p>
    <w:p w14:paraId="595A98D9" w14:textId="77777777" w:rsidR="00275B2B" w:rsidRDefault="00275B2B" w:rsidP="00E84F80">
      <w:pPr>
        <w:rPr>
          <w:sz w:val="22"/>
          <w:lang w:val="es-ES_tradnl"/>
        </w:rPr>
      </w:pPr>
    </w:p>
    <w:p w14:paraId="03A6A450" w14:textId="77777777" w:rsidR="00693925" w:rsidRDefault="00EA201D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>Teriparatida</w:t>
      </w:r>
      <w:r w:rsidR="00693925">
        <w:rPr>
          <w:sz w:val="22"/>
          <w:lang w:val="es-ES_tradnl"/>
        </w:rPr>
        <w:t xml:space="preserve"> </w:t>
      </w:r>
      <w:r w:rsidR="00E86897">
        <w:rPr>
          <w:sz w:val="22"/>
          <w:lang w:val="es-ES_tradnl"/>
        </w:rPr>
        <w:t xml:space="preserve">SUN </w:t>
      </w:r>
      <w:r w:rsidR="00BC4AC8">
        <w:rPr>
          <w:sz w:val="22"/>
          <w:lang w:val="es-ES_tradnl"/>
        </w:rPr>
        <w:t>se presenta en</w:t>
      </w:r>
      <w:r w:rsidR="00693925" w:rsidRPr="002564A8">
        <w:rPr>
          <w:sz w:val="22"/>
          <w:lang w:val="es-ES_tradnl"/>
        </w:rPr>
        <w:t xml:space="preserve"> </w:t>
      </w:r>
      <w:r w:rsidR="00693925">
        <w:rPr>
          <w:sz w:val="22"/>
          <w:lang w:val="es-ES_tradnl"/>
        </w:rPr>
        <w:t>una pluma precargada</w:t>
      </w:r>
      <w:r w:rsidR="00BC4AC8">
        <w:rPr>
          <w:sz w:val="22"/>
          <w:lang w:val="es-ES_tradnl"/>
        </w:rPr>
        <w:t>. Cada pluma debe ser utilizada por un único paciente</w:t>
      </w:r>
      <w:r w:rsidR="00693925">
        <w:rPr>
          <w:sz w:val="22"/>
          <w:lang w:val="es-ES_tradnl"/>
        </w:rPr>
        <w:t>. Con cada inyección debe emplearse una nueva aguja, estéril</w:t>
      </w:r>
      <w:r w:rsidR="00275B2B">
        <w:rPr>
          <w:sz w:val="22"/>
          <w:lang w:val="es-ES_tradnl"/>
        </w:rPr>
        <w:t xml:space="preserve"> de calibre 31, de 5 mm de longitud </w:t>
      </w:r>
      <w:r w:rsidR="00693925">
        <w:rPr>
          <w:sz w:val="22"/>
          <w:lang w:val="es-ES_tradnl"/>
        </w:rPr>
        <w:t xml:space="preserve">. No se proporcionan agujas con el producto. Después de cada inyección, la pluma </w:t>
      </w:r>
      <w:r w:rsidR="00D57257">
        <w:rPr>
          <w:sz w:val="22"/>
          <w:lang w:val="es-ES_tradnl"/>
        </w:rPr>
        <w:t xml:space="preserve">precargada </w:t>
      </w:r>
      <w:r w:rsidR="00693925">
        <w:rPr>
          <w:sz w:val="22"/>
          <w:lang w:val="es-ES_tradnl"/>
        </w:rPr>
        <w:t xml:space="preserve">de </w:t>
      </w:r>
      <w:r>
        <w:rPr>
          <w:sz w:val="22"/>
          <w:lang w:val="es-ES_tradnl"/>
        </w:rPr>
        <w:t>Teriparatida</w:t>
      </w:r>
      <w:r w:rsidR="00275B2B">
        <w:rPr>
          <w:sz w:val="22"/>
          <w:lang w:val="es-ES_tradnl"/>
        </w:rPr>
        <w:t xml:space="preserve"> SUN</w:t>
      </w:r>
      <w:r w:rsidR="00693925">
        <w:rPr>
          <w:sz w:val="22"/>
          <w:lang w:val="es-ES_tradnl"/>
        </w:rPr>
        <w:t xml:space="preserve"> debe devolverse a la nevera</w:t>
      </w:r>
      <w:r w:rsidR="00275B2B">
        <w:rPr>
          <w:sz w:val="22"/>
          <w:lang w:val="es-ES_tradnl"/>
        </w:rPr>
        <w:t xml:space="preserve"> inmediatamente después de su utilización</w:t>
      </w:r>
      <w:r w:rsidR="00693925">
        <w:rPr>
          <w:sz w:val="22"/>
          <w:lang w:val="es-ES_tradnl"/>
        </w:rPr>
        <w:t>.</w:t>
      </w:r>
    </w:p>
    <w:p w14:paraId="2AFA3E9F" w14:textId="77777777" w:rsidR="00275B2B" w:rsidRDefault="00275B2B" w:rsidP="00E84F80">
      <w:pPr>
        <w:rPr>
          <w:sz w:val="22"/>
          <w:lang w:val="es-ES_tradnl"/>
        </w:rPr>
      </w:pPr>
    </w:p>
    <w:p w14:paraId="5D411E05" w14:textId="77777777" w:rsidR="00275B2B" w:rsidRDefault="00275B2B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>No conservar la pluma</w:t>
      </w:r>
      <w:r w:rsidR="00D57257">
        <w:rPr>
          <w:sz w:val="22"/>
          <w:lang w:val="es-ES_tradnl"/>
        </w:rPr>
        <w:t xml:space="preserve"> precargada con la aguja colocada.</w:t>
      </w:r>
    </w:p>
    <w:p w14:paraId="262991DD" w14:textId="77777777" w:rsidR="00693925" w:rsidRDefault="00693925" w:rsidP="00E84F80">
      <w:pPr>
        <w:rPr>
          <w:sz w:val="22"/>
          <w:lang w:val="es-ES_tradnl"/>
        </w:rPr>
      </w:pPr>
    </w:p>
    <w:p w14:paraId="23CDA247" w14:textId="77777777" w:rsidR="00693925" w:rsidRDefault="00EA201D" w:rsidP="00E84F80">
      <w:pPr>
        <w:pStyle w:val="Text"/>
        <w:spacing w:before="0" w:line="240" w:lineRule="auto"/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Teriparatida</w:t>
      </w:r>
      <w:r w:rsidR="00275B2B">
        <w:rPr>
          <w:rFonts w:ascii="Times New Roman" w:hAnsi="Times New Roman"/>
          <w:lang w:val="es-ES_tradnl"/>
        </w:rPr>
        <w:t xml:space="preserve"> SUN </w:t>
      </w:r>
      <w:r w:rsidR="00693925">
        <w:rPr>
          <w:rFonts w:ascii="Times New Roman" w:hAnsi="Times New Roman"/>
          <w:lang w:val="es-ES_tradnl"/>
        </w:rPr>
        <w:t>no debe usarse si la solución está turbia, presenta color o contiene partículas.</w:t>
      </w:r>
    </w:p>
    <w:p w14:paraId="22D75337" w14:textId="77777777" w:rsidR="00693925" w:rsidRPr="00D05C05" w:rsidRDefault="00693925" w:rsidP="00E84F80">
      <w:pPr>
        <w:rPr>
          <w:b/>
          <w:sz w:val="22"/>
          <w:u w:val="single"/>
          <w:lang w:val="es-ES_tradnl"/>
        </w:rPr>
      </w:pPr>
    </w:p>
    <w:p w14:paraId="39A01B28" w14:textId="77777777" w:rsidR="00D57257" w:rsidRPr="00D05C05" w:rsidRDefault="00D57257" w:rsidP="00E84F80">
      <w:pPr>
        <w:rPr>
          <w:sz w:val="22"/>
          <w:u w:val="single"/>
          <w:lang w:val="es-ES_tradnl"/>
        </w:rPr>
      </w:pPr>
      <w:r w:rsidRPr="00D05C05">
        <w:rPr>
          <w:sz w:val="22"/>
          <w:u w:val="single"/>
          <w:lang w:val="es-ES_tradnl"/>
        </w:rPr>
        <w:t>Eliminación</w:t>
      </w:r>
    </w:p>
    <w:p w14:paraId="4E3E8D85" w14:textId="77777777" w:rsidR="00693925" w:rsidRDefault="00693925" w:rsidP="00E84F80">
      <w:pPr>
        <w:rPr>
          <w:sz w:val="22"/>
          <w:lang w:val="es-ES_tradnl"/>
        </w:rPr>
      </w:pPr>
    </w:p>
    <w:p w14:paraId="50C805CD" w14:textId="77777777" w:rsidR="001C3FCA" w:rsidRDefault="001C3FCA" w:rsidP="00E84F80">
      <w:pPr>
        <w:rPr>
          <w:sz w:val="22"/>
          <w:lang w:val="es-ES_tradnl"/>
        </w:rPr>
      </w:pPr>
      <w:r>
        <w:rPr>
          <w:sz w:val="22"/>
          <w:lang w:val="es-ES_tradnl"/>
        </w:rPr>
        <w:t>La eliminación del medicamento no utilizado y de todos los materiales que hayan estado en contacto con él, se realizará de acuerdo con las normativas locales.</w:t>
      </w:r>
    </w:p>
    <w:p w14:paraId="24936530" w14:textId="77777777" w:rsidR="00693925" w:rsidRDefault="00693925" w:rsidP="00E84F80">
      <w:pPr>
        <w:rPr>
          <w:sz w:val="22"/>
          <w:lang w:val="es-ES_tradnl"/>
        </w:rPr>
      </w:pPr>
    </w:p>
    <w:p w14:paraId="459DA280" w14:textId="77777777" w:rsidR="00EB544D" w:rsidRDefault="00EB544D" w:rsidP="00E84F80">
      <w:pPr>
        <w:rPr>
          <w:sz w:val="22"/>
          <w:lang w:val="es-ES_tradnl"/>
        </w:rPr>
      </w:pPr>
    </w:p>
    <w:p w14:paraId="4B6FEDF4" w14:textId="77777777" w:rsidR="00693925" w:rsidRDefault="00693925" w:rsidP="008F69E3">
      <w:pPr>
        <w:keepNext/>
        <w:ind w:left="567" w:hanging="567"/>
        <w:rPr>
          <w:sz w:val="22"/>
          <w:lang w:val="es-ES_tradnl"/>
        </w:rPr>
      </w:pPr>
      <w:r>
        <w:rPr>
          <w:b/>
          <w:sz w:val="22"/>
          <w:lang w:val="es-ES_tradnl"/>
        </w:rPr>
        <w:t>7.</w:t>
      </w:r>
      <w:r>
        <w:rPr>
          <w:b/>
          <w:sz w:val="22"/>
          <w:lang w:val="es-ES_tradnl"/>
        </w:rPr>
        <w:tab/>
        <w:t xml:space="preserve">TITULAR DE </w:t>
      </w:r>
      <w:smartTag w:uri="urn:schemas-microsoft-com:office:smarttags" w:element="PersonName">
        <w:smartTagPr>
          <w:attr w:name="ProductID" w:val="LA AUTORIZACIￓN DE"/>
        </w:smartTagPr>
        <w:r>
          <w:rPr>
            <w:b/>
            <w:sz w:val="22"/>
            <w:lang w:val="es-ES_tradnl"/>
          </w:rPr>
          <w:t>LA AUTORIZACIÓN DE</w:t>
        </w:r>
      </w:smartTag>
      <w:r>
        <w:rPr>
          <w:b/>
          <w:sz w:val="22"/>
          <w:lang w:val="es-ES_tradnl"/>
        </w:rPr>
        <w:t xml:space="preserve"> COMERCIALIZACIÓN</w:t>
      </w:r>
    </w:p>
    <w:p w14:paraId="2008813C" w14:textId="77777777" w:rsidR="00693925" w:rsidRDefault="00693925" w:rsidP="00EB544D">
      <w:pPr>
        <w:keepNext/>
        <w:rPr>
          <w:sz w:val="22"/>
          <w:lang w:val="es-ES_tradnl"/>
        </w:rPr>
      </w:pPr>
    </w:p>
    <w:p w14:paraId="01529B3D" w14:textId="77777777" w:rsidR="00D57257" w:rsidRPr="00D57257" w:rsidRDefault="00D57257" w:rsidP="00D57257">
      <w:pPr>
        <w:keepNext/>
        <w:rPr>
          <w:sz w:val="22"/>
          <w:lang w:val="fr-FR"/>
        </w:rPr>
      </w:pPr>
      <w:r w:rsidRPr="00D57257">
        <w:rPr>
          <w:sz w:val="22"/>
          <w:lang w:val="fr-FR"/>
        </w:rPr>
        <w:t>Sun Pharmaceutical Industries Europe B.V.</w:t>
      </w:r>
    </w:p>
    <w:p w14:paraId="591A2EBA" w14:textId="77777777" w:rsidR="00D57257" w:rsidRPr="00D57257" w:rsidRDefault="00D57257" w:rsidP="00D57257">
      <w:pPr>
        <w:keepNext/>
        <w:rPr>
          <w:sz w:val="22"/>
          <w:lang w:val="fr-FR"/>
        </w:rPr>
      </w:pPr>
      <w:r w:rsidRPr="00D57257">
        <w:rPr>
          <w:sz w:val="22"/>
          <w:lang w:val="fr-FR"/>
        </w:rPr>
        <w:t>Polarisavenue 87</w:t>
      </w:r>
    </w:p>
    <w:p w14:paraId="5C7F7EEB" w14:textId="77777777" w:rsidR="00D57257" w:rsidRPr="00C83E1A" w:rsidRDefault="00D57257" w:rsidP="00D57257">
      <w:pPr>
        <w:keepNext/>
        <w:rPr>
          <w:sz w:val="22"/>
          <w:lang w:val="nl-NL"/>
        </w:rPr>
      </w:pPr>
      <w:r w:rsidRPr="00C83E1A">
        <w:rPr>
          <w:sz w:val="22"/>
          <w:lang w:val="nl-NL"/>
        </w:rPr>
        <w:t>2132 JH Hoofddorp</w:t>
      </w:r>
    </w:p>
    <w:p w14:paraId="2234F183" w14:textId="77777777" w:rsidR="00D57257" w:rsidRPr="00C83E1A" w:rsidRDefault="00D57257" w:rsidP="00D57257">
      <w:pPr>
        <w:keepNext/>
        <w:rPr>
          <w:sz w:val="22"/>
          <w:lang w:val="nl-NL"/>
        </w:rPr>
      </w:pPr>
      <w:r w:rsidRPr="00C83E1A">
        <w:rPr>
          <w:sz w:val="22"/>
          <w:lang w:val="nl-NL"/>
        </w:rPr>
        <w:t>Países Bajos</w:t>
      </w:r>
    </w:p>
    <w:p w14:paraId="6421F6E5" w14:textId="77777777" w:rsidR="00693925" w:rsidRPr="000C143E" w:rsidRDefault="00693925" w:rsidP="00E84F80">
      <w:pPr>
        <w:rPr>
          <w:sz w:val="22"/>
          <w:lang w:val="nb-NO"/>
        </w:rPr>
      </w:pPr>
    </w:p>
    <w:p w14:paraId="060993E6" w14:textId="77777777" w:rsidR="00693925" w:rsidRPr="000C143E" w:rsidRDefault="00693925" w:rsidP="00E84F80">
      <w:pPr>
        <w:rPr>
          <w:sz w:val="22"/>
          <w:lang w:val="nb-NO"/>
        </w:rPr>
      </w:pPr>
    </w:p>
    <w:p w14:paraId="387B96D4" w14:textId="77777777" w:rsidR="00693925" w:rsidRDefault="00693925" w:rsidP="008F69E3">
      <w:pPr>
        <w:keepNext/>
        <w:ind w:left="567" w:hanging="567"/>
        <w:rPr>
          <w:sz w:val="22"/>
          <w:lang w:val="es-ES_tradnl"/>
        </w:rPr>
      </w:pPr>
      <w:r>
        <w:rPr>
          <w:b/>
          <w:sz w:val="22"/>
          <w:lang w:val="es-ES_tradnl"/>
        </w:rPr>
        <w:t>8.</w:t>
      </w:r>
      <w:r>
        <w:rPr>
          <w:b/>
          <w:sz w:val="22"/>
          <w:lang w:val="es-ES_tradnl"/>
        </w:rPr>
        <w:tab/>
        <w:t>NÚMERO</w:t>
      </w:r>
      <w:r w:rsidR="0068379A">
        <w:rPr>
          <w:b/>
          <w:sz w:val="22"/>
          <w:lang w:val="es-ES_tradnl"/>
        </w:rPr>
        <w:t>S</w:t>
      </w:r>
      <w:r>
        <w:rPr>
          <w:b/>
          <w:sz w:val="22"/>
          <w:lang w:val="es-ES_tradnl"/>
        </w:rPr>
        <w:t xml:space="preserve"> DE AUTORIZACIÓN DE COMERCIALIZACIÓN </w:t>
      </w:r>
    </w:p>
    <w:p w14:paraId="7856064C" w14:textId="77777777" w:rsidR="00693925" w:rsidRDefault="00693925" w:rsidP="00EB544D">
      <w:pPr>
        <w:keepNext/>
        <w:rPr>
          <w:sz w:val="22"/>
          <w:lang w:val="es-ES_tradnl"/>
        </w:rPr>
      </w:pPr>
    </w:p>
    <w:p w14:paraId="173C9629" w14:textId="77777777" w:rsidR="00F75BC9" w:rsidRPr="00C83E1A" w:rsidRDefault="00F75BC9" w:rsidP="00F75BC9">
      <w:pPr>
        <w:keepNext/>
        <w:ind w:right="-17"/>
        <w:rPr>
          <w:sz w:val="22"/>
          <w:szCs w:val="22"/>
          <w:lang w:val="nl-NL"/>
        </w:rPr>
      </w:pPr>
      <w:r>
        <w:rPr>
          <w:sz w:val="22"/>
          <w:szCs w:val="22"/>
          <w:lang w:val="bg-BG"/>
        </w:rPr>
        <w:t>EU/1/</w:t>
      </w:r>
      <w:r w:rsidRPr="00C83E1A">
        <w:rPr>
          <w:sz w:val="22"/>
          <w:szCs w:val="22"/>
          <w:lang w:val="nl-NL"/>
        </w:rPr>
        <w:t>22/1697/001</w:t>
      </w:r>
    </w:p>
    <w:p w14:paraId="0A5962D0" w14:textId="77777777" w:rsidR="00F75BC9" w:rsidRPr="00C83E1A" w:rsidRDefault="00F75BC9" w:rsidP="00F75BC9">
      <w:pPr>
        <w:keepNext/>
        <w:ind w:right="-17"/>
        <w:rPr>
          <w:sz w:val="22"/>
          <w:szCs w:val="22"/>
          <w:lang w:val="nl-NL"/>
        </w:rPr>
      </w:pPr>
      <w:r>
        <w:rPr>
          <w:sz w:val="22"/>
          <w:szCs w:val="22"/>
          <w:lang w:val="bg-BG"/>
        </w:rPr>
        <w:t>EU/1/</w:t>
      </w:r>
      <w:r w:rsidRPr="00C83E1A">
        <w:rPr>
          <w:sz w:val="22"/>
          <w:szCs w:val="22"/>
          <w:lang w:val="nl-NL"/>
        </w:rPr>
        <w:t>22/1697/002</w:t>
      </w:r>
    </w:p>
    <w:p w14:paraId="223076B8" w14:textId="77777777" w:rsidR="00693925" w:rsidRDefault="00693925" w:rsidP="00E84F80"/>
    <w:p w14:paraId="38472A51" w14:textId="77777777" w:rsidR="00693925" w:rsidRDefault="00693925" w:rsidP="00E84F80">
      <w:pPr>
        <w:rPr>
          <w:sz w:val="22"/>
          <w:lang w:val="es-ES_tradnl"/>
        </w:rPr>
      </w:pPr>
    </w:p>
    <w:p w14:paraId="1D2F251E" w14:textId="77777777" w:rsidR="00693925" w:rsidRDefault="00693925" w:rsidP="00C01491">
      <w:pPr>
        <w:keepNext/>
        <w:ind w:left="567" w:hanging="567"/>
        <w:rPr>
          <w:sz w:val="22"/>
          <w:lang w:val="es-ES_tradnl"/>
        </w:rPr>
      </w:pPr>
      <w:r>
        <w:rPr>
          <w:b/>
          <w:sz w:val="22"/>
          <w:lang w:val="es-ES_tradnl"/>
        </w:rPr>
        <w:t>9.</w:t>
      </w:r>
      <w:r>
        <w:rPr>
          <w:b/>
          <w:sz w:val="22"/>
          <w:lang w:val="es-ES_tradnl"/>
        </w:rPr>
        <w:tab/>
        <w:t>FECHA DE LA PRIMERA AUTORIZACIÓN/</w:t>
      </w:r>
      <w:r w:rsidR="00AF2458">
        <w:rPr>
          <w:b/>
          <w:sz w:val="22"/>
          <w:lang w:val="es-ES_tradnl"/>
        </w:rPr>
        <w:t xml:space="preserve">RENOVACIÓN </w:t>
      </w:r>
      <w:r>
        <w:rPr>
          <w:b/>
          <w:sz w:val="22"/>
          <w:lang w:val="es-ES_tradnl"/>
        </w:rPr>
        <w:t xml:space="preserve">DE </w:t>
      </w:r>
      <w:smartTag w:uri="urn:schemas-microsoft-com:office:smarttags" w:element="PersonName">
        <w:smartTagPr>
          <w:attr w:name="ProductID" w:val="LA AUTORIZACIￓN"/>
        </w:smartTagPr>
        <w:r>
          <w:rPr>
            <w:b/>
            <w:sz w:val="22"/>
            <w:lang w:val="es-ES_tradnl"/>
          </w:rPr>
          <w:t>LA AUTORIZACIÓN</w:t>
        </w:r>
      </w:smartTag>
    </w:p>
    <w:p w14:paraId="34AFB283" w14:textId="77777777" w:rsidR="00693925" w:rsidRDefault="00693925" w:rsidP="00C01491">
      <w:pPr>
        <w:keepNext/>
        <w:rPr>
          <w:sz w:val="22"/>
          <w:lang w:val="es-ES_tradnl"/>
        </w:rPr>
      </w:pPr>
    </w:p>
    <w:p w14:paraId="5360116C" w14:textId="60B23E60" w:rsidR="00693925" w:rsidRDefault="00E86897" w:rsidP="00D57257">
      <w:pPr>
        <w:rPr>
          <w:sz w:val="22"/>
        </w:rPr>
      </w:pPr>
      <w:r>
        <w:rPr>
          <w:sz w:val="22"/>
          <w:lang w:val="es-ES_tradnl"/>
        </w:rPr>
        <w:t xml:space="preserve">Fecha de la primera autorización: </w:t>
      </w:r>
      <w:r w:rsidR="00C81E8E">
        <w:rPr>
          <w:sz w:val="22"/>
          <w:lang w:val="es-ES_tradnl"/>
        </w:rPr>
        <w:t>18 de Noviembre del 2022</w:t>
      </w:r>
    </w:p>
    <w:p w14:paraId="2789412A" w14:textId="77777777" w:rsidR="00BC4AC8" w:rsidRDefault="00BC4AC8" w:rsidP="00E84F80">
      <w:pPr>
        <w:rPr>
          <w:sz w:val="22"/>
          <w:lang w:val="es-ES_tradnl"/>
        </w:rPr>
      </w:pPr>
    </w:p>
    <w:p w14:paraId="5795B56F" w14:textId="77777777" w:rsidR="00693925" w:rsidRDefault="00693925" w:rsidP="00E84F80">
      <w:pPr>
        <w:rPr>
          <w:sz w:val="22"/>
          <w:lang w:val="es-ES_tradnl"/>
        </w:rPr>
      </w:pPr>
    </w:p>
    <w:p w14:paraId="255E409D" w14:textId="77777777" w:rsidR="00693925" w:rsidRDefault="00693925" w:rsidP="00C01491">
      <w:pPr>
        <w:keepNext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lastRenderedPageBreak/>
        <w:t>10.</w:t>
      </w:r>
      <w:r>
        <w:rPr>
          <w:b/>
          <w:sz w:val="22"/>
          <w:lang w:val="es-ES_tradnl"/>
        </w:rPr>
        <w:tab/>
        <w:t xml:space="preserve">FECHA DE </w:t>
      </w:r>
      <w:smartTag w:uri="urn:schemas-microsoft-com:office:smarttags" w:element="PersonName">
        <w:smartTagPr>
          <w:attr w:name="ProductID" w:val="LA REVISIￓN DEL"/>
        </w:smartTagPr>
        <w:r>
          <w:rPr>
            <w:b/>
            <w:sz w:val="22"/>
            <w:lang w:val="es-ES_tradnl"/>
          </w:rPr>
          <w:t>LA REVISIÓN DEL</w:t>
        </w:r>
      </w:smartTag>
      <w:r>
        <w:rPr>
          <w:b/>
          <w:sz w:val="22"/>
          <w:lang w:val="es-ES_tradnl"/>
        </w:rPr>
        <w:t xml:space="preserve"> TEXTO</w:t>
      </w:r>
    </w:p>
    <w:p w14:paraId="2BE17FFB" w14:textId="77777777" w:rsidR="00693925" w:rsidRDefault="00693925" w:rsidP="00C01491">
      <w:pPr>
        <w:keepNext/>
        <w:rPr>
          <w:sz w:val="22"/>
        </w:rPr>
      </w:pPr>
    </w:p>
    <w:p w14:paraId="331FA38D" w14:textId="77777777" w:rsidR="00E51F2F" w:rsidRDefault="00E51F2F" w:rsidP="00C01491">
      <w:pPr>
        <w:keepNext/>
        <w:rPr>
          <w:sz w:val="22"/>
          <w:lang w:val="es-ES_tradnl"/>
        </w:rPr>
      </w:pPr>
    </w:p>
    <w:p w14:paraId="7DA3F361" w14:textId="22E7AA9E" w:rsidR="00E51F2F" w:rsidRDefault="003E7477" w:rsidP="00C01491">
      <w:pPr>
        <w:keepNext/>
        <w:rPr>
          <w:sz w:val="22"/>
          <w:lang w:val="es-ES_tradnl"/>
        </w:rPr>
      </w:pPr>
      <w:r w:rsidRPr="003E7477">
        <w:rPr>
          <w:sz w:val="22"/>
          <w:lang w:val="es-ES_tradnl"/>
        </w:rPr>
        <w:t xml:space="preserve">La información detallada de este medicamento está disponible en la página web de la Agencia Europea de Medicamentos </w:t>
      </w:r>
      <w:hyperlink r:id="rId15" w:history="1">
        <w:r w:rsidRPr="00DA2C4E">
          <w:rPr>
            <w:rStyle w:val="Hyperlink"/>
            <w:sz w:val="22"/>
            <w:lang w:val="es-ES_tradnl"/>
          </w:rPr>
          <w:t>http://www.ema.e</w:t>
        </w:r>
        <w:bookmarkStart w:id="1" w:name="_Hlt145757343"/>
        <w:bookmarkStart w:id="2" w:name="_Hlt145757344"/>
        <w:r w:rsidRPr="00DA2C4E">
          <w:rPr>
            <w:rStyle w:val="Hyperlink"/>
            <w:sz w:val="22"/>
            <w:lang w:val="es-ES_tradnl"/>
          </w:rPr>
          <w:t>u</w:t>
        </w:r>
        <w:bookmarkEnd w:id="1"/>
        <w:bookmarkEnd w:id="2"/>
        <w:r w:rsidRPr="00DA2C4E">
          <w:rPr>
            <w:rStyle w:val="Hyperlink"/>
            <w:sz w:val="22"/>
            <w:lang w:val="es-ES_tradnl"/>
          </w:rPr>
          <w:t>rop</w:t>
        </w:r>
        <w:bookmarkStart w:id="3" w:name="_Hlt145757384"/>
        <w:r w:rsidRPr="00DA2C4E">
          <w:rPr>
            <w:rStyle w:val="Hyperlink"/>
            <w:sz w:val="22"/>
            <w:lang w:val="es-ES_tradnl"/>
          </w:rPr>
          <w:t>a</w:t>
        </w:r>
        <w:bookmarkEnd w:id="3"/>
        <w:r w:rsidRPr="00DA2C4E">
          <w:rPr>
            <w:rStyle w:val="Hyperlink"/>
            <w:sz w:val="22"/>
            <w:lang w:val="es-ES_tradnl"/>
          </w:rPr>
          <w:t>.eu</w:t>
        </w:r>
      </w:hyperlink>
    </w:p>
    <w:p w14:paraId="69717295" w14:textId="77777777" w:rsidR="00693925" w:rsidRDefault="00D52FCA" w:rsidP="00E84F80">
      <w:pPr>
        <w:rPr>
          <w:sz w:val="22"/>
        </w:rPr>
      </w:pPr>
      <w:r>
        <w:rPr>
          <w:sz w:val="22"/>
        </w:rPr>
        <w:br w:type="page"/>
      </w:r>
    </w:p>
    <w:p w14:paraId="4045A874" w14:textId="77777777" w:rsidR="00693925" w:rsidRDefault="00693925" w:rsidP="00E84F80">
      <w:pPr>
        <w:rPr>
          <w:sz w:val="22"/>
        </w:rPr>
      </w:pPr>
    </w:p>
    <w:p w14:paraId="4B5C3A50" w14:textId="77777777" w:rsidR="00693925" w:rsidRDefault="00693925" w:rsidP="00E84F80">
      <w:pPr>
        <w:rPr>
          <w:sz w:val="22"/>
        </w:rPr>
      </w:pPr>
    </w:p>
    <w:p w14:paraId="2C35F68A" w14:textId="77777777" w:rsidR="00693925" w:rsidRDefault="00693925" w:rsidP="00E84F80">
      <w:pPr>
        <w:rPr>
          <w:sz w:val="22"/>
        </w:rPr>
      </w:pPr>
    </w:p>
    <w:p w14:paraId="2D3FE00E" w14:textId="77777777" w:rsidR="00693925" w:rsidRDefault="00693925" w:rsidP="00E84F80">
      <w:pPr>
        <w:rPr>
          <w:sz w:val="22"/>
        </w:rPr>
      </w:pPr>
    </w:p>
    <w:p w14:paraId="06833D59" w14:textId="77777777" w:rsidR="00693925" w:rsidRDefault="00693925" w:rsidP="00E84F80">
      <w:pPr>
        <w:rPr>
          <w:sz w:val="22"/>
        </w:rPr>
      </w:pPr>
    </w:p>
    <w:p w14:paraId="73D54503" w14:textId="77777777" w:rsidR="00693925" w:rsidRDefault="00693925" w:rsidP="00E84F80">
      <w:pPr>
        <w:rPr>
          <w:sz w:val="22"/>
        </w:rPr>
      </w:pPr>
    </w:p>
    <w:p w14:paraId="57C58172" w14:textId="77777777" w:rsidR="00693925" w:rsidRDefault="00693925" w:rsidP="00E84F80">
      <w:pPr>
        <w:rPr>
          <w:sz w:val="22"/>
        </w:rPr>
      </w:pPr>
    </w:p>
    <w:p w14:paraId="4F03C7E8" w14:textId="77777777" w:rsidR="00693925" w:rsidRDefault="00693925" w:rsidP="00E84F80">
      <w:pPr>
        <w:rPr>
          <w:sz w:val="22"/>
        </w:rPr>
      </w:pPr>
    </w:p>
    <w:p w14:paraId="5F18F2C9" w14:textId="77777777" w:rsidR="00693925" w:rsidRDefault="00693925" w:rsidP="00E84F80">
      <w:pPr>
        <w:rPr>
          <w:sz w:val="22"/>
        </w:rPr>
      </w:pPr>
    </w:p>
    <w:p w14:paraId="5B26EB40" w14:textId="77777777" w:rsidR="00693925" w:rsidRDefault="00693925" w:rsidP="00E84F80">
      <w:pPr>
        <w:rPr>
          <w:sz w:val="22"/>
        </w:rPr>
      </w:pPr>
    </w:p>
    <w:p w14:paraId="7F1BD51B" w14:textId="77777777" w:rsidR="00693925" w:rsidRDefault="00693925" w:rsidP="00E84F80">
      <w:pPr>
        <w:rPr>
          <w:sz w:val="22"/>
        </w:rPr>
      </w:pPr>
    </w:p>
    <w:p w14:paraId="69CB6B5C" w14:textId="77777777" w:rsidR="00693925" w:rsidRDefault="00693925" w:rsidP="00E84F80">
      <w:pPr>
        <w:rPr>
          <w:sz w:val="22"/>
        </w:rPr>
      </w:pPr>
    </w:p>
    <w:p w14:paraId="3BE2A0AF" w14:textId="77777777" w:rsidR="00693925" w:rsidRDefault="00693925" w:rsidP="00E84F80">
      <w:pPr>
        <w:rPr>
          <w:sz w:val="22"/>
        </w:rPr>
      </w:pPr>
    </w:p>
    <w:p w14:paraId="003B2182" w14:textId="77777777" w:rsidR="00693925" w:rsidRDefault="00693925" w:rsidP="00E84F80">
      <w:pPr>
        <w:rPr>
          <w:sz w:val="22"/>
        </w:rPr>
      </w:pPr>
    </w:p>
    <w:p w14:paraId="77813A16" w14:textId="77777777" w:rsidR="00693925" w:rsidRDefault="00693925" w:rsidP="00E84F80">
      <w:pPr>
        <w:rPr>
          <w:sz w:val="22"/>
        </w:rPr>
      </w:pPr>
    </w:p>
    <w:p w14:paraId="339E513C" w14:textId="77777777" w:rsidR="00693925" w:rsidRDefault="00693925" w:rsidP="00E84F80">
      <w:pPr>
        <w:rPr>
          <w:sz w:val="22"/>
        </w:rPr>
      </w:pPr>
    </w:p>
    <w:p w14:paraId="5B9F3A98" w14:textId="77777777" w:rsidR="00693925" w:rsidRDefault="00693925" w:rsidP="00E84F80">
      <w:pPr>
        <w:rPr>
          <w:sz w:val="22"/>
        </w:rPr>
      </w:pPr>
    </w:p>
    <w:p w14:paraId="0697C438" w14:textId="77777777" w:rsidR="00693925" w:rsidRDefault="00693925" w:rsidP="00E84F80">
      <w:pPr>
        <w:rPr>
          <w:sz w:val="22"/>
        </w:rPr>
      </w:pPr>
    </w:p>
    <w:p w14:paraId="074F5A82" w14:textId="77777777" w:rsidR="00693925" w:rsidRDefault="00693925" w:rsidP="00E84F80">
      <w:pPr>
        <w:rPr>
          <w:sz w:val="22"/>
        </w:rPr>
      </w:pPr>
    </w:p>
    <w:p w14:paraId="0A4FEF9E" w14:textId="77777777" w:rsidR="00661069" w:rsidRDefault="00661069" w:rsidP="00AF2458">
      <w:pPr>
        <w:jc w:val="center"/>
        <w:rPr>
          <w:b/>
          <w:sz w:val="22"/>
        </w:rPr>
      </w:pPr>
    </w:p>
    <w:p w14:paraId="37A83154" w14:textId="77777777" w:rsidR="00661069" w:rsidRDefault="00661069" w:rsidP="00AF2458">
      <w:pPr>
        <w:jc w:val="center"/>
        <w:rPr>
          <w:b/>
          <w:sz w:val="22"/>
        </w:rPr>
      </w:pPr>
    </w:p>
    <w:p w14:paraId="4A792E72" w14:textId="77777777" w:rsidR="00661069" w:rsidRDefault="00661069" w:rsidP="00AF2458">
      <w:pPr>
        <w:jc w:val="center"/>
        <w:rPr>
          <w:b/>
          <w:sz w:val="22"/>
        </w:rPr>
      </w:pPr>
    </w:p>
    <w:p w14:paraId="25F79778" w14:textId="77777777" w:rsidR="00693925" w:rsidRDefault="00693925" w:rsidP="00AF2458">
      <w:pPr>
        <w:jc w:val="center"/>
        <w:rPr>
          <w:b/>
          <w:sz w:val="22"/>
        </w:rPr>
      </w:pPr>
      <w:r>
        <w:rPr>
          <w:b/>
          <w:sz w:val="22"/>
        </w:rPr>
        <w:t>ANEXO II</w:t>
      </w:r>
    </w:p>
    <w:p w14:paraId="267A9815" w14:textId="77777777" w:rsidR="00693925" w:rsidRDefault="00693925" w:rsidP="00AF2458">
      <w:pPr>
        <w:jc w:val="center"/>
        <w:rPr>
          <w:b/>
          <w:sz w:val="22"/>
        </w:rPr>
      </w:pPr>
    </w:p>
    <w:p w14:paraId="48292E07" w14:textId="77777777" w:rsidR="00693925" w:rsidRDefault="00693925" w:rsidP="003E7477">
      <w:pPr>
        <w:pStyle w:val="BlockText"/>
        <w:tabs>
          <w:tab w:val="left" w:pos="-720"/>
        </w:tabs>
        <w:ind w:left="1701" w:right="1411" w:hanging="567"/>
        <w:jc w:val="left"/>
        <w:rPr>
          <w:b/>
          <w:bCs/>
        </w:rPr>
      </w:pPr>
      <w:r>
        <w:rPr>
          <w:b/>
          <w:bCs/>
        </w:rPr>
        <w:t>A.</w:t>
      </w:r>
      <w:r>
        <w:rPr>
          <w:b/>
          <w:bCs/>
        </w:rPr>
        <w:tab/>
        <w:t>FABRICA</w:t>
      </w:r>
      <w:r w:rsidR="003E7477">
        <w:rPr>
          <w:b/>
          <w:bCs/>
        </w:rPr>
        <w:t>NTE</w:t>
      </w:r>
      <w:r w:rsidR="00C146F3">
        <w:rPr>
          <w:b/>
          <w:bCs/>
        </w:rPr>
        <w:t>S</w:t>
      </w:r>
      <w:r>
        <w:rPr>
          <w:b/>
          <w:bCs/>
        </w:rPr>
        <w:t xml:space="preserve"> RESPONSABLE</w:t>
      </w:r>
      <w:r w:rsidR="00C146F3">
        <w:rPr>
          <w:b/>
          <w:bCs/>
        </w:rPr>
        <w:t>S</w:t>
      </w:r>
      <w:r>
        <w:rPr>
          <w:b/>
          <w:bCs/>
        </w:rPr>
        <w:t xml:space="preserve"> DE </w:t>
      </w:r>
      <w:smartTag w:uri="urn:schemas-microsoft-com:office:smarttags" w:element="PersonName">
        <w:smartTagPr>
          <w:attr w:name="ProductID" w:val="LA LIBERACIￓN DE"/>
        </w:smartTagPr>
        <w:r>
          <w:rPr>
            <w:b/>
            <w:bCs/>
          </w:rPr>
          <w:t>LA LIBERACIÓN DE</w:t>
        </w:r>
      </w:smartTag>
      <w:r>
        <w:rPr>
          <w:b/>
          <w:bCs/>
        </w:rPr>
        <w:t xml:space="preserve"> LOS LOTES</w:t>
      </w:r>
    </w:p>
    <w:p w14:paraId="6ED7988F" w14:textId="77777777" w:rsidR="00693925" w:rsidRDefault="00693925" w:rsidP="003E7477">
      <w:pPr>
        <w:tabs>
          <w:tab w:val="left" w:pos="-720"/>
        </w:tabs>
        <w:suppressAutoHyphens/>
        <w:ind w:left="1701" w:right="283" w:hanging="567"/>
        <w:jc w:val="center"/>
        <w:rPr>
          <w:bCs/>
          <w:sz w:val="22"/>
        </w:rPr>
      </w:pPr>
    </w:p>
    <w:p w14:paraId="600493DE" w14:textId="77777777" w:rsidR="00693925" w:rsidRDefault="00693925" w:rsidP="003E7477">
      <w:pPr>
        <w:tabs>
          <w:tab w:val="left" w:pos="-720"/>
        </w:tabs>
        <w:suppressAutoHyphens/>
        <w:ind w:left="1701" w:right="1411" w:hanging="567"/>
        <w:rPr>
          <w:b/>
          <w:sz w:val="22"/>
        </w:rPr>
      </w:pPr>
      <w:r>
        <w:rPr>
          <w:b/>
          <w:sz w:val="22"/>
        </w:rPr>
        <w:t>B.</w:t>
      </w:r>
      <w:r>
        <w:rPr>
          <w:b/>
          <w:sz w:val="22"/>
        </w:rPr>
        <w:tab/>
        <w:t xml:space="preserve">CONDICIONES </w:t>
      </w:r>
      <w:r w:rsidR="003E7477">
        <w:rPr>
          <w:b/>
          <w:sz w:val="22"/>
        </w:rPr>
        <w:t>O RESTRICCIONES DE SUMINISTRO Y USO</w:t>
      </w:r>
    </w:p>
    <w:p w14:paraId="2AA99779" w14:textId="77777777" w:rsidR="003E7477" w:rsidRDefault="003E7477" w:rsidP="003E7477">
      <w:pPr>
        <w:tabs>
          <w:tab w:val="left" w:pos="-720"/>
        </w:tabs>
        <w:suppressAutoHyphens/>
        <w:ind w:left="1701" w:right="1411" w:hanging="567"/>
        <w:rPr>
          <w:b/>
          <w:sz w:val="22"/>
        </w:rPr>
      </w:pPr>
    </w:p>
    <w:p w14:paraId="4724BF0B" w14:textId="77777777" w:rsidR="003E7477" w:rsidRDefault="003E7477" w:rsidP="003E7477">
      <w:pPr>
        <w:tabs>
          <w:tab w:val="left" w:pos="-720"/>
        </w:tabs>
        <w:suppressAutoHyphens/>
        <w:ind w:left="1701" w:right="1411" w:hanging="567"/>
        <w:rPr>
          <w:b/>
          <w:sz w:val="22"/>
          <w:lang w:val="es-ES_tradnl"/>
        </w:rPr>
      </w:pPr>
      <w:r>
        <w:rPr>
          <w:b/>
          <w:sz w:val="22"/>
        </w:rPr>
        <w:t>C.</w:t>
      </w:r>
      <w:r>
        <w:rPr>
          <w:b/>
          <w:sz w:val="22"/>
        </w:rPr>
        <w:tab/>
      </w:r>
      <w:r w:rsidRPr="003E7477">
        <w:rPr>
          <w:b/>
          <w:sz w:val="22"/>
          <w:lang w:val="es-ES_tradnl"/>
        </w:rPr>
        <w:t xml:space="preserve">OTRAS CONDICIONES Y REQUISITOS DE </w:t>
      </w:r>
      <w:smartTag w:uri="urn:schemas-microsoft-com:office:smarttags" w:element="PersonName">
        <w:smartTagPr>
          <w:attr w:name="ProductID" w:val="LA AUTORIZACIￓN DE"/>
        </w:smartTagPr>
        <w:r w:rsidRPr="003E7477">
          <w:rPr>
            <w:b/>
            <w:sz w:val="22"/>
            <w:lang w:val="es-ES_tradnl"/>
          </w:rPr>
          <w:t>LA AUTORIZACIÓN DE</w:t>
        </w:r>
      </w:smartTag>
      <w:r w:rsidRPr="003E7477">
        <w:rPr>
          <w:b/>
          <w:sz w:val="22"/>
          <w:lang w:val="es-ES_tradnl"/>
        </w:rPr>
        <w:t xml:space="preserve"> COMERCIALIZACIÓN</w:t>
      </w:r>
    </w:p>
    <w:p w14:paraId="67C1EAC7" w14:textId="77777777" w:rsidR="003E7477" w:rsidRDefault="003E7477" w:rsidP="003E7477">
      <w:pPr>
        <w:tabs>
          <w:tab w:val="left" w:pos="-720"/>
        </w:tabs>
        <w:suppressAutoHyphens/>
        <w:ind w:left="1701" w:right="1411" w:hanging="567"/>
        <w:rPr>
          <w:b/>
          <w:sz w:val="22"/>
          <w:lang w:val="es-ES_tradnl"/>
        </w:rPr>
      </w:pPr>
    </w:p>
    <w:p w14:paraId="1558AFB5" w14:textId="77777777" w:rsidR="003E7477" w:rsidRDefault="003E7477" w:rsidP="003E7477">
      <w:pPr>
        <w:tabs>
          <w:tab w:val="left" w:pos="-720"/>
        </w:tabs>
        <w:suppressAutoHyphens/>
        <w:ind w:left="1701" w:right="1411" w:hanging="567"/>
        <w:rPr>
          <w:b/>
          <w:sz w:val="22"/>
        </w:rPr>
      </w:pPr>
      <w:r>
        <w:rPr>
          <w:b/>
          <w:sz w:val="22"/>
          <w:lang w:val="es-ES_tradnl"/>
        </w:rPr>
        <w:t>D.</w:t>
      </w:r>
      <w:r>
        <w:rPr>
          <w:b/>
          <w:sz w:val="22"/>
          <w:lang w:val="es-ES_tradnl"/>
        </w:rPr>
        <w:tab/>
      </w:r>
      <w:r w:rsidRPr="003E7477">
        <w:rPr>
          <w:b/>
          <w:sz w:val="22"/>
          <w:lang w:val="es-ES_tradnl"/>
        </w:rPr>
        <w:t xml:space="preserve">CONDICIONES O RESTRICCIONES EN RELACIÓN CON </w:t>
      </w:r>
      <w:smartTag w:uri="urn:schemas-microsoft-com:office:smarttags" w:element="PersonName">
        <w:smartTagPr>
          <w:attr w:name="ProductID" w:val="LA UTILIZACIÓN SEGURA"/>
        </w:smartTagPr>
        <w:r w:rsidRPr="003E7477">
          <w:rPr>
            <w:b/>
            <w:sz w:val="22"/>
            <w:lang w:val="es-ES_tradnl"/>
          </w:rPr>
          <w:t>LA UTILIZACIÓN SEGURA</w:t>
        </w:r>
      </w:smartTag>
      <w:r w:rsidRPr="003E7477">
        <w:rPr>
          <w:b/>
          <w:sz w:val="22"/>
          <w:lang w:val="es-ES_tradnl"/>
        </w:rPr>
        <w:t xml:space="preserve"> Y EFICAZ DEL MEDICAMENTO</w:t>
      </w:r>
    </w:p>
    <w:p w14:paraId="06597D50" w14:textId="77777777" w:rsidR="00693925" w:rsidRDefault="00693925" w:rsidP="00E84F80">
      <w:pPr>
        <w:tabs>
          <w:tab w:val="left" w:pos="-720"/>
        </w:tabs>
        <w:suppressAutoHyphens/>
        <w:ind w:left="1701" w:right="283" w:hanging="708"/>
        <w:rPr>
          <w:b/>
          <w:sz w:val="22"/>
        </w:rPr>
      </w:pPr>
    </w:p>
    <w:p w14:paraId="32290F46" w14:textId="77777777" w:rsidR="00693925" w:rsidRDefault="00693925" w:rsidP="00047025">
      <w:pPr>
        <w:pStyle w:val="TitleB"/>
      </w:pPr>
      <w:r>
        <w:br w:type="page"/>
      </w:r>
      <w:r>
        <w:lastRenderedPageBreak/>
        <w:t>A.</w:t>
      </w:r>
      <w:r>
        <w:tab/>
        <w:t>FABRICA</w:t>
      </w:r>
      <w:r w:rsidR="003E7477">
        <w:t>NTE</w:t>
      </w:r>
      <w:r w:rsidR="00C146F3">
        <w:t>S</w:t>
      </w:r>
      <w:r>
        <w:t xml:space="preserve"> RESPONSABLE</w:t>
      </w:r>
      <w:r w:rsidR="00C146F3">
        <w:t>S</w:t>
      </w:r>
      <w:r>
        <w:t xml:space="preserve"> DE </w:t>
      </w:r>
      <w:smartTag w:uri="urn:schemas-microsoft-com:office:smarttags" w:element="PersonName">
        <w:smartTagPr>
          <w:attr w:name="ProductID" w:val="LA LIBERACIￓN DE"/>
        </w:smartTagPr>
        <w:r>
          <w:t>LA LIBERACIÓN DE</w:t>
        </w:r>
      </w:smartTag>
      <w:r>
        <w:t xml:space="preserve"> LOS LOTES</w:t>
      </w:r>
    </w:p>
    <w:p w14:paraId="6C3BC685" w14:textId="77777777" w:rsidR="00693925" w:rsidRDefault="00693925" w:rsidP="00E84F80">
      <w:pPr>
        <w:ind w:right="1416"/>
        <w:rPr>
          <w:sz w:val="22"/>
        </w:rPr>
      </w:pPr>
    </w:p>
    <w:p w14:paraId="4C3BD134" w14:textId="77777777" w:rsidR="00C146F3" w:rsidRPr="00D05C05" w:rsidRDefault="00C146F3" w:rsidP="00C146F3">
      <w:pPr>
        <w:ind w:right="1416"/>
        <w:rPr>
          <w:sz w:val="22"/>
          <w:lang w:val="fr-FR"/>
        </w:rPr>
      </w:pPr>
      <w:r w:rsidRPr="00D05C05">
        <w:rPr>
          <w:sz w:val="22"/>
          <w:lang w:val="fr-FR"/>
        </w:rPr>
        <w:t>Sun Pharmaceutical Industries Europe B.V.</w:t>
      </w:r>
    </w:p>
    <w:p w14:paraId="2DD59F85" w14:textId="77777777" w:rsidR="00C146F3" w:rsidRPr="00D05C05" w:rsidRDefault="00C146F3" w:rsidP="00C146F3">
      <w:pPr>
        <w:ind w:right="1416"/>
        <w:rPr>
          <w:sz w:val="22"/>
          <w:lang w:val="fr-FR"/>
        </w:rPr>
      </w:pPr>
      <w:r w:rsidRPr="00D05C05">
        <w:rPr>
          <w:sz w:val="22"/>
          <w:lang w:val="fr-FR"/>
        </w:rPr>
        <w:t>Polarisavenue 87</w:t>
      </w:r>
    </w:p>
    <w:p w14:paraId="77556CCE" w14:textId="77777777" w:rsidR="00C146F3" w:rsidRPr="00D05C05" w:rsidRDefault="00C146F3" w:rsidP="00C146F3">
      <w:pPr>
        <w:ind w:right="1416"/>
        <w:rPr>
          <w:sz w:val="22"/>
          <w:lang w:val="fr-FR"/>
        </w:rPr>
      </w:pPr>
      <w:r w:rsidRPr="00D05C05">
        <w:rPr>
          <w:sz w:val="22"/>
          <w:lang w:val="fr-FR"/>
        </w:rPr>
        <w:t>2132 JH Hoofddorp</w:t>
      </w:r>
    </w:p>
    <w:p w14:paraId="233C2395" w14:textId="77777777" w:rsidR="00C146F3" w:rsidRPr="00D05C05" w:rsidRDefault="00C146F3" w:rsidP="00C146F3">
      <w:pPr>
        <w:ind w:right="1416"/>
        <w:rPr>
          <w:sz w:val="22"/>
          <w:lang w:val="fr-FR"/>
        </w:rPr>
      </w:pPr>
      <w:proofErr w:type="spellStart"/>
      <w:r w:rsidRPr="00D05C05">
        <w:rPr>
          <w:sz w:val="22"/>
          <w:lang w:val="fr-FR"/>
        </w:rPr>
        <w:t>Países</w:t>
      </w:r>
      <w:proofErr w:type="spellEnd"/>
      <w:r w:rsidRPr="00D05C05">
        <w:rPr>
          <w:sz w:val="22"/>
          <w:lang w:val="fr-FR"/>
        </w:rPr>
        <w:t xml:space="preserve"> </w:t>
      </w:r>
      <w:proofErr w:type="spellStart"/>
      <w:r w:rsidRPr="00D05C05">
        <w:rPr>
          <w:sz w:val="22"/>
          <w:lang w:val="fr-FR"/>
        </w:rPr>
        <w:t>Bajos</w:t>
      </w:r>
      <w:proofErr w:type="spellEnd"/>
    </w:p>
    <w:p w14:paraId="552DD1A3" w14:textId="77777777" w:rsidR="00C146F3" w:rsidRPr="00D05C05" w:rsidRDefault="00C146F3" w:rsidP="00C146F3">
      <w:pPr>
        <w:ind w:right="1416"/>
        <w:rPr>
          <w:sz w:val="22"/>
          <w:lang w:val="fr-FR"/>
        </w:rPr>
      </w:pPr>
    </w:p>
    <w:p w14:paraId="59D03121" w14:textId="77777777" w:rsidR="00C146F3" w:rsidRPr="00D05C05" w:rsidRDefault="00C146F3" w:rsidP="00C146F3">
      <w:pPr>
        <w:ind w:right="1416"/>
        <w:rPr>
          <w:sz w:val="22"/>
          <w:lang w:val="fr-FR"/>
        </w:rPr>
      </w:pPr>
      <w:proofErr w:type="spellStart"/>
      <w:r w:rsidRPr="00D05C05">
        <w:rPr>
          <w:sz w:val="22"/>
          <w:lang w:val="fr-FR"/>
        </w:rPr>
        <w:t>Terapia</w:t>
      </w:r>
      <w:proofErr w:type="spellEnd"/>
      <w:r w:rsidRPr="00D05C05">
        <w:rPr>
          <w:sz w:val="22"/>
          <w:lang w:val="fr-FR"/>
        </w:rPr>
        <w:t xml:space="preserve"> S.A.</w:t>
      </w:r>
    </w:p>
    <w:p w14:paraId="22F9B3CE" w14:textId="77777777" w:rsidR="00C146F3" w:rsidRPr="00D05C05" w:rsidRDefault="00C146F3" w:rsidP="00C146F3">
      <w:pPr>
        <w:ind w:right="1416"/>
        <w:rPr>
          <w:sz w:val="22"/>
          <w:lang w:val="fr-FR"/>
        </w:rPr>
      </w:pPr>
      <w:r w:rsidRPr="00D05C05">
        <w:rPr>
          <w:sz w:val="22"/>
          <w:lang w:val="fr-FR"/>
        </w:rPr>
        <w:t xml:space="preserve">Strada </w:t>
      </w:r>
      <w:proofErr w:type="spellStart"/>
      <w:r w:rsidRPr="00D05C05">
        <w:rPr>
          <w:sz w:val="22"/>
          <w:lang w:val="fr-FR"/>
        </w:rPr>
        <w:t>Fabricii</w:t>
      </w:r>
      <w:proofErr w:type="spellEnd"/>
      <w:r w:rsidRPr="00D05C05">
        <w:rPr>
          <w:sz w:val="22"/>
          <w:lang w:val="fr-FR"/>
        </w:rPr>
        <w:t xml:space="preserve"> Nr. 124</w:t>
      </w:r>
    </w:p>
    <w:p w14:paraId="6073A021" w14:textId="77777777" w:rsidR="00C146F3" w:rsidRPr="00D05C05" w:rsidRDefault="00C146F3" w:rsidP="00C146F3">
      <w:pPr>
        <w:ind w:right="1416"/>
        <w:rPr>
          <w:sz w:val="22"/>
          <w:lang w:val="fr-FR"/>
        </w:rPr>
      </w:pPr>
      <w:r w:rsidRPr="00D05C05">
        <w:rPr>
          <w:sz w:val="22"/>
          <w:lang w:val="fr-FR"/>
        </w:rPr>
        <w:t>Cluj-Napoca</w:t>
      </w:r>
      <w:r w:rsidR="00592677">
        <w:rPr>
          <w:sz w:val="22"/>
          <w:lang w:val="fr-FR"/>
        </w:rPr>
        <w:t xml:space="preserve"> </w:t>
      </w:r>
      <w:r w:rsidR="00845A9B">
        <w:rPr>
          <w:sz w:val="22"/>
          <w:lang w:val="fr-FR"/>
        </w:rPr>
        <w:t>400632</w:t>
      </w:r>
    </w:p>
    <w:p w14:paraId="4ED2F7F7" w14:textId="77777777" w:rsidR="00C146F3" w:rsidRPr="00BD0030" w:rsidRDefault="00C146F3" w:rsidP="00C146F3">
      <w:pPr>
        <w:ind w:right="1416"/>
        <w:rPr>
          <w:sz w:val="22"/>
          <w:lang w:val="pt-PT"/>
        </w:rPr>
      </w:pPr>
      <w:r w:rsidRPr="00BD0030">
        <w:rPr>
          <w:sz w:val="22"/>
          <w:lang w:val="pt-PT"/>
        </w:rPr>
        <w:t>Rumania</w:t>
      </w:r>
    </w:p>
    <w:p w14:paraId="0E7FA0BD" w14:textId="77777777" w:rsidR="00C33552" w:rsidRPr="00BD0030" w:rsidRDefault="00C33552" w:rsidP="00E84F80">
      <w:pPr>
        <w:rPr>
          <w:sz w:val="22"/>
          <w:lang w:val="pt-PT"/>
        </w:rPr>
      </w:pPr>
    </w:p>
    <w:p w14:paraId="51463C9D" w14:textId="77777777" w:rsidR="001C4E57" w:rsidRPr="00BD0030" w:rsidRDefault="001C4E57" w:rsidP="00E84F80">
      <w:pPr>
        <w:rPr>
          <w:sz w:val="22"/>
          <w:lang w:val="pt-PT"/>
        </w:rPr>
      </w:pPr>
    </w:p>
    <w:p w14:paraId="0E903798" w14:textId="77777777" w:rsidR="00693925" w:rsidRDefault="00693925" w:rsidP="00047025">
      <w:pPr>
        <w:pStyle w:val="TitleB"/>
      </w:pPr>
      <w:r>
        <w:t>B.</w:t>
      </w:r>
      <w:r>
        <w:tab/>
        <w:t xml:space="preserve">CONDICIONES </w:t>
      </w:r>
      <w:r w:rsidR="003E7477">
        <w:t xml:space="preserve">O </w:t>
      </w:r>
      <w:r w:rsidR="003E7477" w:rsidRPr="006A15C3">
        <w:t>RESTRICCIONES DE SUMINISTRO Y USO</w:t>
      </w:r>
      <w:r w:rsidR="003E7477" w:rsidRPr="003E7477">
        <w:t xml:space="preserve"> </w:t>
      </w:r>
    </w:p>
    <w:p w14:paraId="4DB16C8D" w14:textId="77777777" w:rsidR="00693925" w:rsidRDefault="00693925" w:rsidP="00E84F80">
      <w:pPr>
        <w:numPr>
          <w:ilvl w:val="12"/>
          <w:numId w:val="0"/>
        </w:numPr>
        <w:rPr>
          <w:sz w:val="22"/>
        </w:rPr>
      </w:pPr>
    </w:p>
    <w:p w14:paraId="2A9E4F1E" w14:textId="77777777" w:rsidR="00693925" w:rsidRDefault="00693925" w:rsidP="00E84F80">
      <w:pPr>
        <w:numPr>
          <w:ilvl w:val="12"/>
          <w:numId w:val="0"/>
        </w:numPr>
        <w:rPr>
          <w:sz w:val="22"/>
        </w:rPr>
      </w:pPr>
      <w:r>
        <w:rPr>
          <w:sz w:val="22"/>
        </w:rPr>
        <w:t>Medicamento sujeto a prescripción médica.</w:t>
      </w:r>
    </w:p>
    <w:p w14:paraId="164DE8F9" w14:textId="77777777" w:rsidR="0001632A" w:rsidRDefault="0001632A" w:rsidP="0001632A">
      <w:pPr>
        <w:rPr>
          <w:sz w:val="22"/>
        </w:rPr>
      </w:pPr>
    </w:p>
    <w:p w14:paraId="45EF5F57" w14:textId="77777777" w:rsidR="001C4E57" w:rsidRDefault="001C4E57" w:rsidP="0001632A">
      <w:pPr>
        <w:rPr>
          <w:sz w:val="22"/>
        </w:rPr>
      </w:pPr>
    </w:p>
    <w:p w14:paraId="0B296001" w14:textId="77777777" w:rsidR="00693925" w:rsidRPr="006A15C3" w:rsidRDefault="003E7477" w:rsidP="006A15C3">
      <w:pPr>
        <w:pStyle w:val="TitleB"/>
      </w:pPr>
      <w:r w:rsidRPr="006A15C3">
        <w:t>C.</w:t>
      </w:r>
      <w:r w:rsidRPr="006A15C3">
        <w:tab/>
      </w:r>
      <w:r w:rsidR="00693925" w:rsidRPr="006A15C3">
        <w:t>OTRAS CONDICIONES</w:t>
      </w:r>
      <w:r w:rsidRPr="006A15C3">
        <w:t xml:space="preserve"> Y REQUISITOS DE </w:t>
      </w:r>
      <w:smartTag w:uri="urn:schemas-microsoft-com:office:smarttags" w:element="PersonName">
        <w:smartTagPr>
          <w:attr w:name="ProductID" w:val="LA AUTORIZACIￓN DE"/>
        </w:smartTagPr>
        <w:r w:rsidRPr="006A15C3">
          <w:t>LA AUTORIZACIÓN DE</w:t>
        </w:r>
      </w:smartTag>
      <w:r w:rsidRPr="006A15C3">
        <w:t xml:space="preserve"> COMERCIALIZACIÓN</w:t>
      </w:r>
    </w:p>
    <w:p w14:paraId="4D54C035" w14:textId="77777777" w:rsidR="0091061F" w:rsidRDefault="0091061F" w:rsidP="003E7477">
      <w:pPr>
        <w:ind w:left="567" w:right="567" w:hanging="567"/>
        <w:rPr>
          <w:sz w:val="22"/>
        </w:rPr>
      </w:pPr>
    </w:p>
    <w:p w14:paraId="475E93C9" w14:textId="77777777" w:rsidR="00F60569" w:rsidRDefault="002D5478" w:rsidP="003311B4">
      <w:pPr>
        <w:numPr>
          <w:ilvl w:val="0"/>
          <w:numId w:val="25"/>
        </w:numPr>
        <w:ind w:left="567" w:right="567" w:hanging="567"/>
        <w:rPr>
          <w:bCs/>
          <w:i/>
          <w:sz w:val="22"/>
        </w:rPr>
      </w:pPr>
      <w:r w:rsidRPr="002D5478">
        <w:rPr>
          <w:b/>
          <w:bCs/>
          <w:sz w:val="22"/>
        </w:rPr>
        <w:t xml:space="preserve">Informes </w:t>
      </w:r>
      <w:r w:rsidR="00EC399F">
        <w:rPr>
          <w:b/>
          <w:bCs/>
          <w:sz w:val="22"/>
        </w:rPr>
        <w:t>p</w:t>
      </w:r>
      <w:r w:rsidRPr="002D5478">
        <w:rPr>
          <w:b/>
          <w:bCs/>
          <w:sz w:val="22"/>
        </w:rPr>
        <w:t xml:space="preserve">eriódicos de </w:t>
      </w:r>
      <w:r w:rsidR="00EC399F">
        <w:rPr>
          <w:b/>
          <w:bCs/>
          <w:sz w:val="22"/>
        </w:rPr>
        <w:t>s</w:t>
      </w:r>
      <w:r w:rsidRPr="002D5478">
        <w:rPr>
          <w:b/>
          <w:bCs/>
          <w:sz w:val="22"/>
        </w:rPr>
        <w:t>eguridad</w:t>
      </w:r>
      <w:r w:rsidRPr="002D5478">
        <w:rPr>
          <w:bCs/>
          <w:i/>
          <w:sz w:val="22"/>
        </w:rPr>
        <w:t xml:space="preserve"> </w:t>
      </w:r>
      <w:r w:rsidR="003311B4">
        <w:rPr>
          <w:b/>
          <w:bCs/>
          <w:sz w:val="22"/>
        </w:rPr>
        <w:t>(</w:t>
      </w:r>
      <w:proofErr w:type="spellStart"/>
      <w:r w:rsidR="003311B4">
        <w:rPr>
          <w:b/>
          <w:bCs/>
          <w:sz w:val="22"/>
        </w:rPr>
        <w:t>IPS</w:t>
      </w:r>
      <w:r w:rsidR="00D1189F">
        <w:rPr>
          <w:b/>
          <w:bCs/>
          <w:sz w:val="22"/>
        </w:rPr>
        <w:t>s</w:t>
      </w:r>
      <w:proofErr w:type="spellEnd"/>
      <w:r w:rsidR="003311B4">
        <w:rPr>
          <w:b/>
          <w:bCs/>
          <w:sz w:val="22"/>
        </w:rPr>
        <w:t>)</w:t>
      </w:r>
    </w:p>
    <w:p w14:paraId="12585A64" w14:textId="77777777" w:rsidR="002D5478" w:rsidRDefault="002D5478" w:rsidP="002D5478">
      <w:pPr>
        <w:ind w:right="567"/>
        <w:rPr>
          <w:bCs/>
          <w:i/>
          <w:sz w:val="22"/>
        </w:rPr>
      </w:pPr>
    </w:p>
    <w:p w14:paraId="62907608" w14:textId="77777777" w:rsidR="003311B4" w:rsidRDefault="003311B4" w:rsidP="002D5478">
      <w:pPr>
        <w:ind w:right="567"/>
        <w:rPr>
          <w:bCs/>
          <w:sz w:val="22"/>
        </w:rPr>
      </w:pPr>
      <w:r w:rsidRPr="003311B4">
        <w:rPr>
          <w:bCs/>
          <w:sz w:val="22"/>
        </w:rPr>
        <w:t xml:space="preserve">Los requerimientos para la presentación de los </w:t>
      </w:r>
      <w:proofErr w:type="spellStart"/>
      <w:r w:rsidR="00EC399F">
        <w:rPr>
          <w:bCs/>
          <w:sz w:val="22"/>
        </w:rPr>
        <w:t>IPS</w:t>
      </w:r>
      <w:r w:rsidR="00D1189F">
        <w:rPr>
          <w:bCs/>
          <w:sz w:val="22"/>
        </w:rPr>
        <w:t>s</w:t>
      </w:r>
      <w:proofErr w:type="spellEnd"/>
      <w:r w:rsidRPr="003311B4">
        <w:rPr>
          <w:bCs/>
          <w:sz w:val="22"/>
        </w:rPr>
        <w:t xml:space="preserve"> para este medicamento se establecen en la lista de fechas de referencia de la Unión (lista EURD) prevista en el artículo 107quater, apartado 7, de la Directiva 2001/83/CE y cualquier actualización posterior publicada en el portal web europeo sobre medicamentos.</w:t>
      </w:r>
    </w:p>
    <w:p w14:paraId="5B0D0A97" w14:textId="77777777" w:rsidR="002A4FC9" w:rsidRDefault="002A4FC9" w:rsidP="002D5478">
      <w:pPr>
        <w:ind w:right="567"/>
        <w:rPr>
          <w:sz w:val="22"/>
          <w:szCs w:val="22"/>
        </w:rPr>
      </w:pPr>
    </w:p>
    <w:p w14:paraId="1E5C1C19" w14:textId="77777777" w:rsidR="002D5478" w:rsidRDefault="002D5478" w:rsidP="002D5478">
      <w:pPr>
        <w:ind w:right="567"/>
        <w:rPr>
          <w:bCs/>
          <w:sz w:val="22"/>
          <w:lang w:val="es-ES_tradnl"/>
        </w:rPr>
      </w:pPr>
    </w:p>
    <w:p w14:paraId="4EAEAB5F" w14:textId="77777777" w:rsidR="002D5478" w:rsidRPr="006A15C3" w:rsidRDefault="002D5478" w:rsidP="006A15C3">
      <w:pPr>
        <w:pStyle w:val="TitleB"/>
      </w:pPr>
      <w:r w:rsidRPr="006A15C3">
        <w:t>D.</w:t>
      </w:r>
      <w:r w:rsidRPr="006A15C3">
        <w:tab/>
        <w:t xml:space="preserve">CONDICIONES O RESTRICCIONES EN RELACIÓN CON </w:t>
      </w:r>
      <w:smartTag w:uri="urn:schemas-microsoft-com:office:smarttags" w:element="PersonName">
        <w:smartTagPr>
          <w:attr w:name="ProductID" w:val="LA UTILIZACIÓN SEGURA"/>
        </w:smartTagPr>
        <w:r w:rsidRPr="006A15C3">
          <w:t>LA UTILIZACIÓN SEGURA</w:t>
        </w:r>
      </w:smartTag>
      <w:r w:rsidRPr="006A15C3">
        <w:t xml:space="preserve"> Y EFICAZ DEL MEDICAMENTO</w:t>
      </w:r>
    </w:p>
    <w:p w14:paraId="1DF12F82" w14:textId="77777777" w:rsidR="002D5478" w:rsidRPr="002D5478" w:rsidRDefault="002D5478" w:rsidP="002D5478">
      <w:pPr>
        <w:ind w:right="567"/>
        <w:rPr>
          <w:bCs/>
          <w:sz w:val="22"/>
        </w:rPr>
      </w:pPr>
    </w:p>
    <w:p w14:paraId="48B85974" w14:textId="77777777" w:rsidR="0001632A" w:rsidRDefault="0001632A" w:rsidP="00456B2A">
      <w:pPr>
        <w:numPr>
          <w:ilvl w:val="0"/>
          <w:numId w:val="25"/>
        </w:numPr>
        <w:ind w:left="567" w:right="567" w:hanging="567"/>
        <w:rPr>
          <w:b/>
          <w:bCs/>
          <w:sz w:val="22"/>
        </w:rPr>
      </w:pPr>
      <w:r w:rsidRPr="002D5478">
        <w:rPr>
          <w:b/>
          <w:bCs/>
          <w:sz w:val="22"/>
        </w:rPr>
        <w:t xml:space="preserve">Plan de </w:t>
      </w:r>
      <w:r w:rsidR="00EC399F">
        <w:rPr>
          <w:b/>
          <w:bCs/>
          <w:sz w:val="22"/>
        </w:rPr>
        <w:t>g</w:t>
      </w:r>
      <w:r w:rsidRPr="002D5478">
        <w:rPr>
          <w:b/>
          <w:bCs/>
          <w:sz w:val="22"/>
        </w:rPr>
        <w:t xml:space="preserve">estión de </w:t>
      </w:r>
      <w:r w:rsidR="00EC399F">
        <w:rPr>
          <w:b/>
          <w:bCs/>
          <w:sz w:val="22"/>
        </w:rPr>
        <w:t>r</w:t>
      </w:r>
      <w:r w:rsidRPr="002D5478">
        <w:rPr>
          <w:b/>
          <w:bCs/>
          <w:sz w:val="22"/>
        </w:rPr>
        <w:t>iesgos</w:t>
      </w:r>
      <w:r w:rsidR="002D5478">
        <w:rPr>
          <w:b/>
          <w:bCs/>
          <w:sz w:val="22"/>
        </w:rPr>
        <w:t xml:space="preserve"> (PGR)</w:t>
      </w:r>
    </w:p>
    <w:p w14:paraId="634C9F10" w14:textId="77777777" w:rsidR="002D5478" w:rsidRPr="002D5478" w:rsidRDefault="002D5478" w:rsidP="002D5478">
      <w:pPr>
        <w:ind w:right="567"/>
        <w:rPr>
          <w:bCs/>
          <w:sz w:val="22"/>
        </w:rPr>
      </w:pPr>
    </w:p>
    <w:p w14:paraId="0D7F268C" w14:textId="77777777" w:rsidR="0001632A" w:rsidRDefault="0001632A" w:rsidP="00E84F80">
      <w:pPr>
        <w:ind w:right="567"/>
        <w:rPr>
          <w:bCs/>
          <w:sz w:val="22"/>
        </w:rPr>
      </w:pPr>
      <w:r>
        <w:rPr>
          <w:bCs/>
          <w:sz w:val="22"/>
        </w:rPr>
        <w:t xml:space="preserve">El </w:t>
      </w:r>
      <w:r w:rsidR="00EC399F" w:rsidRPr="00EC399F">
        <w:rPr>
          <w:bCs/>
          <w:sz w:val="22"/>
        </w:rPr>
        <w:t>titular de la autorización de comercialización (</w:t>
      </w:r>
      <w:r w:rsidR="00BE637D">
        <w:rPr>
          <w:bCs/>
          <w:sz w:val="22"/>
        </w:rPr>
        <w:t>TAC</w:t>
      </w:r>
      <w:r w:rsidR="00EC399F">
        <w:rPr>
          <w:bCs/>
          <w:sz w:val="22"/>
        </w:rPr>
        <w:t>)</w:t>
      </w:r>
      <w:r>
        <w:rPr>
          <w:bCs/>
          <w:sz w:val="22"/>
        </w:rPr>
        <w:t xml:space="preserve"> </w:t>
      </w:r>
      <w:r w:rsidR="002D5478" w:rsidRPr="002D5478">
        <w:rPr>
          <w:bCs/>
          <w:sz w:val="22"/>
          <w:lang w:val="es-ES_tradnl"/>
        </w:rPr>
        <w:t xml:space="preserve">realizará las actividades e intervenciones de farmacovigilancia necesarias según lo acordado </w:t>
      </w:r>
      <w:r w:rsidR="002D5478">
        <w:rPr>
          <w:bCs/>
          <w:sz w:val="22"/>
          <w:lang w:val="es-ES_tradnl"/>
        </w:rPr>
        <w:t>en</w:t>
      </w:r>
      <w:r w:rsidR="002D5478" w:rsidRPr="002D5478">
        <w:rPr>
          <w:bCs/>
          <w:sz w:val="22"/>
          <w:lang w:val="es-ES_tradnl"/>
        </w:rPr>
        <w:t xml:space="preserve"> la versión del PGR incluido en el Módulo 1.8.2. de la </w:t>
      </w:r>
      <w:r w:rsidR="00EC399F">
        <w:rPr>
          <w:bCs/>
          <w:sz w:val="22"/>
          <w:lang w:val="es-ES_tradnl"/>
        </w:rPr>
        <w:t>a</w:t>
      </w:r>
      <w:r w:rsidR="002D5478" w:rsidRPr="002D5478">
        <w:rPr>
          <w:bCs/>
          <w:sz w:val="22"/>
          <w:lang w:val="es-ES_tradnl"/>
        </w:rPr>
        <w:t xml:space="preserve">utorización de </w:t>
      </w:r>
      <w:r w:rsidR="00EC399F">
        <w:rPr>
          <w:bCs/>
          <w:sz w:val="22"/>
          <w:lang w:val="es-ES_tradnl"/>
        </w:rPr>
        <w:t>c</w:t>
      </w:r>
      <w:r w:rsidR="002D5478" w:rsidRPr="002D5478">
        <w:rPr>
          <w:bCs/>
          <w:sz w:val="22"/>
          <w:lang w:val="es-ES_tradnl"/>
        </w:rPr>
        <w:t>omercialización y en cualquier actualización del PGR que se acuerde posteriormente.</w:t>
      </w:r>
    </w:p>
    <w:p w14:paraId="61F67464" w14:textId="77777777" w:rsidR="00DF2A37" w:rsidRDefault="00DF2A37" w:rsidP="00E84F80">
      <w:pPr>
        <w:ind w:right="567"/>
        <w:rPr>
          <w:bCs/>
          <w:sz w:val="22"/>
        </w:rPr>
      </w:pPr>
    </w:p>
    <w:p w14:paraId="46DC0E9F" w14:textId="77777777" w:rsidR="00DF2A37" w:rsidRDefault="00311233" w:rsidP="00E84F80">
      <w:pPr>
        <w:ind w:right="567"/>
        <w:rPr>
          <w:bCs/>
          <w:sz w:val="22"/>
        </w:rPr>
      </w:pPr>
      <w:r>
        <w:rPr>
          <w:bCs/>
          <w:sz w:val="22"/>
        </w:rPr>
        <w:t>S</w:t>
      </w:r>
      <w:r w:rsidR="00E94A32">
        <w:rPr>
          <w:bCs/>
          <w:sz w:val="22"/>
        </w:rPr>
        <w:t xml:space="preserve">e debe </w:t>
      </w:r>
      <w:r w:rsidR="006F4553">
        <w:rPr>
          <w:bCs/>
          <w:sz w:val="22"/>
        </w:rPr>
        <w:t xml:space="preserve">presentar </w:t>
      </w:r>
      <w:r w:rsidR="00DF2A37">
        <w:rPr>
          <w:bCs/>
          <w:sz w:val="22"/>
        </w:rPr>
        <w:t>un PGR actualizado:</w:t>
      </w:r>
    </w:p>
    <w:p w14:paraId="0329D1FE" w14:textId="77777777" w:rsidR="00864C30" w:rsidRDefault="00864C30" w:rsidP="00DF2A37">
      <w:pPr>
        <w:numPr>
          <w:ilvl w:val="0"/>
          <w:numId w:val="5"/>
        </w:numPr>
        <w:ind w:right="567"/>
        <w:rPr>
          <w:bCs/>
          <w:sz w:val="22"/>
        </w:rPr>
      </w:pPr>
      <w:r>
        <w:rPr>
          <w:bCs/>
          <w:sz w:val="22"/>
        </w:rPr>
        <w:t xml:space="preserve">A petición de </w:t>
      </w:r>
      <w:smartTag w:uri="urn:schemas-microsoft-com:office:smarttags" w:element="PersonName">
        <w:smartTagPr>
          <w:attr w:name="ProductID" w:val="la ￼￼￼￼Agencia Europea"/>
        </w:smartTagPr>
        <w:r>
          <w:rPr>
            <w:bCs/>
            <w:sz w:val="22"/>
          </w:rPr>
          <w:t>la Agencia Europea</w:t>
        </w:r>
      </w:smartTag>
      <w:r>
        <w:rPr>
          <w:bCs/>
          <w:sz w:val="22"/>
        </w:rPr>
        <w:t xml:space="preserve"> de Medicamentos</w:t>
      </w:r>
      <w:r w:rsidR="00E5731C">
        <w:rPr>
          <w:bCs/>
          <w:sz w:val="22"/>
        </w:rPr>
        <w:t>.</w:t>
      </w:r>
    </w:p>
    <w:p w14:paraId="7669A3C9" w14:textId="77777777" w:rsidR="00DF2A37" w:rsidRDefault="00DF2A37" w:rsidP="00DF2A37">
      <w:pPr>
        <w:numPr>
          <w:ilvl w:val="0"/>
          <w:numId w:val="5"/>
        </w:numPr>
        <w:ind w:right="567"/>
        <w:rPr>
          <w:bCs/>
          <w:sz w:val="22"/>
        </w:rPr>
      </w:pPr>
      <w:r>
        <w:rPr>
          <w:bCs/>
          <w:sz w:val="22"/>
        </w:rPr>
        <w:t xml:space="preserve">Cuando se </w:t>
      </w:r>
      <w:r w:rsidR="00864C30" w:rsidRPr="00864C30">
        <w:rPr>
          <w:bCs/>
          <w:sz w:val="22"/>
          <w:lang w:val="es-ES_tradnl"/>
        </w:rPr>
        <w:t>modifique el sistema de gestión de riesgos</w:t>
      </w:r>
      <w:r w:rsidR="003E7078">
        <w:rPr>
          <w:bCs/>
          <w:sz w:val="22"/>
          <w:lang w:val="es-ES_tradnl"/>
        </w:rPr>
        <w:t>,</w:t>
      </w:r>
      <w:r w:rsidR="00864C30" w:rsidRPr="00864C30">
        <w:rPr>
          <w:bCs/>
          <w:sz w:val="22"/>
        </w:rPr>
        <w:t xml:space="preserve"> </w:t>
      </w:r>
      <w:r w:rsidR="00864C30" w:rsidRPr="00864C30">
        <w:rPr>
          <w:bCs/>
          <w:sz w:val="22"/>
          <w:lang w:val="es-ES_tradnl"/>
        </w:rPr>
        <w:t xml:space="preserve">especialmente como resultado de </w:t>
      </w:r>
      <w:r>
        <w:rPr>
          <w:bCs/>
          <w:sz w:val="22"/>
        </w:rPr>
        <w:t xml:space="preserve">nueva información </w:t>
      </w:r>
      <w:r w:rsidR="00864C30">
        <w:rPr>
          <w:bCs/>
          <w:sz w:val="22"/>
        </w:rPr>
        <w:t xml:space="preserve">disponible </w:t>
      </w:r>
      <w:r>
        <w:rPr>
          <w:bCs/>
          <w:sz w:val="22"/>
        </w:rPr>
        <w:t xml:space="preserve">que pueda </w:t>
      </w:r>
      <w:r w:rsidR="00864C30" w:rsidRPr="00864C30">
        <w:rPr>
          <w:bCs/>
          <w:sz w:val="22"/>
          <w:lang w:val="es-ES_tradnl"/>
        </w:rPr>
        <w:t>conllevar cambios relevantes en el perfil beneficio/riesgo, o como resultado de la consecución de un hito importante (farmacovigilancia o minimización de riesgos).</w:t>
      </w:r>
    </w:p>
    <w:p w14:paraId="4DBD3DCC" w14:textId="77777777" w:rsidR="00693925" w:rsidRDefault="00693925" w:rsidP="00E84F80">
      <w:pPr>
        <w:rPr>
          <w:sz w:val="22"/>
          <w:lang w:val="pt-PT"/>
        </w:rPr>
      </w:pPr>
      <w:r>
        <w:rPr>
          <w:sz w:val="22"/>
        </w:rPr>
        <w:br w:type="page"/>
      </w:r>
    </w:p>
    <w:p w14:paraId="6FF89B8A" w14:textId="77777777" w:rsidR="00693925" w:rsidRDefault="00693925" w:rsidP="00E84F80">
      <w:pPr>
        <w:ind w:right="566"/>
        <w:rPr>
          <w:sz w:val="22"/>
          <w:lang w:val="es-ES_tradnl"/>
        </w:rPr>
      </w:pPr>
    </w:p>
    <w:p w14:paraId="2F73F492" w14:textId="77777777" w:rsidR="00693925" w:rsidRDefault="00693925" w:rsidP="00E84F80">
      <w:pPr>
        <w:rPr>
          <w:sz w:val="22"/>
          <w:lang w:val="es-ES_tradnl"/>
        </w:rPr>
      </w:pPr>
    </w:p>
    <w:p w14:paraId="0E7A4D33" w14:textId="77777777" w:rsidR="00693925" w:rsidRDefault="00693925" w:rsidP="00E84F80">
      <w:pPr>
        <w:rPr>
          <w:sz w:val="22"/>
        </w:rPr>
      </w:pPr>
    </w:p>
    <w:p w14:paraId="04F04DEF" w14:textId="77777777" w:rsidR="00693925" w:rsidRDefault="00693925" w:rsidP="00E84F80">
      <w:pPr>
        <w:rPr>
          <w:sz w:val="22"/>
        </w:rPr>
      </w:pPr>
    </w:p>
    <w:p w14:paraId="11EA8A57" w14:textId="77777777" w:rsidR="00693925" w:rsidRDefault="00693925" w:rsidP="00E84F80">
      <w:pPr>
        <w:rPr>
          <w:sz w:val="22"/>
        </w:rPr>
      </w:pPr>
    </w:p>
    <w:p w14:paraId="6DC9EE24" w14:textId="77777777" w:rsidR="00693925" w:rsidRDefault="00693925" w:rsidP="00E84F80">
      <w:pPr>
        <w:rPr>
          <w:sz w:val="22"/>
        </w:rPr>
      </w:pPr>
    </w:p>
    <w:p w14:paraId="76C1C04E" w14:textId="77777777" w:rsidR="00693925" w:rsidRDefault="00693925" w:rsidP="00E84F80">
      <w:pPr>
        <w:rPr>
          <w:sz w:val="22"/>
        </w:rPr>
      </w:pPr>
    </w:p>
    <w:p w14:paraId="01FB5977" w14:textId="77777777" w:rsidR="00693925" w:rsidRDefault="00693925" w:rsidP="00E84F80">
      <w:pPr>
        <w:rPr>
          <w:sz w:val="22"/>
        </w:rPr>
      </w:pPr>
    </w:p>
    <w:p w14:paraId="22A3D7B7" w14:textId="77777777" w:rsidR="00693925" w:rsidRDefault="00693925" w:rsidP="00E84F80">
      <w:pPr>
        <w:rPr>
          <w:sz w:val="22"/>
        </w:rPr>
      </w:pPr>
    </w:p>
    <w:p w14:paraId="029744C7" w14:textId="77777777" w:rsidR="00693925" w:rsidRDefault="00693925" w:rsidP="00E84F80">
      <w:pPr>
        <w:rPr>
          <w:sz w:val="22"/>
        </w:rPr>
      </w:pPr>
    </w:p>
    <w:p w14:paraId="003640BE" w14:textId="77777777" w:rsidR="00693925" w:rsidRDefault="00693925" w:rsidP="00E84F80">
      <w:pPr>
        <w:rPr>
          <w:sz w:val="22"/>
        </w:rPr>
      </w:pPr>
    </w:p>
    <w:p w14:paraId="3C5E6037" w14:textId="77777777" w:rsidR="00693925" w:rsidRDefault="00693925" w:rsidP="00E84F80">
      <w:pPr>
        <w:rPr>
          <w:sz w:val="22"/>
        </w:rPr>
      </w:pPr>
    </w:p>
    <w:p w14:paraId="0B9DE862" w14:textId="77777777" w:rsidR="00693925" w:rsidRDefault="00693925" w:rsidP="00E84F80">
      <w:pPr>
        <w:rPr>
          <w:sz w:val="22"/>
        </w:rPr>
      </w:pPr>
    </w:p>
    <w:p w14:paraId="43E8A8FB" w14:textId="77777777" w:rsidR="00693925" w:rsidRDefault="00693925" w:rsidP="00E84F80">
      <w:pPr>
        <w:rPr>
          <w:sz w:val="22"/>
        </w:rPr>
      </w:pPr>
    </w:p>
    <w:p w14:paraId="4FA7738F" w14:textId="77777777" w:rsidR="00693925" w:rsidRDefault="00693925" w:rsidP="00E84F80">
      <w:pPr>
        <w:rPr>
          <w:sz w:val="22"/>
        </w:rPr>
      </w:pPr>
    </w:p>
    <w:p w14:paraId="66090EA3" w14:textId="77777777" w:rsidR="00693925" w:rsidRDefault="00693925" w:rsidP="00E84F80">
      <w:pPr>
        <w:rPr>
          <w:sz w:val="22"/>
        </w:rPr>
      </w:pPr>
    </w:p>
    <w:p w14:paraId="04836D51" w14:textId="77777777" w:rsidR="00693925" w:rsidRDefault="00693925" w:rsidP="00E84F80">
      <w:pPr>
        <w:rPr>
          <w:sz w:val="22"/>
        </w:rPr>
      </w:pPr>
    </w:p>
    <w:p w14:paraId="410577B2" w14:textId="77777777" w:rsidR="00693925" w:rsidRDefault="00693925" w:rsidP="00E84F80">
      <w:pPr>
        <w:rPr>
          <w:sz w:val="22"/>
        </w:rPr>
      </w:pPr>
    </w:p>
    <w:p w14:paraId="09CDB525" w14:textId="77777777" w:rsidR="00693925" w:rsidRDefault="00693925" w:rsidP="00E84F80">
      <w:pPr>
        <w:rPr>
          <w:sz w:val="22"/>
        </w:rPr>
      </w:pPr>
    </w:p>
    <w:p w14:paraId="33AAF8E0" w14:textId="77777777" w:rsidR="00693925" w:rsidRDefault="00693925" w:rsidP="00E84F80">
      <w:pPr>
        <w:rPr>
          <w:sz w:val="22"/>
        </w:rPr>
      </w:pPr>
    </w:p>
    <w:p w14:paraId="411A7833" w14:textId="77777777" w:rsidR="00693925" w:rsidRDefault="00693925" w:rsidP="00E84F80">
      <w:pPr>
        <w:rPr>
          <w:sz w:val="22"/>
        </w:rPr>
      </w:pPr>
    </w:p>
    <w:p w14:paraId="2F8219AA" w14:textId="77777777" w:rsidR="00693925" w:rsidRDefault="00693925" w:rsidP="00E84F80">
      <w:pPr>
        <w:rPr>
          <w:sz w:val="22"/>
        </w:rPr>
      </w:pPr>
    </w:p>
    <w:p w14:paraId="2D1F6022" w14:textId="77777777" w:rsidR="00693925" w:rsidRDefault="00693925" w:rsidP="009327DC">
      <w:pPr>
        <w:pStyle w:val="Heading8"/>
      </w:pPr>
      <w:r>
        <w:t>ANEXO III</w:t>
      </w:r>
    </w:p>
    <w:p w14:paraId="27B7B5DF" w14:textId="77777777" w:rsidR="00693925" w:rsidRDefault="00693925" w:rsidP="009327DC">
      <w:pPr>
        <w:jc w:val="center"/>
        <w:rPr>
          <w:b/>
          <w:sz w:val="22"/>
        </w:rPr>
      </w:pPr>
    </w:p>
    <w:p w14:paraId="4DC8E45B" w14:textId="77777777" w:rsidR="00693925" w:rsidRDefault="00693925" w:rsidP="009327DC">
      <w:pPr>
        <w:jc w:val="center"/>
        <w:rPr>
          <w:b/>
          <w:sz w:val="22"/>
        </w:rPr>
      </w:pPr>
      <w:r>
        <w:rPr>
          <w:b/>
          <w:sz w:val="22"/>
        </w:rPr>
        <w:t>ETIQUETADO Y PROSPECTO</w:t>
      </w:r>
    </w:p>
    <w:p w14:paraId="2EED67AD" w14:textId="77777777" w:rsidR="00693925" w:rsidRDefault="00693925" w:rsidP="009327DC">
      <w:pPr>
        <w:jc w:val="center"/>
        <w:rPr>
          <w:b/>
          <w:sz w:val="22"/>
        </w:rPr>
      </w:pPr>
    </w:p>
    <w:p w14:paraId="64AF31E9" w14:textId="77777777" w:rsidR="00693925" w:rsidRDefault="00693925" w:rsidP="00E84F80">
      <w:pPr>
        <w:rPr>
          <w:b/>
          <w:sz w:val="22"/>
        </w:rPr>
      </w:pPr>
      <w:r>
        <w:rPr>
          <w:b/>
          <w:sz w:val="22"/>
        </w:rPr>
        <w:br w:type="page"/>
      </w:r>
    </w:p>
    <w:p w14:paraId="301A9E39" w14:textId="77777777" w:rsidR="00693925" w:rsidRDefault="00693925" w:rsidP="00E84F80">
      <w:pPr>
        <w:rPr>
          <w:b/>
          <w:sz w:val="22"/>
        </w:rPr>
      </w:pPr>
    </w:p>
    <w:p w14:paraId="0834BDBD" w14:textId="77777777" w:rsidR="00693925" w:rsidRDefault="00693925" w:rsidP="00E84F80">
      <w:pPr>
        <w:rPr>
          <w:b/>
          <w:sz w:val="22"/>
        </w:rPr>
      </w:pPr>
    </w:p>
    <w:p w14:paraId="6A5FA4A5" w14:textId="77777777" w:rsidR="00693925" w:rsidRDefault="00693925" w:rsidP="00E84F80">
      <w:pPr>
        <w:rPr>
          <w:b/>
          <w:sz w:val="22"/>
        </w:rPr>
      </w:pPr>
    </w:p>
    <w:p w14:paraId="723C357D" w14:textId="77777777" w:rsidR="00693925" w:rsidRDefault="00693925" w:rsidP="00E84F80">
      <w:pPr>
        <w:rPr>
          <w:b/>
          <w:sz w:val="22"/>
        </w:rPr>
      </w:pPr>
    </w:p>
    <w:p w14:paraId="0ADCFDAA" w14:textId="77777777" w:rsidR="00693925" w:rsidRDefault="00693925" w:rsidP="00E84F80">
      <w:pPr>
        <w:rPr>
          <w:b/>
          <w:sz w:val="22"/>
        </w:rPr>
      </w:pPr>
    </w:p>
    <w:p w14:paraId="5AFC22F8" w14:textId="77777777" w:rsidR="00693925" w:rsidRDefault="00693925" w:rsidP="00E84F80">
      <w:pPr>
        <w:rPr>
          <w:b/>
          <w:sz w:val="22"/>
        </w:rPr>
      </w:pPr>
    </w:p>
    <w:p w14:paraId="15D6777C" w14:textId="77777777" w:rsidR="00693925" w:rsidRDefault="00693925" w:rsidP="00E84F80">
      <w:pPr>
        <w:rPr>
          <w:b/>
          <w:sz w:val="22"/>
        </w:rPr>
      </w:pPr>
    </w:p>
    <w:p w14:paraId="5FB29F65" w14:textId="77777777" w:rsidR="00693925" w:rsidRDefault="00693925" w:rsidP="00E84F80">
      <w:pPr>
        <w:rPr>
          <w:b/>
          <w:sz w:val="22"/>
        </w:rPr>
      </w:pPr>
    </w:p>
    <w:p w14:paraId="6299CD3E" w14:textId="77777777" w:rsidR="00693925" w:rsidRDefault="00693925" w:rsidP="00E84F80">
      <w:pPr>
        <w:rPr>
          <w:b/>
          <w:sz w:val="22"/>
        </w:rPr>
      </w:pPr>
    </w:p>
    <w:p w14:paraId="41639E69" w14:textId="77777777" w:rsidR="00693925" w:rsidRDefault="00693925" w:rsidP="00E84F80">
      <w:pPr>
        <w:rPr>
          <w:b/>
          <w:sz w:val="22"/>
        </w:rPr>
      </w:pPr>
    </w:p>
    <w:p w14:paraId="25C108A6" w14:textId="77777777" w:rsidR="00693925" w:rsidRDefault="00693925" w:rsidP="00E84F80">
      <w:pPr>
        <w:rPr>
          <w:b/>
          <w:sz w:val="22"/>
        </w:rPr>
      </w:pPr>
    </w:p>
    <w:p w14:paraId="79758E5C" w14:textId="77777777" w:rsidR="00693925" w:rsidRDefault="00693925" w:rsidP="00E84F80">
      <w:pPr>
        <w:rPr>
          <w:b/>
          <w:sz w:val="22"/>
        </w:rPr>
      </w:pPr>
    </w:p>
    <w:p w14:paraId="2DE35942" w14:textId="77777777" w:rsidR="00693925" w:rsidRDefault="00693925" w:rsidP="00E84F80">
      <w:pPr>
        <w:rPr>
          <w:b/>
          <w:sz w:val="22"/>
        </w:rPr>
      </w:pPr>
    </w:p>
    <w:p w14:paraId="05E3F9F1" w14:textId="77777777" w:rsidR="00693925" w:rsidRDefault="00693925" w:rsidP="00E84F80">
      <w:pPr>
        <w:rPr>
          <w:b/>
          <w:sz w:val="22"/>
        </w:rPr>
      </w:pPr>
    </w:p>
    <w:p w14:paraId="15F85889" w14:textId="77777777" w:rsidR="00693925" w:rsidRDefault="00693925" w:rsidP="00E84F80">
      <w:pPr>
        <w:rPr>
          <w:b/>
          <w:sz w:val="22"/>
        </w:rPr>
      </w:pPr>
    </w:p>
    <w:p w14:paraId="73694C45" w14:textId="77777777" w:rsidR="00693925" w:rsidRDefault="00693925" w:rsidP="00E84F80">
      <w:pPr>
        <w:rPr>
          <w:b/>
          <w:sz w:val="22"/>
        </w:rPr>
      </w:pPr>
    </w:p>
    <w:p w14:paraId="299FDE5E" w14:textId="77777777" w:rsidR="00693925" w:rsidRDefault="00693925" w:rsidP="00E84F80">
      <w:pPr>
        <w:rPr>
          <w:b/>
          <w:sz w:val="22"/>
        </w:rPr>
      </w:pPr>
    </w:p>
    <w:p w14:paraId="752273D1" w14:textId="77777777" w:rsidR="00693925" w:rsidRDefault="00693925" w:rsidP="00E84F80">
      <w:pPr>
        <w:rPr>
          <w:b/>
          <w:sz w:val="22"/>
        </w:rPr>
      </w:pPr>
    </w:p>
    <w:p w14:paraId="45C2178E" w14:textId="77777777" w:rsidR="00693925" w:rsidRDefault="00693925" w:rsidP="00E84F80">
      <w:pPr>
        <w:rPr>
          <w:b/>
          <w:sz w:val="22"/>
        </w:rPr>
      </w:pPr>
    </w:p>
    <w:p w14:paraId="420E7B87" w14:textId="77777777" w:rsidR="00693925" w:rsidRDefault="00693925" w:rsidP="00E84F80">
      <w:pPr>
        <w:rPr>
          <w:b/>
          <w:sz w:val="22"/>
        </w:rPr>
      </w:pPr>
    </w:p>
    <w:p w14:paraId="40A5B4D2" w14:textId="77777777" w:rsidR="00693925" w:rsidRDefault="00693925" w:rsidP="00E84F80">
      <w:pPr>
        <w:rPr>
          <w:b/>
          <w:sz w:val="22"/>
        </w:rPr>
      </w:pPr>
    </w:p>
    <w:p w14:paraId="3016C0C5" w14:textId="77777777" w:rsidR="00693925" w:rsidRDefault="00693925" w:rsidP="00E84F80">
      <w:pPr>
        <w:rPr>
          <w:b/>
          <w:sz w:val="22"/>
        </w:rPr>
      </w:pPr>
    </w:p>
    <w:p w14:paraId="73EE0F4B" w14:textId="77777777" w:rsidR="00693925" w:rsidRPr="00830DF6" w:rsidRDefault="00047025" w:rsidP="00830DF6">
      <w:pPr>
        <w:pStyle w:val="TitleA"/>
      </w:pPr>
      <w:r w:rsidRPr="00830DF6">
        <w:t xml:space="preserve">A. </w:t>
      </w:r>
      <w:r w:rsidR="00693925" w:rsidRPr="00830DF6">
        <w:t>ETIQUETADO</w:t>
      </w:r>
    </w:p>
    <w:p w14:paraId="0ECDA643" w14:textId="77777777" w:rsidR="00693925" w:rsidRDefault="00693925" w:rsidP="00E84F80">
      <w:pPr>
        <w:rPr>
          <w:sz w:val="22"/>
        </w:rPr>
      </w:pPr>
      <w:r>
        <w:rPr>
          <w:b/>
          <w:sz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05F99E9C" w14:textId="77777777">
        <w:trPr>
          <w:trHeight w:val="827"/>
        </w:trPr>
        <w:tc>
          <w:tcPr>
            <w:tcW w:w="9620" w:type="dxa"/>
            <w:tcBorders>
              <w:bottom w:val="single" w:sz="4" w:space="0" w:color="auto"/>
            </w:tcBorders>
          </w:tcPr>
          <w:p w14:paraId="02700F1E" w14:textId="77777777" w:rsidR="00693925" w:rsidRDefault="00693925" w:rsidP="00E84F8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INFORMACIÓN QUE DEBE FIGURAR EN EL EMBALAJE EXTERIOR,</w:t>
            </w:r>
          </w:p>
          <w:p w14:paraId="20009CE9" w14:textId="77777777" w:rsidR="00693925" w:rsidRDefault="00693925" w:rsidP="00E84F80">
            <w:pPr>
              <w:rPr>
                <w:b/>
                <w:sz w:val="22"/>
              </w:rPr>
            </w:pPr>
          </w:p>
          <w:p w14:paraId="5290542A" w14:textId="77777777" w:rsidR="00693925" w:rsidRDefault="00693925" w:rsidP="00E84F8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TEXTO DEL ESTUCHE</w:t>
            </w:r>
          </w:p>
        </w:tc>
      </w:tr>
    </w:tbl>
    <w:p w14:paraId="544687DC" w14:textId="77777777" w:rsidR="00693925" w:rsidRDefault="00693925" w:rsidP="00E84F80">
      <w:pPr>
        <w:rPr>
          <w:sz w:val="22"/>
        </w:rPr>
      </w:pPr>
    </w:p>
    <w:p w14:paraId="30D6DDD0" w14:textId="77777777" w:rsidR="00693925" w:rsidRDefault="00693925" w:rsidP="00E84F8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5BDAA372" w14:textId="77777777">
        <w:tc>
          <w:tcPr>
            <w:tcW w:w="9620" w:type="dxa"/>
          </w:tcPr>
          <w:p w14:paraId="3E0834B4" w14:textId="77777777" w:rsidR="00693925" w:rsidRDefault="00693925" w:rsidP="00E84F80">
            <w:pPr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z w:val="22"/>
              </w:rPr>
              <w:tab/>
            </w:r>
            <w:r w:rsidR="001910A5">
              <w:rPr>
                <w:b/>
                <w:sz w:val="22"/>
              </w:rPr>
              <w:t xml:space="preserve">NOMBRE </w:t>
            </w:r>
            <w:r>
              <w:rPr>
                <w:b/>
                <w:sz w:val="22"/>
              </w:rPr>
              <w:t>DEL MEDICAMENTO</w:t>
            </w:r>
          </w:p>
        </w:tc>
      </w:tr>
    </w:tbl>
    <w:p w14:paraId="6DBD463F" w14:textId="77777777" w:rsidR="00693925" w:rsidRDefault="00693925" w:rsidP="00E84F80">
      <w:pPr>
        <w:rPr>
          <w:sz w:val="22"/>
        </w:rPr>
      </w:pPr>
    </w:p>
    <w:p w14:paraId="113CC611" w14:textId="2C892E44" w:rsidR="00693925" w:rsidRDefault="00EA201D" w:rsidP="00E84F80">
      <w:pPr>
        <w:rPr>
          <w:sz w:val="22"/>
        </w:rPr>
      </w:pPr>
      <w:r>
        <w:rPr>
          <w:sz w:val="22"/>
        </w:rPr>
        <w:t>Teriparatida</w:t>
      </w:r>
      <w:r w:rsidR="00C146F3">
        <w:rPr>
          <w:sz w:val="22"/>
        </w:rPr>
        <w:t xml:space="preserve"> SUN</w:t>
      </w:r>
      <w:r w:rsidR="001910A5">
        <w:rPr>
          <w:sz w:val="22"/>
        </w:rPr>
        <w:t xml:space="preserve"> </w:t>
      </w:r>
      <w:r w:rsidR="00693925">
        <w:rPr>
          <w:sz w:val="22"/>
        </w:rPr>
        <w:t>20 microgramos/80 microlitros solución inyectable en pluma precargada</w:t>
      </w:r>
    </w:p>
    <w:p w14:paraId="6387324C" w14:textId="77777777" w:rsidR="00693925" w:rsidRDefault="00EC399F" w:rsidP="00E84F80">
      <w:pPr>
        <w:rPr>
          <w:sz w:val="22"/>
        </w:rPr>
      </w:pPr>
      <w:r>
        <w:rPr>
          <w:sz w:val="22"/>
        </w:rPr>
        <w:t>t</w:t>
      </w:r>
      <w:r w:rsidR="00693925">
        <w:rPr>
          <w:sz w:val="22"/>
        </w:rPr>
        <w:t>eriparatida</w:t>
      </w:r>
    </w:p>
    <w:p w14:paraId="54A16952" w14:textId="77777777" w:rsidR="00693925" w:rsidRDefault="00693925" w:rsidP="00E84F80">
      <w:pPr>
        <w:rPr>
          <w:sz w:val="22"/>
        </w:rPr>
      </w:pPr>
    </w:p>
    <w:p w14:paraId="4F525537" w14:textId="77777777" w:rsidR="00693925" w:rsidRDefault="00693925" w:rsidP="00E84F8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1062EDEB" w14:textId="77777777">
        <w:tc>
          <w:tcPr>
            <w:tcW w:w="9620" w:type="dxa"/>
          </w:tcPr>
          <w:p w14:paraId="249C046F" w14:textId="77777777" w:rsidR="00693925" w:rsidRDefault="00693925" w:rsidP="00E84F80">
            <w:pPr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z w:val="22"/>
              </w:rPr>
              <w:tab/>
              <w:t>PRINCIPIO(S) ACTIVO(S)</w:t>
            </w:r>
          </w:p>
        </w:tc>
      </w:tr>
    </w:tbl>
    <w:p w14:paraId="3E4E10CF" w14:textId="77777777" w:rsidR="00693925" w:rsidRDefault="00693925" w:rsidP="00E84F80">
      <w:pPr>
        <w:rPr>
          <w:sz w:val="22"/>
        </w:rPr>
      </w:pPr>
    </w:p>
    <w:p w14:paraId="53E7B721" w14:textId="77777777" w:rsidR="00693925" w:rsidRDefault="00693925" w:rsidP="00E84F80">
      <w:pPr>
        <w:rPr>
          <w:sz w:val="22"/>
        </w:rPr>
      </w:pPr>
      <w:r>
        <w:rPr>
          <w:sz w:val="22"/>
        </w:rPr>
        <w:t xml:space="preserve">Cada </w:t>
      </w:r>
      <w:r w:rsidR="005271F1">
        <w:rPr>
          <w:sz w:val="22"/>
        </w:rPr>
        <w:t xml:space="preserve">pluma precargada de 2,4 </w:t>
      </w:r>
      <w:r>
        <w:rPr>
          <w:sz w:val="22"/>
        </w:rPr>
        <w:t xml:space="preserve">ml contiene </w:t>
      </w:r>
      <w:r w:rsidR="005271F1">
        <w:rPr>
          <w:sz w:val="22"/>
        </w:rPr>
        <w:t xml:space="preserve">600 microgramos de teriparatida (correspondientes a </w:t>
      </w:r>
      <w:r>
        <w:rPr>
          <w:sz w:val="22"/>
        </w:rPr>
        <w:t xml:space="preserve">250 microgramos </w:t>
      </w:r>
      <w:r w:rsidR="005271F1">
        <w:rPr>
          <w:sz w:val="22"/>
        </w:rPr>
        <w:t>por ml)</w:t>
      </w:r>
    </w:p>
    <w:p w14:paraId="7B695656" w14:textId="77777777" w:rsidR="00693925" w:rsidRDefault="00693925" w:rsidP="00E84F80">
      <w:pPr>
        <w:rPr>
          <w:sz w:val="22"/>
        </w:rPr>
      </w:pPr>
    </w:p>
    <w:p w14:paraId="132209EC" w14:textId="77777777" w:rsidR="00693925" w:rsidRDefault="00693925" w:rsidP="00E84F8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7A04F795" w14:textId="77777777">
        <w:tc>
          <w:tcPr>
            <w:tcW w:w="9620" w:type="dxa"/>
          </w:tcPr>
          <w:p w14:paraId="1BE34CC6" w14:textId="77777777" w:rsidR="00693925" w:rsidRDefault="00693925" w:rsidP="00E84F80">
            <w:pPr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z w:val="22"/>
              </w:rPr>
              <w:tab/>
              <w:t>LISTA DE EXCIPIENTES</w:t>
            </w:r>
          </w:p>
        </w:tc>
      </w:tr>
    </w:tbl>
    <w:p w14:paraId="2B9AFD0D" w14:textId="77777777" w:rsidR="00693925" w:rsidRDefault="00693925" w:rsidP="00E84F80">
      <w:pPr>
        <w:rPr>
          <w:sz w:val="22"/>
        </w:rPr>
      </w:pPr>
    </w:p>
    <w:p w14:paraId="72A49460" w14:textId="77777777" w:rsidR="00C81E8E" w:rsidRDefault="005271F1" w:rsidP="00E84F80">
      <w:pPr>
        <w:rPr>
          <w:sz w:val="22"/>
        </w:rPr>
      </w:pPr>
      <w:r>
        <w:rPr>
          <w:sz w:val="22"/>
        </w:rPr>
        <w:t>Excipientes: á</w:t>
      </w:r>
      <w:r w:rsidR="00693925">
        <w:rPr>
          <w:sz w:val="22"/>
        </w:rPr>
        <w:t>cido acético glacial</w:t>
      </w:r>
      <w:r>
        <w:rPr>
          <w:sz w:val="22"/>
        </w:rPr>
        <w:t xml:space="preserve"> (E260)</w:t>
      </w:r>
      <w:r w:rsidR="00693925">
        <w:rPr>
          <w:sz w:val="22"/>
        </w:rPr>
        <w:t>, acetato de sodio anhidro</w:t>
      </w:r>
      <w:r>
        <w:rPr>
          <w:sz w:val="22"/>
        </w:rPr>
        <w:t xml:space="preserve"> (E262</w:t>
      </w:r>
      <w:r w:rsidR="00693925">
        <w:rPr>
          <w:sz w:val="22"/>
        </w:rPr>
        <w:t>), manitol</w:t>
      </w:r>
      <w:r>
        <w:rPr>
          <w:sz w:val="22"/>
        </w:rPr>
        <w:t xml:space="preserve"> (E421)</w:t>
      </w:r>
      <w:r w:rsidR="00693925">
        <w:rPr>
          <w:sz w:val="22"/>
        </w:rPr>
        <w:t xml:space="preserve">, </w:t>
      </w:r>
      <w:proofErr w:type="spellStart"/>
      <w:r w:rsidR="00693925">
        <w:rPr>
          <w:sz w:val="22"/>
        </w:rPr>
        <w:t>metacresol</w:t>
      </w:r>
      <w:proofErr w:type="spellEnd"/>
      <w:r w:rsidR="00693925">
        <w:rPr>
          <w:sz w:val="22"/>
        </w:rPr>
        <w:t xml:space="preserve">, ácido clorhídrico </w:t>
      </w:r>
      <w:r>
        <w:rPr>
          <w:sz w:val="22"/>
        </w:rPr>
        <w:t xml:space="preserve">(para ajustar el pH) (E507), </w:t>
      </w:r>
      <w:r w:rsidR="00693925">
        <w:rPr>
          <w:sz w:val="22"/>
        </w:rPr>
        <w:t>hidróxido de sodio (</w:t>
      </w:r>
      <w:r w:rsidR="002562CF">
        <w:rPr>
          <w:sz w:val="22"/>
        </w:rPr>
        <w:t>para ajustar el pH</w:t>
      </w:r>
      <w:r w:rsidR="00693925">
        <w:rPr>
          <w:sz w:val="22"/>
        </w:rPr>
        <w:t>)</w:t>
      </w:r>
      <w:r>
        <w:rPr>
          <w:sz w:val="22"/>
        </w:rPr>
        <w:t xml:space="preserve"> (E524) y </w:t>
      </w:r>
      <w:r w:rsidRPr="005271F1">
        <w:rPr>
          <w:sz w:val="22"/>
        </w:rPr>
        <w:t xml:space="preserve">agua para </w:t>
      </w:r>
      <w:r w:rsidRPr="005271F1">
        <w:rPr>
          <w:sz w:val="22"/>
          <w:lang w:val="es-ES_tradnl"/>
        </w:rPr>
        <w:t>preparaciones inyectables</w:t>
      </w:r>
      <w:r w:rsidR="00693925">
        <w:rPr>
          <w:sz w:val="22"/>
        </w:rPr>
        <w:t>.</w:t>
      </w:r>
      <w:r>
        <w:rPr>
          <w:sz w:val="22"/>
        </w:rPr>
        <w:t xml:space="preserve"> </w:t>
      </w:r>
    </w:p>
    <w:p w14:paraId="73EAA12E" w14:textId="3723C761" w:rsidR="00693925" w:rsidRDefault="005271F1" w:rsidP="00E84F80">
      <w:pPr>
        <w:rPr>
          <w:sz w:val="22"/>
        </w:rPr>
      </w:pPr>
      <w:r>
        <w:rPr>
          <w:sz w:val="22"/>
        </w:rPr>
        <w:t>Para mayor informaci</w:t>
      </w:r>
      <w:r w:rsidR="005D3657">
        <w:rPr>
          <w:sz w:val="22"/>
        </w:rPr>
        <w:t>ón consultar</w:t>
      </w:r>
      <w:r>
        <w:rPr>
          <w:sz w:val="22"/>
        </w:rPr>
        <w:t xml:space="preserve"> el prospecto.</w:t>
      </w:r>
    </w:p>
    <w:p w14:paraId="0B364A2A" w14:textId="77777777" w:rsidR="00693925" w:rsidRDefault="00693925" w:rsidP="00E84F80">
      <w:pPr>
        <w:rPr>
          <w:sz w:val="22"/>
        </w:rPr>
      </w:pPr>
    </w:p>
    <w:p w14:paraId="3CC7E8D4" w14:textId="77777777" w:rsidR="00693925" w:rsidRDefault="00693925" w:rsidP="00E84F8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7DA778AC" w14:textId="77777777">
        <w:tc>
          <w:tcPr>
            <w:tcW w:w="9620" w:type="dxa"/>
          </w:tcPr>
          <w:p w14:paraId="5C3BD000" w14:textId="77777777" w:rsidR="00693925" w:rsidRDefault="00693925" w:rsidP="00E84F80">
            <w:pPr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z w:val="22"/>
              </w:rPr>
              <w:tab/>
              <w:t>FORMA FARMACÉUTICA Y CONTENIDO DEL ENVASE</w:t>
            </w:r>
          </w:p>
        </w:tc>
      </w:tr>
    </w:tbl>
    <w:p w14:paraId="1CCD552C" w14:textId="77777777" w:rsidR="00693925" w:rsidRDefault="00693925" w:rsidP="00E84F80">
      <w:pPr>
        <w:rPr>
          <w:sz w:val="22"/>
        </w:rPr>
      </w:pPr>
    </w:p>
    <w:p w14:paraId="1D1009F5" w14:textId="25C0A964" w:rsidR="00C713DE" w:rsidRDefault="00693925" w:rsidP="00E84F80">
      <w:pPr>
        <w:rPr>
          <w:sz w:val="22"/>
        </w:rPr>
      </w:pPr>
      <w:r>
        <w:rPr>
          <w:sz w:val="22"/>
        </w:rPr>
        <w:t>Solución inyectable</w:t>
      </w:r>
    </w:p>
    <w:p w14:paraId="0C49480A" w14:textId="364C02B1" w:rsidR="002562CF" w:rsidRDefault="00693925" w:rsidP="00E84F80">
      <w:pPr>
        <w:rPr>
          <w:sz w:val="22"/>
        </w:rPr>
      </w:pPr>
      <w:r>
        <w:rPr>
          <w:sz w:val="22"/>
        </w:rPr>
        <w:t xml:space="preserve"> </w:t>
      </w:r>
    </w:p>
    <w:p w14:paraId="725D4CF2" w14:textId="77777777" w:rsidR="00693925" w:rsidRDefault="00693925" w:rsidP="00E84F80">
      <w:pPr>
        <w:rPr>
          <w:sz w:val="22"/>
        </w:rPr>
      </w:pPr>
      <w:r>
        <w:rPr>
          <w:sz w:val="22"/>
        </w:rPr>
        <w:t xml:space="preserve">1 pluma </w:t>
      </w:r>
      <w:r w:rsidR="005D3657">
        <w:rPr>
          <w:sz w:val="22"/>
        </w:rPr>
        <w:t>precargada (28 dosis)</w:t>
      </w:r>
    </w:p>
    <w:p w14:paraId="005DCB4A" w14:textId="77777777" w:rsidR="001910A5" w:rsidRDefault="001910A5" w:rsidP="00E84F80">
      <w:pPr>
        <w:rPr>
          <w:sz w:val="22"/>
        </w:rPr>
      </w:pPr>
      <w:r w:rsidRPr="00BC4AC8">
        <w:rPr>
          <w:sz w:val="22"/>
          <w:highlight w:val="lightGray"/>
        </w:rPr>
        <w:t xml:space="preserve">3 plumas </w:t>
      </w:r>
      <w:r w:rsidR="005D3657">
        <w:rPr>
          <w:sz w:val="22"/>
          <w:highlight w:val="lightGray"/>
        </w:rPr>
        <w:t>precargadas (3 x 28 dosis)</w:t>
      </w:r>
    </w:p>
    <w:p w14:paraId="294C9499" w14:textId="77777777" w:rsidR="001910A5" w:rsidRDefault="001910A5" w:rsidP="00E84F80">
      <w:pPr>
        <w:rPr>
          <w:sz w:val="22"/>
        </w:rPr>
      </w:pPr>
    </w:p>
    <w:p w14:paraId="79ED8CB1" w14:textId="77777777" w:rsidR="00693925" w:rsidRDefault="00693925" w:rsidP="00E84F80">
      <w:pPr>
        <w:rPr>
          <w:sz w:val="22"/>
        </w:rPr>
      </w:pPr>
      <w:r>
        <w:rPr>
          <w:sz w:val="22"/>
        </w:rPr>
        <w:t>Cada pluma contiene 28 dosis de 20</w:t>
      </w:r>
      <w:r w:rsidR="005F49A6">
        <w:rPr>
          <w:sz w:val="22"/>
        </w:rPr>
        <w:t> </w:t>
      </w:r>
      <w:r>
        <w:rPr>
          <w:sz w:val="22"/>
        </w:rPr>
        <w:t>microgramos (por 80 microlitros).</w:t>
      </w:r>
    </w:p>
    <w:p w14:paraId="293B6C18" w14:textId="77777777" w:rsidR="00693925" w:rsidRDefault="00693925" w:rsidP="00E84F80">
      <w:pPr>
        <w:rPr>
          <w:sz w:val="22"/>
        </w:rPr>
      </w:pPr>
    </w:p>
    <w:p w14:paraId="67AEB00E" w14:textId="77777777" w:rsidR="00693925" w:rsidRDefault="00693925" w:rsidP="00E84F8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5A0C73F7" w14:textId="77777777">
        <w:tc>
          <w:tcPr>
            <w:tcW w:w="9620" w:type="dxa"/>
          </w:tcPr>
          <w:p w14:paraId="33A4F309" w14:textId="77777777" w:rsidR="00693925" w:rsidRDefault="00693925" w:rsidP="00E84F80">
            <w:pPr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z w:val="22"/>
              </w:rPr>
              <w:tab/>
              <w:t>FORMA Y VÍA(S) DE ADMINISTRACIÓN</w:t>
            </w:r>
          </w:p>
        </w:tc>
      </w:tr>
    </w:tbl>
    <w:p w14:paraId="2AC9A073" w14:textId="77777777" w:rsidR="00693925" w:rsidRDefault="00693925" w:rsidP="00E84F80">
      <w:pPr>
        <w:rPr>
          <w:sz w:val="22"/>
        </w:rPr>
      </w:pPr>
    </w:p>
    <w:p w14:paraId="141D2DD4" w14:textId="77777777" w:rsidR="00693925" w:rsidRDefault="002562CF" w:rsidP="00E84F80">
      <w:pPr>
        <w:rPr>
          <w:sz w:val="22"/>
        </w:rPr>
      </w:pPr>
      <w:r>
        <w:rPr>
          <w:sz w:val="22"/>
        </w:rPr>
        <w:t>Leer el prospecto antes de utilizar este medicamento</w:t>
      </w:r>
      <w:r w:rsidR="00FF1EE8">
        <w:rPr>
          <w:sz w:val="22"/>
        </w:rPr>
        <w:t>.</w:t>
      </w:r>
    </w:p>
    <w:p w14:paraId="3E73CD85" w14:textId="77777777" w:rsidR="00693925" w:rsidRDefault="002562CF" w:rsidP="00E84F80">
      <w:pPr>
        <w:rPr>
          <w:sz w:val="22"/>
        </w:rPr>
      </w:pPr>
      <w:r>
        <w:rPr>
          <w:sz w:val="22"/>
        </w:rPr>
        <w:t>Vía subcutánea</w:t>
      </w:r>
    </w:p>
    <w:p w14:paraId="7BA0474C" w14:textId="77777777" w:rsidR="00693925" w:rsidRDefault="00693925" w:rsidP="00E84F8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6E282850" w14:textId="77777777">
        <w:tc>
          <w:tcPr>
            <w:tcW w:w="9620" w:type="dxa"/>
          </w:tcPr>
          <w:p w14:paraId="4EDC2299" w14:textId="77777777" w:rsidR="00693925" w:rsidRDefault="00693925" w:rsidP="00E84F80">
            <w:pPr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  <w:r>
              <w:rPr>
                <w:b/>
                <w:sz w:val="22"/>
              </w:rPr>
              <w:tab/>
              <w:t xml:space="preserve">ADVERTENCIA ESPECIAL DE QUE EL MEDICAMENTO DEBE MANTENERSE FUERA DE </w:t>
            </w:r>
            <w:smartTag w:uri="urn:schemas-microsoft-com:office:smarttags" w:element="PersonName">
              <w:smartTagPr>
                <w:attr w:name="ProductID" w:val="LA VISTA Y"/>
              </w:smartTagPr>
              <w:r>
                <w:rPr>
                  <w:b/>
                  <w:sz w:val="22"/>
                </w:rPr>
                <w:t>LA VISTA Y</w:t>
              </w:r>
            </w:smartTag>
            <w:r>
              <w:rPr>
                <w:b/>
                <w:sz w:val="22"/>
              </w:rPr>
              <w:t xml:space="preserve"> DEL ALCANCE DE LOS NIÑOS</w:t>
            </w:r>
          </w:p>
        </w:tc>
      </w:tr>
    </w:tbl>
    <w:p w14:paraId="159F7203" w14:textId="77777777" w:rsidR="00693925" w:rsidRDefault="00693925" w:rsidP="00E84F80">
      <w:pPr>
        <w:rPr>
          <w:sz w:val="22"/>
        </w:rPr>
      </w:pPr>
    </w:p>
    <w:p w14:paraId="20E594C4" w14:textId="77777777" w:rsidR="00693925" w:rsidRDefault="00693925" w:rsidP="00E84F80">
      <w:pPr>
        <w:rPr>
          <w:sz w:val="22"/>
        </w:rPr>
      </w:pPr>
      <w:r>
        <w:rPr>
          <w:sz w:val="22"/>
        </w:rPr>
        <w:t>Mantener fuera de</w:t>
      </w:r>
      <w:r w:rsidR="002562CF">
        <w:rPr>
          <w:sz w:val="22"/>
        </w:rPr>
        <w:t xml:space="preserve"> </w:t>
      </w:r>
      <w:r>
        <w:rPr>
          <w:sz w:val="22"/>
        </w:rPr>
        <w:t>l</w:t>
      </w:r>
      <w:r w:rsidR="002562CF">
        <w:rPr>
          <w:sz w:val="22"/>
        </w:rPr>
        <w:t>a vista y del</w:t>
      </w:r>
      <w:r>
        <w:rPr>
          <w:sz w:val="22"/>
        </w:rPr>
        <w:t xml:space="preserve"> alcance de los niños.</w:t>
      </w:r>
    </w:p>
    <w:p w14:paraId="2288D51C" w14:textId="77777777" w:rsidR="00693925" w:rsidRDefault="00693925" w:rsidP="00E84F80">
      <w:pPr>
        <w:rPr>
          <w:sz w:val="22"/>
        </w:rPr>
      </w:pPr>
    </w:p>
    <w:p w14:paraId="76644598" w14:textId="77777777" w:rsidR="00693925" w:rsidRDefault="00693925" w:rsidP="00E84F8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3EB8C8BE" w14:textId="77777777">
        <w:tc>
          <w:tcPr>
            <w:tcW w:w="9620" w:type="dxa"/>
          </w:tcPr>
          <w:p w14:paraId="7FCEE1C9" w14:textId="77777777" w:rsidR="00693925" w:rsidRDefault="00693925" w:rsidP="00E84F80">
            <w:pPr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b/>
                <w:sz w:val="22"/>
              </w:rPr>
              <w:tab/>
              <w:t>OTRAS ADVERTENCIAS ESPECIALES, SI ES NECESARIO</w:t>
            </w:r>
          </w:p>
        </w:tc>
      </w:tr>
    </w:tbl>
    <w:p w14:paraId="51F9EA14" w14:textId="77777777" w:rsidR="00693925" w:rsidRDefault="00693925" w:rsidP="00E84F80">
      <w:pPr>
        <w:rPr>
          <w:sz w:val="22"/>
        </w:rPr>
      </w:pPr>
    </w:p>
    <w:p w14:paraId="7B95DEEC" w14:textId="77777777" w:rsidR="00F60569" w:rsidRDefault="00F60569" w:rsidP="00E84F8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796C9C92" w14:textId="77777777">
        <w:tc>
          <w:tcPr>
            <w:tcW w:w="9620" w:type="dxa"/>
          </w:tcPr>
          <w:p w14:paraId="3F9605E3" w14:textId="77777777" w:rsidR="00693925" w:rsidRDefault="00693925" w:rsidP="00F60569">
            <w:pPr>
              <w:keepNext/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8.</w:t>
            </w:r>
            <w:r>
              <w:rPr>
                <w:b/>
                <w:sz w:val="22"/>
              </w:rPr>
              <w:tab/>
              <w:t>FECHA DE CADUCIDAD</w:t>
            </w:r>
          </w:p>
        </w:tc>
      </w:tr>
    </w:tbl>
    <w:p w14:paraId="56BF7557" w14:textId="77777777" w:rsidR="00693925" w:rsidRDefault="00693925" w:rsidP="00F60569">
      <w:pPr>
        <w:keepNext/>
        <w:rPr>
          <w:sz w:val="22"/>
        </w:rPr>
      </w:pPr>
    </w:p>
    <w:p w14:paraId="0A055E74" w14:textId="77777777" w:rsidR="00693925" w:rsidRDefault="008B7759" w:rsidP="00F60569">
      <w:pPr>
        <w:keepNext/>
        <w:rPr>
          <w:sz w:val="22"/>
          <w:lang w:val="nl-NL"/>
        </w:rPr>
      </w:pPr>
      <w:r>
        <w:rPr>
          <w:sz w:val="22"/>
          <w:lang w:val="nl-NL"/>
        </w:rPr>
        <w:t>EXP</w:t>
      </w:r>
      <w:r w:rsidR="00693925">
        <w:rPr>
          <w:sz w:val="22"/>
          <w:lang w:val="nl-NL"/>
        </w:rPr>
        <w:t xml:space="preserve"> </w:t>
      </w:r>
    </w:p>
    <w:p w14:paraId="0B05456F" w14:textId="77777777" w:rsidR="00693925" w:rsidRDefault="00693925" w:rsidP="00E84F80">
      <w:pPr>
        <w:rPr>
          <w:sz w:val="22"/>
        </w:rPr>
      </w:pPr>
      <w:r>
        <w:rPr>
          <w:sz w:val="22"/>
        </w:rPr>
        <w:t>La pluma debe ser desechada a los 28 días de su primera utilización.</w:t>
      </w:r>
    </w:p>
    <w:p w14:paraId="64457D20" w14:textId="77777777" w:rsidR="00693925" w:rsidRDefault="00693925" w:rsidP="00E84F80">
      <w:pPr>
        <w:rPr>
          <w:sz w:val="22"/>
        </w:rPr>
      </w:pPr>
      <w:r>
        <w:rPr>
          <w:sz w:val="22"/>
        </w:rPr>
        <w:t>Fecha de su primera utilización:</w:t>
      </w:r>
    </w:p>
    <w:p w14:paraId="58DE319B" w14:textId="77777777" w:rsidR="00693925" w:rsidRDefault="00693925" w:rsidP="00E84F80">
      <w:pPr>
        <w:rPr>
          <w:sz w:val="22"/>
        </w:rPr>
      </w:pPr>
    </w:p>
    <w:p w14:paraId="5F21E03F" w14:textId="77777777" w:rsidR="00693925" w:rsidRPr="00BD0030" w:rsidRDefault="00693925" w:rsidP="00E84F80">
      <w:pPr>
        <w:rPr>
          <w:sz w:val="22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18B46B06" w14:textId="77777777">
        <w:tc>
          <w:tcPr>
            <w:tcW w:w="9620" w:type="dxa"/>
          </w:tcPr>
          <w:p w14:paraId="31A4C208" w14:textId="77777777" w:rsidR="00693925" w:rsidRDefault="00693925" w:rsidP="00E84F80">
            <w:pPr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  <w:r>
              <w:rPr>
                <w:b/>
                <w:sz w:val="22"/>
              </w:rPr>
              <w:tab/>
              <w:t>CONDICIONES ESPECIALES DE CONSERVACIÓN</w:t>
            </w:r>
          </w:p>
        </w:tc>
      </w:tr>
    </w:tbl>
    <w:p w14:paraId="5C7A8EE8" w14:textId="77777777" w:rsidR="00693925" w:rsidRDefault="00693925" w:rsidP="00E84F80">
      <w:pPr>
        <w:rPr>
          <w:sz w:val="22"/>
        </w:rPr>
      </w:pPr>
    </w:p>
    <w:p w14:paraId="64C9504B" w14:textId="6B2F2E21" w:rsidR="00693925" w:rsidRDefault="00693925" w:rsidP="00E84F80">
      <w:pPr>
        <w:rPr>
          <w:sz w:val="22"/>
        </w:rPr>
      </w:pPr>
      <w:r>
        <w:rPr>
          <w:sz w:val="22"/>
        </w:rPr>
        <w:t xml:space="preserve">Conservar </w:t>
      </w:r>
      <w:r w:rsidR="00FF1EE8">
        <w:rPr>
          <w:sz w:val="22"/>
        </w:rPr>
        <w:t>en nevera</w:t>
      </w:r>
      <w:r w:rsidR="00C81E8E">
        <w:rPr>
          <w:sz w:val="22"/>
        </w:rPr>
        <w:t xml:space="preserve"> </w:t>
      </w:r>
      <w:r w:rsidR="00C81E8E" w:rsidRPr="00C81E8E">
        <w:rPr>
          <w:sz w:val="22"/>
        </w:rPr>
        <w:t>(2°C – 8°C)</w:t>
      </w:r>
      <w:r w:rsidR="00CB4AE2">
        <w:rPr>
          <w:sz w:val="22"/>
        </w:rPr>
        <w:t>.</w:t>
      </w:r>
    </w:p>
    <w:p w14:paraId="1A1A2A4F" w14:textId="0C0988CD" w:rsidR="00693925" w:rsidRDefault="00693925" w:rsidP="00E84F80">
      <w:pPr>
        <w:rPr>
          <w:sz w:val="22"/>
        </w:rPr>
      </w:pPr>
      <w:r>
        <w:rPr>
          <w:sz w:val="22"/>
        </w:rPr>
        <w:t>No congelar</w:t>
      </w:r>
      <w:r w:rsidR="00CB4AE2">
        <w:rPr>
          <w:sz w:val="22"/>
        </w:rPr>
        <w:t>.</w:t>
      </w:r>
    </w:p>
    <w:p w14:paraId="5C5ABDE9" w14:textId="2D0E9163" w:rsidR="00C81E8E" w:rsidRDefault="00C81E8E" w:rsidP="00E84F80">
      <w:pPr>
        <w:rPr>
          <w:sz w:val="22"/>
        </w:rPr>
      </w:pPr>
      <w:r w:rsidRPr="00C81E8E">
        <w:rPr>
          <w:sz w:val="22"/>
        </w:rPr>
        <w:t>El producto puede conservarse antes de la primera apertura a 25°C durante 24 horas</w:t>
      </w:r>
      <w:r w:rsidR="00CB4AE2">
        <w:rPr>
          <w:sz w:val="22"/>
        </w:rPr>
        <w:t>.</w:t>
      </w:r>
    </w:p>
    <w:p w14:paraId="78D5E31A" w14:textId="77777777" w:rsidR="00693925" w:rsidRDefault="00693925" w:rsidP="00E84F80">
      <w:pPr>
        <w:rPr>
          <w:sz w:val="22"/>
        </w:rPr>
      </w:pPr>
    </w:p>
    <w:p w14:paraId="40764472" w14:textId="77777777" w:rsidR="00693925" w:rsidRDefault="00693925" w:rsidP="00E84F8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102C3E87" w14:textId="77777777">
        <w:tc>
          <w:tcPr>
            <w:tcW w:w="9620" w:type="dxa"/>
          </w:tcPr>
          <w:p w14:paraId="142CA7C0" w14:textId="77777777" w:rsidR="00693925" w:rsidRDefault="00693925" w:rsidP="00E84F80">
            <w:pPr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10.</w:t>
            </w:r>
            <w:r>
              <w:rPr>
                <w:b/>
                <w:sz w:val="22"/>
              </w:rPr>
              <w:tab/>
              <w:t xml:space="preserve">PRECAUCIONES ESPECIALES DE ELIMINACIÓN DEL </w:t>
            </w:r>
            <w:r w:rsidR="00FF1EE8">
              <w:rPr>
                <w:b/>
                <w:sz w:val="22"/>
              </w:rPr>
              <w:t xml:space="preserve">MEDICAMENTO </w:t>
            </w:r>
            <w:r>
              <w:rPr>
                <w:b/>
                <w:sz w:val="22"/>
              </w:rPr>
              <w:t xml:space="preserve">NO UTILIZADO </w:t>
            </w:r>
            <w:r w:rsidR="00FF1EE8">
              <w:rPr>
                <w:b/>
                <w:sz w:val="22"/>
              </w:rPr>
              <w:t xml:space="preserve">Y </w:t>
            </w:r>
            <w:r>
              <w:rPr>
                <w:b/>
                <w:sz w:val="22"/>
              </w:rPr>
              <w:t xml:space="preserve">DE LOS MATERIALES </w:t>
            </w:r>
            <w:r w:rsidR="00FF1EE8">
              <w:rPr>
                <w:b/>
                <w:sz w:val="22"/>
              </w:rPr>
              <w:t>DERIVADOS DE SU USO</w:t>
            </w:r>
            <w:r>
              <w:rPr>
                <w:b/>
                <w:sz w:val="22"/>
              </w:rPr>
              <w:t xml:space="preserve"> (CUANDO CORRESPONDA)</w:t>
            </w:r>
          </w:p>
        </w:tc>
      </w:tr>
    </w:tbl>
    <w:p w14:paraId="0C67895A" w14:textId="77777777" w:rsidR="00693925" w:rsidRDefault="00693925" w:rsidP="00E84F80">
      <w:pPr>
        <w:rPr>
          <w:sz w:val="22"/>
        </w:rPr>
      </w:pPr>
    </w:p>
    <w:p w14:paraId="7B0D0008" w14:textId="77777777" w:rsidR="00693925" w:rsidRDefault="00693925" w:rsidP="00E84F8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41B882A4" w14:textId="77777777">
        <w:tc>
          <w:tcPr>
            <w:tcW w:w="9620" w:type="dxa"/>
          </w:tcPr>
          <w:p w14:paraId="3CC737E8" w14:textId="77777777" w:rsidR="00693925" w:rsidRDefault="00693925" w:rsidP="00E84F80">
            <w:pPr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  <w:r>
              <w:rPr>
                <w:b/>
                <w:sz w:val="22"/>
              </w:rPr>
              <w:tab/>
              <w:t xml:space="preserve">NOMBRE Y DIRECCIÓN DEL TITULAR DE </w:t>
            </w:r>
            <w:smartTag w:uri="urn:schemas-microsoft-com:office:smarttags" w:element="PersonName">
              <w:smartTagPr>
                <w:attr w:name="ProductID" w:val="LA AUTORIZACIￓN DE"/>
              </w:smartTagPr>
              <w:r>
                <w:rPr>
                  <w:b/>
                  <w:sz w:val="22"/>
                </w:rPr>
                <w:t>LA AUTORIZACIÓN DE</w:t>
              </w:r>
            </w:smartTag>
            <w:r>
              <w:rPr>
                <w:b/>
                <w:sz w:val="22"/>
              </w:rPr>
              <w:t xml:space="preserve"> COMERCIALIZACIÓN</w:t>
            </w:r>
          </w:p>
        </w:tc>
      </w:tr>
    </w:tbl>
    <w:p w14:paraId="5E78B2BB" w14:textId="77777777" w:rsidR="00693925" w:rsidRDefault="00693925" w:rsidP="00E84F80">
      <w:pPr>
        <w:rPr>
          <w:sz w:val="22"/>
        </w:rPr>
      </w:pPr>
    </w:p>
    <w:p w14:paraId="576D9203" w14:textId="77777777" w:rsidR="005D3657" w:rsidRPr="005D3657" w:rsidRDefault="005D3657" w:rsidP="005D3657">
      <w:pPr>
        <w:rPr>
          <w:sz w:val="22"/>
          <w:lang w:val="fr-FR"/>
        </w:rPr>
      </w:pPr>
      <w:r w:rsidRPr="005D3657">
        <w:rPr>
          <w:sz w:val="22"/>
          <w:lang w:val="fr-FR"/>
        </w:rPr>
        <w:t>Sun Pharmaceutical Industries Europe BV</w:t>
      </w:r>
    </w:p>
    <w:p w14:paraId="21877461" w14:textId="77777777" w:rsidR="005D3657" w:rsidRPr="005D3657" w:rsidRDefault="005D3657" w:rsidP="005D3657">
      <w:pPr>
        <w:rPr>
          <w:sz w:val="22"/>
          <w:lang w:val="fr-FR"/>
        </w:rPr>
      </w:pPr>
      <w:r w:rsidRPr="005D3657">
        <w:rPr>
          <w:sz w:val="22"/>
          <w:lang w:val="fr-FR"/>
        </w:rPr>
        <w:t>Polarisavenue 87</w:t>
      </w:r>
    </w:p>
    <w:p w14:paraId="6488674E" w14:textId="77777777" w:rsidR="005D3657" w:rsidRPr="005D3657" w:rsidRDefault="005D3657" w:rsidP="005D3657">
      <w:pPr>
        <w:rPr>
          <w:sz w:val="22"/>
          <w:lang w:val="en-US"/>
        </w:rPr>
      </w:pPr>
      <w:r w:rsidRPr="005D3657">
        <w:rPr>
          <w:sz w:val="22"/>
          <w:lang w:val="en-US"/>
        </w:rPr>
        <w:t>2132 JH Hoofddorp</w:t>
      </w:r>
    </w:p>
    <w:p w14:paraId="5FF012C5" w14:textId="77777777" w:rsidR="00693925" w:rsidRPr="000C143E" w:rsidRDefault="00401CE5" w:rsidP="00E84F80">
      <w:pPr>
        <w:rPr>
          <w:sz w:val="22"/>
          <w:lang w:val="nb-NO"/>
        </w:rPr>
      </w:pPr>
      <w:r>
        <w:rPr>
          <w:sz w:val="22"/>
          <w:lang w:val="nb-NO"/>
        </w:rPr>
        <w:t>Países Bajos</w:t>
      </w:r>
    </w:p>
    <w:p w14:paraId="180CFDF0" w14:textId="77777777" w:rsidR="00693925" w:rsidRPr="000C143E" w:rsidRDefault="00693925" w:rsidP="00E84F80">
      <w:pPr>
        <w:rPr>
          <w:sz w:val="22"/>
          <w:lang w:val="nb-NO"/>
        </w:rPr>
      </w:pPr>
    </w:p>
    <w:p w14:paraId="4576A905" w14:textId="77777777" w:rsidR="00693925" w:rsidRPr="000C143E" w:rsidRDefault="00693925" w:rsidP="00E84F80">
      <w:pPr>
        <w:rPr>
          <w:sz w:val="22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2D2CE231" w14:textId="77777777">
        <w:tc>
          <w:tcPr>
            <w:tcW w:w="9620" w:type="dxa"/>
          </w:tcPr>
          <w:p w14:paraId="743EED92" w14:textId="77777777" w:rsidR="00693925" w:rsidRDefault="00693925" w:rsidP="00E84F80">
            <w:pPr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12.</w:t>
            </w:r>
            <w:r>
              <w:rPr>
                <w:b/>
                <w:sz w:val="22"/>
              </w:rPr>
              <w:tab/>
              <w:t>NÚMERO(S) DE AUTORIZACIÓN DE COMERCIALIZACIÓN</w:t>
            </w:r>
          </w:p>
        </w:tc>
      </w:tr>
    </w:tbl>
    <w:p w14:paraId="2DEE37DC" w14:textId="77777777" w:rsidR="00693925" w:rsidRDefault="00693925" w:rsidP="00E84F80">
      <w:pPr>
        <w:rPr>
          <w:sz w:val="22"/>
        </w:rPr>
      </w:pPr>
    </w:p>
    <w:p w14:paraId="26E1C665" w14:textId="77777777" w:rsidR="00F75BC9" w:rsidRDefault="00F75BC9" w:rsidP="00F75BC9">
      <w:pPr>
        <w:keepNext/>
        <w:ind w:right="-17"/>
        <w:rPr>
          <w:sz w:val="22"/>
          <w:szCs w:val="22"/>
          <w:lang w:val="en-GB"/>
        </w:rPr>
      </w:pPr>
      <w:r>
        <w:rPr>
          <w:sz w:val="22"/>
          <w:szCs w:val="22"/>
          <w:lang w:val="bg-BG"/>
        </w:rPr>
        <w:t>EU/1/</w:t>
      </w:r>
      <w:r>
        <w:rPr>
          <w:sz w:val="22"/>
          <w:szCs w:val="22"/>
          <w:lang w:val="en-GB"/>
        </w:rPr>
        <w:t>22/1697/001</w:t>
      </w:r>
    </w:p>
    <w:p w14:paraId="3E84D181" w14:textId="77777777" w:rsidR="00F75BC9" w:rsidRDefault="00F75BC9" w:rsidP="00F75BC9">
      <w:pPr>
        <w:keepNext/>
        <w:ind w:right="-17"/>
        <w:rPr>
          <w:sz w:val="22"/>
          <w:szCs w:val="22"/>
          <w:lang w:val="en-GB"/>
        </w:rPr>
      </w:pPr>
      <w:r w:rsidRPr="00F75BC9">
        <w:rPr>
          <w:sz w:val="22"/>
          <w:szCs w:val="22"/>
          <w:highlight w:val="lightGray"/>
          <w:lang w:val="bg-BG"/>
        </w:rPr>
        <w:t>EU/1/</w:t>
      </w:r>
      <w:r w:rsidRPr="00F75BC9">
        <w:rPr>
          <w:sz w:val="22"/>
          <w:szCs w:val="22"/>
          <w:highlight w:val="lightGray"/>
          <w:lang w:val="en-GB"/>
        </w:rPr>
        <w:t>22/1697/002</w:t>
      </w:r>
    </w:p>
    <w:p w14:paraId="08662047" w14:textId="77777777" w:rsidR="00FF1EE8" w:rsidRDefault="00FF1EE8" w:rsidP="00E84F80">
      <w:pPr>
        <w:rPr>
          <w:sz w:val="22"/>
        </w:rPr>
      </w:pPr>
    </w:p>
    <w:p w14:paraId="50F0F22C" w14:textId="77777777" w:rsidR="00693925" w:rsidRDefault="00693925" w:rsidP="00E84F8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545B827C" w14:textId="77777777">
        <w:tc>
          <w:tcPr>
            <w:tcW w:w="9620" w:type="dxa"/>
          </w:tcPr>
          <w:p w14:paraId="46876C88" w14:textId="77777777" w:rsidR="00693925" w:rsidRDefault="00693925" w:rsidP="00E84F80">
            <w:pPr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13.</w:t>
            </w:r>
            <w:r>
              <w:rPr>
                <w:b/>
                <w:sz w:val="22"/>
              </w:rPr>
              <w:tab/>
              <w:t>NÚMERO DE LOTE</w:t>
            </w:r>
          </w:p>
        </w:tc>
      </w:tr>
    </w:tbl>
    <w:p w14:paraId="55A9AA29" w14:textId="77777777" w:rsidR="00693925" w:rsidRDefault="00693925" w:rsidP="00E84F80">
      <w:pPr>
        <w:rPr>
          <w:sz w:val="22"/>
        </w:rPr>
      </w:pPr>
    </w:p>
    <w:p w14:paraId="68F1BBF0" w14:textId="77777777" w:rsidR="00693925" w:rsidRDefault="008B7759" w:rsidP="00E84F80">
      <w:pPr>
        <w:rPr>
          <w:sz w:val="22"/>
        </w:rPr>
      </w:pPr>
      <w:r>
        <w:rPr>
          <w:sz w:val="22"/>
        </w:rPr>
        <w:t>Lot</w:t>
      </w:r>
    </w:p>
    <w:p w14:paraId="1CC3C63F" w14:textId="77777777" w:rsidR="00693925" w:rsidRDefault="00693925" w:rsidP="00E84F80">
      <w:pPr>
        <w:rPr>
          <w:sz w:val="22"/>
        </w:rPr>
      </w:pPr>
    </w:p>
    <w:p w14:paraId="1D99337C" w14:textId="77777777" w:rsidR="00693925" w:rsidRDefault="00693925" w:rsidP="00E84F8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7F887490" w14:textId="77777777">
        <w:tc>
          <w:tcPr>
            <w:tcW w:w="9620" w:type="dxa"/>
          </w:tcPr>
          <w:p w14:paraId="1958D24C" w14:textId="77777777" w:rsidR="00693925" w:rsidRDefault="00693925" w:rsidP="00E84F80">
            <w:pPr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14.</w:t>
            </w:r>
            <w:r>
              <w:rPr>
                <w:b/>
                <w:sz w:val="22"/>
              </w:rPr>
              <w:tab/>
              <w:t>CONDICIONES GENERALES DE DISPENSACIÓN</w:t>
            </w:r>
          </w:p>
        </w:tc>
      </w:tr>
    </w:tbl>
    <w:p w14:paraId="30ECB90A" w14:textId="77777777" w:rsidR="00693925" w:rsidRDefault="00693925" w:rsidP="00E84F80">
      <w:pPr>
        <w:rPr>
          <w:sz w:val="22"/>
        </w:rPr>
      </w:pPr>
    </w:p>
    <w:p w14:paraId="048390E0" w14:textId="77777777" w:rsidR="00693925" w:rsidRDefault="00693925" w:rsidP="00E84F8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7362FB60" w14:textId="77777777">
        <w:tc>
          <w:tcPr>
            <w:tcW w:w="9620" w:type="dxa"/>
          </w:tcPr>
          <w:p w14:paraId="4659857E" w14:textId="77777777" w:rsidR="00693925" w:rsidRDefault="00693925" w:rsidP="00E84F80">
            <w:pPr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15.</w:t>
            </w:r>
            <w:r>
              <w:rPr>
                <w:b/>
                <w:sz w:val="22"/>
              </w:rPr>
              <w:tab/>
              <w:t>INSTRUCCIONES DE USO</w:t>
            </w:r>
          </w:p>
        </w:tc>
      </w:tr>
    </w:tbl>
    <w:p w14:paraId="37529274" w14:textId="77777777" w:rsidR="00693925" w:rsidRDefault="00693925" w:rsidP="00E84F80">
      <w:pPr>
        <w:rPr>
          <w:sz w:val="22"/>
        </w:rPr>
      </w:pPr>
    </w:p>
    <w:p w14:paraId="75C93A4A" w14:textId="77777777" w:rsidR="00F22509" w:rsidRDefault="00F22509" w:rsidP="00E84F8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F22509" w:rsidRPr="009C5DAC" w14:paraId="53E34727" w14:textId="77777777" w:rsidTr="009C5DAC">
        <w:tc>
          <w:tcPr>
            <w:tcW w:w="9620" w:type="dxa"/>
          </w:tcPr>
          <w:p w14:paraId="43CE1408" w14:textId="77777777" w:rsidR="00F22509" w:rsidRPr="009C5DAC" w:rsidRDefault="00F22509" w:rsidP="00E84F80">
            <w:pPr>
              <w:rPr>
                <w:sz w:val="22"/>
              </w:rPr>
            </w:pPr>
            <w:r w:rsidRPr="009C5DAC">
              <w:rPr>
                <w:b/>
                <w:sz w:val="22"/>
              </w:rPr>
              <w:t>16.</w:t>
            </w:r>
            <w:r w:rsidRPr="009C5DAC">
              <w:rPr>
                <w:b/>
                <w:sz w:val="22"/>
              </w:rPr>
              <w:tab/>
              <w:t>INFORMACIÓN EN BRAILLE</w:t>
            </w:r>
          </w:p>
        </w:tc>
      </w:tr>
    </w:tbl>
    <w:p w14:paraId="512D919D" w14:textId="77777777" w:rsidR="00F22509" w:rsidRDefault="00F22509" w:rsidP="00E84F80">
      <w:pPr>
        <w:rPr>
          <w:sz w:val="22"/>
        </w:rPr>
      </w:pPr>
    </w:p>
    <w:p w14:paraId="5C3803D5" w14:textId="5EE57828" w:rsidR="00F22509" w:rsidRDefault="00C81E8E" w:rsidP="00E84F80">
      <w:pPr>
        <w:rPr>
          <w:sz w:val="22"/>
        </w:rPr>
      </w:pPr>
      <w:r>
        <w:rPr>
          <w:sz w:val="22"/>
        </w:rPr>
        <w:t>t</w:t>
      </w:r>
      <w:r w:rsidR="00EA201D">
        <w:rPr>
          <w:sz w:val="22"/>
        </w:rPr>
        <w:t>eriparatida</w:t>
      </w:r>
      <w:r>
        <w:rPr>
          <w:sz w:val="22"/>
        </w:rPr>
        <w:t xml:space="preserve"> </w:t>
      </w:r>
      <w:proofErr w:type="spellStart"/>
      <w:r>
        <w:rPr>
          <w:sz w:val="22"/>
        </w:rPr>
        <w:t>sun</w:t>
      </w:r>
      <w:proofErr w:type="spellEnd"/>
    </w:p>
    <w:p w14:paraId="6BF7ED60" w14:textId="77777777" w:rsidR="007409CB" w:rsidRDefault="007409CB" w:rsidP="00E85275">
      <w:pPr>
        <w:rPr>
          <w:sz w:val="22"/>
          <w:szCs w:val="22"/>
        </w:rPr>
      </w:pPr>
    </w:p>
    <w:p w14:paraId="215A6467" w14:textId="77777777" w:rsidR="007409CB" w:rsidRPr="00037766" w:rsidRDefault="007409CB" w:rsidP="00E85275">
      <w:pPr>
        <w:rPr>
          <w:noProof/>
          <w:sz w:val="22"/>
          <w:szCs w:val="22"/>
          <w:shd w:val="clear" w:color="auto" w:fill="CCCCCC"/>
          <w:lang w:eastAsia="es-ES" w:bidi="es-ES"/>
        </w:rPr>
      </w:pPr>
    </w:p>
    <w:p w14:paraId="23CA85E2" w14:textId="77777777" w:rsidR="007409CB" w:rsidRPr="00037766" w:rsidRDefault="007409CB" w:rsidP="00E85275">
      <w:pPr>
        <w:keepNext/>
        <w:numPr>
          <w:ilvl w:val="1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567" w:hanging="567"/>
        <w:outlineLvl w:val="0"/>
        <w:rPr>
          <w:i/>
          <w:noProof/>
          <w:sz w:val="22"/>
          <w:lang w:eastAsia="es-ES" w:bidi="es-ES"/>
        </w:rPr>
      </w:pPr>
      <w:r w:rsidRPr="00037766">
        <w:rPr>
          <w:b/>
          <w:noProof/>
          <w:sz w:val="22"/>
          <w:lang w:eastAsia="es-ES" w:bidi="es-ES"/>
        </w:rPr>
        <w:t>IDENTIFICADOR ÚNICO - CÓDIGO DE BARRAS 2D</w:t>
      </w:r>
    </w:p>
    <w:p w14:paraId="2B7EE700" w14:textId="77777777" w:rsidR="007409CB" w:rsidRPr="00037766" w:rsidRDefault="007409CB" w:rsidP="007409CB">
      <w:pPr>
        <w:rPr>
          <w:noProof/>
          <w:sz w:val="22"/>
          <w:lang w:eastAsia="es-ES" w:bidi="es-ES"/>
        </w:rPr>
      </w:pPr>
    </w:p>
    <w:p w14:paraId="3E70B1CF" w14:textId="77777777" w:rsidR="007409CB" w:rsidRPr="00037766" w:rsidRDefault="007409CB" w:rsidP="00E85275">
      <w:pPr>
        <w:rPr>
          <w:noProof/>
          <w:sz w:val="22"/>
          <w:szCs w:val="22"/>
          <w:shd w:val="clear" w:color="auto" w:fill="CCCCCC"/>
          <w:lang w:eastAsia="es-ES" w:bidi="es-ES"/>
        </w:rPr>
      </w:pPr>
      <w:r w:rsidRPr="00037766">
        <w:rPr>
          <w:noProof/>
          <w:sz w:val="22"/>
          <w:highlight w:val="lightGray"/>
          <w:lang w:eastAsia="es-ES" w:bidi="es-ES"/>
        </w:rPr>
        <w:lastRenderedPageBreak/>
        <w:t>Incluido el código de barras 2D que lleva el identificador único.</w:t>
      </w:r>
    </w:p>
    <w:p w14:paraId="04621EA1" w14:textId="77777777" w:rsidR="007409CB" w:rsidRPr="00037766" w:rsidRDefault="007409CB" w:rsidP="007409CB">
      <w:pPr>
        <w:tabs>
          <w:tab w:val="left" w:pos="567"/>
        </w:tabs>
        <w:rPr>
          <w:noProof/>
          <w:sz w:val="22"/>
          <w:szCs w:val="22"/>
          <w:shd w:val="clear" w:color="auto" w:fill="CCCCCC"/>
          <w:lang w:eastAsia="es-ES" w:bidi="es-ES"/>
        </w:rPr>
      </w:pPr>
    </w:p>
    <w:p w14:paraId="433DC474" w14:textId="77777777" w:rsidR="007409CB" w:rsidRPr="00037766" w:rsidRDefault="007409CB" w:rsidP="007409CB">
      <w:pPr>
        <w:rPr>
          <w:noProof/>
          <w:sz w:val="22"/>
          <w:lang w:eastAsia="es-ES" w:bidi="es-ES"/>
        </w:rPr>
      </w:pPr>
    </w:p>
    <w:p w14:paraId="33A6784C" w14:textId="77777777" w:rsidR="007409CB" w:rsidRPr="00037766" w:rsidRDefault="007409CB" w:rsidP="00E85275">
      <w:pPr>
        <w:keepNext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ind w:left="567" w:hanging="567"/>
        <w:outlineLvl w:val="0"/>
        <w:rPr>
          <w:i/>
          <w:noProof/>
          <w:sz w:val="22"/>
          <w:lang w:eastAsia="es-ES" w:bidi="es-ES"/>
        </w:rPr>
      </w:pPr>
      <w:r w:rsidRPr="00037766">
        <w:rPr>
          <w:b/>
          <w:noProof/>
          <w:sz w:val="22"/>
          <w:lang w:eastAsia="es-ES" w:bidi="es-ES"/>
        </w:rPr>
        <w:t>IDENTIFICADOR ÚNICO - INFORMACIÓN EN CARACTERES VISUALES</w:t>
      </w:r>
    </w:p>
    <w:p w14:paraId="1461D381" w14:textId="77777777" w:rsidR="007409CB" w:rsidRPr="00037766" w:rsidRDefault="007409CB" w:rsidP="007409CB">
      <w:pPr>
        <w:rPr>
          <w:noProof/>
          <w:sz w:val="22"/>
          <w:lang w:eastAsia="es-ES" w:bidi="es-ES"/>
        </w:rPr>
      </w:pPr>
    </w:p>
    <w:p w14:paraId="07FBB1D1" w14:textId="77777777" w:rsidR="007409CB" w:rsidRPr="00927183" w:rsidRDefault="007409CB" w:rsidP="007409CB">
      <w:pPr>
        <w:spacing w:line="260" w:lineRule="exact"/>
        <w:rPr>
          <w:sz w:val="22"/>
          <w:szCs w:val="22"/>
          <w:lang w:eastAsia="es-ES" w:bidi="es-ES"/>
        </w:rPr>
      </w:pPr>
      <w:r w:rsidRPr="00927183">
        <w:rPr>
          <w:sz w:val="22"/>
          <w:lang w:eastAsia="es-ES" w:bidi="es-ES"/>
        </w:rPr>
        <w:t>PC</w:t>
      </w:r>
    </w:p>
    <w:p w14:paraId="5DE14A02" w14:textId="77777777" w:rsidR="007409CB" w:rsidRPr="00037766" w:rsidRDefault="007409CB" w:rsidP="007409CB">
      <w:pPr>
        <w:spacing w:line="260" w:lineRule="exact"/>
        <w:rPr>
          <w:sz w:val="22"/>
          <w:szCs w:val="22"/>
          <w:lang w:eastAsia="es-ES" w:bidi="es-ES"/>
        </w:rPr>
      </w:pPr>
      <w:r w:rsidRPr="00037766">
        <w:rPr>
          <w:sz w:val="22"/>
          <w:lang w:eastAsia="es-ES" w:bidi="es-ES"/>
        </w:rPr>
        <w:t>SN</w:t>
      </w:r>
    </w:p>
    <w:p w14:paraId="26E11993" w14:textId="77777777" w:rsidR="007409CB" w:rsidRPr="00037766" w:rsidRDefault="007409CB" w:rsidP="007409CB">
      <w:pPr>
        <w:spacing w:line="260" w:lineRule="exact"/>
        <w:rPr>
          <w:sz w:val="22"/>
          <w:szCs w:val="22"/>
          <w:lang w:eastAsia="es-ES" w:bidi="es-ES"/>
        </w:rPr>
      </w:pPr>
      <w:r w:rsidRPr="00395D9A">
        <w:rPr>
          <w:sz w:val="22"/>
          <w:lang w:eastAsia="es-ES" w:bidi="es-ES"/>
        </w:rPr>
        <w:t>NN</w:t>
      </w:r>
    </w:p>
    <w:p w14:paraId="249EF6FE" w14:textId="77777777" w:rsidR="007409CB" w:rsidRPr="00FF4488" w:rsidRDefault="007409CB" w:rsidP="007409CB">
      <w:pPr>
        <w:tabs>
          <w:tab w:val="left" w:pos="567"/>
        </w:tabs>
        <w:rPr>
          <w:sz w:val="22"/>
          <w:szCs w:val="22"/>
        </w:rPr>
      </w:pPr>
    </w:p>
    <w:p w14:paraId="017638E8" w14:textId="77777777" w:rsidR="00693925" w:rsidRPr="007409CB" w:rsidRDefault="00693925" w:rsidP="00E85275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73374DA7" w14:textId="77777777">
        <w:trPr>
          <w:trHeight w:val="1070"/>
        </w:trPr>
        <w:tc>
          <w:tcPr>
            <w:tcW w:w="9620" w:type="dxa"/>
            <w:tcBorders>
              <w:bottom w:val="single" w:sz="4" w:space="0" w:color="auto"/>
            </w:tcBorders>
          </w:tcPr>
          <w:p w14:paraId="2F71CC76" w14:textId="77777777" w:rsidR="00693925" w:rsidRDefault="00693925" w:rsidP="00E84F8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INFORMACIÓN MÍNIMA QUE DEBE INCLUIRSE EN PEQUEÑOS ACONDICIONAMIENTOS PRIMARIOS</w:t>
            </w:r>
          </w:p>
          <w:p w14:paraId="3BBD9CD7" w14:textId="77777777" w:rsidR="00693925" w:rsidRDefault="00693925" w:rsidP="00E84F80">
            <w:pPr>
              <w:rPr>
                <w:b/>
                <w:sz w:val="22"/>
              </w:rPr>
            </w:pPr>
          </w:p>
          <w:p w14:paraId="7436BE81" w14:textId="77777777" w:rsidR="00693925" w:rsidRDefault="00693925" w:rsidP="00E84F8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TEXTO DE LA ETIQUETA</w:t>
            </w:r>
          </w:p>
        </w:tc>
      </w:tr>
    </w:tbl>
    <w:p w14:paraId="2BAAE400" w14:textId="77777777" w:rsidR="00693925" w:rsidRDefault="00693925" w:rsidP="00E84F80">
      <w:pPr>
        <w:rPr>
          <w:sz w:val="22"/>
        </w:rPr>
      </w:pPr>
    </w:p>
    <w:p w14:paraId="55F98FDE" w14:textId="77777777" w:rsidR="00693925" w:rsidRDefault="00693925" w:rsidP="00E84F8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4499516B" w14:textId="77777777">
        <w:tc>
          <w:tcPr>
            <w:tcW w:w="9620" w:type="dxa"/>
          </w:tcPr>
          <w:p w14:paraId="62111682" w14:textId="77777777" w:rsidR="00693925" w:rsidRDefault="00693925" w:rsidP="00E84F80">
            <w:pPr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z w:val="22"/>
              </w:rPr>
              <w:tab/>
            </w:r>
            <w:r w:rsidR="00203895">
              <w:rPr>
                <w:b/>
                <w:sz w:val="22"/>
              </w:rPr>
              <w:t xml:space="preserve">NOMBRE </w:t>
            </w:r>
            <w:r>
              <w:rPr>
                <w:b/>
                <w:sz w:val="22"/>
              </w:rPr>
              <w:t>DEL MEDICAMENTO Y VÍA(S) DE ADMINISTRACIÓN</w:t>
            </w:r>
          </w:p>
        </w:tc>
      </w:tr>
    </w:tbl>
    <w:p w14:paraId="48D547B1" w14:textId="77777777" w:rsidR="00693925" w:rsidRDefault="00693925" w:rsidP="00E84F80">
      <w:pPr>
        <w:ind w:left="567" w:hanging="567"/>
        <w:rPr>
          <w:sz w:val="22"/>
        </w:rPr>
      </w:pPr>
    </w:p>
    <w:p w14:paraId="392C38A1" w14:textId="77777777" w:rsidR="00693925" w:rsidRDefault="00EA201D" w:rsidP="00E84F80">
      <w:pPr>
        <w:rPr>
          <w:sz w:val="22"/>
        </w:rPr>
      </w:pPr>
      <w:r>
        <w:rPr>
          <w:sz w:val="22"/>
        </w:rPr>
        <w:t>Teriparatida</w:t>
      </w:r>
      <w:r w:rsidR="005D3657">
        <w:rPr>
          <w:sz w:val="22"/>
        </w:rPr>
        <w:t xml:space="preserve"> SUN </w:t>
      </w:r>
      <w:r w:rsidR="00693925">
        <w:rPr>
          <w:sz w:val="22"/>
        </w:rPr>
        <w:t>20 microgramos/80 microlitros</w:t>
      </w:r>
      <w:r w:rsidR="00B22AF5">
        <w:rPr>
          <w:sz w:val="22"/>
        </w:rPr>
        <w:t xml:space="preserve"> </w:t>
      </w:r>
      <w:r w:rsidR="005D3657">
        <w:rPr>
          <w:sz w:val="22"/>
        </w:rPr>
        <w:t xml:space="preserve">solución </w:t>
      </w:r>
      <w:r w:rsidR="00B22AF5">
        <w:rPr>
          <w:sz w:val="22"/>
        </w:rPr>
        <w:t>inyec</w:t>
      </w:r>
      <w:r w:rsidR="00362480">
        <w:rPr>
          <w:sz w:val="22"/>
        </w:rPr>
        <w:t>table</w:t>
      </w:r>
      <w:r w:rsidR="00693925">
        <w:rPr>
          <w:sz w:val="22"/>
        </w:rPr>
        <w:t xml:space="preserve"> </w:t>
      </w:r>
    </w:p>
    <w:p w14:paraId="70853E78" w14:textId="22EC51B7" w:rsidR="00693925" w:rsidRDefault="00EC399F" w:rsidP="00E84F80">
      <w:pPr>
        <w:rPr>
          <w:sz w:val="22"/>
        </w:rPr>
      </w:pPr>
      <w:r>
        <w:rPr>
          <w:sz w:val="22"/>
        </w:rPr>
        <w:t>t</w:t>
      </w:r>
      <w:r w:rsidR="00693925">
        <w:rPr>
          <w:sz w:val="22"/>
        </w:rPr>
        <w:t>eriparatida</w:t>
      </w:r>
    </w:p>
    <w:p w14:paraId="5F07AFA5" w14:textId="77777777" w:rsidR="00CB4AE2" w:rsidRDefault="00CB4AE2" w:rsidP="00E84F80">
      <w:pPr>
        <w:rPr>
          <w:sz w:val="22"/>
        </w:rPr>
      </w:pPr>
    </w:p>
    <w:p w14:paraId="42BA7476" w14:textId="243F879A" w:rsidR="00693925" w:rsidRDefault="00693925" w:rsidP="00E84F80">
      <w:pPr>
        <w:rPr>
          <w:sz w:val="22"/>
        </w:rPr>
      </w:pPr>
      <w:r>
        <w:rPr>
          <w:sz w:val="22"/>
        </w:rPr>
        <w:t>Vía subcutánea</w:t>
      </w:r>
    </w:p>
    <w:p w14:paraId="061297E1" w14:textId="77777777" w:rsidR="00693925" w:rsidRDefault="00693925" w:rsidP="00E84F80">
      <w:pPr>
        <w:rPr>
          <w:sz w:val="22"/>
        </w:rPr>
      </w:pPr>
    </w:p>
    <w:p w14:paraId="12595162" w14:textId="77777777" w:rsidR="00693925" w:rsidRDefault="00693925" w:rsidP="00E84F8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4BC7EAC4" w14:textId="77777777">
        <w:tc>
          <w:tcPr>
            <w:tcW w:w="9620" w:type="dxa"/>
          </w:tcPr>
          <w:p w14:paraId="0793CA63" w14:textId="77777777" w:rsidR="00693925" w:rsidRDefault="00693925" w:rsidP="00E84F80">
            <w:pPr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z w:val="22"/>
              </w:rPr>
              <w:tab/>
              <w:t>FORMA DE ADMINISTRACIÓN</w:t>
            </w:r>
          </w:p>
        </w:tc>
      </w:tr>
    </w:tbl>
    <w:p w14:paraId="4F8640E3" w14:textId="77777777" w:rsidR="00693925" w:rsidRDefault="00693925" w:rsidP="00E84F80">
      <w:pPr>
        <w:rPr>
          <w:sz w:val="22"/>
        </w:rPr>
      </w:pPr>
    </w:p>
    <w:p w14:paraId="6C741C94" w14:textId="77777777" w:rsidR="002916B4" w:rsidRDefault="002916B4" w:rsidP="00E84F80">
      <w:pPr>
        <w:rPr>
          <w:sz w:val="22"/>
        </w:rPr>
      </w:pPr>
    </w:p>
    <w:p w14:paraId="3D794AFC" w14:textId="77777777" w:rsidR="002916B4" w:rsidRDefault="002916B4" w:rsidP="00E84F8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02906E56" w14:textId="77777777">
        <w:tc>
          <w:tcPr>
            <w:tcW w:w="9620" w:type="dxa"/>
          </w:tcPr>
          <w:p w14:paraId="713E6AB4" w14:textId="77777777" w:rsidR="00693925" w:rsidRDefault="00693925" w:rsidP="00E84F80">
            <w:pPr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z w:val="22"/>
              </w:rPr>
              <w:tab/>
              <w:t>FECHA DE CADUCIDAD</w:t>
            </w:r>
          </w:p>
        </w:tc>
      </w:tr>
    </w:tbl>
    <w:p w14:paraId="79E57EEE" w14:textId="77777777" w:rsidR="00693925" w:rsidRDefault="00693925" w:rsidP="00E84F80">
      <w:pPr>
        <w:rPr>
          <w:sz w:val="22"/>
        </w:rPr>
      </w:pPr>
    </w:p>
    <w:p w14:paraId="74435850" w14:textId="77777777" w:rsidR="00693925" w:rsidRDefault="005D3657" w:rsidP="00E84F80">
      <w:pPr>
        <w:rPr>
          <w:sz w:val="22"/>
          <w:lang w:val="nl-NL"/>
        </w:rPr>
      </w:pPr>
      <w:r>
        <w:rPr>
          <w:sz w:val="22"/>
          <w:lang w:val="nl-NL"/>
        </w:rPr>
        <w:t>CAD</w:t>
      </w:r>
    </w:p>
    <w:p w14:paraId="569FDC8A" w14:textId="77777777" w:rsidR="00693925" w:rsidRDefault="00693925" w:rsidP="00E84F80">
      <w:pPr>
        <w:rPr>
          <w:sz w:val="22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1C79B338" w14:textId="77777777">
        <w:tc>
          <w:tcPr>
            <w:tcW w:w="9620" w:type="dxa"/>
          </w:tcPr>
          <w:p w14:paraId="4DDC6E20" w14:textId="77777777" w:rsidR="00693925" w:rsidRDefault="00693925" w:rsidP="00E84F80">
            <w:pPr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z w:val="22"/>
              </w:rPr>
              <w:tab/>
              <w:t>NÚMERO DE LOTE DEL FABRICANTE</w:t>
            </w:r>
          </w:p>
        </w:tc>
      </w:tr>
    </w:tbl>
    <w:p w14:paraId="03DD2CE9" w14:textId="77777777" w:rsidR="00693925" w:rsidRDefault="00693925" w:rsidP="00E84F80">
      <w:pPr>
        <w:ind w:left="567" w:hanging="567"/>
        <w:rPr>
          <w:sz w:val="22"/>
        </w:rPr>
      </w:pPr>
    </w:p>
    <w:p w14:paraId="571097A6" w14:textId="77777777" w:rsidR="00693925" w:rsidRDefault="00693925" w:rsidP="00E84F80">
      <w:pPr>
        <w:ind w:right="113"/>
        <w:rPr>
          <w:sz w:val="22"/>
        </w:rPr>
      </w:pPr>
      <w:r>
        <w:rPr>
          <w:sz w:val="22"/>
        </w:rPr>
        <w:t>Lot</w:t>
      </w:r>
      <w:r w:rsidR="005D3657">
        <w:rPr>
          <w:sz w:val="22"/>
        </w:rPr>
        <w:t>e</w:t>
      </w:r>
    </w:p>
    <w:p w14:paraId="32968D34" w14:textId="77777777" w:rsidR="00693925" w:rsidRDefault="00693925" w:rsidP="00E84F80">
      <w:pPr>
        <w:ind w:right="113"/>
        <w:rPr>
          <w:sz w:val="22"/>
        </w:rPr>
      </w:pPr>
    </w:p>
    <w:p w14:paraId="54B3CBD2" w14:textId="77777777" w:rsidR="002916B4" w:rsidRDefault="002916B4" w:rsidP="00E84F80">
      <w:pPr>
        <w:ind w:right="113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693925" w14:paraId="4388D7D4" w14:textId="77777777">
        <w:tc>
          <w:tcPr>
            <w:tcW w:w="9620" w:type="dxa"/>
          </w:tcPr>
          <w:p w14:paraId="109F1F84" w14:textId="77777777" w:rsidR="00693925" w:rsidRDefault="00693925" w:rsidP="00E84F80">
            <w:pPr>
              <w:ind w:left="567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z w:val="22"/>
              </w:rPr>
              <w:tab/>
              <w:t>CONTENIDO EN PESO, VOLUMEN O EN UNIDADES</w:t>
            </w:r>
          </w:p>
        </w:tc>
      </w:tr>
    </w:tbl>
    <w:p w14:paraId="73CCC7CA" w14:textId="77777777" w:rsidR="00693925" w:rsidRDefault="00693925" w:rsidP="00E84F80">
      <w:pPr>
        <w:rPr>
          <w:sz w:val="22"/>
        </w:rPr>
      </w:pPr>
    </w:p>
    <w:p w14:paraId="1219802E" w14:textId="77777777" w:rsidR="00693925" w:rsidRDefault="00F60569" w:rsidP="00E84F80">
      <w:pPr>
        <w:rPr>
          <w:sz w:val="22"/>
        </w:rPr>
      </w:pPr>
      <w:r>
        <w:rPr>
          <w:sz w:val="22"/>
        </w:rPr>
        <w:t>2,4 </w:t>
      </w:r>
      <w:r w:rsidR="00693925">
        <w:rPr>
          <w:sz w:val="22"/>
        </w:rPr>
        <w:t>ml</w:t>
      </w:r>
    </w:p>
    <w:p w14:paraId="7757187C" w14:textId="77777777" w:rsidR="002916B4" w:rsidRDefault="002916B4" w:rsidP="00E84F80">
      <w:pPr>
        <w:rPr>
          <w:sz w:val="22"/>
        </w:rPr>
      </w:pPr>
    </w:p>
    <w:p w14:paraId="63533A97" w14:textId="77777777" w:rsidR="002916B4" w:rsidRDefault="002916B4" w:rsidP="00E84F80">
      <w:pPr>
        <w:rPr>
          <w:sz w:val="22"/>
        </w:rPr>
      </w:pP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0"/>
      </w:tblGrid>
      <w:tr w:rsidR="00A811E3" w:rsidRPr="009C5DAC" w14:paraId="728D3516" w14:textId="77777777" w:rsidTr="00A811E3">
        <w:tc>
          <w:tcPr>
            <w:tcW w:w="9620" w:type="dxa"/>
          </w:tcPr>
          <w:p w14:paraId="0AFBA247" w14:textId="77777777" w:rsidR="00A811E3" w:rsidRPr="009C5DAC" w:rsidRDefault="00A811E3" w:rsidP="00E84F80">
            <w:pPr>
              <w:rPr>
                <w:sz w:val="22"/>
              </w:rPr>
            </w:pPr>
            <w:r w:rsidRPr="009C5DAC">
              <w:rPr>
                <w:b/>
                <w:sz w:val="22"/>
              </w:rPr>
              <w:t>6.</w:t>
            </w:r>
            <w:r w:rsidRPr="009C5DAC">
              <w:rPr>
                <w:b/>
                <w:sz w:val="22"/>
              </w:rPr>
              <w:tab/>
              <w:t>OTROS</w:t>
            </w:r>
          </w:p>
        </w:tc>
      </w:tr>
    </w:tbl>
    <w:p w14:paraId="2E3A8F25" w14:textId="77777777" w:rsidR="002916B4" w:rsidRDefault="002916B4" w:rsidP="00E84F80">
      <w:pPr>
        <w:rPr>
          <w:sz w:val="22"/>
        </w:rPr>
      </w:pPr>
    </w:p>
    <w:p w14:paraId="1792458D" w14:textId="77777777" w:rsidR="00693925" w:rsidRDefault="005D3657" w:rsidP="00E84F80">
      <w:pPr>
        <w:pStyle w:val="EndnoteText"/>
        <w:tabs>
          <w:tab w:val="clear" w:pos="567"/>
        </w:tabs>
        <w:rPr>
          <w:lang w:val="es-ES"/>
        </w:rPr>
      </w:pPr>
      <w:r w:rsidRPr="00ED7C2F">
        <w:rPr>
          <w:szCs w:val="22"/>
          <w:highlight w:val="lightGray"/>
          <w:lang w:val="fr-FR"/>
        </w:rPr>
        <w:t>Logo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Sun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Pharma</w:t>
      </w:r>
      <w:proofErr w:type="spellEnd"/>
      <w:r w:rsidR="00693925">
        <w:rPr>
          <w:lang w:val="es-ES"/>
        </w:rPr>
        <w:br w:type="page"/>
      </w:r>
    </w:p>
    <w:p w14:paraId="6182F428" w14:textId="77777777" w:rsidR="00693925" w:rsidRDefault="00693925" w:rsidP="00E84F80">
      <w:pPr>
        <w:rPr>
          <w:sz w:val="22"/>
        </w:rPr>
      </w:pPr>
    </w:p>
    <w:p w14:paraId="77DD9CBC" w14:textId="77777777" w:rsidR="00693925" w:rsidRDefault="00693925" w:rsidP="00E84F80">
      <w:pPr>
        <w:rPr>
          <w:sz w:val="22"/>
        </w:rPr>
      </w:pPr>
    </w:p>
    <w:p w14:paraId="0BD2E251" w14:textId="77777777" w:rsidR="00693925" w:rsidRDefault="00693925" w:rsidP="00E84F80">
      <w:pPr>
        <w:rPr>
          <w:sz w:val="22"/>
        </w:rPr>
      </w:pPr>
    </w:p>
    <w:p w14:paraId="34410762" w14:textId="77777777" w:rsidR="00693925" w:rsidRDefault="00693925" w:rsidP="00E84F80">
      <w:pPr>
        <w:rPr>
          <w:sz w:val="22"/>
        </w:rPr>
      </w:pPr>
    </w:p>
    <w:p w14:paraId="3DC4F8CB" w14:textId="77777777" w:rsidR="00693925" w:rsidRDefault="00693925" w:rsidP="00E84F80">
      <w:pPr>
        <w:rPr>
          <w:sz w:val="22"/>
        </w:rPr>
      </w:pPr>
    </w:p>
    <w:p w14:paraId="48895472" w14:textId="77777777" w:rsidR="00693925" w:rsidRDefault="00693925" w:rsidP="00E84F80">
      <w:pPr>
        <w:rPr>
          <w:sz w:val="22"/>
        </w:rPr>
      </w:pPr>
    </w:p>
    <w:p w14:paraId="577964F1" w14:textId="77777777" w:rsidR="00693925" w:rsidRDefault="00693925" w:rsidP="00E84F80">
      <w:pPr>
        <w:rPr>
          <w:sz w:val="22"/>
        </w:rPr>
      </w:pPr>
    </w:p>
    <w:p w14:paraId="67224EFC" w14:textId="77777777" w:rsidR="00693925" w:rsidRDefault="00693925" w:rsidP="00E84F80">
      <w:pPr>
        <w:rPr>
          <w:sz w:val="22"/>
        </w:rPr>
      </w:pPr>
    </w:p>
    <w:p w14:paraId="2A3D06CB" w14:textId="77777777" w:rsidR="00693925" w:rsidRDefault="00693925" w:rsidP="00E84F80">
      <w:pPr>
        <w:rPr>
          <w:sz w:val="22"/>
        </w:rPr>
      </w:pPr>
    </w:p>
    <w:p w14:paraId="023A6D25" w14:textId="77777777" w:rsidR="00693925" w:rsidRDefault="00693925" w:rsidP="00E84F80">
      <w:pPr>
        <w:rPr>
          <w:sz w:val="22"/>
        </w:rPr>
      </w:pPr>
    </w:p>
    <w:p w14:paraId="1679DE4A" w14:textId="77777777" w:rsidR="00693925" w:rsidRDefault="00693925" w:rsidP="00E84F80">
      <w:pPr>
        <w:rPr>
          <w:sz w:val="22"/>
        </w:rPr>
      </w:pPr>
    </w:p>
    <w:p w14:paraId="5C51790D" w14:textId="77777777" w:rsidR="00693925" w:rsidRDefault="00693925" w:rsidP="00E84F80">
      <w:pPr>
        <w:rPr>
          <w:sz w:val="22"/>
        </w:rPr>
      </w:pPr>
    </w:p>
    <w:p w14:paraId="3C9DD318" w14:textId="77777777" w:rsidR="00693925" w:rsidRDefault="00693925" w:rsidP="00E84F80">
      <w:pPr>
        <w:rPr>
          <w:sz w:val="22"/>
        </w:rPr>
      </w:pPr>
    </w:p>
    <w:p w14:paraId="0DB824BA" w14:textId="77777777" w:rsidR="00693925" w:rsidRDefault="00693925" w:rsidP="00E84F80">
      <w:pPr>
        <w:rPr>
          <w:sz w:val="22"/>
        </w:rPr>
      </w:pPr>
    </w:p>
    <w:p w14:paraId="6C65A159" w14:textId="77777777" w:rsidR="00693925" w:rsidRDefault="00693925" w:rsidP="00E84F80">
      <w:pPr>
        <w:rPr>
          <w:sz w:val="22"/>
        </w:rPr>
      </w:pPr>
    </w:p>
    <w:p w14:paraId="11EBD2DD" w14:textId="77777777" w:rsidR="00693925" w:rsidRDefault="00693925" w:rsidP="00E84F80">
      <w:pPr>
        <w:rPr>
          <w:sz w:val="22"/>
        </w:rPr>
      </w:pPr>
    </w:p>
    <w:p w14:paraId="1F0521C2" w14:textId="77777777" w:rsidR="00693925" w:rsidRDefault="00693925" w:rsidP="00E84F80">
      <w:pPr>
        <w:rPr>
          <w:sz w:val="22"/>
        </w:rPr>
      </w:pPr>
    </w:p>
    <w:p w14:paraId="22ECCF2B" w14:textId="77777777" w:rsidR="00693925" w:rsidRDefault="00693925" w:rsidP="00E84F80">
      <w:pPr>
        <w:rPr>
          <w:sz w:val="22"/>
        </w:rPr>
      </w:pPr>
    </w:p>
    <w:p w14:paraId="71D4673B" w14:textId="77777777" w:rsidR="00693925" w:rsidRDefault="00693925" w:rsidP="00E84F80">
      <w:pPr>
        <w:rPr>
          <w:sz w:val="22"/>
        </w:rPr>
      </w:pPr>
    </w:p>
    <w:p w14:paraId="7C892EA0" w14:textId="77777777" w:rsidR="00693925" w:rsidRDefault="00693925" w:rsidP="00E84F80">
      <w:pPr>
        <w:rPr>
          <w:sz w:val="22"/>
        </w:rPr>
      </w:pPr>
    </w:p>
    <w:p w14:paraId="35CEBB6B" w14:textId="77777777" w:rsidR="00693925" w:rsidRDefault="00693925" w:rsidP="00E84F80">
      <w:pPr>
        <w:rPr>
          <w:sz w:val="22"/>
        </w:rPr>
      </w:pPr>
    </w:p>
    <w:p w14:paraId="56F8C51F" w14:textId="77777777" w:rsidR="00693925" w:rsidRDefault="00693925" w:rsidP="00E84F80">
      <w:pPr>
        <w:rPr>
          <w:sz w:val="22"/>
        </w:rPr>
      </w:pPr>
    </w:p>
    <w:p w14:paraId="20AF1A85" w14:textId="77777777" w:rsidR="00693925" w:rsidRDefault="00693925" w:rsidP="00047025">
      <w:pPr>
        <w:pStyle w:val="TitleA"/>
      </w:pPr>
      <w:r>
        <w:t>B. PROSPECTO</w:t>
      </w:r>
    </w:p>
    <w:p w14:paraId="78991523" w14:textId="77777777" w:rsidR="00693925" w:rsidRDefault="00693925" w:rsidP="002916B4">
      <w:pPr>
        <w:pStyle w:val="Heading3"/>
        <w:rPr>
          <w:rFonts w:ascii="Times New Roman" w:hAnsi="Times New Roman"/>
          <w:sz w:val="22"/>
          <w:lang w:val="es-ES"/>
        </w:rPr>
      </w:pPr>
      <w:r>
        <w:rPr>
          <w:lang w:val="es-ES"/>
        </w:rPr>
        <w:br w:type="page"/>
      </w:r>
      <w:r w:rsidR="00EE760D">
        <w:rPr>
          <w:rFonts w:ascii="Times New Roman" w:hAnsi="Times New Roman"/>
          <w:sz w:val="22"/>
          <w:lang w:val="es-ES"/>
        </w:rPr>
        <w:lastRenderedPageBreak/>
        <w:t>Prospecto: información para el usuario</w:t>
      </w:r>
    </w:p>
    <w:p w14:paraId="23CCE218" w14:textId="77777777" w:rsidR="002F237B" w:rsidRPr="002F237B" w:rsidRDefault="002F237B" w:rsidP="002F237B">
      <w:pPr>
        <w:jc w:val="center"/>
      </w:pPr>
    </w:p>
    <w:p w14:paraId="060A684C" w14:textId="77777777" w:rsidR="00693925" w:rsidRDefault="00EA201D" w:rsidP="002F237B">
      <w:pPr>
        <w:jc w:val="center"/>
        <w:rPr>
          <w:sz w:val="22"/>
        </w:rPr>
      </w:pPr>
      <w:r>
        <w:rPr>
          <w:b/>
          <w:sz w:val="22"/>
        </w:rPr>
        <w:t>Teriparatida</w:t>
      </w:r>
      <w:r w:rsidR="004A4015">
        <w:rPr>
          <w:b/>
          <w:sz w:val="22"/>
        </w:rPr>
        <w:t xml:space="preserve"> SUN</w:t>
      </w:r>
      <w:r w:rsidR="002F237B">
        <w:rPr>
          <w:b/>
          <w:sz w:val="22"/>
        </w:rPr>
        <w:t xml:space="preserve"> 20 microgramos/80 microlitros solución inyectable en pluma precargada</w:t>
      </w:r>
    </w:p>
    <w:p w14:paraId="584FDA37" w14:textId="77777777" w:rsidR="002F237B" w:rsidRDefault="00F76B4D" w:rsidP="002F237B">
      <w:pPr>
        <w:jc w:val="center"/>
        <w:rPr>
          <w:sz w:val="22"/>
        </w:rPr>
      </w:pPr>
      <w:r>
        <w:rPr>
          <w:sz w:val="22"/>
        </w:rPr>
        <w:t>t</w:t>
      </w:r>
      <w:r w:rsidR="002F237B">
        <w:rPr>
          <w:sz w:val="22"/>
        </w:rPr>
        <w:t>eriparatida</w:t>
      </w:r>
    </w:p>
    <w:p w14:paraId="0A734913" w14:textId="77777777" w:rsidR="002F237B" w:rsidRDefault="002F237B" w:rsidP="002F237B">
      <w:pPr>
        <w:jc w:val="center"/>
        <w:rPr>
          <w:sz w:val="22"/>
        </w:rPr>
      </w:pPr>
    </w:p>
    <w:p w14:paraId="03C71042" w14:textId="77777777" w:rsidR="002F237B" w:rsidRPr="002F237B" w:rsidRDefault="002F237B" w:rsidP="002F237B">
      <w:pPr>
        <w:jc w:val="center"/>
        <w:rPr>
          <w:sz w:val="22"/>
        </w:rPr>
      </w:pPr>
    </w:p>
    <w:p w14:paraId="06C769DB" w14:textId="77777777" w:rsidR="00693925" w:rsidRPr="00C03C06" w:rsidRDefault="00693925" w:rsidP="00E84F80">
      <w:pPr>
        <w:ind w:right="-2"/>
        <w:rPr>
          <w:sz w:val="22"/>
        </w:rPr>
      </w:pPr>
      <w:r w:rsidRPr="00C03C06">
        <w:rPr>
          <w:sz w:val="22"/>
        </w:rPr>
        <w:t>Lea todo el prospecto detenidamente antes de empezar a usar e</w:t>
      </w:r>
      <w:r w:rsidR="00DB0E59">
        <w:rPr>
          <w:sz w:val="22"/>
        </w:rPr>
        <w:t>ste</w:t>
      </w:r>
      <w:r w:rsidRPr="00C03C06">
        <w:rPr>
          <w:sz w:val="22"/>
        </w:rPr>
        <w:t xml:space="preserve"> medicamento</w:t>
      </w:r>
      <w:r w:rsidR="00DB0E59">
        <w:rPr>
          <w:sz w:val="22"/>
        </w:rPr>
        <w:t>,</w:t>
      </w:r>
      <w:r w:rsidR="00EE760D" w:rsidRPr="00C03C06">
        <w:rPr>
          <w:sz w:val="22"/>
        </w:rPr>
        <w:t xml:space="preserve"> porque contiene información importante para usted</w:t>
      </w:r>
      <w:r w:rsidRPr="00C03C06">
        <w:rPr>
          <w:sz w:val="22"/>
        </w:rPr>
        <w:t>.</w:t>
      </w:r>
    </w:p>
    <w:p w14:paraId="2B349AAD" w14:textId="77777777" w:rsidR="00693925" w:rsidRDefault="00693925" w:rsidP="001D68B8">
      <w:pPr>
        <w:numPr>
          <w:ilvl w:val="0"/>
          <w:numId w:val="1"/>
        </w:numPr>
        <w:ind w:left="567" w:right="-2" w:hanging="567"/>
        <w:rPr>
          <w:sz w:val="22"/>
        </w:rPr>
      </w:pPr>
      <w:r>
        <w:rPr>
          <w:sz w:val="22"/>
        </w:rPr>
        <w:t>Conserve este prospecto</w:t>
      </w:r>
      <w:r w:rsidR="00DB0E59">
        <w:rPr>
          <w:sz w:val="22"/>
        </w:rPr>
        <w:t>,</w:t>
      </w:r>
      <w:r w:rsidR="00686642">
        <w:rPr>
          <w:sz w:val="22"/>
        </w:rPr>
        <w:t xml:space="preserve"> ya que</w:t>
      </w:r>
      <w:r>
        <w:rPr>
          <w:sz w:val="22"/>
        </w:rPr>
        <w:t xml:space="preserve"> </w:t>
      </w:r>
      <w:r w:rsidR="00686642">
        <w:rPr>
          <w:sz w:val="22"/>
        </w:rPr>
        <w:t>p</w:t>
      </w:r>
      <w:r>
        <w:rPr>
          <w:sz w:val="22"/>
        </w:rPr>
        <w:t>uede tener que volver a leerlo.</w:t>
      </w:r>
    </w:p>
    <w:p w14:paraId="1C1EA775" w14:textId="77777777" w:rsidR="00693925" w:rsidRDefault="00693925" w:rsidP="001D68B8">
      <w:pPr>
        <w:numPr>
          <w:ilvl w:val="0"/>
          <w:numId w:val="1"/>
        </w:numPr>
        <w:ind w:left="567" w:right="-2" w:hanging="567"/>
        <w:rPr>
          <w:sz w:val="22"/>
        </w:rPr>
      </w:pPr>
      <w:r>
        <w:rPr>
          <w:sz w:val="22"/>
        </w:rPr>
        <w:t>Si tiene alguna duda, consulte a su médico o farmacéutico.</w:t>
      </w:r>
    </w:p>
    <w:p w14:paraId="5F0AE75A" w14:textId="77777777" w:rsidR="00693925" w:rsidRDefault="00693925" w:rsidP="001D68B8">
      <w:pPr>
        <w:numPr>
          <w:ilvl w:val="0"/>
          <w:numId w:val="1"/>
        </w:numPr>
        <w:ind w:left="567" w:right="-2" w:hanging="567"/>
        <w:rPr>
          <w:sz w:val="22"/>
        </w:rPr>
      </w:pPr>
      <w:r>
        <w:rPr>
          <w:sz w:val="22"/>
        </w:rPr>
        <w:t xml:space="preserve">Este medicamento se le ha recetado </w:t>
      </w:r>
      <w:r w:rsidR="00EE760D">
        <w:rPr>
          <w:sz w:val="22"/>
        </w:rPr>
        <w:t xml:space="preserve">solamente </w:t>
      </w:r>
      <w:r>
        <w:rPr>
          <w:sz w:val="22"/>
        </w:rPr>
        <w:t xml:space="preserve">a </w:t>
      </w:r>
      <w:r w:rsidR="00686642">
        <w:rPr>
          <w:sz w:val="22"/>
        </w:rPr>
        <w:t>usted</w:t>
      </w:r>
      <w:r w:rsidR="00DB0E59">
        <w:rPr>
          <w:sz w:val="22"/>
        </w:rPr>
        <w:t>,</w:t>
      </w:r>
      <w:r>
        <w:rPr>
          <w:sz w:val="22"/>
        </w:rPr>
        <w:t xml:space="preserve"> y no debe </w:t>
      </w:r>
      <w:r w:rsidR="00686642">
        <w:rPr>
          <w:sz w:val="22"/>
        </w:rPr>
        <w:t>dárselo</w:t>
      </w:r>
      <w:r>
        <w:rPr>
          <w:sz w:val="22"/>
        </w:rPr>
        <w:t xml:space="preserve"> a otras personas</w:t>
      </w:r>
      <w:r w:rsidR="00686642">
        <w:rPr>
          <w:sz w:val="22"/>
        </w:rPr>
        <w:t xml:space="preserve"> aunque tengan los mismos </w:t>
      </w:r>
      <w:r w:rsidR="00EE760D">
        <w:rPr>
          <w:sz w:val="22"/>
        </w:rPr>
        <w:t>síntomas que usted</w:t>
      </w:r>
      <w:r w:rsidR="00686642">
        <w:rPr>
          <w:sz w:val="22"/>
        </w:rPr>
        <w:t>, ya que puede perjudicarles.</w:t>
      </w:r>
    </w:p>
    <w:p w14:paraId="405A5C36" w14:textId="77777777" w:rsidR="00686642" w:rsidRDefault="00EE760D" w:rsidP="001D68B8">
      <w:pPr>
        <w:numPr>
          <w:ilvl w:val="0"/>
          <w:numId w:val="1"/>
        </w:numPr>
        <w:ind w:left="567" w:right="-2" w:hanging="567"/>
        <w:rPr>
          <w:sz w:val="22"/>
        </w:rPr>
      </w:pPr>
      <w:r w:rsidRPr="00EE760D">
        <w:rPr>
          <w:sz w:val="22"/>
          <w:lang w:val="es-ES_tradnl"/>
        </w:rPr>
        <w:t>Si experimenta efectos adversos,</w:t>
      </w:r>
      <w:r>
        <w:rPr>
          <w:sz w:val="22"/>
          <w:lang w:val="es-ES_tradnl"/>
        </w:rPr>
        <w:t xml:space="preserve"> consulte a su médico</w:t>
      </w:r>
      <w:r w:rsidRPr="00EE760D">
        <w:rPr>
          <w:sz w:val="22"/>
          <w:lang w:val="es-ES_tradnl"/>
        </w:rPr>
        <w:t xml:space="preserve"> </w:t>
      </w:r>
      <w:r>
        <w:rPr>
          <w:sz w:val="22"/>
          <w:lang w:val="es-ES_tradnl"/>
        </w:rPr>
        <w:t xml:space="preserve">o </w:t>
      </w:r>
      <w:r w:rsidRPr="00EE760D">
        <w:rPr>
          <w:sz w:val="22"/>
          <w:lang w:val="es-ES_tradnl"/>
        </w:rPr>
        <w:t>farmacéutico</w:t>
      </w:r>
      <w:r>
        <w:rPr>
          <w:sz w:val="22"/>
          <w:lang w:val="es-ES_tradnl"/>
        </w:rPr>
        <w:t xml:space="preserve">, </w:t>
      </w:r>
      <w:r w:rsidRPr="00EE760D">
        <w:rPr>
          <w:sz w:val="22"/>
          <w:lang w:val="es-ES_tradnl"/>
        </w:rPr>
        <w:t>incluso si se trata de efectos adversos que no aparecen en este prospecto.</w:t>
      </w:r>
      <w:r w:rsidR="00950E06">
        <w:rPr>
          <w:sz w:val="22"/>
          <w:lang w:val="es-ES_tradnl"/>
        </w:rPr>
        <w:t xml:space="preserve"> Ver sección 4.</w:t>
      </w:r>
    </w:p>
    <w:p w14:paraId="65904866" w14:textId="77777777" w:rsidR="00693925" w:rsidRDefault="00693925" w:rsidP="00E84F80">
      <w:pPr>
        <w:numPr>
          <w:ilvl w:val="12"/>
          <w:numId w:val="0"/>
        </w:numPr>
        <w:ind w:right="-2"/>
        <w:rPr>
          <w:sz w:val="22"/>
        </w:rPr>
      </w:pPr>
    </w:p>
    <w:p w14:paraId="6B366784" w14:textId="77777777" w:rsidR="00693925" w:rsidRDefault="00686642" w:rsidP="00E84F80">
      <w:pPr>
        <w:numPr>
          <w:ilvl w:val="12"/>
          <w:numId w:val="0"/>
        </w:numPr>
        <w:ind w:right="-2"/>
        <w:rPr>
          <w:b/>
          <w:sz w:val="22"/>
        </w:rPr>
      </w:pPr>
      <w:r w:rsidRPr="005F49A6">
        <w:rPr>
          <w:b/>
          <w:sz w:val="22"/>
        </w:rPr>
        <w:t>Contenido del prospecto</w:t>
      </w:r>
    </w:p>
    <w:p w14:paraId="212E1377" w14:textId="77777777" w:rsidR="00DB0E59" w:rsidRPr="00C03C06" w:rsidRDefault="00DB0E59" w:rsidP="00E84F80">
      <w:pPr>
        <w:numPr>
          <w:ilvl w:val="12"/>
          <w:numId w:val="0"/>
        </w:numPr>
        <w:ind w:right="-2"/>
        <w:rPr>
          <w:sz w:val="22"/>
        </w:rPr>
      </w:pPr>
    </w:p>
    <w:p w14:paraId="7FAD6DE8" w14:textId="77777777" w:rsidR="00693925" w:rsidRDefault="00693925" w:rsidP="00E84F80">
      <w:pPr>
        <w:ind w:left="567" w:right="-28" w:hanging="567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 xml:space="preserve">Qué es </w:t>
      </w:r>
      <w:r w:rsidR="00EA201D">
        <w:rPr>
          <w:sz w:val="22"/>
        </w:rPr>
        <w:t>Teriparatida</w:t>
      </w:r>
      <w:r w:rsidR="004A4015">
        <w:rPr>
          <w:sz w:val="22"/>
        </w:rPr>
        <w:t xml:space="preserve"> SUN</w:t>
      </w:r>
      <w:r>
        <w:rPr>
          <w:rStyle w:val="LabelInstructions"/>
          <w:i w:val="0"/>
          <w:color w:val="auto"/>
          <w:sz w:val="22"/>
        </w:rPr>
        <w:t xml:space="preserve"> </w:t>
      </w:r>
      <w:r>
        <w:rPr>
          <w:sz w:val="22"/>
        </w:rPr>
        <w:t>y para qué se utiliza</w:t>
      </w:r>
    </w:p>
    <w:p w14:paraId="3B5E4788" w14:textId="77777777" w:rsidR="00693925" w:rsidRDefault="00693925" w:rsidP="00E84F80">
      <w:pPr>
        <w:ind w:left="567" w:right="-28" w:hanging="567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="00EE760D">
        <w:rPr>
          <w:sz w:val="22"/>
        </w:rPr>
        <w:t>Qué necesita saber a</w:t>
      </w:r>
      <w:r>
        <w:rPr>
          <w:sz w:val="22"/>
        </w:rPr>
        <w:t>ntes de</w:t>
      </w:r>
      <w:r w:rsidR="00EE760D">
        <w:rPr>
          <w:sz w:val="22"/>
        </w:rPr>
        <w:t xml:space="preserve"> empezar</w:t>
      </w:r>
      <w:r w:rsidR="00155429">
        <w:rPr>
          <w:sz w:val="22"/>
        </w:rPr>
        <w:t xml:space="preserve"> a</w:t>
      </w:r>
      <w:r>
        <w:rPr>
          <w:sz w:val="22"/>
        </w:rPr>
        <w:t xml:space="preserve"> usar </w:t>
      </w:r>
      <w:r w:rsidR="00EA201D">
        <w:rPr>
          <w:sz w:val="22"/>
        </w:rPr>
        <w:t>Teriparatida</w:t>
      </w:r>
      <w:r w:rsidR="004A4015">
        <w:rPr>
          <w:sz w:val="22"/>
        </w:rPr>
        <w:t xml:space="preserve"> SUN</w:t>
      </w:r>
    </w:p>
    <w:p w14:paraId="2AEAF5C3" w14:textId="77777777" w:rsidR="00693925" w:rsidRDefault="00693925" w:rsidP="00E84F80">
      <w:pPr>
        <w:ind w:left="567" w:right="-28" w:hanging="567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 xml:space="preserve">Cómo usar </w:t>
      </w:r>
      <w:r w:rsidR="00EA201D">
        <w:rPr>
          <w:sz w:val="22"/>
        </w:rPr>
        <w:t>Teriparatida</w:t>
      </w:r>
      <w:r w:rsidR="004A4015">
        <w:rPr>
          <w:sz w:val="22"/>
        </w:rPr>
        <w:t xml:space="preserve"> SUN</w:t>
      </w:r>
    </w:p>
    <w:p w14:paraId="12E30D03" w14:textId="77777777" w:rsidR="00693925" w:rsidRDefault="00693925" w:rsidP="00E84F80">
      <w:pPr>
        <w:ind w:left="567" w:right="-28" w:hanging="567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Posibles efectos adversos</w:t>
      </w:r>
    </w:p>
    <w:p w14:paraId="2B76F765" w14:textId="77777777" w:rsidR="00693925" w:rsidRDefault="00693925" w:rsidP="00E84F80">
      <w:pPr>
        <w:ind w:left="567" w:right="-28" w:hanging="567"/>
        <w:rPr>
          <w:sz w:val="22"/>
        </w:rPr>
      </w:pPr>
      <w:r>
        <w:rPr>
          <w:sz w:val="22"/>
        </w:rPr>
        <w:t>5</w:t>
      </w:r>
      <w:r w:rsidR="00E62953">
        <w:rPr>
          <w:sz w:val="22"/>
        </w:rPr>
        <w:t>.</w:t>
      </w:r>
      <w:r>
        <w:rPr>
          <w:sz w:val="22"/>
        </w:rPr>
        <w:tab/>
        <w:t xml:space="preserve">Conservación de </w:t>
      </w:r>
      <w:r w:rsidR="00EA201D">
        <w:rPr>
          <w:sz w:val="22"/>
        </w:rPr>
        <w:t>Teriparatida</w:t>
      </w:r>
      <w:r w:rsidR="004A4015">
        <w:rPr>
          <w:sz w:val="22"/>
        </w:rPr>
        <w:t xml:space="preserve"> SUN</w:t>
      </w:r>
    </w:p>
    <w:p w14:paraId="0DFDA63A" w14:textId="77777777" w:rsidR="00693925" w:rsidRDefault="00693925" w:rsidP="00E84F80">
      <w:pPr>
        <w:ind w:left="567" w:right="-28" w:hanging="567"/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EE760D">
        <w:rPr>
          <w:sz w:val="22"/>
        </w:rPr>
        <w:t>Contenido del envase e i</w:t>
      </w:r>
      <w:r>
        <w:rPr>
          <w:sz w:val="22"/>
        </w:rPr>
        <w:t>nformación adicional</w:t>
      </w:r>
    </w:p>
    <w:p w14:paraId="56DEABF4" w14:textId="77777777" w:rsidR="00693925" w:rsidRDefault="00693925" w:rsidP="00E84F80">
      <w:pPr>
        <w:numPr>
          <w:ilvl w:val="12"/>
          <w:numId w:val="0"/>
        </w:numPr>
        <w:ind w:right="-2"/>
        <w:rPr>
          <w:sz w:val="22"/>
        </w:rPr>
      </w:pPr>
    </w:p>
    <w:p w14:paraId="377781EA" w14:textId="77777777" w:rsidR="00693925" w:rsidRDefault="00693925" w:rsidP="00E84F80">
      <w:pPr>
        <w:numPr>
          <w:ilvl w:val="12"/>
          <w:numId w:val="0"/>
        </w:numPr>
        <w:ind w:right="-2"/>
        <w:rPr>
          <w:sz w:val="22"/>
        </w:rPr>
      </w:pPr>
    </w:p>
    <w:p w14:paraId="7EBFB26A" w14:textId="77777777" w:rsidR="00693925" w:rsidRDefault="00693925" w:rsidP="00C01491">
      <w:pPr>
        <w:keepNext/>
        <w:numPr>
          <w:ilvl w:val="12"/>
          <w:numId w:val="0"/>
        </w:numPr>
        <w:ind w:left="567" w:hanging="567"/>
        <w:rPr>
          <w:sz w:val="22"/>
        </w:rPr>
      </w:pPr>
      <w:r>
        <w:rPr>
          <w:b/>
          <w:sz w:val="22"/>
        </w:rPr>
        <w:t>1.</w:t>
      </w:r>
      <w:r>
        <w:rPr>
          <w:b/>
          <w:sz w:val="22"/>
        </w:rPr>
        <w:tab/>
      </w:r>
      <w:r w:rsidR="009E0D76">
        <w:rPr>
          <w:b/>
          <w:sz w:val="22"/>
        </w:rPr>
        <w:t xml:space="preserve">Qué es </w:t>
      </w:r>
      <w:r w:rsidR="00EA201D">
        <w:rPr>
          <w:b/>
          <w:sz w:val="22"/>
        </w:rPr>
        <w:t>Teriparatida</w:t>
      </w:r>
      <w:r w:rsidR="008B6F7A">
        <w:rPr>
          <w:b/>
          <w:sz w:val="22"/>
        </w:rPr>
        <w:t xml:space="preserve"> SUN</w:t>
      </w:r>
      <w:r>
        <w:rPr>
          <w:b/>
          <w:sz w:val="22"/>
        </w:rPr>
        <w:t xml:space="preserve"> </w:t>
      </w:r>
      <w:r w:rsidR="009E0D76">
        <w:rPr>
          <w:b/>
          <w:sz w:val="22"/>
        </w:rPr>
        <w:t>y para qué se utiliza</w:t>
      </w:r>
    </w:p>
    <w:p w14:paraId="1B2C867E" w14:textId="77777777" w:rsidR="00693925" w:rsidRDefault="00693925" w:rsidP="00C01491">
      <w:pPr>
        <w:keepNext/>
        <w:numPr>
          <w:ilvl w:val="12"/>
          <w:numId w:val="0"/>
        </w:numPr>
        <w:rPr>
          <w:sz w:val="22"/>
        </w:rPr>
      </w:pPr>
    </w:p>
    <w:p w14:paraId="16305E87" w14:textId="77777777" w:rsidR="00693925" w:rsidRDefault="00EA201D" w:rsidP="00E84F80">
      <w:pPr>
        <w:numPr>
          <w:ilvl w:val="12"/>
          <w:numId w:val="0"/>
        </w:numPr>
        <w:ind w:right="-2"/>
        <w:rPr>
          <w:rStyle w:val="LabelInstructions"/>
          <w:i w:val="0"/>
          <w:color w:val="auto"/>
          <w:sz w:val="22"/>
        </w:rPr>
      </w:pPr>
      <w:r>
        <w:rPr>
          <w:rStyle w:val="LabelInstructions"/>
          <w:i w:val="0"/>
          <w:color w:val="auto"/>
          <w:sz w:val="22"/>
        </w:rPr>
        <w:t>Teriparatida</w:t>
      </w:r>
      <w:r w:rsidR="008B6F7A">
        <w:rPr>
          <w:rStyle w:val="LabelInstructions"/>
          <w:i w:val="0"/>
          <w:color w:val="auto"/>
          <w:sz w:val="22"/>
        </w:rPr>
        <w:t xml:space="preserve"> SUN</w:t>
      </w:r>
      <w:r w:rsidR="00693925">
        <w:rPr>
          <w:rStyle w:val="LabelInstructions"/>
          <w:i w:val="0"/>
          <w:color w:val="auto"/>
          <w:sz w:val="22"/>
        </w:rPr>
        <w:t xml:space="preserve"> </w:t>
      </w:r>
      <w:r w:rsidR="00EE760D">
        <w:rPr>
          <w:rStyle w:val="LabelInstructions"/>
          <w:i w:val="0"/>
          <w:color w:val="auto"/>
          <w:sz w:val="22"/>
        </w:rPr>
        <w:t xml:space="preserve">contiene </w:t>
      </w:r>
      <w:r w:rsidR="00155429">
        <w:rPr>
          <w:rStyle w:val="LabelInstructions"/>
          <w:i w:val="0"/>
          <w:color w:val="auto"/>
          <w:sz w:val="22"/>
        </w:rPr>
        <w:t>el principio activo teriparatida, que</w:t>
      </w:r>
      <w:r w:rsidR="00EE760D">
        <w:rPr>
          <w:rStyle w:val="LabelInstructions"/>
          <w:i w:val="0"/>
          <w:color w:val="auto"/>
          <w:sz w:val="22"/>
        </w:rPr>
        <w:t xml:space="preserve"> </w:t>
      </w:r>
      <w:r w:rsidR="00693925">
        <w:rPr>
          <w:rStyle w:val="LabelInstructions"/>
          <w:i w:val="0"/>
          <w:color w:val="auto"/>
          <w:sz w:val="22"/>
        </w:rPr>
        <w:t>es empleado para aumentar la fortaleza del hueso y reducir el riesgo de fracturas</w:t>
      </w:r>
      <w:r w:rsidR="00AA7D7A" w:rsidRPr="00AA7D7A">
        <w:rPr>
          <w:rStyle w:val="LabelInstructions"/>
          <w:i w:val="0"/>
          <w:color w:val="auto"/>
          <w:sz w:val="22"/>
        </w:rPr>
        <w:t xml:space="preserve"> </w:t>
      </w:r>
      <w:r w:rsidR="00155429">
        <w:rPr>
          <w:rStyle w:val="LabelInstructions"/>
          <w:i w:val="0"/>
          <w:color w:val="auto"/>
          <w:sz w:val="22"/>
        </w:rPr>
        <w:t>mediante la estimulación de la formación de hueso</w:t>
      </w:r>
      <w:r w:rsidR="007C55C7">
        <w:rPr>
          <w:rStyle w:val="LabelInstructions"/>
          <w:i w:val="0"/>
          <w:color w:val="auto"/>
          <w:sz w:val="22"/>
        </w:rPr>
        <w:t>.</w:t>
      </w:r>
    </w:p>
    <w:p w14:paraId="58A710D9" w14:textId="77777777" w:rsidR="00693925" w:rsidRDefault="00693925" w:rsidP="00E84F80">
      <w:pPr>
        <w:rPr>
          <w:sz w:val="22"/>
        </w:rPr>
      </w:pPr>
    </w:p>
    <w:p w14:paraId="1C3E2A54" w14:textId="77777777" w:rsidR="00A31B7E" w:rsidRPr="00B00F16" w:rsidRDefault="00EA201D" w:rsidP="00A31B7E">
      <w:pPr>
        <w:outlineLvl w:val="0"/>
        <w:rPr>
          <w:sz w:val="22"/>
          <w:szCs w:val="22"/>
        </w:rPr>
      </w:pPr>
      <w:r>
        <w:rPr>
          <w:rStyle w:val="LabelInstructions"/>
          <w:i w:val="0"/>
          <w:color w:val="auto"/>
          <w:sz w:val="22"/>
        </w:rPr>
        <w:t>Teriparatida</w:t>
      </w:r>
      <w:r w:rsidR="008B6F7A">
        <w:rPr>
          <w:rStyle w:val="LabelInstructions"/>
          <w:i w:val="0"/>
          <w:color w:val="auto"/>
          <w:sz w:val="22"/>
        </w:rPr>
        <w:t xml:space="preserve"> SUN</w:t>
      </w:r>
      <w:r w:rsidR="00693925">
        <w:rPr>
          <w:rStyle w:val="LabelInstructions"/>
          <w:i w:val="0"/>
          <w:color w:val="auto"/>
          <w:sz w:val="22"/>
        </w:rPr>
        <w:t xml:space="preserve"> se usa para el tratamiento de la osteoporosis</w:t>
      </w:r>
      <w:r w:rsidR="00155429">
        <w:rPr>
          <w:rStyle w:val="LabelInstructions"/>
          <w:i w:val="0"/>
          <w:color w:val="auto"/>
          <w:sz w:val="22"/>
        </w:rPr>
        <w:t xml:space="preserve"> en adultos</w:t>
      </w:r>
      <w:r w:rsidR="00693925">
        <w:rPr>
          <w:rStyle w:val="LabelInstructions"/>
          <w:i w:val="0"/>
          <w:color w:val="auto"/>
          <w:sz w:val="22"/>
        </w:rPr>
        <w:t>. La osteoporosis es una enfermedad que hace que sus huesos se desgasten y se vuelvan frágiles. Esta enfermedad es especialmente frecuente en las mujeres después de la menopausia</w:t>
      </w:r>
      <w:r w:rsidR="0012336A">
        <w:rPr>
          <w:rStyle w:val="LabelInstructions"/>
          <w:i w:val="0"/>
          <w:color w:val="auto"/>
          <w:sz w:val="22"/>
        </w:rPr>
        <w:t>, pero también puede ocurrir en varones</w:t>
      </w:r>
      <w:r w:rsidR="00693925">
        <w:rPr>
          <w:rStyle w:val="LabelInstructions"/>
          <w:i w:val="0"/>
          <w:color w:val="auto"/>
          <w:sz w:val="22"/>
        </w:rPr>
        <w:t xml:space="preserve">. </w:t>
      </w:r>
      <w:r w:rsidR="00A31B7E" w:rsidRPr="00B00F16">
        <w:rPr>
          <w:sz w:val="22"/>
          <w:szCs w:val="22"/>
        </w:rPr>
        <w:t>La osteoporosis también es frecuente en pacientes tratados con corticosteroides.</w:t>
      </w:r>
    </w:p>
    <w:p w14:paraId="17EA95A9" w14:textId="77777777" w:rsidR="00693925" w:rsidRPr="005244E9" w:rsidRDefault="00693925" w:rsidP="00E84F80">
      <w:pPr>
        <w:rPr>
          <w:sz w:val="22"/>
          <w:szCs w:val="22"/>
        </w:rPr>
      </w:pPr>
    </w:p>
    <w:p w14:paraId="1D7C3044" w14:textId="77777777" w:rsidR="00693925" w:rsidRPr="005244E9" w:rsidRDefault="00693925" w:rsidP="00E84F80">
      <w:pPr>
        <w:pStyle w:val="BodyText"/>
        <w:rPr>
          <w:snapToGrid w:val="0"/>
          <w:sz w:val="22"/>
          <w:szCs w:val="22"/>
          <w:lang w:val="es-ES"/>
        </w:rPr>
      </w:pPr>
    </w:p>
    <w:p w14:paraId="40545933" w14:textId="77777777" w:rsidR="00693925" w:rsidRDefault="00693925" w:rsidP="00DB0E59">
      <w:pPr>
        <w:keepNext/>
        <w:ind w:left="567" w:hanging="567"/>
        <w:rPr>
          <w:b/>
          <w:sz w:val="22"/>
        </w:rPr>
      </w:pPr>
      <w:r>
        <w:rPr>
          <w:b/>
          <w:sz w:val="22"/>
        </w:rPr>
        <w:t>2.</w:t>
      </w:r>
      <w:r>
        <w:rPr>
          <w:b/>
          <w:sz w:val="22"/>
        </w:rPr>
        <w:tab/>
      </w:r>
      <w:r w:rsidR="00155429" w:rsidRPr="00155429">
        <w:rPr>
          <w:b/>
          <w:sz w:val="22"/>
        </w:rPr>
        <w:t xml:space="preserve">Qué necesita saber antes de empezar a usar </w:t>
      </w:r>
      <w:r w:rsidR="00EA201D">
        <w:rPr>
          <w:b/>
          <w:sz w:val="22"/>
        </w:rPr>
        <w:t>Teriparatida</w:t>
      </w:r>
      <w:r w:rsidR="008B6F7A">
        <w:rPr>
          <w:b/>
          <w:sz w:val="22"/>
        </w:rPr>
        <w:t xml:space="preserve"> SUN</w:t>
      </w:r>
    </w:p>
    <w:p w14:paraId="7EEED1B7" w14:textId="77777777" w:rsidR="00693925" w:rsidRDefault="00693925" w:rsidP="00E84F80">
      <w:pPr>
        <w:rPr>
          <w:sz w:val="22"/>
        </w:rPr>
      </w:pPr>
    </w:p>
    <w:p w14:paraId="2AF051AB" w14:textId="77777777" w:rsidR="00693925" w:rsidRDefault="00693925" w:rsidP="00E84F80">
      <w:pPr>
        <w:rPr>
          <w:b/>
          <w:sz w:val="22"/>
        </w:rPr>
      </w:pPr>
      <w:r>
        <w:rPr>
          <w:b/>
          <w:sz w:val="22"/>
        </w:rPr>
        <w:t xml:space="preserve">No </w:t>
      </w:r>
      <w:r w:rsidR="00203895">
        <w:rPr>
          <w:b/>
          <w:sz w:val="22"/>
        </w:rPr>
        <w:t xml:space="preserve">use </w:t>
      </w:r>
      <w:r w:rsidR="00EA201D">
        <w:rPr>
          <w:b/>
          <w:sz w:val="22"/>
        </w:rPr>
        <w:t>Teriparatida</w:t>
      </w:r>
      <w:r w:rsidR="008B6F7A">
        <w:rPr>
          <w:b/>
          <w:sz w:val="22"/>
        </w:rPr>
        <w:t xml:space="preserve"> SUN</w:t>
      </w:r>
    </w:p>
    <w:p w14:paraId="6079CE15" w14:textId="77777777" w:rsidR="00693925" w:rsidRDefault="00A80721" w:rsidP="001D68B8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</w:rPr>
      </w:pPr>
      <w:proofErr w:type="spellStart"/>
      <w:r>
        <w:rPr>
          <w:sz w:val="22"/>
        </w:rPr>
        <w:t>si</w:t>
      </w:r>
      <w:proofErr w:type="spellEnd"/>
      <w:r>
        <w:rPr>
          <w:sz w:val="22"/>
        </w:rPr>
        <w:t xml:space="preserve"> es alérgico a teriparatida o a </w:t>
      </w:r>
      <w:r w:rsidR="00DB0E59">
        <w:rPr>
          <w:sz w:val="22"/>
        </w:rPr>
        <w:t>alguno</w:t>
      </w:r>
      <w:r>
        <w:rPr>
          <w:sz w:val="22"/>
        </w:rPr>
        <w:t xml:space="preserve"> de los demás componentes de </w:t>
      </w:r>
      <w:r w:rsidR="00155429">
        <w:rPr>
          <w:sz w:val="22"/>
        </w:rPr>
        <w:t>este medicamento (incluidos en la sección 6)</w:t>
      </w:r>
      <w:r>
        <w:rPr>
          <w:sz w:val="22"/>
        </w:rPr>
        <w:t>.</w:t>
      </w:r>
    </w:p>
    <w:p w14:paraId="3BE3E7FA" w14:textId="77777777" w:rsidR="00693925" w:rsidRDefault="00A80721" w:rsidP="001D68B8">
      <w:pPr>
        <w:pStyle w:val="BodyTextIndent"/>
        <w:numPr>
          <w:ilvl w:val="1"/>
          <w:numId w:val="4"/>
        </w:numPr>
        <w:tabs>
          <w:tab w:val="clear" w:pos="360"/>
          <w:tab w:val="num" w:pos="567"/>
        </w:tabs>
        <w:ind w:left="567" w:hanging="567"/>
        <w:rPr>
          <w:b w:val="0"/>
          <w:color w:val="auto"/>
          <w:lang w:val="es-ES"/>
        </w:rPr>
      </w:pPr>
      <w:proofErr w:type="spellStart"/>
      <w:r>
        <w:rPr>
          <w:b w:val="0"/>
          <w:color w:val="auto"/>
          <w:lang w:val="es-ES"/>
        </w:rPr>
        <w:t>si</w:t>
      </w:r>
      <w:proofErr w:type="spellEnd"/>
      <w:r>
        <w:rPr>
          <w:b w:val="0"/>
          <w:color w:val="auto"/>
          <w:lang w:val="es-ES"/>
        </w:rPr>
        <w:t xml:space="preserve"> </w:t>
      </w:r>
      <w:r w:rsidR="00693925">
        <w:rPr>
          <w:b w:val="0"/>
          <w:color w:val="auto"/>
          <w:lang w:val="es-ES"/>
        </w:rPr>
        <w:t>tiene nivel</w:t>
      </w:r>
      <w:r w:rsidR="005F28BB">
        <w:rPr>
          <w:b w:val="0"/>
          <w:color w:val="auto"/>
          <w:lang w:val="es-ES"/>
        </w:rPr>
        <w:t>es</w:t>
      </w:r>
      <w:r w:rsidR="00693925">
        <w:rPr>
          <w:b w:val="0"/>
          <w:color w:val="auto"/>
          <w:lang w:val="es-ES"/>
        </w:rPr>
        <w:t xml:space="preserve"> de calcio elevado</w:t>
      </w:r>
      <w:r w:rsidR="005F28BB">
        <w:rPr>
          <w:b w:val="0"/>
          <w:color w:val="auto"/>
          <w:lang w:val="es-ES"/>
        </w:rPr>
        <w:t>s</w:t>
      </w:r>
      <w:r w:rsidR="00693925">
        <w:rPr>
          <w:b w:val="0"/>
          <w:color w:val="auto"/>
          <w:lang w:val="es-ES"/>
        </w:rPr>
        <w:t xml:space="preserve"> (hipercalcemia preexistente)</w:t>
      </w:r>
      <w:r>
        <w:rPr>
          <w:b w:val="0"/>
          <w:color w:val="auto"/>
          <w:lang w:val="es-ES"/>
        </w:rPr>
        <w:t>.</w:t>
      </w:r>
    </w:p>
    <w:p w14:paraId="31472E53" w14:textId="77777777" w:rsidR="00693925" w:rsidRDefault="00A80721" w:rsidP="001D68B8">
      <w:pPr>
        <w:pStyle w:val="BodyTextIndent"/>
        <w:numPr>
          <w:ilvl w:val="1"/>
          <w:numId w:val="4"/>
        </w:numPr>
        <w:tabs>
          <w:tab w:val="clear" w:pos="360"/>
          <w:tab w:val="num" w:pos="567"/>
        </w:tabs>
        <w:ind w:left="567" w:hanging="567"/>
        <w:rPr>
          <w:b w:val="0"/>
          <w:color w:val="auto"/>
          <w:lang w:val="es-ES"/>
        </w:rPr>
      </w:pPr>
      <w:proofErr w:type="spellStart"/>
      <w:r>
        <w:rPr>
          <w:b w:val="0"/>
          <w:color w:val="auto"/>
          <w:lang w:val="es-ES"/>
        </w:rPr>
        <w:t>si</w:t>
      </w:r>
      <w:proofErr w:type="spellEnd"/>
      <w:r>
        <w:rPr>
          <w:b w:val="0"/>
          <w:color w:val="auto"/>
          <w:lang w:val="es-ES"/>
        </w:rPr>
        <w:t xml:space="preserve"> </w:t>
      </w:r>
      <w:r w:rsidR="00693925">
        <w:rPr>
          <w:b w:val="0"/>
          <w:color w:val="auto"/>
          <w:lang w:val="es-ES"/>
        </w:rPr>
        <w:t xml:space="preserve">padece problemas </w:t>
      </w:r>
      <w:r w:rsidR="00AA7D7A">
        <w:rPr>
          <w:b w:val="0"/>
          <w:color w:val="auto"/>
          <w:lang w:val="es-ES"/>
        </w:rPr>
        <w:t xml:space="preserve">graves </w:t>
      </w:r>
      <w:r w:rsidR="00693925">
        <w:rPr>
          <w:b w:val="0"/>
          <w:color w:val="auto"/>
          <w:lang w:val="es-ES"/>
        </w:rPr>
        <w:t>de riñón</w:t>
      </w:r>
      <w:r w:rsidR="00AA7D7A">
        <w:rPr>
          <w:b w:val="0"/>
          <w:color w:val="auto"/>
          <w:lang w:val="es-ES"/>
        </w:rPr>
        <w:t>.</w:t>
      </w:r>
    </w:p>
    <w:p w14:paraId="12C8EB17" w14:textId="77777777" w:rsidR="00AA7D7A" w:rsidRDefault="00A80721" w:rsidP="001D68B8">
      <w:pPr>
        <w:pStyle w:val="BodyTextIndent"/>
        <w:numPr>
          <w:ilvl w:val="1"/>
          <w:numId w:val="4"/>
        </w:numPr>
        <w:tabs>
          <w:tab w:val="clear" w:pos="360"/>
          <w:tab w:val="num" w:pos="567"/>
        </w:tabs>
        <w:ind w:left="567" w:hanging="567"/>
        <w:rPr>
          <w:b w:val="0"/>
          <w:color w:val="auto"/>
          <w:lang w:val="es-ES"/>
        </w:rPr>
      </w:pPr>
      <w:r>
        <w:rPr>
          <w:b w:val="0"/>
          <w:color w:val="auto"/>
          <w:lang w:val="es-ES"/>
        </w:rPr>
        <w:t xml:space="preserve">si </w:t>
      </w:r>
      <w:r w:rsidR="00AA7D7A">
        <w:rPr>
          <w:b w:val="0"/>
          <w:color w:val="auto"/>
          <w:lang w:val="es-ES"/>
        </w:rPr>
        <w:t>alguna vez le han diagnosticado cáncer de huesos u otros tipos de cáncer que se hayan extendido (metastatizado) a sus huesos.</w:t>
      </w:r>
    </w:p>
    <w:p w14:paraId="40EF8907" w14:textId="77777777" w:rsidR="00AA7D7A" w:rsidRDefault="00AA7D7A" w:rsidP="001D68B8">
      <w:pPr>
        <w:pStyle w:val="BodyTextIndent"/>
        <w:numPr>
          <w:ilvl w:val="1"/>
          <w:numId w:val="4"/>
        </w:numPr>
        <w:tabs>
          <w:tab w:val="clear" w:pos="360"/>
          <w:tab w:val="num" w:pos="567"/>
        </w:tabs>
        <w:ind w:left="567" w:hanging="567"/>
        <w:rPr>
          <w:b w:val="0"/>
          <w:color w:val="auto"/>
          <w:lang w:val="es-ES"/>
        </w:rPr>
      </w:pPr>
      <w:proofErr w:type="spellStart"/>
      <w:r>
        <w:rPr>
          <w:b w:val="0"/>
          <w:color w:val="auto"/>
          <w:lang w:val="es-ES"/>
        </w:rPr>
        <w:t>si</w:t>
      </w:r>
      <w:proofErr w:type="spellEnd"/>
      <w:r>
        <w:rPr>
          <w:b w:val="0"/>
          <w:color w:val="auto"/>
          <w:lang w:val="es-ES"/>
        </w:rPr>
        <w:t xml:space="preserve"> tiene determinadas enfermedades de los huesos. Si tiene una enfermedad de los huesos consulte a su médico.</w:t>
      </w:r>
    </w:p>
    <w:p w14:paraId="4068A9CF" w14:textId="77777777" w:rsidR="00693925" w:rsidRDefault="00A80721" w:rsidP="001D68B8">
      <w:pPr>
        <w:pStyle w:val="BodyTextIndent"/>
        <w:numPr>
          <w:ilvl w:val="1"/>
          <w:numId w:val="4"/>
        </w:numPr>
        <w:tabs>
          <w:tab w:val="clear" w:pos="360"/>
          <w:tab w:val="num" w:pos="567"/>
        </w:tabs>
        <w:ind w:left="567" w:hanging="567"/>
        <w:rPr>
          <w:b w:val="0"/>
          <w:color w:val="auto"/>
          <w:lang w:val="es-ES"/>
        </w:rPr>
      </w:pPr>
      <w:proofErr w:type="spellStart"/>
      <w:r>
        <w:rPr>
          <w:b w:val="0"/>
          <w:color w:val="auto"/>
          <w:lang w:val="es-ES"/>
        </w:rPr>
        <w:t>si</w:t>
      </w:r>
      <w:proofErr w:type="spellEnd"/>
      <w:r>
        <w:rPr>
          <w:b w:val="0"/>
          <w:color w:val="auto"/>
          <w:lang w:val="es-ES"/>
        </w:rPr>
        <w:t xml:space="preserve"> </w:t>
      </w:r>
      <w:r w:rsidR="00693925">
        <w:rPr>
          <w:b w:val="0"/>
          <w:color w:val="auto"/>
          <w:lang w:val="es-ES"/>
        </w:rPr>
        <w:t>tiene niveles elevados de fosfatasa alcalina</w:t>
      </w:r>
      <w:r w:rsidR="00AA7D7A">
        <w:rPr>
          <w:b w:val="0"/>
          <w:color w:val="auto"/>
          <w:lang w:val="es-ES"/>
        </w:rPr>
        <w:t xml:space="preserve"> en sangre sin explicación aparente, lo cual podría indicar que padece la enfermedad de Page</w:t>
      </w:r>
      <w:r w:rsidR="002C4E38">
        <w:rPr>
          <w:b w:val="0"/>
          <w:color w:val="auto"/>
          <w:lang w:val="es-ES"/>
        </w:rPr>
        <w:t>t</w:t>
      </w:r>
      <w:r w:rsidR="000C6B83">
        <w:rPr>
          <w:b w:val="0"/>
          <w:color w:val="auto"/>
          <w:lang w:val="es-ES"/>
        </w:rPr>
        <w:t xml:space="preserve"> </w:t>
      </w:r>
      <w:r w:rsidR="007C55C7">
        <w:rPr>
          <w:b w:val="0"/>
          <w:color w:val="auto"/>
          <w:lang w:val="es-ES"/>
        </w:rPr>
        <w:t xml:space="preserve">en el hueso </w:t>
      </w:r>
      <w:r w:rsidR="000C6B83">
        <w:rPr>
          <w:b w:val="0"/>
          <w:color w:val="auto"/>
          <w:lang w:val="es-ES"/>
        </w:rPr>
        <w:t>(enfermedad con cambios anormales del hueso)</w:t>
      </w:r>
      <w:r w:rsidR="00AA7D7A">
        <w:rPr>
          <w:b w:val="0"/>
          <w:color w:val="auto"/>
          <w:lang w:val="es-ES"/>
        </w:rPr>
        <w:t>. Si no está seguro, consulte a su médico.</w:t>
      </w:r>
    </w:p>
    <w:p w14:paraId="0A4742FE" w14:textId="77777777" w:rsidR="00693925" w:rsidRDefault="00A80721" w:rsidP="001D68B8">
      <w:pPr>
        <w:pStyle w:val="BodyTextIndent"/>
        <w:numPr>
          <w:ilvl w:val="1"/>
          <w:numId w:val="4"/>
        </w:numPr>
        <w:tabs>
          <w:tab w:val="clear" w:pos="360"/>
          <w:tab w:val="num" w:pos="567"/>
        </w:tabs>
        <w:ind w:left="567" w:hanging="567"/>
        <w:rPr>
          <w:color w:val="auto"/>
          <w:lang w:val="es-ES"/>
        </w:rPr>
      </w:pPr>
      <w:proofErr w:type="spellStart"/>
      <w:r>
        <w:rPr>
          <w:b w:val="0"/>
          <w:color w:val="auto"/>
          <w:lang w:val="es-ES"/>
        </w:rPr>
        <w:t>si</w:t>
      </w:r>
      <w:proofErr w:type="spellEnd"/>
      <w:r>
        <w:rPr>
          <w:b w:val="0"/>
          <w:color w:val="auto"/>
          <w:lang w:val="es-ES"/>
        </w:rPr>
        <w:t xml:space="preserve"> </w:t>
      </w:r>
      <w:r w:rsidR="00693925">
        <w:rPr>
          <w:b w:val="0"/>
          <w:color w:val="auto"/>
          <w:lang w:val="es-ES"/>
        </w:rPr>
        <w:t xml:space="preserve">ha recibido radioterapia </w:t>
      </w:r>
      <w:r w:rsidR="002C4E38">
        <w:rPr>
          <w:b w:val="0"/>
          <w:color w:val="auto"/>
          <w:lang w:val="es-ES"/>
        </w:rPr>
        <w:t>que haya podido afectar a</w:t>
      </w:r>
      <w:r w:rsidR="002B3F5D">
        <w:rPr>
          <w:b w:val="0"/>
          <w:color w:val="auto"/>
          <w:lang w:val="es-ES"/>
        </w:rPr>
        <w:t xml:space="preserve"> sus huesos</w:t>
      </w:r>
      <w:r>
        <w:rPr>
          <w:b w:val="0"/>
          <w:color w:val="auto"/>
          <w:lang w:val="es-ES"/>
        </w:rPr>
        <w:t>.</w:t>
      </w:r>
    </w:p>
    <w:p w14:paraId="6AE1C71D" w14:textId="77777777" w:rsidR="00693925" w:rsidRDefault="00693925" w:rsidP="001D68B8">
      <w:pPr>
        <w:pStyle w:val="BodyTextIndent"/>
        <w:numPr>
          <w:ilvl w:val="1"/>
          <w:numId w:val="4"/>
        </w:numPr>
        <w:tabs>
          <w:tab w:val="clear" w:pos="360"/>
          <w:tab w:val="num" w:pos="567"/>
        </w:tabs>
        <w:ind w:left="567" w:hanging="567"/>
        <w:rPr>
          <w:color w:val="auto"/>
          <w:lang w:val="es-ES"/>
        </w:rPr>
      </w:pPr>
      <w:proofErr w:type="spellStart"/>
      <w:r>
        <w:rPr>
          <w:b w:val="0"/>
          <w:color w:val="auto"/>
          <w:lang w:val="es-ES"/>
        </w:rPr>
        <w:t>si</w:t>
      </w:r>
      <w:proofErr w:type="spellEnd"/>
      <w:r>
        <w:rPr>
          <w:b w:val="0"/>
          <w:color w:val="auto"/>
          <w:lang w:val="es-ES"/>
        </w:rPr>
        <w:t xml:space="preserve"> está embarazada o en la lactancia</w:t>
      </w:r>
      <w:r w:rsidR="00A80721">
        <w:rPr>
          <w:b w:val="0"/>
          <w:color w:val="auto"/>
          <w:lang w:val="es-ES"/>
        </w:rPr>
        <w:t>.</w:t>
      </w:r>
    </w:p>
    <w:p w14:paraId="72A09041" w14:textId="77777777" w:rsidR="00693925" w:rsidRDefault="00693925" w:rsidP="00E84F80">
      <w:pPr>
        <w:rPr>
          <w:sz w:val="22"/>
        </w:rPr>
      </w:pPr>
    </w:p>
    <w:p w14:paraId="14CAFD09" w14:textId="77777777" w:rsidR="0091061F" w:rsidRDefault="000C6B83" w:rsidP="00E84F80">
      <w:pPr>
        <w:pStyle w:val="EndnoteText"/>
        <w:tabs>
          <w:tab w:val="clear" w:pos="567"/>
        </w:tabs>
        <w:rPr>
          <w:lang w:val="es-ES"/>
        </w:rPr>
      </w:pPr>
      <w:r>
        <w:rPr>
          <w:b/>
          <w:lang w:val="es-ES"/>
        </w:rPr>
        <w:lastRenderedPageBreak/>
        <w:t>Advertencias y precauciones</w:t>
      </w:r>
    </w:p>
    <w:p w14:paraId="4A59F9A4" w14:textId="77777777" w:rsidR="000C6B83" w:rsidRDefault="00EA201D" w:rsidP="001A2E8A">
      <w:pPr>
        <w:pStyle w:val="EndnoteText"/>
        <w:tabs>
          <w:tab w:val="clear" w:pos="567"/>
        </w:tabs>
        <w:rPr>
          <w:lang w:val="es-ES"/>
        </w:rPr>
      </w:pPr>
      <w:r>
        <w:rPr>
          <w:lang w:val="es-ES"/>
        </w:rPr>
        <w:t>Teriparatida</w:t>
      </w:r>
      <w:r w:rsidR="008B6F7A">
        <w:rPr>
          <w:lang w:val="es-ES"/>
        </w:rPr>
        <w:t xml:space="preserve"> SUN</w:t>
      </w:r>
      <w:r w:rsidR="009424D6">
        <w:rPr>
          <w:lang w:val="es-ES"/>
        </w:rPr>
        <w:t xml:space="preserve"> puede causar un aumento de la cantidad de calcio en su sangre</w:t>
      </w:r>
      <w:r w:rsidR="000C6B83">
        <w:rPr>
          <w:lang w:val="es-ES"/>
        </w:rPr>
        <w:t xml:space="preserve"> u orina</w:t>
      </w:r>
      <w:r w:rsidR="009424D6">
        <w:rPr>
          <w:lang w:val="es-ES"/>
        </w:rPr>
        <w:t>.</w:t>
      </w:r>
    </w:p>
    <w:p w14:paraId="78CAEB55" w14:textId="77777777" w:rsidR="000C6B83" w:rsidRDefault="000C6B83" w:rsidP="001A2E8A">
      <w:pPr>
        <w:pStyle w:val="EndnoteText"/>
        <w:tabs>
          <w:tab w:val="clear" w:pos="567"/>
        </w:tabs>
        <w:rPr>
          <w:lang w:val="es-ES"/>
        </w:rPr>
      </w:pPr>
    </w:p>
    <w:p w14:paraId="1BB30528" w14:textId="77777777" w:rsidR="000C6B83" w:rsidRDefault="000C6B83" w:rsidP="001A2E8A">
      <w:pPr>
        <w:pStyle w:val="EndnoteText"/>
        <w:tabs>
          <w:tab w:val="clear" w:pos="567"/>
        </w:tabs>
        <w:rPr>
          <w:lang w:val="es-ES"/>
        </w:rPr>
      </w:pPr>
      <w:r>
        <w:rPr>
          <w:lang w:val="es-ES"/>
        </w:rPr>
        <w:t xml:space="preserve">Consulte a su médico o farmacéutico antes </w:t>
      </w:r>
      <w:r w:rsidR="00DB0E59">
        <w:rPr>
          <w:lang w:val="es-ES"/>
        </w:rPr>
        <w:t xml:space="preserve">de empezar a usar </w:t>
      </w:r>
      <w:r>
        <w:rPr>
          <w:lang w:val="es-ES"/>
        </w:rPr>
        <w:t xml:space="preserve">o mientras esté </w:t>
      </w:r>
      <w:r w:rsidR="00DB0E59">
        <w:rPr>
          <w:lang w:val="es-ES"/>
        </w:rPr>
        <w:t>usando</w:t>
      </w:r>
      <w:r>
        <w:rPr>
          <w:lang w:val="es-ES"/>
        </w:rPr>
        <w:t xml:space="preserve"> </w:t>
      </w:r>
      <w:r w:rsidR="00EA201D">
        <w:rPr>
          <w:lang w:val="es-ES"/>
        </w:rPr>
        <w:t>Teriparatida</w:t>
      </w:r>
      <w:r w:rsidR="008B6F7A">
        <w:rPr>
          <w:lang w:val="es-ES"/>
        </w:rPr>
        <w:t xml:space="preserve"> SUN</w:t>
      </w:r>
      <w:r>
        <w:rPr>
          <w:lang w:val="es-ES"/>
        </w:rPr>
        <w:t>:</w:t>
      </w:r>
    </w:p>
    <w:p w14:paraId="3DD98AF3" w14:textId="77777777" w:rsidR="000C6B83" w:rsidRDefault="000C6B83" w:rsidP="001A2E8A">
      <w:pPr>
        <w:pStyle w:val="EndnoteText"/>
        <w:tabs>
          <w:tab w:val="clear" w:pos="567"/>
        </w:tabs>
        <w:rPr>
          <w:lang w:val="es-ES"/>
        </w:rPr>
      </w:pPr>
    </w:p>
    <w:p w14:paraId="5DB467B0" w14:textId="77777777" w:rsidR="000C6B83" w:rsidRPr="005F5881" w:rsidRDefault="00786D32" w:rsidP="005F5881">
      <w:pPr>
        <w:keepNext/>
        <w:numPr>
          <w:ilvl w:val="0"/>
          <w:numId w:val="33"/>
        </w:numPr>
        <w:rPr>
          <w:sz w:val="22"/>
        </w:rPr>
      </w:pPr>
      <w:r w:rsidRPr="005F5881">
        <w:rPr>
          <w:sz w:val="22"/>
        </w:rPr>
        <w:t xml:space="preserve">si </w:t>
      </w:r>
      <w:r w:rsidR="009424D6" w:rsidRPr="005F5881">
        <w:rPr>
          <w:sz w:val="22"/>
        </w:rPr>
        <w:t>usted tiene continuamente náuseas, vómitos, estreñimiento, baja energía o debilidad muscular. Estos pueden ser síntomas de que hay demasiado calcio en su sangre.</w:t>
      </w:r>
    </w:p>
    <w:p w14:paraId="6CFABBDA" w14:textId="77777777" w:rsidR="001A2E8A" w:rsidRPr="005F5881" w:rsidRDefault="00786D32" w:rsidP="005F5881">
      <w:pPr>
        <w:keepNext/>
        <w:numPr>
          <w:ilvl w:val="0"/>
          <w:numId w:val="33"/>
        </w:numPr>
        <w:rPr>
          <w:sz w:val="22"/>
        </w:rPr>
      </w:pPr>
      <w:r w:rsidRPr="005F5881">
        <w:rPr>
          <w:sz w:val="22"/>
        </w:rPr>
        <w:t xml:space="preserve">si </w:t>
      </w:r>
      <w:r w:rsidR="009424D6" w:rsidRPr="005F5881">
        <w:rPr>
          <w:sz w:val="22"/>
        </w:rPr>
        <w:t>u</w:t>
      </w:r>
      <w:r w:rsidR="001A2E8A" w:rsidRPr="005F5881">
        <w:rPr>
          <w:sz w:val="22"/>
        </w:rPr>
        <w:t>sted sufre de piedras en el riñón o presenta una historia previa de piedras en el riñón.</w:t>
      </w:r>
    </w:p>
    <w:p w14:paraId="6A059021" w14:textId="77777777" w:rsidR="001A2E8A" w:rsidRPr="005F5881" w:rsidRDefault="00786D32" w:rsidP="005F5881">
      <w:pPr>
        <w:keepNext/>
        <w:numPr>
          <w:ilvl w:val="0"/>
          <w:numId w:val="33"/>
        </w:numPr>
        <w:rPr>
          <w:sz w:val="22"/>
        </w:rPr>
      </w:pPr>
      <w:r w:rsidRPr="005F5881">
        <w:rPr>
          <w:sz w:val="22"/>
        </w:rPr>
        <w:t xml:space="preserve">si </w:t>
      </w:r>
      <w:r w:rsidR="001A2E8A" w:rsidRPr="005F5881">
        <w:rPr>
          <w:sz w:val="22"/>
        </w:rPr>
        <w:t>usted sufre de problemas de riñón (insuficiencia renal moderada)</w:t>
      </w:r>
      <w:r w:rsidR="006C02C2" w:rsidRPr="005F5881">
        <w:rPr>
          <w:sz w:val="22"/>
        </w:rPr>
        <w:t>.</w:t>
      </w:r>
    </w:p>
    <w:p w14:paraId="72773E97" w14:textId="77777777" w:rsidR="006C02C2" w:rsidRDefault="006C02C2" w:rsidP="001A2E8A">
      <w:pPr>
        <w:pStyle w:val="EndnoteText"/>
        <w:tabs>
          <w:tab w:val="clear" w:pos="567"/>
        </w:tabs>
        <w:rPr>
          <w:lang w:val="es-ES"/>
        </w:rPr>
      </w:pPr>
    </w:p>
    <w:p w14:paraId="63A929AE" w14:textId="77777777" w:rsidR="006C02C2" w:rsidRDefault="006C02C2" w:rsidP="001A2E8A">
      <w:pPr>
        <w:pStyle w:val="EndnoteText"/>
        <w:tabs>
          <w:tab w:val="clear" w:pos="567"/>
        </w:tabs>
        <w:rPr>
          <w:lang w:val="es-ES"/>
        </w:rPr>
      </w:pPr>
      <w:r>
        <w:rPr>
          <w:lang w:val="es-ES"/>
        </w:rPr>
        <w:t xml:space="preserve">Algunos pacientes, tras las primeras dosis, sufren mareos o aumento de la frecuencia cardiaca. Para las primeras dosis, utilice </w:t>
      </w:r>
      <w:r w:rsidR="00EA201D">
        <w:rPr>
          <w:lang w:val="es-ES"/>
        </w:rPr>
        <w:t>Teriparatida</w:t>
      </w:r>
      <w:r w:rsidR="008B6F7A">
        <w:rPr>
          <w:lang w:val="es-ES"/>
        </w:rPr>
        <w:t xml:space="preserve"> SUN</w:t>
      </w:r>
      <w:r>
        <w:rPr>
          <w:lang w:val="es-ES"/>
        </w:rPr>
        <w:t xml:space="preserve"> en un lugar donde pueda </w:t>
      </w:r>
      <w:r w:rsidR="009D58EB">
        <w:rPr>
          <w:lang w:val="es-ES"/>
        </w:rPr>
        <w:t xml:space="preserve">sentarse o tumbarse inmediatamente si </w:t>
      </w:r>
      <w:r>
        <w:rPr>
          <w:lang w:val="es-ES"/>
        </w:rPr>
        <w:t>se marea.</w:t>
      </w:r>
    </w:p>
    <w:p w14:paraId="6BB0D7BE" w14:textId="77777777" w:rsidR="009424D6" w:rsidRDefault="009424D6" w:rsidP="001A2E8A">
      <w:pPr>
        <w:pStyle w:val="EndnoteText"/>
        <w:tabs>
          <w:tab w:val="clear" w:pos="567"/>
        </w:tabs>
        <w:rPr>
          <w:lang w:val="es-ES"/>
        </w:rPr>
      </w:pPr>
      <w:r>
        <w:rPr>
          <w:lang w:val="es-ES"/>
        </w:rPr>
        <w:t xml:space="preserve">El tiempo de tratamiento recomendado de </w:t>
      </w:r>
      <w:r w:rsidR="00CA5286">
        <w:rPr>
          <w:lang w:val="es-ES"/>
        </w:rPr>
        <w:t xml:space="preserve">24 </w:t>
      </w:r>
      <w:r>
        <w:rPr>
          <w:lang w:val="es-ES"/>
        </w:rPr>
        <w:t>meses no debe ser excedido.</w:t>
      </w:r>
    </w:p>
    <w:p w14:paraId="7A518490" w14:textId="77777777" w:rsidR="000C6B83" w:rsidRDefault="000C6B83" w:rsidP="001A2E8A">
      <w:pPr>
        <w:pStyle w:val="EndnoteText"/>
        <w:tabs>
          <w:tab w:val="clear" w:pos="567"/>
        </w:tabs>
        <w:rPr>
          <w:lang w:val="es-ES"/>
        </w:rPr>
      </w:pPr>
    </w:p>
    <w:p w14:paraId="245781EC" w14:textId="77777777" w:rsidR="000C6B83" w:rsidRDefault="00EA201D" w:rsidP="001A2E8A">
      <w:pPr>
        <w:pStyle w:val="EndnoteText"/>
        <w:tabs>
          <w:tab w:val="clear" w:pos="567"/>
        </w:tabs>
        <w:rPr>
          <w:lang w:val="es-ES"/>
        </w:rPr>
      </w:pPr>
      <w:r>
        <w:rPr>
          <w:lang w:val="es-ES"/>
        </w:rPr>
        <w:t>Teriparatida</w:t>
      </w:r>
      <w:r w:rsidR="008B6F7A">
        <w:rPr>
          <w:lang w:val="es-ES"/>
        </w:rPr>
        <w:t xml:space="preserve"> SUN</w:t>
      </w:r>
      <w:r w:rsidR="000C6B83">
        <w:rPr>
          <w:lang w:val="es-ES"/>
        </w:rPr>
        <w:t xml:space="preserve"> no debe utilizarse en adultos </w:t>
      </w:r>
      <w:r w:rsidR="003978B2">
        <w:rPr>
          <w:lang w:val="es-ES"/>
        </w:rPr>
        <w:t>en crecimiento</w:t>
      </w:r>
      <w:r w:rsidR="000C6B83">
        <w:rPr>
          <w:lang w:val="es-ES"/>
        </w:rPr>
        <w:t>.</w:t>
      </w:r>
    </w:p>
    <w:p w14:paraId="4C200D15" w14:textId="77777777" w:rsidR="000C6B83" w:rsidRDefault="000C6B83" w:rsidP="009424D6">
      <w:pPr>
        <w:pStyle w:val="EndnoteText"/>
        <w:tabs>
          <w:tab w:val="clear" w:pos="567"/>
        </w:tabs>
        <w:rPr>
          <w:b/>
          <w:lang w:val="es-ES"/>
        </w:rPr>
      </w:pPr>
    </w:p>
    <w:p w14:paraId="04A2AA03" w14:textId="77777777" w:rsidR="000C6B83" w:rsidRDefault="000C6B83" w:rsidP="009424D6">
      <w:pPr>
        <w:pStyle w:val="EndnoteText"/>
        <w:tabs>
          <w:tab w:val="clear" w:pos="567"/>
        </w:tabs>
        <w:rPr>
          <w:b/>
          <w:lang w:val="es-ES"/>
        </w:rPr>
      </w:pPr>
      <w:r>
        <w:rPr>
          <w:b/>
          <w:lang w:val="es-ES"/>
        </w:rPr>
        <w:t>Niños y adolescentes</w:t>
      </w:r>
    </w:p>
    <w:p w14:paraId="6F60DE39" w14:textId="77777777" w:rsidR="000C6B83" w:rsidRDefault="00EA201D" w:rsidP="009424D6">
      <w:pPr>
        <w:pStyle w:val="EndnoteText"/>
        <w:tabs>
          <w:tab w:val="clear" w:pos="567"/>
        </w:tabs>
        <w:rPr>
          <w:lang w:val="es-ES"/>
        </w:rPr>
      </w:pPr>
      <w:r>
        <w:rPr>
          <w:lang w:val="es-ES"/>
        </w:rPr>
        <w:t>Teriparatida</w:t>
      </w:r>
      <w:r w:rsidR="008B6F7A">
        <w:rPr>
          <w:lang w:val="es-ES"/>
        </w:rPr>
        <w:t xml:space="preserve"> SUN</w:t>
      </w:r>
      <w:r w:rsidR="000C6B83">
        <w:rPr>
          <w:lang w:val="es-ES"/>
        </w:rPr>
        <w:t xml:space="preserve"> no debe utilizarse en niños y adolescentes (menores de 18 años).</w:t>
      </w:r>
    </w:p>
    <w:p w14:paraId="723A2631" w14:textId="77777777" w:rsidR="000C6B83" w:rsidRDefault="000C6B83" w:rsidP="009424D6">
      <w:pPr>
        <w:pStyle w:val="EndnoteText"/>
        <w:tabs>
          <w:tab w:val="clear" w:pos="567"/>
        </w:tabs>
        <w:rPr>
          <w:lang w:val="es-ES"/>
        </w:rPr>
      </w:pPr>
    </w:p>
    <w:p w14:paraId="3BD81ED0" w14:textId="77777777" w:rsidR="009424D6" w:rsidRDefault="00713554" w:rsidP="009424D6">
      <w:pPr>
        <w:pStyle w:val="EndnoteText"/>
        <w:tabs>
          <w:tab w:val="clear" w:pos="567"/>
        </w:tabs>
        <w:rPr>
          <w:lang w:val="es-ES"/>
        </w:rPr>
      </w:pPr>
      <w:r>
        <w:rPr>
          <w:b/>
          <w:lang w:val="es-ES"/>
        </w:rPr>
        <w:t xml:space="preserve">Otros medicamentos y </w:t>
      </w:r>
      <w:r w:rsidR="00EA201D">
        <w:rPr>
          <w:b/>
          <w:lang w:val="es-ES"/>
        </w:rPr>
        <w:t>Teriparatida</w:t>
      </w:r>
      <w:r w:rsidR="008B6F7A">
        <w:rPr>
          <w:b/>
          <w:lang w:val="es-ES"/>
        </w:rPr>
        <w:t xml:space="preserve"> SUN</w:t>
      </w:r>
    </w:p>
    <w:p w14:paraId="6D22D286" w14:textId="77777777" w:rsidR="009424D6" w:rsidRDefault="009424D6" w:rsidP="009424D6">
      <w:pPr>
        <w:pStyle w:val="EndnoteText"/>
        <w:tabs>
          <w:tab w:val="clear" w:pos="567"/>
        </w:tabs>
        <w:rPr>
          <w:lang w:val="es-ES"/>
        </w:rPr>
      </w:pPr>
      <w:r>
        <w:rPr>
          <w:lang w:val="es-ES"/>
        </w:rPr>
        <w:t>Informe a su médico o farmacéutico si está utilizando</w:t>
      </w:r>
      <w:r w:rsidR="00D47335">
        <w:rPr>
          <w:lang w:val="es-ES"/>
        </w:rPr>
        <w:t>,</w:t>
      </w:r>
      <w:r>
        <w:rPr>
          <w:lang w:val="es-ES"/>
        </w:rPr>
        <w:t xml:space="preserve"> ha utilizado recientemente</w:t>
      </w:r>
      <w:r w:rsidR="00D47335">
        <w:rPr>
          <w:lang w:val="es-ES"/>
        </w:rPr>
        <w:t xml:space="preserve"> o p</w:t>
      </w:r>
      <w:r w:rsidR="00713554">
        <w:rPr>
          <w:lang w:val="es-ES"/>
        </w:rPr>
        <w:t>udiera</w:t>
      </w:r>
      <w:r w:rsidR="00D47335">
        <w:rPr>
          <w:lang w:val="es-ES"/>
        </w:rPr>
        <w:t xml:space="preserve"> tener que utilizar cualquier</w:t>
      </w:r>
      <w:r>
        <w:rPr>
          <w:lang w:val="es-ES"/>
        </w:rPr>
        <w:t xml:space="preserve"> otro medicamento, porque ocasionalmente se pueden producir interacciones (p. ej. digoxina/</w:t>
      </w:r>
      <w:r w:rsidR="00CB61F0">
        <w:rPr>
          <w:lang w:val="es-ES"/>
        </w:rPr>
        <w:t>digitálicos</w:t>
      </w:r>
      <w:r>
        <w:rPr>
          <w:lang w:val="es-ES"/>
        </w:rPr>
        <w:t>, un medicamento empleado para tratar enfermedades cardiacas).</w:t>
      </w:r>
    </w:p>
    <w:p w14:paraId="6BF34B06" w14:textId="77777777" w:rsidR="006C02C2" w:rsidRDefault="006C02C2" w:rsidP="001A2E8A">
      <w:pPr>
        <w:pStyle w:val="EndnoteText"/>
        <w:tabs>
          <w:tab w:val="clear" w:pos="567"/>
        </w:tabs>
        <w:rPr>
          <w:lang w:val="es-ES"/>
        </w:rPr>
      </w:pPr>
    </w:p>
    <w:p w14:paraId="6F921831" w14:textId="77777777" w:rsidR="00693925" w:rsidRDefault="00693925" w:rsidP="00E84F80">
      <w:pPr>
        <w:pStyle w:val="Heading1"/>
        <w:rPr>
          <w:b/>
          <w:i w:val="0"/>
          <w:sz w:val="22"/>
          <w:lang w:val="es-ES"/>
        </w:rPr>
      </w:pPr>
      <w:r>
        <w:rPr>
          <w:b/>
          <w:i w:val="0"/>
          <w:sz w:val="22"/>
          <w:lang w:val="es-ES"/>
        </w:rPr>
        <w:t>Embarazo y lactancia</w:t>
      </w:r>
    </w:p>
    <w:p w14:paraId="52B7091C" w14:textId="77777777" w:rsidR="00693925" w:rsidRDefault="00693925" w:rsidP="00E84F80">
      <w:pPr>
        <w:rPr>
          <w:sz w:val="22"/>
        </w:rPr>
      </w:pPr>
      <w:r>
        <w:rPr>
          <w:sz w:val="22"/>
        </w:rPr>
        <w:t xml:space="preserve">No utilice </w:t>
      </w:r>
      <w:r w:rsidR="00EA201D">
        <w:rPr>
          <w:sz w:val="22"/>
        </w:rPr>
        <w:t>Teriparatida</w:t>
      </w:r>
      <w:r w:rsidR="008B6F7A">
        <w:rPr>
          <w:sz w:val="22"/>
        </w:rPr>
        <w:t xml:space="preserve"> SUN</w:t>
      </w:r>
      <w:r>
        <w:rPr>
          <w:sz w:val="22"/>
        </w:rPr>
        <w:t xml:space="preserve"> si está embarazada</w:t>
      </w:r>
      <w:r w:rsidR="008B6F7A">
        <w:rPr>
          <w:sz w:val="22"/>
        </w:rPr>
        <w:t>, cree que puede estar embarazada</w:t>
      </w:r>
      <w:r>
        <w:rPr>
          <w:sz w:val="22"/>
        </w:rPr>
        <w:t xml:space="preserve"> o </w:t>
      </w:r>
      <w:r w:rsidR="007C55C7">
        <w:rPr>
          <w:sz w:val="22"/>
        </w:rPr>
        <w:t>en periodo de lactancia</w:t>
      </w:r>
      <w:r>
        <w:rPr>
          <w:sz w:val="22"/>
        </w:rPr>
        <w:t>.</w:t>
      </w:r>
      <w:r w:rsidR="00D47335">
        <w:rPr>
          <w:sz w:val="22"/>
        </w:rPr>
        <w:t xml:space="preserve"> Si usted es una</w:t>
      </w:r>
      <w:r w:rsidR="00A31B7E">
        <w:rPr>
          <w:sz w:val="22"/>
          <w:lang w:val="es-ES_tradnl"/>
        </w:rPr>
        <w:t xml:space="preserve"> mujer en edad </w:t>
      </w:r>
      <w:r w:rsidR="00494251">
        <w:rPr>
          <w:sz w:val="22"/>
          <w:lang w:val="es-ES_tradnl"/>
        </w:rPr>
        <w:t>fértil</w:t>
      </w:r>
      <w:r w:rsidR="00D47335">
        <w:rPr>
          <w:sz w:val="22"/>
          <w:lang w:val="es-ES_tradnl"/>
        </w:rPr>
        <w:t>,</w:t>
      </w:r>
      <w:r w:rsidR="00A31B7E">
        <w:rPr>
          <w:sz w:val="22"/>
          <w:lang w:val="es-ES_tradnl"/>
        </w:rPr>
        <w:t xml:space="preserve"> debe</w:t>
      </w:r>
      <w:r w:rsidR="00780F3D">
        <w:rPr>
          <w:sz w:val="22"/>
          <w:lang w:val="es-ES_tradnl"/>
        </w:rPr>
        <w:t xml:space="preserve"> </w:t>
      </w:r>
      <w:r w:rsidR="00A31B7E">
        <w:rPr>
          <w:sz w:val="22"/>
          <w:lang w:val="es-ES_tradnl"/>
        </w:rPr>
        <w:t xml:space="preserve">utilizar métodos anticonceptivos eficaces durante el tratamiento con </w:t>
      </w:r>
      <w:r w:rsidR="00EA201D">
        <w:rPr>
          <w:sz w:val="22"/>
          <w:lang w:val="es-ES_tradnl"/>
        </w:rPr>
        <w:t>Teriparatida</w:t>
      </w:r>
      <w:r w:rsidR="008B6F7A">
        <w:rPr>
          <w:sz w:val="22"/>
          <w:lang w:val="es-ES_tradnl"/>
        </w:rPr>
        <w:t xml:space="preserve"> SUN</w:t>
      </w:r>
      <w:r w:rsidR="00A31B7E">
        <w:rPr>
          <w:sz w:val="22"/>
          <w:lang w:val="es-ES_tradnl"/>
        </w:rPr>
        <w:t xml:space="preserve">. </w:t>
      </w:r>
      <w:r w:rsidR="00A31B7E" w:rsidRPr="00052F2D">
        <w:rPr>
          <w:sz w:val="22"/>
        </w:rPr>
        <w:t xml:space="preserve">Si </w:t>
      </w:r>
      <w:r w:rsidR="00D47335">
        <w:rPr>
          <w:sz w:val="22"/>
        </w:rPr>
        <w:t>se queda embarazada,</w:t>
      </w:r>
      <w:r w:rsidR="00A31B7E" w:rsidRPr="00052F2D">
        <w:rPr>
          <w:sz w:val="22"/>
        </w:rPr>
        <w:t xml:space="preserve"> </w:t>
      </w:r>
      <w:r w:rsidR="00A31B7E">
        <w:rPr>
          <w:sz w:val="22"/>
        </w:rPr>
        <w:t>debe</w:t>
      </w:r>
      <w:r w:rsidR="00A31B7E" w:rsidRPr="00052F2D">
        <w:rPr>
          <w:sz w:val="22"/>
        </w:rPr>
        <w:t xml:space="preserve"> interrumpir</w:t>
      </w:r>
      <w:r w:rsidR="00A31B7E">
        <w:rPr>
          <w:sz w:val="22"/>
        </w:rPr>
        <w:t>se</w:t>
      </w:r>
      <w:r w:rsidR="00A31B7E" w:rsidRPr="00052F2D">
        <w:rPr>
          <w:sz w:val="22"/>
        </w:rPr>
        <w:t xml:space="preserve"> el tratamiento con </w:t>
      </w:r>
      <w:r w:rsidR="00EA201D">
        <w:rPr>
          <w:sz w:val="22"/>
        </w:rPr>
        <w:t>Teriparatida</w:t>
      </w:r>
      <w:r w:rsidR="008B6F7A">
        <w:rPr>
          <w:sz w:val="22"/>
        </w:rPr>
        <w:t xml:space="preserve"> SUN</w:t>
      </w:r>
      <w:r w:rsidR="00A31B7E" w:rsidRPr="00052F2D">
        <w:rPr>
          <w:sz w:val="22"/>
        </w:rPr>
        <w:t>.</w:t>
      </w:r>
      <w:r w:rsidR="00A31B7E">
        <w:rPr>
          <w:sz w:val="22"/>
        </w:rPr>
        <w:t xml:space="preserve"> </w:t>
      </w:r>
      <w:r>
        <w:rPr>
          <w:sz w:val="22"/>
        </w:rPr>
        <w:t xml:space="preserve">Consulte a su médico o farmacéutico antes de </w:t>
      </w:r>
      <w:r w:rsidR="006C02C2">
        <w:rPr>
          <w:sz w:val="22"/>
        </w:rPr>
        <w:t xml:space="preserve">utilizar </w:t>
      </w:r>
      <w:r>
        <w:rPr>
          <w:sz w:val="22"/>
        </w:rPr>
        <w:t>cualquier medicamento.</w:t>
      </w:r>
    </w:p>
    <w:p w14:paraId="52E55402" w14:textId="77777777" w:rsidR="00693925" w:rsidRDefault="00693925" w:rsidP="00E84F80">
      <w:pPr>
        <w:rPr>
          <w:sz w:val="22"/>
        </w:rPr>
      </w:pPr>
    </w:p>
    <w:p w14:paraId="42D4AC97" w14:textId="77777777" w:rsidR="00693925" w:rsidRDefault="00693925" w:rsidP="00E84F80">
      <w:pPr>
        <w:rPr>
          <w:b/>
          <w:sz w:val="22"/>
        </w:rPr>
      </w:pPr>
      <w:r>
        <w:rPr>
          <w:b/>
          <w:sz w:val="22"/>
        </w:rPr>
        <w:t>Conducción y uso de máquinas</w:t>
      </w:r>
    </w:p>
    <w:p w14:paraId="73EDEADA" w14:textId="77777777" w:rsidR="00693925" w:rsidRDefault="00693925" w:rsidP="00E84F80">
      <w:pPr>
        <w:rPr>
          <w:sz w:val="22"/>
        </w:rPr>
      </w:pPr>
      <w:r>
        <w:rPr>
          <w:sz w:val="22"/>
        </w:rPr>
        <w:t xml:space="preserve">Algunos pacientes pueden sentir mareos después de la inyección de </w:t>
      </w:r>
      <w:r w:rsidR="00EA201D">
        <w:rPr>
          <w:sz w:val="22"/>
        </w:rPr>
        <w:t>Teriparatida</w:t>
      </w:r>
      <w:r w:rsidR="00325E46">
        <w:rPr>
          <w:sz w:val="22"/>
        </w:rPr>
        <w:t xml:space="preserve"> SUN</w:t>
      </w:r>
      <w:r>
        <w:rPr>
          <w:sz w:val="22"/>
        </w:rPr>
        <w:t>. Si usted siente mareo no debe conducir o usar máquinas hasta que se encuentre mejor.</w:t>
      </w:r>
    </w:p>
    <w:p w14:paraId="0957B0C6" w14:textId="77777777" w:rsidR="00693925" w:rsidRDefault="00693925" w:rsidP="00E84F80">
      <w:pPr>
        <w:rPr>
          <w:sz w:val="22"/>
        </w:rPr>
      </w:pPr>
    </w:p>
    <w:p w14:paraId="04254DE9" w14:textId="77777777" w:rsidR="003B4B30" w:rsidRDefault="00EA201D" w:rsidP="003B4B30">
      <w:pPr>
        <w:rPr>
          <w:b/>
          <w:sz w:val="22"/>
        </w:rPr>
      </w:pPr>
      <w:r>
        <w:rPr>
          <w:b/>
          <w:sz w:val="22"/>
        </w:rPr>
        <w:t>Teriparatida</w:t>
      </w:r>
      <w:r w:rsidR="001153AB">
        <w:rPr>
          <w:b/>
          <w:sz w:val="22"/>
        </w:rPr>
        <w:t xml:space="preserve"> SUN</w:t>
      </w:r>
      <w:r w:rsidR="00713554">
        <w:rPr>
          <w:b/>
          <w:sz w:val="22"/>
        </w:rPr>
        <w:t xml:space="preserve"> contiene sodio</w:t>
      </w:r>
    </w:p>
    <w:p w14:paraId="262A9D0B" w14:textId="77777777" w:rsidR="003B4B30" w:rsidRPr="003B4B30" w:rsidRDefault="003B4B30" w:rsidP="003B4B30">
      <w:pPr>
        <w:rPr>
          <w:sz w:val="22"/>
        </w:rPr>
      </w:pPr>
      <w:r w:rsidRPr="003B4B30">
        <w:rPr>
          <w:sz w:val="22"/>
        </w:rPr>
        <w:t xml:space="preserve">Este </w:t>
      </w:r>
      <w:r>
        <w:rPr>
          <w:sz w:val="22"/>
        </w:rPr>
        <w:t xml:space="preserve">medicamento contiene menos de </w:t>
      </w:r>
      <w:r w:rsidR="00931843">
        <w:rPr>
          <w:sz w:val="22"/>
        </w:rPr>
        <w:t>1 mmol</w:t>
      </w:r>
      <w:r w:rsidR="001153AB">
        <w:rPr>
          <w:sz w:val="22"/>
        </w:rPr>
        <w:t xml:space="preserve"> de sodio (</w:t>
      </w:r>
      <w:r w:rsidR="00931843">
        <w:rPr>
          <w:sz w:val="22"/>
        </w:rPr>
        <w:t>23 mg</w:t>
      </w:r>
      <w:r>
        <w:rPr>
          <w:sz w:val="22"/>
        </w:rPr>
        <w:t>)</w:t>
      </w:r>
      <w:r w:rsidRPr="003B4B30">
        <w:rPr>
          <w:sz w:val="22"/>
        </w:rPr>
        <w:t xml:space="preserve"> </w:t>
      </w:r>
      <w:r>
        <w:rPr>
          <w:sz w:val="22"/>
        </w:rPr>
        <w:t>por dosis</w:t>
      </w:r>
      <w:r w:rsidR="00713554">
        <w:rPr>
          <w:sz w:val="22"/>
        </w:rPr>
        <w:t>;</w:t>
      </w:r>
      <w:r>
        <w:rPr>
          <w:sz w:val="22"/>
        </w:rPr>
        <w:t xml:space="preserve"> </w:t>
      </w:r>
      <w:r w:rsidR="00713554">
        <w:rPr>
          <w:sz w:val="22"/>
        </w:rPr>
        <w:t>esto es,</w:t>
      </w:r>
      <w:r>
        <w:rPr>
          <w:sz w:val="22"/>
        </w:rPr>
        <w:t xml:space="preserve"> esencialmente “exento de sodio”.</w:t>
      </w:r>
    </w:p>
    <w:p w14:paraId="4BD767B7" w14:textId="77777777" w:rsidR="00693925" w:rsidRDefault="00693925" w:rsidP="00713554">
      <w:pPr>
        <w:pStyle w:val="EndnoteText"/>
        <w:tabs>
          <w:tab w:val="clear" w:pos="567"/>
        </w:tabs>
        <w:rPr>
          <w:lang w:val="es-ES"/>
        </w:rPr>
      </w:pPr>
    </w:p>
    <w:p w14:paraId="21B2C494" w14:textId="77777777" w:rsidR="00C01491" w:rsidRDefault="00C01491" w:rsidP="00E84F80">
      <w:pPr>
        <w:pStyle w:val="EndnoteText"/>
        <w:tabs>
          <w:tab w:val="clear" w:pos="567"/>
        </w:tabs>
        <w:rPr>
          <w:lang w:val="es-ES"/>
        </w:rPr>
      </w:pPr>
    </w:p>
    <w:p w14:paraId="622C2739" w14:textId="77777777" w:rsidR="00693925" w:rsidRDefault="00693925" w:rsidP="009A2E32">
      <w:pPr>
        <w:keepNext/>
        <w:ind w:left="567" w:hanging="567"/>
        <w:rPr>
          <w:b/>
          <w:sz w:val="22"/>
        </w:rPr>
      </w:pPr>
      <w:r>
        <w:rPr>
          <w:b/>
          <w:sz w:val="22"/>
        </w:rPr>
        <w:t>3.</w:t>
      </w:r>
      <w:r>
        <w:rPr>
          <w:b/>
          <w:sz w:val="22"/>
        </w:rPr>
        <w:tab/>
      </w:r>
      <w:r w:rsidR="009E0D76">
        <w:rPr>
          <w:b/>
          <w:sz w:val="22"/>
        </w:rPr>
        <w:t xml:space="preserve">Cómo usar </w:t>
      </w:r>
      <w:r w:rsidR="00EA201D">
        <w:rPr>
          <w:b/>
          <w:sz w:val="22"/>
        </w:rPr>
        <w:t>Teriparatida</w:t>
      </w:r>
      <w:r w:rsidR="001153AB">
        <w:rPr>
          <w:b/>
          <w:sz w:val="22"/>
        </w:rPr>
        <w:t xml:space="preserve"> SUN</w:t>
      </w:r>
    </w:p>
    <w:p w14:paraId="52E99E28" w14:textId="77777777" w:rsidR="00693925" w:rsidRDefault="00693925" w:rsidP="00C01491">
      <w:pPr>
        <w:keepNext/>
        <w:rPr>
          <w:sz w:val="22"/>
        </w:rPr>
      </w:pPr>
    </w:p>
    <w:p w14:paraId="67654650" w14:textId="77777777" w:rsidR="003B4B30" w:rsidRDefault="00CB61F0" w:rsidP="00E84F80">
      <w:pPr>
        <w:rPr>
          <w:sz w:val="22"/>
        </w:rPr>
      </w:pPr>
      <w:r>
        <w:rPr>
          <w:sz w:val="22"/>
        </w:rPr>
        <w:t xml:space="preserve">Siga exactamente las instrucciones de administración de </w:t>
      </w:r>
      <w:r w:rsidR="00D47335">
        <w:rPr>
          <w:sz w:val="22"/>
        </w:rPr>
        <w:t>este medicamento</w:t>
      </w:r>
      <w:r w:rsidR="003B4B30">
        <w:rPr>
          <w:sz w:val="22"/>
        </w:rPr>
        <w:t xml:space="preserve"> </w:t>
      </w:r>
      <w:r>
        <w:rPr>
          <w:sz w:val="22"/>
        </w:rPr>
        <w:t xml:space="preserve">indicadas por </w:t>
      </w:r>
      <w:r w:rsidR="003B4B30">
        <w:rPr>
          <w:sz w:val="22"/>
        </w:rPr>
        <w:t xml:space="preserve">su médico. </w:t>
      </w:r>
      <w:r w:rsidR="001F09BF">
        <w:rPr>
          <w:sz w:val="22"/>
        </w:rPr>
        <w:t>En caso de duda, c</w:t>
      </w:r>
      <w:r w:rsidR="003B4B30">
        <w:rPr>
          <w:sz w:val="22"/>
        </w:rPr>
        <w:t xml:space="preserve">onsulte </w:t>
      </w:r>
      <w:r w:rsidR="001F09BF">
        <w:rPr>
          <w:sz w:val="22"/>
        </w:rPr>
        <w:t xml:space="preserve">de nuevo </w:t>
      </w:r>
      <w:r>
        <w:rPr>
          <w:sz w:val="22"/>
        </w:rPr>
        <w:t xml:space="preserve">a </w:t>
      </w:r>
      <w:r w:rsidR="003B4B30">
        <w:rPr>
          <w:sz w:val="22"/>
        </w:rPr>
        <w:t>su médico o farmacéutico.</w:t>
      </w:r>
    </w:p>
    <w:p w14:paraId="3347467A" w14:textId="77777777" w:rsidR="003B4B30" w:rsidRDefault="003B4B30" w:rsidP="00E84F80">
      <w:pPr>
        <w:rPr>
          <w:sz w:val="22"/>
        </w:rPr>
      </w:pPr>
    </w:p>
    <w:p w14:paraId="506780E0" w14:textId="77777777" w:rsidR="00693925" w:rsidRDefault="00693925" w:rsidP="00C03C06">
      <w:pPr>
        <w:rPr>
          <w:sz w:val="22"/>
        </w:rPr>
      </w:pPr>
      <w:r>
        <w:rPr>
          <w:sz w:val="22"/>
        </w:rPr>
        <w:t>La dosis recomendada es de 20</w:t>
      </w:r>
      <w:r w:rsidR="004D6B5E">
        <w:rPr>
          <w:sz w:val="22"/>
        </w:rPr>
        <w:t> </w:t>
      </w:r>
      <w:r>
        <w:rPr>
          <w:sz w:val="22"/>
        </w:rPr>
        <w:t>microgramos administrados una vez al día mediante una inyección debajo de la piel (inyección subcutánea) en el muslo o en el abdomen. Para ayudarle a recordar inyectarse</w:t>
      </w:r>
      <w:r w:rsidR="00D47335">
        <w:rPr>
          <w:sz w:val="22"/>
        </w:rPr>
        <w:t xml:space="preserve"> su medicamento</w:t>
      </w:r>
      <w:r>
        <w:rPr>
          <w:sz w:val="22"/>
        </w:rPr>
        <w:t xml:space="preserve">, inyéctese </w:t>
      </w:r>
      <w:r w:rsidR="00203895">
        <w:rPr>
          <w:sz w:val="22"/>
        </w:rPr>
        <w:t>sobre</w:t>
      </w:r>
      <w:r>
        <w:rPr>
          <w:sz w:val="22"/>
        </w:rPr>
        <w:t xml:space="preserve"> la misma hora cada día.</w:t>
      </w:r>
    </w:p>
    <w:p w14:paraId="2DC7E0F3" w14:textId="77777777" w:rsidR="00693925" w:rsidRDefault="00693925" w:rsidP="00E84F80">
      <w:pPr>
        <w:rPr>
          <w:sz w:val="22"/>
        </w:rPr>
      </w:pPr>
    </w:p>
    <w:p w14:paraId="680DA05E" w14:textId="77777777" w:rsidR="00693925" w:rsidRDefault="00693925" w:rsidP="00E84F80">
      <w:pPr>
        <w:rPr>
          <w:sz w:val="22"/>
          <w:lang w:val="es-ES_tradnl"/>
        </w:rPr>
      </w:pPr>
      <w:r>
        <w:rPr>
          <w:sz w:val="22"/>
        </w:rPr>
        <w:t xml:space="preserve">Inyéctese </w:t>
      </w:r>
      <w:r w:rsidR="00EA201D">
        <w:rPr>
          <w:sz w:val="22"/>
        </w:rPr>
        <w:t>Teriparatida</w:t>
      </w:r>
      <w:r w:rsidR="001153AB">
        <w:rPr>
          <w:sz w:val="22"/>
        </w:rPr>
        <w:t xml:space="preserve"> SUN</w:t>
      </w:r>
      <w:r>
        <w:rPr>
          <w:sz w:val="22"/>
        </w:rPr>
        <w:t xml:space="preserve"> cada día durante tanto tiempo como su médico se lo prescriba. La duración total del tratamiento con </w:t>
      </w:r>
      <w:r w:rsidR="00EA201D">
        <w:rPr>
          <w:sz w:val="22"/>
        </w:rPr>
        <w:t>Teriparatida</w:t>
      </w:r>
      <w:r w:rsidR="001153AB">
        <w:rPr>
          <w:sz w:val="22"/>
        </w:rPr>
        <w:t xml:space="preserve"> SUN</w:t>
      </w:r>
      <w:r w:rsidR="00205EC4">
        <w:rPr>
          <w:sz w:val="22"/>
        </w:rPr>
        <w:t xml:space="preserve"> </w:t>
      </w:r>
      <w:r>
        <w:rPr>
          <w:sz w:val="22"/>
        </w:rPr>
        <w:t xml:space="preserve">no debe exceder </w:t>
      </w:r>
      <w:r w:rsidR="00CA5286">
        <w:rPr>
          <w:sz w:val="22"/>
        </w:rPr>
        <w:t xml:space="preserve">24 </w:t>
      </w:r>
      <w:r>
        <w:rPr>
          <w:sz w:val="22"/>
        </w:rPr>
        <w:t>meses.</w:t>
      </w:r>
      <w:r w:rsidR="00A31B7E" w:rsidRPr="00A31B7E">
        <w:rPr>
          <w:sz w:val="22"/>
          <w:lang w:val="es-ES_tradnl"/>
        </w:rPr>
        <w:t xml:space="preserve"> </w:t>
      </w:r>
      <w:r w:rsidR="00A31B7E">
        <w:rPr>
          <w:sz w:val="22"/>
          <w:lang w:val="es-ES_tradnl"/>
        </w:rPr>
        <w:t>Usted no debe recibir más de un</w:t>
      </w:r>
      <w:r w:rsidR="00A31B7E" w:rsidRPr="006666CD">
        <w:rPr>
          <w:sz w:val="22"/>
          <w:lang w:val="es-ES_tradnl"/>
        </w:rPr>
        <w:t xml:space="preserve"> ciclo de </w:t>
      </w:r>
      <w:r w:rsidR="00CA5286">
        <w:rPr>
          <w:sz w:val="22"/>
          <w:lang w:val="es-ES_tradnl"/>
        </w:rPr>
        <w:t>24</w:t>
      </w:r>
      <w:r w:rsidR="00CA5286" w:rsidRPr="006666CD">
        <w:rPr>
          <w:sz w:val="22"/>
          <w:lang w:val="es-ES_tradnl"/>
        </w:rPr>
        <w:t xml:space="preserve"> </w:t>
      </w:r>
      <w:r w:rsidR="00A31B7E" w:rsidRPr="006666CD">
        <w:rPr>
          <w:sz w:val="22"/>
          <w:lang w:val="es-ES_tradnl"/>
        </w:rPr>
        <w:t xml:space="preserve">meses de </w:t>
      </w:r>
      <w:r w:rsidR="00A31B7E">
        <w:rPr>
          <w:sz w:val="22"/>
          <w:lang w:val="es-ES_tradnl"/>
        </w:rPr>
        <w:t xml:space="preserve">tratamiento con </w:t>
      </w:r>
      <w:r w:rsidR="00EA201D">
        <w:rPr>
          <w:sz w:val="22"/>
          <w:lang w:val="es-ES_tradnl"/>
        </w:rPr>
        <w:t>Teriparatida</w:t>
      </w:r>
      <w:r w:rsidR="001153AB">
        <w:rPr>
          <w:sz w:val="22"/>
          <w:lang w:val="es-ES_tradnl"/>
        </w:rPr>
        <w:t xml:space="preserve"> SUN</w:t>
      </w:r>
      <w:r w:rsidR="00A31B7E" w:rsidRPr="006666CD">
        <w:rPr>
          <w:sz w:val="22"/>
          <w:lang w:val="es-ES_tradnl"/>
        </w:rPr>
        <w:t xml:space="preserve"> a lo largo de </w:t>
      </w:r>
      <w:r w:rsidR="00A31B7E">
        <w:rPr>
          <w:sz w:val="22"/>
          <w:lang w:val="es-ES_tradnl"/>
        </w:rPr>
        <w:t>su</w:t>
      </w:r>
      <w:r w:rsidR="00A31B7E" w:rsidRPr="006666CD">
        <w:rPr>
          <w:sz w:val="22"/>
          <w:lang w:val="es-ES_tradnl"/>
        </w:rPr>
        <w:t xml:space="preserve"> vida</w:t>
      </w:r>
      <w:r w:rsidR="00A31B7E">
        <w:rPr>
          <w:sz w:val="22"/>
          <w:lang w:val="es-ES_tradnl"/>
        </w:rPr>
        <w:t>.</w:t>
      </w:r>
    </w:p>
    <w:p w14:paraId="6DCE2B09" w14:textId="77777777" w:rsidR="00EB3B3E" w:rsidRDefault="00EB3B3E" w:rsidP="00E84F80">
      <w:pPr>
        <w:rPr>
          <w:sz w:val="22"/>
        </w:rPr>
      </w:pPr>
    </w:p>
    <w:p w14:paraId="1955DFE6" w14:textId="77777777" w:rsidR="00693925" w:rsidRDefault="00EA201D" w:rsidP="00E84F80">
      <w:pPr>
        <w:rPr>
          <w:sz w:val="22"/>
        </w:rPr>
      </w:pPr>
      <w:r>
        <w:rPr>
          <w:sz w:val="22"/>
        </w:rPr>
        <w:lastRenderedPageBreak/>
        <w:t>Teriparatida</w:t>
      </w:r>
      <w:r w:rsidR="001153AB">
        <w:rPr>
          <w:sz w:val="22"/>
        </w:rPr>
        <w:t xml:space="preserve"> SUN</w:t>
      </w:r>
      <w:r w:rsidR="00693925">
        <w:rPr>
          <w:sz w:val="22"/>
        </w:rPr>
        <w:t xml:space="preserve"> puede inyectarse a la hora de las comidas.</w:t>
      </w:r>
    </w:p>
    <w:p w14:paraId="0E7B3620" w14:textId="77777777" w:rsidR="00693925" w:rsidRDefault="00693925" w:rsidP="00E84F80">
      <w:pPr>
        <w:rPr>
          <w:sz w:val="22"/>
        </w:rPr>
      </w:pPr>
    </w:p>
    <w:p w14:paraId="27D82C9D" w14:textId="77777777" w:rsidR="00693925" w:rsidRDefault="00693925" w:rsidP="006F0F78">
      <w:pPr>
        <w:jc w:val="both"/>
        <w:rPr>
          <w:sz w:val="22"/>
        </w:rPr>
      </w:pPr>
      <w:r>
        <w:rPr>
          <w:sz w:val="22"/>
        </w:rPr>
        <w:t xml:space="preserve">Consulte </w:t>
      </w:r>
      <w:r w:rsidR="001153AB">
        <w:rPr>
          <w:sz w:val="22"/>
        </w:rPr>
        <w:t>la sección</w:t>
      </w:r>
      <w:r>
        <w:rPr>
          <w:sz w:val="22"/>
        </w:rPr>
        <w:t xml:space="preserve"> </w:t>
      </w:r>
      <w:r w:rsidR="00592677">
        <w:rPr>
          <w:sz w:val="22"/>
        </w:rPr>
        <w:t>del manual del usuario de la pluma</w:t>
      </w:r>
      <w:r w:rsidR="001153AB">
        <w:rPr>
          <w:sz w:val="22"/>
        </w:rPr>
        <w:t xml:space="preserve"> que se proporciona al final de este prospecto</w:t>
      </w:r>
      <w:r>
        <w:rPr>
          <w:sz w:val="22"/>
        </w:rPr>
        <w:t>.</w:t>
      </w:r>
    </w:p>
    <w:p w14:paraId="2B344559" w14:textId="77777777" w:rsidR="00693925" w:rsidRDefault="00693925" w:rsidP="00E84F80">
      <w:pPr>
        <w:rPr>
          <w:sz w:val="22"/>
        </w:rPr>
      </w:pPr>
    </w:p>
    <w:p w14:paraId="0F5537A9" w14:textId="77777777" w:rsidR="00693925" w:rsidRDefault="00693925" w:rsidP="00E84F80">
      <w:pPr>
        <w:rPr>
          <w:sz w:val="22"/>
        </w:rPr>
      </w:pPr>
      <w:r>
        <w:rPr>
          <w:sz w:val="22"/>
        </w:rPr>
        <w:t xml:space="preserve">No se incluyen agujas con la pluma. Se pueden utilizar las agujas </w:t>
      </w:r>
      <w:r w:rsidR="00FD4D69">
        <w:rPr>
          <w:sz w:val="22"/>
        </w:rPr>
        <w:t>para pluma de calibre 31, de 5 mm de longitud</w:t>
      </w:r>
      <w:r>
        <w:rPr>
          <w:sz w:val="22"/>
        </w:rPr>
        <w:t>.</w:t>
      </w:r>
    </w:p>
    <w:p w14:paraId="5344F714" w14:textId="77777777" w:rsidR="00693925" w:rsidRDefault="00693925" w:rsidP="00E84F80">
      <w:pPr>
        <w:rPr>
          <w:sz w:val="22"/>
        </w:rPr>
      </w:pPr>
    </w:p>
    <w:p w14:paraId="17C7AC4F" w14:textId="26AA9FEE" w:rsidR="00E253CD" w:rsidRPr="00C83E1A" w:rsidRDefault="00693925" w:rsidP="00E84F80">
      <w:pPr>
        <w:rPr>
          <w:bCs/>
        </w:rPr>
      </w:pPr>
      <w:r>
        <w:rPr>
          <w:sz w:val="22"/>
        </w:rPr>
        <w:t xml:space="preserve">La inyección de </w:t>
      </w:r>
      <w:r w:rsidR="00EA201D">
        <w:rPr>
          <w:sz w:val="22"/>
        </w:rPr>
        <w:t>Teriparatida</w:t>
      </w:r>
      <w:r w:rsidR="00FD4D69">
        <w:rPr>
          <w:sz w:val="22"/>
        </w:rPr>
        <w:t xml:space="preserve"> SUN</w:t>
      </w:r>
      <w:r>
        <w:rPr>
          <w:sz w:val="22"/>
        </w:rPr>
        <w:t xml:space="preserve"> se debe realizar poco después de sacar la pluma de la nevera, tal y como se indica en </w:t>
      </w:r>
      <w:r w:rsidR="00592677">
        <w:rPr>
          <w:sz w:val="22"/>
        </w:rPr>
        <w:t xml:space="preserve">del manual del usuario </w:t>
      </w:r>
      <w:r w:rsidR="00FD4D69">
        <w:rPr>
          <w:sz w:val="22"/>
        </w:rPr>
        <w:t xml:space="preserve">al final de este prospecto. </w:t>
      </w:r>
      <w:r w:rsidR="003A291C" w:rsidRPr="003A291C">
        <w:rPr>
          <w:sz w:val="22"/>
        </w:rPr>
        <w:t>Para ver las instrucciones de uso del video, escanee el código QR incluido en el Manual del usuario de Pen o use el enlace:</w:t>
      </w:r>
      <w:r w:rsidR="003A291C">
        <w:rPr>
          <w:sz w:val="22"/>
        </w:rPr>
        <w:t xml:space="preserve"> </w:t>
      </w:r>
      <w:hyperlink r:id="rId16" w:history="1">
        <w:r w:rsidR="00E51F2F" w:rsidRPr="00530EC7">
          <w:rPr>
            <w:rStyle w:val="Hyperlink"/>
            <w:sz w:val="22"/>
          </w:rPr>
          <w:t>https://www.pharmaqr.info/tptes</w:t>
        </w:r>
      </w:hyperlink>
      <w:r w:rsidR="003A291C" w:rsidRPr="00596FE2">
        <w:rPr>
          <w:sz w:val="22"/>
        </w:rPr>
        <w:t>.</w:t>
      </w:r>
      <w:r w:rsidR="003A291C" w:rsidRPr="00C83E1A">
        <w:rPr>
          <w:bCs/>
        </w:rPr>
        <w:t xml:space="preserve"> </w:t>
      </w:r>
    </w:p>
    <w:p w14:paraId="622A17B5" w14:textId="77777777" w:rsidR="00693925" w:rsidRDefault="00693925" w:rsidP="00E84F80">
      <w:pPr>
        <w:rPr>
          <w:sz w:val="22"/>
        </w:rPr>
      </w:pPr>
      <w:r>
        <w:rPr>
          <w:sz w:val="22"/>
        </w:rPr>
        <w:t xml:space="preserve">Vuelva a guardar la pluma en la nevera inmediatamente después de utilizarla. Debe utilizar una aguja </w:t>
      </w:r>
      <w:r w:rsidR="00FD4D69">
        <w:rPr>
          <w:sz w:val="22"/>
        </w:rPr>
        <w:t xml:space="preserve">de calibre 31, de 5 mm de longitud, nueva </w:t>
      </w:r>
      <w:r>
        <w:rPr>
          <w:sz w:val="22"/>
        </w:rPr>
        <w:t>para cada inyección y tirarla después de cada uso. No guarde la pluma con la aguja puesta.</w:t>
      </w:r>
      <w:r w:rsidR="00891D6B" w:rsidRPr="00891D6B">
        <w:rPr>
          <w:sz w:val="22"/>
        </w:rPr>
        <w:t xml:space="preserve"> </w:t>
      </w:r>
      <w:r w:rsidR="00891D6B">
        <w:rPr>
          <w:sz w:val="22"/>
        </w:rPr>
        <w:t xml:space="preserve">Nunca comparta con otros su pluma de </w:t>
      </w:r>
      <w:r w:rsidR="00EA201D">
        <w:rPr>
          <w:sz w:val="22"/>
        </w:rPr>
        <w:t>Teriparatida</w:t>
      </w:r>
      <w:r w:rsidR="00FD4D69">
        <w:rPr>
          <w:sz w:val="22"/>
        </w:rPr>
        <w:t xml:space="preserve"> SUN</w:t>
      </w:r>
      <w:r w:rsidR="00891D6B">
        <w:rPr>
          <w:sz w:val="22"/>
        </w:rPr>
        <w:t>.</w:t>
      </w:r>
    </w:p>
    <w:p w14:paraId="03DC5FC3" w14:textId="77777777" w:rsidR="00693925" w:rsidRDefault="00693925" w:rsidP="00E84F80">
      <w:pPr>
        <w:rPr>
          <w:sz w:val="22"/>
        </w:rPr>
      </w:pPr>
    </w:p>
    <w:p w14:paraId="3852699F" w14:textId="77777777" w:rsidR="00693925" w:rsidRDefault="00693925" w:rsidP="00E84F80">
      <w:pPr>
        <w:rPr>
          <w:sz w:val="22"/>
        </w:rPr>
      </w:pPr>
      <w:r>
        <w:rPr>
          <w:sz w:val="22"/>
        </w:rPr>
        <w:t xml:space="preserve">Su médico puede recomendarle tomar </w:t>
      </w:r>
      <w:r w:rsidR="00A103D7">
        <w:rPr>
          <w:sz w:val="22"/>
        </w:rPr>
        <w:t xml:space="preserve">calcio y vitamina D con </w:t>
      </w:r>
      <w:r w:rsidR="00EA201D">
        <w:rPr>
          <w:sz w:val="22"/>
        </w:rPr>
        <w:t>Teriparatida</w:t>
      </w:r>
      <w:r w:rsidR="00FD4D69">
        <w:rPr>
          <w:sz w:val="22"/>
        </w:rPr>
        <w:t xml:space="preserve"> SUN</w:t>
      </w:r>
      <w:r>
        <w:rPr>
          <w:sz w:val="22"/>
        </w:rPr>
        <w:t>. Su médico le indicará cuánto debe tomar cada día.</w:t>
      </w:r>
    </w:p>
    <w:p w14:paraId="4CAAD1ED" w14:textId="77777777" w:rsidR="00205EC4" w:rsidRDefault="00205EC4" w:rsidP="00E84F80">
      <w:pPr>
        <w:rPr>
          <w:sz w:val="22"/>
        </w:rPr>
      </w:pPr>
    </w:p>
    <w:p w14:paraId="504450C8" w14:textId="77777777" w:rsidR="00891D6B" w:rsidRDefault="00EA201D" w:rsidP="00E84F80">
      <w:pPr>
        <w:rPr>
          <w:sz w:val="22"/>
        </w:rPr>
      </w:pPr>
      <w:r>
        <w:rPr>
          <w:sz w:val="22"/>
        </w:rPr>
        <w:t>Teriparatida</w:t>
      </w:r>
      <w:r w:rsidR="00FD4D69">
        <w:rPr>
          <w:sz w:val="22"/>
        </w:rPr>
        <w:t xml:space="preserve"> SUN</w:t>
      </w:r>
      <w:r w:rsidR="00891D6B">
        <w:rPr>
          <w:sz w:val="22"/>
        </w:rPr>
        <w:t xml:space="preserve"> puede ser utilizado con o sin alimentos.</w:t>
      </w:r>
    </w:p>
    <w:p w14:paraId="67DBE0C5" w14:textId="77777777" w:rsidR="00891D6B" w:rsidRDefault="00891D6B" w:rsidP="00E84F80">
      <w:pPr>
        <w:rPr>
          <w:sz w:val="22"/>
        </w:rPr>
      </w:pPr>
    </w:p>
    <w:p w14:paraId="794AD6C8" w14:textId="77777777" w:rsidR="00205EC4" w:rsidRDefault="00205EC4" w:rsidP="00E84F80">
      <w:pPr>
        <w:rPr>
          <w:sz w:val="22"/>
        </w:rPr>
      </w:pPr>
      <w:r>
        <w:rPr>
          <w:b/>
          <w:sz w:val="22"/>
        </w:rPr>
        <w:t xml:space="preserve">Si usa más </w:t>
      </w:r>
      <w:r w:rsidR="00EA201D">
        <w:rPr>
          <w:b/>
          <w:sz w:val="22"/>
        </w:rPr>
        <w:t>Teriparatida</w:t>
      </w:r>
      <w:r w:rsidR="00FD4D69">
        <w:rPr>
          <w:b/>
          <w:sz w:val="22"/>
        </w:rPr>
        <w:t xml:space="preserve"> SUN</w:t>
      </w:r>
      <w:r>
        <w:rPr>
          <w:b/>
          <w:sz w:val="22"/>
        </w:rPr>
        <w:t xml:space="preserve"> del que deb</w:t>
      </w:r>
      <w:r w:rsidR="004D6B5E">
        <w:rPr>
          <w:b/>
          <w:sz w:val="22"/>
        </w:rPr>
        <w:t>e</w:t>
      </w:r>
    </w:p>
    <w:p w14:paraId="471EA21A" w14:textId="77777777" w:rsidR="00693925" w:rsidRDefault="00205EC4" w:rsidP="00E84F80">
      <w:pPr>
        <w:rPr>
          <w:sz w:val="22"/>
        </w:rPr>
      </w:pPr>
      <w:r>
        <w:rPr>
          <w:sz w:val="22"/>
        </w:rPr>
        <w:t xml:space="preserve">Si por error se ha administrado más cantidad de </w:t>
      </w:r>
      <w:r w:rsidR="00EA201D">
        <w:rPr>
          <w:sz w:val="22"/>
        </w:rPr>
        <w:t>Teriparatida</w:t>
      </w:r>
      <w:r w:rsidR="00FD4D69">
        <w:rPr>
          <w:sz w:val="22"/>
        </w:rPr>
        <w:t xml:space="preserve"> SUN</w:t>
      </w:r>
      <w:r w:rsidR="003B4B30">
        <w:rPr>
          <w:sz w:val="22"/>
        </w:rPr>
        <w:t xml:space="preserve"> </w:t>
      </w:r>
      <w:r>
        <w:rPr>
          <w:sz w:val="22"/>
        </w:rPr>
        <w:t>de la prescrita, consulte a su médico o farmacéutico</w:t>
      </w:r>
      <w:r w:rsidR="00107EE2">
        <w:rPr>
          <w:sz w:val="22"/>
        </w:rPr>
        <w:t>.</w:t>
      </w:r>
      <w:r w:rsidR="00A9705E">
        <w:rPr>
          <w:sz w:val="22"/>
        </w:rPr>
        <w:t xml:space="preserve"> </w:t>
      </w:r>
      <w:r w:rsidR="003B4B30">
        <w:rPr>
          <w:sz w:val="22"/>
        </w:rPr>
        <w:t>Los efectos que podrían esperarse de una sobredosis incluyen náuseas, vómitos, mareos y dolor de cabeza.</w:t>
      </w:r>
    </w:p>
    <w:p w14:paraId="7D3DAB90" w14:textId="77777777" w:rsidR="002C4E38" w:rsidRDefault="002C4E38" w:rsidP="00E84F80">
      <w:pPr>
        <w:rPr>
          <w:sz w:val="22"/>
        </w:rPr>
      </w:pPr>
    </w:p>
    <w:p w14:paraId="41EBB7A3" w14:textId="77777777" w:rsidR="00693925" w:rsidRDefault="00693925" w:rsidP="00E84F80">
      <w:pPr>
        <w:rPr>
          <w:sz w:val="22"/>
        </w:rPr>
      </w:pPr>
      <w:r>
        <w:rPr>
          <w:b/>
          <w:sz w:val="22"/>
        </w:rPr>
        <w:t xml:space="preserve">Si olvida o no puede inyectarse </w:t>
      </w:r>
      <w:r w:rsidR="00EA201D">
        <w:rPr>
          <w:b/>
          <w:sz w:val="22"/>
        </w:rPr>
        <w:t>Teriparatida</w:t>
      </w:r>
      <w:r w:rsidR="00A9705E">
        <w:rPr>
          <w:b/>
          <w:sz w:val="22"/>
        </w:rPr>
        <w:t xml:space="preserve"> SUN</w:t>
      </w:r>
      <w:r>
        <w:rPr>
          <w:b/>
          <w:sz w:val="22"/>
        </w:rPr>
        <w:t xml:space="preserve"> a la hora habitual</w:t>
      </w:r>
      <w:r>
        <w:rPr>
          <w:sz w:val="22"/>
        </w:rPr>
        <w:t xml:space="preserve">, hágalo tan pronto como pueda ese mismo día. </w:t>
      </w:r>
      <w:r w:rsidR="00C203C6">
        <w:rPr>
          <w:sz w:val="22"/>
        </w:rPr>
        <w:t xml:space="preserve">No </w:t>
      </w:r>
      <w:r w:rsidR="004D6B5E">
        <w:rPr>
          <w:sz w:val="22"/>
        </w:rPr>
        <w:t>se administre</w:t>
      </w:r>
      <w:r w:rsidR="00C203C6">
        <w:rPr>
          <w:sz w:val="22"/>
        </w:rPr>
        <w:t xml:space="preserve"> una dosis doble para compensar las dosis olvidadas</w:t>
      </w:r>
      <w:r w:rsidR="00F44BE5">
        <w:rPr>
          <w:sz w:val="22"/>
        </w:rPr>
        <w:t xml:space="preserve">. </w:t>
      </w:r>
      <w:r>
        <w:rPr>
          <w:sz w:val="22"/>
        </w:rPr>
        <w:t>No se inyecte más de una vez en el mismo día. No intente compensar la dosis olvidada.</w:t>
      </w:r>
    </w:p>
    <w:p w14:paraId="0AF0B9AA" w14:textId="77777777" w:rsidR="00F44BE5" w:rsidRDefault="00F44BE5" w:rsidP="00C01491">
      <w:pPr>
        <w:rPr>
          <w:sz w:val="22"/>
        </w:rPr>
      </w:pPr>
    </w:p>
    <w:p w14:paraId="500F733E" w14:textId="77777777" w:rsidR="002B4B56" w:rsidRDefault="002B4B56" w:rsidP="00C01491">
      <w:pPr>
        <w:rPr>
          <w:b/>
          <w:sz w:val="22"/>
        </w:rPr>
      </w:pPr>
      <w:r w:rsidRPr="002B4B56">
        <w:rPr>
          <w:b/>
          <w:sz w:val="22"/>
        </w:rPr>
        <w:t xml:space="preserve">Si </w:t>
      </w:r>
      <w:r w:rsidR="009E0D76">
        <w:rPr>
          <w:b/>
          <w:sz w:val="22"/>
        </w:rPr>
        <w:t>interrumpe el tratamiento con</w:t>
      </w:r>
      <w:r w:rsidRPr="002B4B56">
        <w:rPr>
          <w:b/>
          <w:sz w:val="22"/>
        </w:rPr>
        <w:t xml:space="preserve"> </w:t>
      </w:r>
      <w:r w:rsidR="00EA201D">
        <w:rPr>
          <w:b/>
          <w:sz w:val="22"/>
        </w:rPr>
        <w:t>Teriparatida</w:t>
      </w:r>
      <w:r w:rsidR="00A9705E">
        <w:rPr>
          <w:b/>
          <w:sz w:val="22"/>
        </w:rPr>
        <w:t xml:space="preserve"> SUN</w:t>
      </w:r>
    </w:p>
    <w:p w14:paraId="7BC4EC1C" w14:textId="77777777" w:rsidR="002B4B56" w:rsidRDefault="002B4B56" w:rsidP="00C01491">
      <w:pPr>
        <w:rPr>
          <w:sz w:val="22"/>
        </w:rPr>
      </w:pPr>
      <w:r>
        <w:rPr>
          <w:sz w:val="22"/>
        </w:rPr>
        <w:t xml:space="preserve">Si está pensando </w:t>
      </w:r>
      <w:r w:rsidR="009E0D76">
        <w:rPr>
          <w:sz w:val="22"/>
        </w:rPr>
        <w:t>interrumpir</w:t>
      </w:r>
      <w:r>
        <w:rPr>
          <w:sz w:val="22"/>
        </w:rPr>
        <w:t xml:space="preserve"> el tratamiento con </w:t>
      </w:r>
      <w:r w:rsidR="00EA201D">
        <w:rPr>
          <w:sz w:val="22"/>
        </w:rPr>
        <w:t>Teriparatida</w:t>
      </w:r>
      <w:r w:rsidR="00A9705E">
        <w:rPr>
          <w:sz w:val="22"/>
        </w:rPr>
        <w:t xml:space="preserve"> SUN</w:t>
      </w:r>
      <w:r>
        <w:rPr>
          <w:sz w:val="22"/>
        </w:rPr>
        <w:t xml:space="preserve">, por favor consulte con su médico. Su médico le </w:t>
      </w:r>
      <w:r w:rsidR="009E0D76">
        <w:rPr>
          <w:sz w:val="22"/>
        </w:rPr>
        <w:t xml:space="preserve">aconsejará y decidirá sobre cuánto tiempo debe ser tratado con </w:t>
      </w:r>
      <w:r w:rsidR="00EA201D">
        <w:rPr>
          <w:sz w:val="22"/>
        </w:rPr>
        <w:t>Teriparatida</w:t>
      </w:r>
      <w:r w:rsidR="00A9705E">
        <w:rPr>
          <w:sz w:val="22"/>
        </w:rPr>
        <w:t xml:space="preserve"> SUN</w:t>
      </w:r>
      <w:r w:rsidR="009E0D76">
        <w:rPr>
          <w:sz w:val="22"/>
        </w:rPr>
        <w:t>.</w:t>
      </w:r>
    </w:p>
    <w:p w14:paraId="4CA2DF2A" w14:textId="77777777" w:rsidR="009E0D76" w:rsidRDefault="009E0D76" w:rsidP="00C01491">
      <w:pPr>
        <w:rPr>
          <w:sz w:val="22"/>
        </w:rPr>
      </w:pPr>
    </w:p>
    <w:p w14:paraId="1F5824CD" w14:textId="77777777" w:rsidR="009E0D76" w:rsidRPr="002B4B56" w:rsidRDefault="009E0D76" w:rsidP="00C01491">
      <w:pPr>
        <w:rPr>
          <w:sz w:val="22"/>
        </w:rPr>
      </w:pPr>
      <w:r>
        <w:rPr>
          <w:sz w:val="22"/>
        </w:rPr>
        <w:t>Si tiene cualquier otra duda sobre el uso de este medicamento, pregunte a su médico o farmacéutico.</w:t>
      </w:r>
    </w:p>
    <w:p w14:paraId="13889E72" w14:textId="77777777" w:rsidR="00693925" w:rsidRDefault="00693925" w:rsidP="00C01491">
      <w:pPr>
        <w:rPr>
          <w:sz w:val="22"/>
        </w:rPr>
      </w:pPr>
    </w:p>
    <w:p w14:paraId="7B334A4F" w14:textId="77777777" w:rsidR="004B5FC2" w:rsidRDefault="004B5FC2" w:rsidP="00C01491">
      <w:pPr>
        <w:rPr>
          <w:sz w:val="22"/>
        </w:rPr>
      </w:pPr>
    </w:p>
    <w:p w14:paraId="79B6C32A" w14:textId="77777777" w:rsidR="00693925" w:rsidRDefault="00693925" w:rsidP="004D6B5E">
      <w:pPr>
        <w:keepNext/>
        <w:ind w:left="567" w:hanging="567"/>
        <w:rPr>
          <w:b/>
          <w:sz w:val="22"/>
        </w:rPr>
      </w:pPr>
      <w:r>
        <w:rPr>
          <w:b/>
          <w:sz w:val="22"/>
        </w:rPr>
        <w:t>4.</w:t>
      </w:r>
      <w:r>
        <w:rPr>
          <w:b/>
          <w:sz w:val="22"/>
        </w:rPr>
        <w:tab/>
      </w:r>
      <w:r w:rsidR="009E0D76">
        <w:rPr>
          <w:b/>
          <w:sz w:val="22"/>
        </w:rPr>
        <w:t>Posibles efectos adversos</w:t>
      </w:r>
    </w:p>
    <w:p w14:paraId="736A15DF" w14:textId="77777777" w:rsidR="00693925" w:rsidRDefault="00693925" w:rsidP="00C01491">
      <w:pPr>
        <w:keepNext/>
        <w:rPr>
          <w:sz w:val="22"/>
        </w:rPr>
      </w:pPr>
    </w:p>
    <w:p w14:paraId="47D5F057" w14:textId="77777777" w:rsidR="00B34379" w:rsidRDefault="00F44BE5" w:rsidP="00C01491">
      <w:pPr>
        <w:rPr>
          <w:sz w:val="22"/>
        </w:rPr>
      </w:pPr>
      <w:r>
        <w:rPr>
          <w:sz w:val="22"/>
        </w:rPr>
        <w:t>Al igual que</w:t>
      </w:r>
      <w:r w:rsidR="00693925">
        <w:rPr>
          <w:sz w:val="22"/>
        </w:rPr>
        <w:t xml:space="preserve"> todos los medicamentos, </w:t>
      </w:r>
      <w:r w:rsidR="009E0D76">
        <w:rPr>
          <w:sz w:val="22"/>
        </w:rPr>
        <w:t>este medicamento</w:t>
      </w:r>
      <w:r w:rsidR="00693925">
        <w:rPr>
          <w:sz w:val="22"/>
        </w:rPr>
        <w:t xml:space="preserve"> puede </w:t>
      </w:r>
      <w:r w:rsidR="004D6B5E">
        <w:rPr>
          <w:sz w:val="22"/>
        </w:rPr>
        <w:t>producir</w:t>
      </w:r>
      <w:r>
        <w:rPr>
          <w:sz w:val="22"/>
        </w:rPr>
        <w:t xml:space="preserve"> </w:t>
      </w:r>
      <w:r w:rsidR="00693925">
        <w:rPr>
          <w:sz w:val="22"/>
        </w:rPr>
        <w:t>efectos adversos</w:t>
      </w:r>
      <w:r>
        <w:rPr>
          <w:sz w:val="22"/>
        </w:rPr>
        <w:t>, aunque no todas las personas los sufran</w:t>
      </w:r>
      <w:r w:rsidR="00693925">
        <w:rPr>
          <w:sz w:val="22"/>
        </w:rPr>
        <w:t>.</w:t>
      </w:r>
    </w:p>
    <w:p w14:paraId="75721BD5" w14:textId="77777777" w:rsidR="009E0D76" w:rsidRDefault="009E0D76" w:rsidP="00C01491">
      <w:pPr>
        <w:rPr>
          <w:sz w:val="22"/>
        </w:rPr>
      </w:pPr>
    </w:p>
    <w:p w14:paraId="35A2BF9A" w14:textId="77777777" w:rsidR="00901092" w:rsidRDefault="008C3BC6" w:rsidP="009C7D49">
      <w:pPr>
        <w:rPr>
          <w:sz w:val="22"/>
        </w:rPr>
      </w:pPr>
      <w:r>
        <w:rPr>
          <w:sz w:val="22"/>
        </w:rPr>
        <w:t>Los efectos adversos más frecuentes son dolor en las extremidades</w:t>
      </w:r>
      <w:r w:rsidR="00C402E6">
        <w:rPr>
          <w:sz w:val="22"/>
        </w:rPr>
        <w:t xml:space="preserve"> (</w:t>
      </w:r>
      <w:r w:rsidR="002C3682">
        <w:rPr>
          <w:sz w:val="22"/>
        </w:rPr>
        <w:t xml:space="preserve">muy frecuentes, </w:t>
      </w:r>
      <w:r w:rsidR="00C402E6">
        <w:rPr>
          <w:sz w:val="22"/>
        </w:rPr>
        <w:t>pueden afectar a</w:t>
      </w:r>
      <w:r w:rsidR="009C7D49">
        <w:rPr>
          <w:sz w:val="22"/>
        </w:rPr>
        <w:t xml:space="preserve"> más de 1 de cada 10 pacientes),</w:t>
      </w:r>
      <w:r w:rsidR="00C402E6">
        <w:rPr>
          <w:sz w:val="22"/>
        </w:rPr>
        <w:t xml:space="preserve"> malestar, dolor de cabeza y mareo (frecuentes</w:t>
      </w:r>
      <w:r w:rsidR="00A9705E">
        <w:rPr>
          <w:sz w:val="22"/>
        </w:rPr>
        <w:t>, pueden afect</w:t>
      </w:r>
      <w:r w:rsidR="0032304E">
        <w:rPr>
          <w:sz w:val="22"/>
        </w:rPr>
        <w:t>ar hasta a 1 de cada 10 personas</w:t>
      </w:r>
      <w:r w:rsidR="00C402E6">
        <w:rPr>
          <w:sz w:val="22"/>
        </w:rPr>
        <w:t>).</w:t>
      </w:r>
      <w:r w:rsidR="00901092">
        <w:rPr>
          <w:sz w:val="22"/>
        </w:rPr>
        <w:t xml:space="preserve"> </w:t>
      </w:r>
      <w:r w:rsidR="009C7D49">
        <w:rPr>
          <w:sz w:val="22"/>
        </w:rPr>
        <w:t xml:space="preserve">Si se marea después de una inyección, siéntese o túmbese hasta que se encuentre mejor. En caso de no mejorar, consulte </w:t>
      </w:r>
      <w:r w:rsidR="005859B7">
        <w:rPr>
          <w:sz w:val="22"/>
        </w:rPr>
        <w:t>a</w:t>
      </w:r>
      <w:r w:rsidR="009C7D49">
        <w:rPr>
          <w:sz w:val="22"/>
        </w:rPr>
        <w:t xml:space="preserve"> su médico antes de continuar con el tratamiento. Se han notificado casos de desmayo asociados al uso de teriparatida.</w:t>
      </w:r>
    </w:p>
    <w:p w14:paraId="3F9D4F49" w14:textId="77777777" w:rsidR="00EB3B3E" w:rsidRDefault="00EB3B3E" w:rsidP="009C7D49">
      <w:pPr>
        <w:rPr>
          <w:sz w:val="22"/>
        </w:rPr>
      </w:pPr>
    </w:p>
    <w:p w14:paraId="10F78348" w14:textId="77777777" w:rsidR="009C7D49" w:rsidRDefault="009C7D49" w:rsidP="009C7D49">
      <w:pPr>
        <w:rPr>
          <w:sz w:val="22"/>
        </w:rPr>
      </w:pPr>
      <w:r>
        <w:rPr>
          <w:sz w:val="22"/>
        </w:rPr>
        <w:t xml:space="preserve">Si experimenta molestias como enrojecimiento de la piel, dolor, hinchazón, picor, hematomas o ligero sangrado alrededor de la zona de inyección (frecuente), </w:t>
      </w:r>
      <w:r w:rsidR="00901092">
        <w:rPr>
          <w:sz w:val="22"/>
        </w:rPr>
        <w:t xml:space="preserve">éstas </w:t>
      </w:r>
      <w:r>
        <w:rPr>
          <w:sz w:val="22"/>
        </w:rPr>
        <w:t>debería</w:t>
      </w:r>
      <w:r w:rsidR="00901092">
        <w:rPr>
          <w:sz w:val="22"/>
        </w:rPr>
        <w:t>n</w:t>
      </w:r>
      <w:r>
        <w:rPr>
          <w:sz w:val="22"/>
        </w:rPr>
        <w:t xml:space="preserve"> desaparecer en unos días o semanas. Si no es así, dígaselo a su médico tan pronto como sea posible.</w:t>
      </w:r>
    </w:p>
    <w:p w14:paraId="027419E2" w14:textId="77777777" w:rsidR="00EB3B3E" w:rsidRDefault="00EB3B3E" w:rsidP="009C7D49">
      <w:pPr>
        <w:rPr>
          <w:sz w:val="22"/>
        </w:rPr>
      </w:pPr>
    </w:p>
    <w:p w14:paraId="3B119379" w14:textId="77777777" w:rsidR="00C402E6" w:rsidRDefault="00C402E6" w:rsidP="00C01491">
      <w:pPr>
        <w:rPr>
          <w:sz w:val="22"/>
        </w:rPr>
      </w:pPr>
      <w:r>
        <w:rPr>
          <w:sz w:val="22"/>
        </w:rPr>
        <w:t>Algunos pacientes, pueden haber experimentado reacciones alérgicas</w:t>
      </w:r>
      <w:r w:rsidR="009C7D49">
        <w:rPr>
          <w:sz w:val="22"/>
        </w:rPr>
        <w:t xml:space="preserve"> justo después de la inyección, que consisten en dificultad para respirar, hinchazón de la cara, </w:t>
      </w:r>
      <w:r w:rsidR="008A31C1">
        <w:rPr>
          <w:sz w:val="22"/>
        </w:rPr>
        <w:t>erupción cutánea</w:t>
      </w:r>
      <w:r w:rsidR="00A2111B">
        <w:rPr>
          <w:sz w:val="22"/>
        </w:rPr>
        <w:t xml:space="preserve"> y dolor en el pecho </w:t>
      </w:r>
      <w:r w:rsidR="00A2111B">
        <w:rPr>
          <w:sz w:val="22"/>
        </w:rPr>
        <w:lastRenderedPageBreak/>
        <w:t>(</w:t>
      </w:r>
      <w:r w:rsidR="00901092">
        <w:rPr>
          <w:sz w:val="22"/>
        </w:rPr>
        <w:t xml:space="preserve">frecuencia </w:t>
      </w:r>
      <w:r w:rsidR="00A2111B">
        <w:rPr>
          <w:sz w:val="22"/>
        </w:rPr>
        <w:t>rar</w:t>
      </w:r>
      <w:r w:rsidR="00901092">
        <w:rPr>
          <w:sz w:val="22"/>
        </w:rPr>
        <w:t>a</w:t>
      </w:r>
      <w:r w:rsidR="00A9705E">
        <w:rPr>
          <w:sz w:val="22"/>
        </w:rPr>
        <w:t>, pueden afectar hasta 1 de cada 1</w:t>
      </w:r>
      <w:r w:rsidR="00EA201D">
        <w:rPr>
          <w:sz w:val="22"/>
        </w:rPr>
        <w:t> </w:t>
      </w:r>
      <w:r w:rsidR="00A9705E">
        <w:rPr>
          <w:sz w:val="22"/>
        </w:rPr>
        <w:t xml:space="preserve">000 </w:t>
      </w:r>
      <w:r w:rsidR="0032304E">
        <w:rPr>
          <w:sz w:val="22"/>
        </w:rPr>
        <w:t>persona</w:t>
      </w:r>
      <w:r w:rsidR="00A9705E">
        <w:rPr>
          <w:sz w:val="22"/>
        </w:rPr>
        <w:t>s</w:t>
      </w:r>
      <w:r w:rsidR="00A2111B">
        <w:rPr>
          <w:sz w:val="22"/>
        </w:rPr>
        <w:t>).</w:t>
      </w:r>
      <w:r w:rsidR="00E35323">
        <w:rPr>
          <w:sz w:val="22"/>
        </w:rPr>
        <w:t xml:space="preserve"> </w:t>
      </w:r>
      <w:r w:rsidR="00E35323" w:rsidRPr="00E35323">
        <w:rPr>
          <w:sz w:val="22"/>
        </w:rPr>
        <w:t xml:space="preserve">En raras ocasiones, pueden producirse reacciones alérgicas </w:t>
      </w:r>
      <w:r w:rsidR="00807428">
        <w:rPr>
          <w:sz w:val="22"/>
        </w:rPr>
        <w:t xml:space="preserve">graves y potencialmente mortales, </w:t>
      </w:r>
      <w:r w:rsidR="00E35323" w:rsidRPr="00E35323">
        <w:rPr>
          <w:sz w:val="22"/>
        </w:rPr>
        <w:t>incluyendo anafilaxi</w:t>
      </w:r>
      <w:r w:rsidR="00BC63BB">
        <w:rPr>
          <w:sz w:val="22"/>
        </w:rPr>
        <w:t>a</w:t>
      </w:r>
      <w:r w:rsidR="00E35323" w:rsidRPr="00E35323">
        <w:rPr>
          <w:sz w:val="22"/>
        </w:rPr>
        <w:t>.</w:t>
      </w:r>
    </w:p>
    <w:p w14:paraId="2C534E6B" w14:textId="77777777" w:rsidR="00B34379" w:rsidRDefault="00B34379" w:rsidP="00C01491">
      <w:pPr>
        <w:rPr>
          <w:sz w:val="22"/>
        </w:rPr>
      </w:pPr>
    </w:p>
    <w:p w14:paraId="12F437F7" w14:textId="77777777" w:rsidR="00693925" w:rsidRDefault="00A2111B" w:rsidP="00C01491">
      <w:pPr>
        <w:pStyle w:val="BodyText"/>
        <w:rPr>
          <w:rFonts w:ascii="Times New Roman" w:hAnsi="Times New Roman"/>
          <w:sz w:val="22"/>
          <w:lang w:val="es-ES"/>
        </w:rPr>
      </w:pPr>
      <w:r>
        <w:rPr>
          <w:rFonts w:ascii="Times New Roman" w:hAnsi="Times New Roman"/>
          <w:sz w:val="22"/>
          <w:lang w:val="es-ES"/>
        </w:rPr>
        <w:t>Otros efectos adversos</w:t>
      </w:r>
      <w:r w:rsidRPr="00A2111B">
        <w:rPr>
          <w:rFonts w:ascii="Times New Roman" w:hAnsi="Times New Roman"/>
          <w:sz w:val="22"/>
          <w:lang w:val="es-ES"/>
        </w:rPr>
        <w:t xml:space="preserve"> </w:t>
      </w:r>
      <w:r>
        <w:rPr>
          <w:rFonts w:ascii="Times New Roman" w:hAnsi="Times New Roman"/>
          <w:sz w:val="22"/>
          <w:lang w:val="es-ES"/>
        </w:rPr>
        <w:t>son:</w:t>
      </w:r>
    </w:p>
    <w:p w14:paraId="3E13B115" w14:textId="77777777" w:rsidR="00B34379" w:rsidRPr="0032304E" w:rsidRDefault="00A2111B" w:rsidP="00C01491">
      <w:pPr>
        <w:pStyle w:val="BodyText"/>
        <w:rPr>
          <w:rFonts w:ascii="Times New Roman" w:hAnsi="Times New Roman"/>
          <w:b/>
          <w:sz w:val="22"/>
          <w:lang w:val="es-ES"/>
        </w:rPr>
      </w:pPr>
      <w:r w:rsidRPr="0032304E">
        <w:rPr>
          <w:rFonts w:ascii="Times New Roman" w:hAnsi="Times New Roman"/>
          <w:b/>
          <w:sz w:val="22"/>
          <w:lang w:val="es-ES"/>
        </w:rPr>
        <w:t xml:space="preserve">Frecuentes </w:t>
      </w:r>
      <w:r w:rsidR="00A9705E">
        <w:rPr>
          <w:rFonts w:ascii="Times New Roman" w:hAnsi="Times New Roman"/>
          <w:b/>
          <w:sz w:val="22"/>
          <w:lang w:val="es-ES"/>
        </w:rPr>
        <w:t>(</w:t>
      </w:r>
      <w:r w:rsidRPr="0032304E">
        <w:rPr>
          <w:rFonts w:ascii="Times New Roman" w:hAnsi="Times New Roman"/>
          <w:b/>
          <w:sz w:val="22"/>
          <w:lang w:val="es-ES"/>
        </w:rPr>
        <w:t xml:space="preserve">pueden afectar </w:t>
      </w:r>
      <w:r w:rsidR="0073308E" w:rsidRPr="0032304E">
        <w:rPr>
          <w:rFonts w:ascii="Times New Roman" w:hAnsi="Times New Roman"/>
          <w:b/>
          <w:sz w:val="22"/>
          <w:lang w:val="es-ES"/>
        </w:rPr>
        <w:t>hasta</w:t>
      </w:r>
      <w:r w:rsidRPr="0032304E">
        <w:rPr>
          <w:rFonts w:ascii="Times New Roman" w:hAnsi="Times New Roman"/>
          <w:b/>
          <w:sz w:val="22"/>
          <w:lang w:val="es-ES"/>
        </w:rPr>
        <w:t xml:space="preserve"> 1</w:t>
      </w:r>
      <w:r w:rsidR="004D6B5E" w:rsidRPr="0032304E">
        <w:rPr>
          <w:rFonts w:ascii="Times New Roman" w:hAnsi="Times New Roman"/>
          <w:b/>
          <w:sz w:val="22"/>
          <w:lang w:val="es-ES"/>
        </w:rPr>
        <w:t xml:space="preserve"> </w:t>
      </w:r>
      <w:r w:rsidR="00B34379" w:rsidRPr="0032304E">
        <w:rPr>
          <w:rFonts w:ascii="Times New Roman" w:hAnsi="Times New Roman"/>
          <w:b/>
          <w:sz w:val="22"/>
          <w:lang w:val="es-ES"/>
        </w:rPr>
        <w:t>de cada 10 p</w:t>
      </w:r>
      <w:r w:rsidR="0032304E">
        <w:rPr>
          <w:rFonts w:ascii="Times New Roman" w:hAnsi="Times New Roman"/>
          <w:b/>
          <w:sz w:val="22"/>
          <w:lang w:val="es-ES"/>
        </w:rPr>
        <w:t>ersonas</w:t>
      </w:r>
      <w:r w:rsidR="00A9705E">
        <w:rPr>
          <w:rFonts w:ascii="Times New Roman" w:hAnsi="Times New Roman"/>
          <w:b/>
          <w:sz w:val="22"/>
          <w:lang w:val="es-ES"/>
        </w:rPr>
        <w:t>)</w:t>
      </w:r>
    </w:p>
    <w:p w14:paraId="147D4EDE" w14:textId="77777777" w:rsidR="00B34379" w:rsidRPr="00B34379" w:rsidRDefault="00693925" w:rsidP="005F5881">
      <w:pPr>
        <w:pStyle w:val="BodyText"/>
        <w:numPr>
          <w:ilvl w:val="0"/>
          <w:numId w:val="30"/>
        </w:numPr>
        <w:rPr>
          <w:lang w:val="es-ES"/>
        </w:rPr>
      </w:pPr>
      <w:r>
        <w:rPr>
          <w:rFonts w:ascii="Times New Roman" w:hAnsi="Times New Roman"/>
          <w:sz w:val="22"/>
          <w:lang w:val="es-ES"/>
        </w:rPr>
        <w:t>aumento de los niveles de colesterol en sangre</w:t>
      </w:r>
    </w:p>
    <w:p w14:paraId="26476521" w14:textId="77777777" w:rsidR="00B34379" w:rsidRPr="00B34379" w:rsidRDefault="00693925" w:rsidP="005F5881">
      <w:pPr>
        <w:pStyle w:val="BodyText"/>
        <w:numPr>
          <w:ilvl w:val="0"/>
          <w:numId w:val="30"/>
        </w:numPr>
        <w:rPr>
          <w:lang w:val="es-ES"/>
        </w:rPr>
      </w:pPr>
      <w:r>
        <w:rPr>
          <w:rFonts w:ascii="Times New Roman" w:hAnsi="Times New Roman"/>
          <w:sz w:val="22"/>
          <w:lang w:val="es-ES"/>
        </w:rPr>
        <w:t>depresión</w:t>
      </w:r>
    </w:p>
    <w:p w14:paraId="1BFF6B99" w14:textId="77777777" w:rsidR="00B34379" w:rsidRPr="002C4E38" w:rsidRDefault="00FE4D89" w:rsidP="005F5881">
      <w:pPr>
        <w:pStyle w:val="BodyText"/>
        <w:numPr>
          <w:ilvl w:val="0"/>
          <w:numId w:val="30"/>
        </w:numPr>
        <w:rPr>
          <w:lang w:val="es-ES"/>
        </w:rPr>
      </w:pPr>
      <w:r w:rsidRPr="002C4E38">
        <w:rPr>
          <w:rFonts w:ascii="Times New Roman" w:hAnsi="Times New Roman"/>
          <w:sz w:val="22"/>
          <w:lang w:val="es-ES"/>
        </w:rPr>
        <w:t>dolor neurálgico en la pierna</w:t>
      </w:r>
    </w:p>
    <w:p w14:paraId="30CF806F" w14:textId="77777777" w:rsidR="00B34379" w:rsidRPr="00B34379" w:rsidRDefault="00693925" w:rsidP="005F5881">
      <w:pPr>
        <w:pStyle w:val="BodyText"/>
        <w:numPr>
          <w:ilvl w:val="0"/>
          <w:numId w:val="30"/>
        </w:numPr>
        <w:rPr>
          <w:lang w:val="es-ES"/>
        </w:rPr>
      </w:pPr>
      <w:r>
        <w:rPr>
          <w:rFonts w:ascii="Times New Roman" w:hAnsi="Times New Roman"/>
          <w:sz w:val="22"/>
          <w:lang w:val="es-ES"/>
        </w:rPr>
        <w:t>sensación de desvanecimiento</w:t>
      </w:r>
    </w:p>
    <w:p w14:paraId="237EF07A" w14:textId="77777777" w:rsidR="00B34379" w:rsidRPr="00B34379" w:rsidRDefault="00693925" w:rsidP="005F5881">
      <w:pPr>
        <w:pStyle w:val="BodyText"/>
        <w:numPr>
          <w:ilvl w:val="0"/>
          <w:numId w:val="30"/>
        </w:numPr>
        <w:rPr>
          <w:lang w:val="es-ES"/>
        </w:rPr>
      </w:pPr>
      <w:r>
        <w:rPr>
          <w:rFonts w:ascii="Times New Roman" w:hAnsi="Times New Roman"/>
          <w:sz w:val="22"/>
          <w:lang w:val="es-ES"/>
        </w:rPr>
        <w:t>palpitaciones irregulares</w:t>
      </w:r>
    </w:p>
    <w:p w14:paraId="57DC3D1A" w14:textId="77777777" w:rsidR="00B34379" w:rsidRPr="00B34379" w:rsidRDefault="00693925" w:rsidP="005F5881">
      <w:pPr>
        <w:pStyle w:val="BodyText"/>
        <w:numPr>
          <w:ilvl w:val="0"/>
          <w:numId w:val="30"/>
        </w:numPr>
        <w:rPr>
          <w:lang w:val="es-ES"/>
        </w:rPr>
      </w:pPr>
      <w:r>
        <w:rPr>
          <w:rFonts w:ascii="Times New Roman" w:hAnsi="Times New Roman"/>
          <w:sz w:val="22"/>
          <w:lang w:val="es-ES"/>
        </w:rPr>
        <w:t>dificultad para respirar</w:t>
      </w:r>
    </w:p>
    <w:p w14:paraId="372104E8" w14:textId="77777777" w:rsidR="00B34379" w:rsidRPr="00B34379" w:rsidRDefault="00693925" w:rsidP="005F5881">
      <w:pPr>
        <w:pStyle w:val="BodyText"/>
        <w:numPr>
          <w:ilvl w:val="0"/>
          <w:numId w:val="30"/>
        </w:numPr>
        <w:rPr>
          <w:lang w:val="es-ES"/>
        </w:rPr>
      </w:pPr>
      <w:r>
        <w:rPr>
          <w:rFonts w:ascii="Times New Roman" w:hAnsi="Times New Roman"/>
          <w:sz w:val="22"/>
          <w:lang w:val="es-ES"/>
        </w:rPr>
        <w:t>aumento de la sudoración</w:t>
      </w:r>
    </w:p>
    <w:p w14:paraId="08C618CB" w14:textId="77777777" w:rsidR="00B34379" w:rsidRPr="00B34379" w:rsidRDefault="00693925" w:rsidP="005F5881">
      <w:pPr>
        <w:pStyle w:val="BodyText"/>
        <w:numPr>
          <w:ilvl w:val="0"/>
          <w:numId w:val="30"/>
        </w:numPr>
        <w:rPr>
          <w:lang w:val="es-ES"/>
        </w:rPr>
      </w:pPr>
      <w:r>
        <w:rPr>
          <w:rFonts w:ascii="Times New Roman" w:hAnsi="Times New Roman"/>
          <w:sz w:val="22"/>
          <w:lang w:val="es-ES"/>
        </w:rPr>
        <w:t>calambres musculares</w:t>
      </w:r>
    </w:p>
    <w:p w14:paraId="32B1D56D" w14:textId="77777777" w:rsidR="00B34379" w:rsidRPr="00B34379" w:rsidRDefault="00693925" w:rsidP="005F5881">
      <w:pPr>
        <w:pStyle w:val="BodyText"/>
        <w:numPr>
          <w:ilvl w:val="0"/>
          <w:numId w:val="30"/>
        </w:numPr>
        <w:rPr>
          <w:lang w:val="es-ES"/>
        </w:rPr>
      </w:pPr>
      <w:r>
        <w:rPr>
          <w:rFonts w:ascii="Times New Roman" w:hAnsi="Times New Roman"/>
          <w:sz w:val="22"/>
          <w:lang w:val="es-ES"/>
        </w:rPr>
        <w:t>pérdida de energía</w:t>
      </w:r>
    </w:p>
    <w:p w14:paraId="6B557A7B" w14:textId="77777777" w:rsidR="00B34379" w:rsidRPr="00B34379" w:rsidRDefault="00B34379" w:rsidP="005F5881">
      <w:pPr>
        <w:pStyle w:val="BodyText"/>
        <w:numPr>
          <w:ilvl w:val="0"/>
          <w:numId w:val="30"/>
        </w:numPr>
        <w:rPr>
          <w:lang w:val="es-ES"/>
        </w:rPr>
      </w:pPr>
      <w:r>
        <w:rPr>
          <w:rFonts w:ascii="Times New Roman" w:hAnsi="Times New Roman"/>
          <w:sz w:val="22"/>
          <w:lang w:val="es-ES"/>
        </w:rPr>
        <w:t>cansancio</w:t>
      </w:r>
      <w:r w:rsidR="00FE4D89">
        <w:rPr>
          <w:rFonts w:ascii="Times New Roman" w:hAnsi="Times New Roman"/>
          <w:sz w:val="22"/>
          <w:lang w:val="es-ES"/>
        </w:rPr>
        <w:t xml:space="preserve"> </w:t>
      </w:r>
    </w:p>
    <w:p w14:paraId="4948B040" w14:textId="77777777" w:rsidR="00C43FF4" w:rsidRPr="00C43FF4" w:rsidRDefault="00693925" w:rsidP="005F5881">
      <w:pPr>
        <w:pStyle w:val="BodyText"/>
        <w:numPr>
          <w:ilvl w:val="0"/>
          <w:numId w:val="30"/>
        </w:numPr>
        <w:rPr>
          <w:lang w:val="es-ES"/>
        </w:rPr>
      </w:pPr>
      <w:r>
        <w:rPr>
          <w:rFonts w:ascii="Times New Roman" w:hAnsi="Times New Roman"/>
          <w:sz w:val="22"/>
          <w:lang w:val="es-ES"/>
        </w:rPr>
        <w:t>dolor de pecho</w:t>
      </w:r>
    </w:p>
    <w:p w14:paraId="049E72ED" w14:textId="77777777" w:rsidR="00C43FF4" w:rsidRPr="00C43FF4" w:rsidRDefault="00C43FF4" w:rsidP="005F5881">
      <w:pPr>
        <w:pStyle w:val="BodyText"/>
        <w:numPr>
          <w:ilvl w:val="0"/>
          <w:numId w:val="30"/>
        </w:numPr>
        <w:rPr>
          <w:lang w:val="es-ES"/>
        </w:rPr>
      </w:pPr>
      <w:r>
        <w:rPr>
          <w:rFonts w:ascii="Times New Roman" w:hAnsi="Times New Roman"/>
          <w:sz w:val="22"/>
          <w:lang w:val="es-ES"/>
        </w:rPr>
        <w:t xml:space="preserve">tensión </w:t>
      </w:r>
      <w:r w:rsidR="00E45FC2">
        <w:rPr>
          <w:rFonts w:ascii="Times New Roman" w:hAnsi="Times New Roman"/>
          <w:sz w:val="22"/>
          <w:lang w:val="es-ES"/>
        </w:rPr>
        <w:t>arterial</w:t>
      </w:r>
      <w:r>
        <w:rPr>
          <w:rFonts w:ascii="Times New Roman" w:hAnsi="Times New Roman"/>
          <w:sz w:val="22"/>
          <w:lang w:val="es-ES"/>
        </w:rPr>
        <w:t xml:space="preserve"> baja</w:t>
      </w:r>
    </w:p>
    <w:p w14:paraId="4DABA23F" w14:textId="77777777" w:rsidR="00C43FF4" w:rsidRPr="00C43FF4" w:rsidRDefault="00C43FF4" w:rsidP="005F5881">
      <w:pPr>
        <w:pStyle w:val="BodyText"/>
        <w:numPr>
          <w:ilvl w:val="0"/>
          <w:numId w:val="30"/>
        </w:numPr>
        <w:rPr>
          <w:lang w:val="es-ES"/>
        </w:rPr>
      </w:pPr>
      <w:r>
        <w:rPr>
          <w:rFonts w:ascii="Times New Roman" w:hAnsi="Times New Roman"/>
          <w:sz w:val="22"/>
          <w:lang w:val="es-ES"/>
        </w:rPr>
        <w:t xml:space="preserve">acidez </w:t>
      </w:r>
      <w:r w:rsidR="00A265D3">
        <w:rPr>
          <w:rFonts w:ascii="Times New Roman" w:hAnsi="Times New Roman"/>
          <w:sz w:val="22"/>
          <w:lang w:val="es-ES"/>
        </w:rPr>
        <w:t>de estómago</w:t>
      </w:r>
      <w:r>
        <w:rPr>
          <w:rFonts w:ascii="Times New Roman" w:hAnsi="Times New Roman"/>
          <w:sz w:val="22"/>
          <w:lang w:val="es-ES"/>
        </w:rPr>
        <w:t xml:space="preserve"> (dolor o sensación de ardor justo debajo del esternón)</w:t>
      </w:r>
    </w:p>
    <w:p w14:paraId="4C7C34E9" w14:textId="77777777" w:rsidR="00374224" w:rsidRPr="00A2111B" w:rsidRDefault="00374224" w:rsidP="005F5881">
      <w:pPr>
        <w:pStyle w:val="BodyText"/>
        <w:numPr>
          <w:ilvl w:val="0"/>
          <w:numId w:val="30"/>
        </w:numPr>
        <w:rPr>
          <w:lang w:val="es-ES"/>
        </w:rPr>
      </w:pPr>
      <w:r>
        <w:rPr>
          <w:rFonts w:ascii="Times New Roman" w:hAnsi="Times New Roman"/>
          <w:sz w:val="22"/>
          <w:lang w:val="es-ES"/>
        </w:rPr>
        <w:t>vómitos</w:t>
      </w:r>
    </w:p>
    <w:p w14:paraId="5406A94F" w14:textId="77777777" w:rsidR="00374224" w:rsidRPr="008A31C1" w:rsidRDefault="00374224" w:rsidP="005F5881">
      <w:pPr>
        <w:pStyle w:val="BodyText"/>
        <w:numPr>
          <w:ilvl w:val="0"/>
          <w:numId w:val="30"/>
        </w:numPr>
        <w:rPr>
          <w:lang w:val="es-ES"/>
        </w:rPr>
      </w:pPr>
      <w:r>
        <w:rPr>
          <w:rFonts w:ascii="Times New Roman" w:hAnsi="Times New Roman"/>
          <w:sz w:val="22"/>
          <w:lang w:val="es-ES"/>
        </w:rPr>
        <w:t>hernia del tubo que lleva la comida hasta su estómago</w:t>
      </w:r>
    </w:p>
    <w:p w14:paraId="1E9A0D4C" w14:textId="77777777" w:rsidR="00A2111B" w:rsidRPr="00A2111B" w:rsidRDefault="00C43FF4" w:rsidP="005F5881">
      <w:pPr>
        <w:pStyle w:val="BodyText"/>
        <w:numPr>
          <w:ilvl w:val="0"/>
          <w:numId w:val="30"/>
        </w:numPr>
        <w:rPr>
          <w:lang w:val="es-ES"/>
        </w:rPr>
      </w:pPr>
      <w:r>
        <w:rPr>
          <w:rFonts w:ascii="Times New Roman" w:hAnsi="Times New Roman"/>
          <w:sz w:val="22"/>
          <w:lang w:val="es-ES"/>
        </w:rPr>
        <w:t xml:space="preserve">hemoglobina baja o </w:t>
      </w:r>
      <w:r w:rsidR="00CB108D">
        <w:rPr>
          <w:rFonts w:ascii="Times New Roman" w:hAnsi="Times New Roman"/>
          <w:sz w:val="22"/>
          <w:lang w:val="es-ES"/>
        </w:rPr>
        <w:t xml:space="preserve">bajo recuento de </w:t>
      </w:r>
      <w:r w:rsidR="00374224">
        <w:rPr>
          <w:rFonts w:ascii="Times New Roman" w:hAnsi="Times New Roman"/>
          <w:sz w:val="22"/>
          <w:lang w:val="es-ES"/>
        </w:rPr>
        <w:t xml:space="preserve">glóbulos rojos </w:t>
      </w:r>
      <w:r w:rsidR="00CB108D">
        <w:rPr>
          <w:rFonts w:ascii="Times New Roman" w:hAnsi="Times New Roman"/>
          <w:sz w:val="22"/>
          <w:lang w:val="es-ES"/>
        </w:rPr>
        <w:t>(anemia)</w:t>
      </w:r>
    </w:p>
    <w:p w14:paraId="16FCEF09" w14:textId="77777777" w:rsidR="00693925" w:rsidRDefault="00693925" w:rsidP="00C01491">
      <w:pPr>
        <w:pStyle w:val="BodyText"/>
        <w:rPr>
          <w:lang w:val="es-ES"/>
        </w:rPr>
      </w:pPr>
    </w:p>
    <w:p w14:paraId="006AD842" w14:textId="77777777" w:rsidR="00B34379" w:rsidRPr="0032304E" w:rsidRDefault="008A31C1" w:rsidP="00C01491">
      <w:pPr>
        <w:keepNext/>
        <w:rPr>
          <w:b/>
          <w:sz w:val="22"/>
        </w:rPr>
      </w:pPr>
      <w:r w:rsidRPr="0032304E">
        <w:rPr>
          <w:b/>
          <w:sz w:val="22"/>
        </w:rPr>
        <w:t>P</w:t>
      </w:r>
      <w:r w:rsidR="00693925" w:rsidRPr="0032304E">
        <w:rPr>
          <w:b/>
          <w:sz w:val="22"/>
        </w:rPr>
        <w:t>oco frecuentes</w:t>
      </w:r>
      <w:r w:rsidR="00B34379" w:rsidRPr="0032304E">
        <w:rPr>
          <w:b/>
          <w:sz w:val="22"/>
        </w:rPr>
        <w:t xml:space="preserve"> </w:t>
      </w:r>
      <w:r w:rsidR="00A9705E">
        <w:rPr>
          <w:b/>
          <w:sz w:val="22"/>
        </w:rPr>
        <w:t>(</w:t>
      </w:r>
      <w:r w:rsidRPr="0032304E">
        <w:rPr>
          <w:b/>
          <w:sz w:val="22"/>
        </w:rPr>
        <w:t xml:space="preserve">pueden afectar </w:t>
      </w:r>
      <w:r w:rsidR="0073308E" w:rsidRPr="0032304E">
        <w:rPr>
          <w:b/>
          <w:sz w:val="22"/>
        </w:rPr>
        <w:t>hasta</w:t>
      </w:r>
      <w:r w:rsidRPr="0032304E">
        <w:rPr>
          <w:b/>
          <w:sz w:val="22"/>
        </w:rPr>
        <w:t xml:space="preserve"> </w:t>
      </w:r>
      <w:r w:rsidR="00B34379" w:rsidRPr="0032304E">
        <w:rPr>
          <w:b/>
          <w:sz w:val="22"/>
        </w:rPr>
        <w:t>1</w:t>
      </w:r>
      <w:r w:rsidR="004D6B5E" w:rsidRPr="0032304E">
        <w:rPr>
          <w:b/>
          <w:sz w:val="22"/>
        </w:rPr>
        <w:t xml:space="preserve"> </w:t>
      </w:r>
      <w:r w:rsidR="00B34379" w:rsidRPr="0032304E">
        <w:rPr>
          <w:b/>
          <w:sz w:val="22"/>
        </w:rPr>
        <w:t xml:space="preserve">de cada </w:t>
      </w:r>
      <w:r w:rsidRPr="0032304E">
        <w:rPr>
          <w:b/>
          <w:sz w:val="22"/>
        </w:rPr>
        <w:t>100</w:t>
      </w:r>
      <w:r w:rsidR="00B34379" w:rsidRPr="0032304E">
        <w:rPr>
          <w:b/>
          <w:sz w:val="22"/>
        </w:rPr>
        <w:t xml:space="preserve"> p</w:t>
      </w:r>
      <w:r w:rsidR="0032304E">
        <w:rPr>
          <w:b/>
          <w:sz w:val="22"/>
        </w:rPr>
        <w:t>ersonas</w:t>
      </w:r>
      <w:r w:rsidR="00A9705E">
        <w:rPr>
          <w:b/>
          <w:sz w:val="22"/>
        </w:rPr>
        <w:t>)</w:t>
      </w:r>
    </w:p>
    <w:p w14:paraId="1DF700FE" w14:textId="77777777" w:rsidR="00B34379" w:rsidRPr="00C03C06" w:rsidRDefault="00693925" w:rsidP="00C03C06">
      <w:pPr>
        <w:pStyle w:val="BodyText"/>
        <w:numPr>
          <w:ilvl w:val="0"/>
          <w:numId w:val="30"/>
        </w:numPr>
        <w:rPr>
          <w:rFonts w:ascii="Times New Roman" w:hAnsi="Times New Roman"/>
          <w:sz w:val="22"/>
          <w:lang w:val="es-ES"/>
        </w:rPr>
      </w:pPr>
      <w:r w:rsidRPr="00C03C06">
        <w:rPr>
          <w:rFonts w:ascii="Times New Roman" w:hAnsi="Times New Roman"/>
          <w:sz w:val="22"/>
          <w:lang w:val="es-ES"/>
        </w:rPr>
        <w:t>aumento de la frecuencia cardiaca</w:t>
      </w:r>
    </w:p>
    <w:p w14:paraId="27EDDFC6" w14:textId="77777777" w:rsidR="008A31C1" w:rsidRPr="00C03C06" w:rsidRDefault="008A31C1" w:rsidP="00C03C06">
      <w:pPr>
        <w:pStyle w:val="BodyText"/>
        <w:numPr>
          <w:ilvl w:val="0"/>
          <w:numId w:val="30"/>
        </w:numPr>
        <w:rPr>
          <w:rFonts w:ascii="Times New Roman" w:hAnsi="Times New Roman"/>
          <w:sz w:val="22"/>
          <w:lang w:val="es-ES"/>
        </w:rPr>
      </w:pPr>
      <w:r w:rsidRPr="00C03C06">
        <w:rPr>
          <w:rFonts w:ascii="Times New Roman" w:hAnsi="Times New Roman"/>
          <w:sz w:val="22"/>
          <w:lang w:val="es-ES"/>
        </w:rPr>
        <w:t xml:space="preserve">sonido anormal </w:t>
      </w:r>
      <w:r w:rsidR="001D1340" w:rsidRPr="00C03C06">
        <w:rPr>
          <w:rFonts w:ascii="Times New Roman" w:hAnsi="Times New Roman"/>
          <w:sz w:val="22"/>
          <w:lang w:val="es-ES"/>
        </w:rPr>
        <w:t>d</w:t>
      </w:r>
      <w:r w:rsidRPr="00C03C06">
        <w:rPr>
          <w:rFonts w:ascii="Times New Roman" w:hAnsi="Times New Roman"/>
          <w:sz w:val="22"/>
          <w:lang w:val="es-ES"/>
        </w:rPr>
        <w:t>el corazón</w:t>
      </w:r>
    </w:p>
    <w:p w14:paraId="6BAE898E" w14:textId="77777777" w:rsidR="00B34379" w:rsidRPr="00C03C06" w:rsidRDefault="00B34379" w:rsidP="00C03C06">
      <w:pPr>
        <w:pStyle w:val="BodyText"/>
        <w:numPr>
          <w:ilvl w:val="0"/>
          <w:numId w:val="30"/>
        </w:numPr>
        <w:rPr>
          <w:rFonts w:ascii="Times New Roman" w:hAnsi="Times New Roman"/>
          <w:sz w:val="22"/>
          <w:lang w:val="es-ES"/>
        </w:rPr>
      </w:pPr>
      <w:r w:rsidRPr="00C03C06">
        <w:rPr>
          <w:rFonts w:ascii="Times New Roman" w:hAnsi="Times New Roman"/>
          <w:sz w:val="22"/>
          <w:lang w:val="es-ES"/>
        </w:rPr>
        <w:t>falta de aliento</w:t>
      </w:r>
    </w:p>
    <w:p w14:paraId="21DFEDE2" w14:textId="77777777" w:rsidR="00FE4D89" w:rsidRPr="00C03C06" w:rsidRDefault="00693925" w:rsidP="00C03C06">
      <w:pPr>
        <w:pStyle w:val="BodyText"/>
        <w:numPr>
          <w:ilvl w:val="0"/>
          <w:numId w:val="30"/>
        </w:numPr>
        <w:rPr>
          <w:rFonts w:ascii="Times New Roman" w:hAnsi="Times New Roman"/>
          <w:sz w:val="22"/>
          <w:lang w:val="es-ES"/>
        </w:rPr>
      </w:pPr>
      <w:r w:rsidRPr="00C03C06">
        <w:rPr>
          <w:rFonts w:ascii="Times New Roman" w:hAnsi="Times New Roman"/>
          <w:sz w:val="22"/>
          <w:lang w:val="es-ES"/>
        </w:rPr>
        <w:t>hemorroides</w:t>
      </w:r>
      <w:r w:rsidR="00FE4D89" w:rsidRPr="00C03C06">
        <w:rPr>
          <w:rFonts w:ascii="Times New Roman" w:hAnsi="Times New Roman"/>
          <w:sz w:val="22"/>
          <w:lang w:val="es-ES"/>
        </w:rPr>
        <w:t xml:space="preserve"> (almorranas)</w:t>
      </w:r>
    </w:p>
    <w:p w14:paraId="26B5B884" w14:textId="77777777" w:rsidR="00D60276" w:rsidRPr="00C03C06" w:rsidRDefault="00693925" w:rsidP="00C03C06">
      <w:pPr>
        <w:pStyle w:val="BodyText"/>
        <w:numPr>
          <w:ilvl w:val="0"/>
          <w:numId w:val="30"/>
        </w:numPr>
        <w:rPr>
          <w:rFonts w:ascii="Times New Roman" w:hAnsi="Times New Roman"/>
          <w:sz w:val="22"/>
          <w:lang w:val="es-ES"/>
        </w:rPr>
      </w:pPr>
      <w:r w:rsidRPr="00C03C06">
        <w:rPr>
          <w:rFonts w:ascii="Times New Roman" w:hAnsi="Times New Roman"/>
          <w:sz w:val="22"/>
          <w:lang w:val="es-ES"/>
        </w:rPr>
        <w:t>pérdida accidental o escape de orina</w:t>
      </w:r>
    </w:p>
    <w:p w14:paraId="24746963" w14:textId="77777777" w:rsidR="00D60276" w:rsidRPr="00C03C06" w:rsidRDefault="00693925" w:rsidP="00C03C06">
      <w:pPr>
        <w:pStyle w:val="BodyText"/>
        <w:numPr>
          <w:ilvl w:val="0"/>
          <w:numId w:val="30"/>
        </w:numPr>
        <w:rPr>
          <w:rFonts w:ascii="Times New Roman" w:hAnsi="Times New Roman"/>
          <w:sz w:val="22"/>
          <w:lang w:val="es-ES"/>
        </w:rPr>
      </w:pPr>
      <w:r w:rsidRPr="00C03C06">
        <w:rPr>
          <w:rFonts w:ascii="Times New Roman" w:hAnsi="Times New Roman"/>
          <w:sz w:val="22"/>
          <w:lang w:val="es-ES"/>
        </w:rPr>
        <w:t>aumento de la necesidad de orinar</w:t>
      </w:r>
    </w:p>
    <w:p w14:paraId="20FBAEBE" w14:textId="77777777" w:rsidR="00CB108D" w:rsidRPr="00C03C06" w:rsidRDefault="00693925" w:rsidP="00C03C06">
      <w:pPr>
        <w:pStyle w:val="BodyText"/>
        <w:numPr>
          <w:ilvl w:val="0"/>
          <w:numId w:val="30"/>
        </w:numPr>
        <w:rPr>
          <w:rFonts w:ascii="Times New Roman" w:hAnsi="Times New Roman"/>
          <w:sz w:val="22"/>
          <w:lang w:val="es-ES"/>
        </w:rPr>
      </w:pPr>
      <w:r w:rsidRPr="00C03C06">
        <w:rPr>
          <w:rFonts w:ascii="Times New Roman" w:hAnsi="Times New Roman"/>
          <w:sz w:val="22"/>
          <w:lang w:val="es-ES"/>
        </w:rPr>
        <w:t>aumento de peso</w:t>
      </w:r>
    </w:p>
    <w:p w14:paraId="726B7634" w14:textId="77777777" w:rsidR="002508D9" w:rsidRPr="00C03C06" w:rsidRDefault="00CB108D" w:rsidP="00C03C06">
      <w:pPr>
        <w:pStyle w:val="BodyText"/>
        <w:numPr>
          <w:ilvl w:val="0"/>
          <w:numId w:val="30"/>
        </w:numPr>
        <w:rPr>
          <w:rFonts w:ascii="Times New Roman" w:hAnsi="Times New Roman"/>
          <w:sz w:val="22"/>
          <w:lang w:val="es-ES"/>
        </w:rPr>
      </w:pPr>
      <w:r w:rsidRPr="00C03C06">
        <w:rPr>
          <w:rFonts w:ascii="Times New Roman" w:hAnsi="Times New Roman"/>
          <w:sz w:val="22"/>
          <w:lang w:val="es-ES"/>
        </w:rPr>
        <w:t>piedras en el riñón</w:t>
      </w:r>
    </w:p>
    <w:p w14:paraId="1FA29829" w14:textId="77777777" w:rsidR="008A31C1" w:rsidRPr="00C03C06" w:rsidRDefault="001D1340" w:rsidP="00C03C06">
      <w:pPr>
        <w:pStyle w:val="BodyText"/>
        <w:numPr>
          <w:ilvl w:val="0"/>
          <w:numId w:val="30"/>
        </w:numPr>
        <w:rPr>
          <w:rFonts w:ascii="Times New Roman" w:hAnsi="Times New Roman"/>
          <w:sz w:val="22"/>
          <w:lang w:val="es-ES"/>
        </w:rPr>
      </w:pPr>
      <w:r w:rsidRPr="00C03C06">
        <w:rPr>
          <w:rFonts w:ascii="Times New Roman" w:hAnsi="Times New Roman"/>
          <w:sz w:val="22"/>
          <w:lang w:val="es-ES"/>
        </w:rPr>
        <w:t>d</w:t>
      </w:r>
      <w:r w:rsidR="008A31C1" w:rsidRPr="00C03C06">
        <w:rPr>
          <w:rFonts w:ascii="Times New Roman" w:hAnsi="Times New Roman"/>
          <w:sz w:val="22"/>
          <w:lang w:val="es-ES"/>
        </w:rPr>
        <w:t xml:space="preserve">olor en los músculos y en las articulaciones. </w:t>
      </w:r>
      <w:r w:rsidR="008A31C1" w:rsidRPr="00C03C06">
        <w:rPr>
          <w:rFonts w:ascii="Times New Roman" w:hAnsi="Times New Roman"/>
          <w:sz w:val="22"/>
          <w:u w:val="single"/>
          <w:lang w:val="es-ES"/>
        </w:rPr>
        <w:t>Algunos pacientes han experimentado calambres en la espalda</w:t>
      </w:r>
      <w:r w:rsidR="002C3682" w:rsidRPr="00C03C06">
        <w:rPr>
          <w:rFonts w:ascii="Times New Roman" w:hAnsi="Times New Roman"/>
          <w:sz w:val="22"/>
          <w:u w:val="single"/>
          <w:lang w:val="es-ES"/>
        </w:rPr>
        <w:t xml:space="preserve"> graves</w:t>
      </w:r>
      <w:r w:rsidR="008A31C1" w:rsidRPr="00C03C06">
        <w:rPr>
          <w:rFonts w:ascii="Times New Roman" w:hAnsi="Times New Roman"/>
          <w:sz w:val="22"/>
          <w:u w:val="single"/>
          <w:lang w:val="es-ES"/>
        </w:rPr>
        <w:t xml:space="preserve"> o dolor </w:t>
      </w:r>
      <w:r w:rsidR="002C3682" w:rsidRPr="00C03C06">
        <w:rPr>
          <w:rFonts w:ascii="Times New Roman" w:hAnsi="Times New Roman"/>
          <w:sz w:val="22"/>
          <w:u w:val="single"/>
          <w:lang w:val="es-ES"/>
        </w:rPr>
        <w:t>y</w:t>
      </w:r>
      <w:r w:rsidR="008A31C1" w:rsidRPr="00C03C06">
        <w:rPr>
          <w:rFonts w:ascii="Times New Roman" w:hAnsi="Times New Roman"/>
          <w:sz w:val="22"/>
          <w:u w:val="single"/>
          <w:lang w:val="es-ES"/>
        </w:rPr>
        <w:t xml:space="preserve"> tuvieron que ser hospitalizados</w:t>
      </w:r>
      <w:r w:rsidR="00786D32">
        <w:rPr>
          <w:rFonts w:ascii="Times New Roman" w:hAnsi="Times New Roman"/>
          <w:sz w:val="22"/>
          <w:u w:val="single"/>
          <w:lang w:val="es-ES"/>
        </w:rPr>
        <w:t>.</w:t>
      </w:r>
    </w:p>
    <w:p w14:paraId="3BB42CB2" w14:textId="77777777" w:rsidR="008A31C1" w:rsidRPr="00C03C06" w:rsidRDefault="001D1340" w:rsidP="00C03C06">
      <w:pPr>
        <w:pStyle w:val="BodyText"/>
        <w:numPr>
          <w:ilvl w:val="0"/>
          <w:numId w:val="30"/>
        </w:numPr>
        <w:rPr>
          <w:rFonts w:ascii="Times New Roman" w:hAnsi="Times New Roman"/>
          <w:sz w:val="22"/>
          <w:lang w:val="es-ES"/>
        </w:rPr>
      </w:pPr>
      <w:r w:rsidRPr="00C03C06">
        <w:rPr>
          <w:rFonts w:ascii="Times New Roman" w:hAnsi="Times New Roman"/>
          <w:sz w:val="22"/>
          <w:lang w:val="es-ES"/>
        </w:rPr>
        <w:t>a</w:t>
      </w:r>
      <w:r w:rsidR="008A31C1" w:rsidRPr="00C03C06">
        <w:rPr>
          <w:rFonts w:ascii="Times New Roman" w:hAnsi="Times New Roman"/>
          <w:sz w:val="22"/>
          <w:lang w:val="es-ES"/>
        </w:rPr>
        <w:t>umento en los niveles de calcio en sangre</w:t>
      </w:r>
    </w:p>
    <w:p w14:paraId="0A236D4D" w14:textId="77777777" w:rsidR="008A31C1" w:rsidRPr="00C03C06" w:rsidRDefault="001D1340" w:rsidP="00C03C06">
      <w:pPr>
        <w:pStyle w:val="BodyText"/>
        <w:numPr>
          <w:ilvl w:val="0"/>
          <w:numId w:val="30"/>
        </w:numPr>
        <w:rPr>
          <w:rFonts w:ascii="Times New Roman" w:hAnsi="Times New Roman"/>
          <w:sz w:val="22"/>
          <w:lang w:val="es-ES"/>
        </w:rPr>
      </w:pPr>
      <w:r w:rsidRPr="00C03C06">
        <w:rPr>
          <w:rFonts w:ascii="Times New Roman" w:hAnsi="Times New Roman"/>
          <w:sz w:val="22"/>
          <w:lang w:val="es-ES"/>
        </w:rPr>
        <w:t>a</w:t>
      </w:r>
      <w:r w:rsidR="008A31C1" w:rsidRPr="00C03C06">
        <w:rPr>
          <w:rFonts w:ascii="Times New Roman" w:hAnsi="Times New Roman"/>
          <w:sz w:val="22"/>
          <w:lang w:val="es-ES"/>
        </w:rPr>
        <w:t>umento de los niveles de ácido úrico en sangre</w:t>
      </w:r>
    </w:p>
    <w:p w14:paraId="0C24E523" w14:textId="77777777" w:rsidR="008F32AE" w:rsidRPr="00C03C06" w:rsidRDefault="008F32AE" w:rsidP="00C03C06">
      <w:pPr>
        <w:pStyle w:val="BodyText"/>
        <w:numPr>
          <w:ilvl w:val="0"/>
          <w:numId w:val="30"/>
        </w:numPr>
        <w:rPr>
          <w:rFonts w:ascii="Times New Roman" w:hAnsi="Times New Roman"/>
          <w:sz w:val="22"/>
          <w:lang w:val="es-ES"/>
        </w:rPr>
      </w:pPr>
      <w:r w:rsidRPr="00C03C06">
        <w:rPr>
          <w:rFonts w:ascii="Times New Roman" w:hAnsi="Times New Roman"/>
          <w:sz w:val="22"/>
          <w:lang w:val="es-ES"/>
        </w:rPr>
        <w:t>aumento en los niveles de una enzima llamada fosfatasa alcalina.</w:t>
      </w:r>
    </w:p>
    <w:p w14:paraId="7E773219" w14:textId="77777777" w:rsidR="00693925" w:rsidRDefault="00693925" w:rsidP="00C01491">
      <w:pPr>
        <w:rPr>
          <w:sz w:val="22"/>
        </w:rPr>
      </w:pPr>
    </w:p>
    <w:p w14:paraId="3DC9E6BD" w14:textId="77777777" w:rsidR="0073308E" w:rsidRPr="0032304E" w:rsidRDefault="008A31C1" w:rsidP="00C01491">
      <w:pPr>
        <w:rPr>
          <w:b/>
          <w:sz w:val="22"/>
        </w:rPr>
      </w:pPr>
      <w:r w:rsidRPr="0032304E">
        <w:rPr>
          <w:b/>
          <w:sz w:val="22"/>
        </w:rPr>
        <w:t>R</w:t>
      </w:r>
      <w:r w:rsidR="00D60276" w:rsidRPr="0032304E">
        <w:rPr>
          <w:b/>
          <w:sz w:val="22"/>
        </w:rPr>
        <w:t>aros</w:t>
      </w:r>
      <w:r w:rsidRPr="0032304E">
        <w:rPr>
          <w:b/>
          <w:sz w:val="22"/>
        </w:rPr>
        <w:t xml:space="preserve"> </w:t>
      </w:r>
      <w:r w:rsidR="00A9705E">
        <w:rPr>
          <w:b/>
          <w:sz w:val="22"/>
        </w:rPr>
        <w:t>(</w:t>
      </w:r>
      <w:r w:rsidRPr="0032304E">
        <w:rPr>
          <w:b/>
          <w:sz w:val="22"/>
        </w:rPr>
        <w:t xml:space="preserve">pueden afectar </w:t>
      </w:r>
      <w:r w:rsidR="0073308E" w:rsidRPr="0032304E">
        <w:rPr>
          <w:b/>
          <w:sz w:val="22"/>
        </w:rPr>
        <w:t>hasta</w:t>
      </w:r>
      <w:r w:rsidR="004D6B5E" w:rsidRPr="0032304E">
        <w:rPr>
          <w:b/>
          <w:sz w:val="22"/>
        </w:rPr>
        <w:t xml:space="preserve"> </w:t>
      </w:r>
      <w:r w:rsidR="00D60276" w:rsidRPr="0032304E">
        <w:rPr>
          <w:b/>
          <w:sz w:val="22"/>
        </w:rPr>
        <w:t xml:space="preserve">1 de cada </w:t>
      </w:r>
      <w:r w:rsidRPr="0020004B">
        <w:t>1</w:t>
      </w:r>
      <w:r w:rsidR="00EA201D">
        <w:t> </w:t>
      </w:r>
      <w:r w:rsidR="00D60276" w:rsidRPr="0020004B">
        <w:t>000</w:t>
      </w:r>
      <w:r w:rsidR="00D60276" w:rsidRPr="0032304E">
        <w:rPr>
          <w:b/>
          <w:sz w:val="22"/>
        </w:rPr>
        <w:t xml:space="preserve"> p</w:t>
      </w:r>
      <w:r w:rsidR="0032304E">
        <w:rPr>
          <w:b/>
          <w:sz w:val="22"/>
        </w:rPr>
        <w:t>ersonas</w:t>
      </w:r>
      <w:r w:rsidR="00A9705E">
        <w:rPr>
          <w:b/>
          <w:sz w:val="22"/>
        </w:rPr>
        <w:t>)</w:t>
      </w:r>
    </w:p>
    <w:p w14:paraId="05A5ABAB" w14:textId="77777777" w:rsidR="005F28BB" w:rsidRPr="00C03C06" w:rsidRDefault="0073308E" w:rsidP="00C03C06">
      <w:pPr>
        <w:pStyle w:val="BodyText"/>
        <w:numPr>
          <w:ilvl w:val="0"/>
          <w:numId w:val="30"/>
        </w:numPr>
        <w:rPr>
          <w:rFonts w:ascii="Times New Roman" w:hAnsi="Times New Roman"/>
          <w:sz w:val="22"/>
          <w:lang w:val="es-ES"/>
        </w:rPr>
      </w:pPr>
      <w:r w:rsidRPr="00C03C06">
        <w:rPr>
          <w:rFonts w:ascii="Times New Roman" w:hAnsi="Times New Roman"/>
          <w:sz w:val="22"/>
          <w:lang w:val="es-ES"/>
        </w:rPr>
        <w:t>reducción de la función del riñón, incluyendo insuficiencia renal</w:t>
      </w:r>
    </w:p>
    <w:p w14:paraId="3FB76BC7" w14:textId="77777777" w:rsidR="00C71ADA" w:rsidRPr="00C03C06" w:rsidRDefault="0073308E" w:rsidP="00C03C06">
      <w:pPr>
        <w:pStyle w:val="BodyText"/>
        <w:numPr>
          <w:ilvl w:val="0"/>
          <w:numId w:val="30"/>
        </w:numPr>
        <w:rPr>
          <w:rFonts w:ascii="Times New Roman" w:hAnsi="Times New Roman"/>
          <w:sz w:val="22"/>
          <w:lang w:val="es-ES"/>
        </w:rPr>
      </w:pPr>
      <w:r w:rsidRPr="00C03C06">
        <w:rPr>
          <w:rFonts w:ascii="Times New Roman" w:hAnsi="Times New Roman"/>
          <w:sz w:val="22"/>
          <w:lang w:val="es-ES"/>
        </w:rPr>
        <w:t>hinchazón, principalmente en las manos, pies y piernas</w:t>
      </w:r>
      <w:r w:rsidR="00786D32">
        <w:rPr>
          <w:rFonts w:ascii="Times New Roman" w:hAnsi="Times New Roman"/>
          <w:sz w:val="22"/>
          <w:lang w:val="es-ES"/>
        </w:rPr>
        <w:t>.</w:t>
      </w:r>
    </w:p>
    <w:p w14:paraId="7AAE9505" w14:textId="77777777" w:rsidR="00C71ADA" w:rsidRDefault="00C71ADA" w:rsidP="00E84F80">
      <w:pPr>
        <w:rPr>
          <w:sz w:val="22"/>
        </w:rPr>
      </w:pPr>
    </w:p>
    <w:p w14:paraId="1697D7F5" w14:textId="77777777" w:rsidR="00E35323" w:rsidRPr="004B5FC2" w:rsidRDefault="00E35323" w:rsidP="00E35323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  <w:lang w:val="es-ES_tradnl"/>
        </w:rPr>
      </w:pPr>
      <w:r w:rsidRPr="004B5FC2">
        <w:rPr>
          <w:rFonts w:ascii="Times New Roman" w:hAnsi="Times New Roman"/>
          <w:b/>
          <w:sz w:val="22"/>
          <w:szCs w:val="22"/>
          <w:lang w:val="es-ES_tradnl"/>
        </w:rPr>
        <w:t xml:space="preserve">Comunicación de efectos adversos </w:t>
      </w:r>
    </w:p>
    <w:p w14:paraId="5A447E49" w14:textId="77777777" w:rsidR="00693925" w:rsidRPr="004B5FC2" w:rsidRDefault="00E35323" w:rsidP="00E35323">
      <w:pPr>
        <w:rPr>
          <w:sz w:val="22"/>
          <w:szCs w:val="22"/>
        </w:rPr>
      </w:pPr>
      <w:r w:rsidRPr="004B5FC2">
        <w:rPr>
          <w:sz w:val="22"/>
          <w:szCs w:val="22"/>
          <w:lang w:val="es-ES_tradnl"/>
        </w:rPr>
        <w:t xml:space="preserve">Si experimenta </w:t>
      </w:r>
      <w:r w:rsidRPr="004B5FC2">
        <w:rPr>
          <w:noProof/>
          <w:sz w:val="22"/>
          <w:szCs w:val="22"/>
          <w:lang w:val="es-ES_tradnl"/>
        </w:rPr>
        <w:t>cualquier tipo de efecto adverso</w:t>
      </w:r>
      <w:r w:rsidRPr="004B5FC2">
        <w:rPr>
          <w:sz w:val="22"/>
          <w:szCs w:val="22"/>
          <w:lang w:val="es-ES_tradnl"/>
        </w:rPr>
        <w:t xml:space="preserve">, consulte a su médico o farmacéutico, incluso si se trata de </w:t>
      </w:r>
      <w:r w:rsidRPr="004B5FC2">
        <w:rPr>
          <w:noProof/>
          <w:sz w:val="22"/>
          <w:szCs w:val="22"/>
          <w:lang w:val="es-ES_tradnl"/>
        </w:rPr>
        <w:t xml:space="preserve">posibles </w:t>
      </w:r>
      <w:r w:rsidRPr="004B5FC2">
        <w:rPr>
          <w:sz w:val="22"/>
          <w:szCs w:val="22"/>
          <w:lang w:val="es-ES_tradnl"/>
        </w:rPr>
        <w:t xml:space="preserve">efectos adversos que no aparecen en este prospecto. </w:t>
      </w:r>
      <w:r w:rsidRPr="004B5FC2">
        <w:rPr>
          <w:noProof/>
          <w:sz w:val="22"/>
          <w:szCs w:val="22"/>
          <w:lang w:val="es-ES_tradnl"/>
        </w:rPr>
        <w:t xml:space="preserve">También puede comunicarlos directamente a través del </w:t>
      </w:r>
      <w:r w:rsidRPr="004B5FC2">
        <w:rPr>
          <w:noProof/>
          <w:sz w:val="22"/>
          <w:szCs w:val="22"/>
          <w:highlight w:val="lightGray"/>
          <w:lang w:val="es-ES_tradnl"/>
        </w:rPr>
        <w:t xml:space="preserve">sistema nacional de notificación incluido en el </w:t>
      </w:r>
      <w:hyperlink r:id="rId17" w:history="1">
        <w:r w:rsidRPr="004B5FC2">
          <w:rPr>
            <w:rStyle w:val="Hyperlink"/>
            <w:noProof/>
            <w:sz w:val="22"/>
            <w:szCs w:val="22"/>
            <w:highlight w:val="lightGray"/>
            <w:lang w:val="es-ES_tradnl"/>
          </w:rPr>
          <w:t>A</w:t>
        </w:r>
        <w:r w:rsidR="006B7A1C">
          <w:rPr>
            <w:rStyle w:val="Hyperlink"/>
            <w:noProof/>
            <w:sz w:val="22"/>
            <w:szCs w:val="22"/>
            <w:highlight w:val="lightGray"/>
            <w:lang w:val="es-ES_tradnl"/>
          </w:rPr>
          <w:t xml:space="preserve">péndice </w:t>
        </w:r>
        <w:r w:rsidRPr="004B5FC2">
          <w:rPr>
            <w:rStyle w:val="Hyperlink"/>
            <w:noProof/>
            <w:sz w:val="22"/>
            <w:szCs w:val="22"/>
            <w:highlight w:val="lightGray"/>
            <w:lang w:val="es-ES_tradnl"/>
          </w:rPr>
          <w:t>V</w:t>
        </w:r>
      </w:hyperlink>
      <w:r w:rsidRPr="004B5FC2">
        <w:rPr>
          <w:noProof/>
          <w:sz w:val="22"/>
          <w:szCs w:val="22"/>
          <w:lang w:val="es-ES_tradnl"/>
        </w:rPr>
        <w:t>. Mediante la comunicación de efectos adversos usted puede contribuir a proporcionar más información sobre la seguridad de este medicamento</w:t>
      </w:r>
      <w:r>
        <w:rPr>
          <w:noProof/>
          <w:sz w:val="22"/>
          <w:szCs w:val="22"/>
          <w:lang w:val="es-ES_tradnl"/>
        </w:rPr>
        <w:t>.</w:t>
      </w:r>
    </w:p>
    <w:p w14:paraId="10AD9DC6" w14:textId="77777777" w:rsidR="00693925" w:rsidRDefault="00693925" w:rsidP="00E84F80">
      <w:pPr>
        <w:rPr>
          <w:sz w:val="22"/>
        </w:rPr>
      </w:pPr>
    </w:p>
    <w:p w14:paraId="6F8A73F1" w14:textId="77777777" w:rsidR="00E35323" w:rsidRDefault="00E35323" w:rsidP="00E84F80">
      <w:pPr>
        <w:rPr>
          <w:sz w:val="22"/>
        </w:rPr>
      </w:pPr>
    </w:p>
    <w:p w14:paraId="2D8EDB8A" w14:textId="77777777" w:rsidR="00693925" w:rsidRDefault="00693925" w:rsidP="004D6B5E">
      <w:pPr>
        <w:keepNext/>
        <w:ind w:left="567" w:hanging="567"/>
        <w:rPr>
          <w:b/>
          <w:sz w:val="22"/>
        </w:rPr>
      </w:pPr>
      <w:r>
        <w:rPr>
          <w:b/>
          <w:sz w:val="22"/>
        </w:rPr>
        <w:lastRenderedPageBreak/>
        <w:t>5.</w:t>
      </w:r>
      <w:r>
        <w:rPr>
          <w:b/>
          <w:sz w:val="22"/>
        </w:rPr>
        <w:tab/>
      </w:r>
      <w:r w:rsidR="0073308E">
        <w:rPr>
          <w:b/>
          <w:sz w:val="22"/>
        </w:rPr>
        <w:t>Conservación de</w:t>
      </w:r>
      <w:r w:rsidR="00D95532">
        <w:rPr>
          <w:b/>
          <w:sz w:val="22"/>
        </w:rPr>
        <w:t xml:space="preserve"> </w:t>
      </w:r>
      <w:r w:rsidR="00EA201D">
        <w:rPr>
          <w:b/>
          <w:sz w:val="22"/>
        </w:rPr>
        <w:t>Teriparatida</w:t>
      </w:r>
      <w:r w:rsidR="00D95532">
        <w:rPr>
          <w:b/>
          <w:sz w:val="22"/>
        </w:rPr>
        <w:t xml:space="preserve"> SUN</w:t>
      </w:r>
    </w:p>
    <w:p w14:paraId="5C8901B1" w14:textId="77777777" w:rsidR="00693925" w:rsidRDefault="00693925" w:rsidP="002F7BEF">
      <w:pPr>
        <w:keepNext/>
        <w:rPr>
          <w:sz w:val="22"/>
        </w:rPr>
      </w:pPr>
    </w:p>
    <w:p w14:paraId="0F12C4DC" w14:textId="77777777" w:rsidR="00693925" w:rsidRDefault="00CB61F0" w:rsidP="00E84F80">
      <w:pPr>
        <w:rPr>
          <w:sz w:val="22"/>
        </w:rPr>
      </w:pPr>
      <w:r>
        <w:rPr>
          <w:sz w:val="22"/>
        </w:rPr>
        <w:t xml:space="preserve">Mantener </w:t>
      </w:r>
      <w:r w:rsidR="0073308E">
        <w:rPr>
          <w:sz w:val="22"/>
        </w:rPr>
        <w:t xml:space="preserve">este medicamento </w:t>
      </w:r>
      <w:r w:rsidR="00693925">
        <w:rPr>
          <w:sz w:val="22"/>
        </w:rPr>
        <w:t>fuera de</w:t>
      </w:r>
      <w:r w:rsidR="0073308E">
        <w:rPr>
          <w:sz w:val="22"/>
        </w:rPr>
        <w:t xml:space="preserve"> </w:t>
      </w:r>
      <w:r w:rsidR="00693925">
        <w:rPr>
          <w:sz w:val="22"/>
        </w:rPr>
        <w:t>l</w:t>
      </w:r>
      <w:r w:rsidR="0073308E">
        <w:rPr>
          <w:sz w:val="22"/>
        </w:rPr>
        <w:t>a vista y del</w:t>
      </w:r>
      <w:r w:rsidR="00693925">
        <w:rPr>
          <w:sz w:val="22"/>
        </w:rPr>
        <w:t xml:space="preserve"> alcance de los niños.</w:t>
      </w:r>
    </w:p>
    <w:p w14:paraId="5E16F26E" w14:textId="77777777" w:rsidR="002508D9" w:rsidRDefault="002508D9" w:rsidP="00E84F80">
      <w:pPr>
        <w:rPr>
          <w:sz w:val="22"/>
        </w:rPr>
      </w:pPr>
    </w:p>
    <w:p w14:paraId="315F3CE1" w14:textId="77777777" w:rsidR="002508D9" w:rsidRDefault="002508D9" w:rsidP="00E84F80">
      <w:pPr>
        <w:rPr>
          <w:sz w:val="22"/>
        </w:rPr>
      </w:pPr>
      <w:r>
        <w:rPr>
          <w:sz w:val="22"/>
        </w:rPr>
        <w:t xml:space="preserve">No utilice </w:t>
      </w:r>
      <w:r w:rsidR="0073308E">
        <w:rPr>
          <w:sz w:val="22"/>
        </w:rPr>
        <w:t>este medicamento</w:t>
      </w:r>
      <w:r>
        <w:rPr>
          <w:sz w:val="22"/>
        </w:rPr>
        <w:t xml:space="preserve"> después de la fecha de caducidad que aparece en el envase y la pluma</w:t>
      </w:r>
      <w:r w:rsidR="001D1340" w:rsidRPr="001D1340">
        <w:rPr>
          <w:sz w:val="22"/>
        </w:rPr>
        <w:t xml:space="preserve"> </w:t>
      </w:r>
      <w:r w:rsidR="001D1340">
        <w:rPr>
          <w:sz w:val="22"/>
        </w:rPr>
        <w:t>después de CAD</w:t>
      </w:r>
      <w:r>
        <w:rPr>
          <w:sz w:val="22"/>
        </w:rPr>
        <w:t>.</w:t>
      </w:r>
      <w:r w:rsidR="0073308E">
        <w:rPr>
          <w:sz w:val="22"/>
        </w:rPr>
        <w:t xml:space="preserve"> La fecha de caducidad es el último día del mes que se indica. </w:t>
      </w:r>
    </w:p>
    <w:p w14:paraId="2DAF5231" w14:textId="77777777" w:rsidR="00693925" w:rsidRDefault="00693925" w:rsidP="00E84F80">
      <w:pPr>
        <w:rPr>
          <w:sz w:val="22"/>
        </w:rPr>
      </w:pPr>
    </w:p>
    <w:p w14:paraId="157263CF" w14:textId="77777777" w:rsidR="00BD17B4" w:rsidRDefault="00BD17B4" w:rsidP="00E84F80">
      <w:pPr>
        <w:rPr>
          <w:sz w:val="22"/>
        </w:rPr>
      </w:pPr>
      <w:r w:rsidRPr="00BD17B4">
        <w:rPr>
          <w:sz w:val="22"/>
        </w:rPr>
        <w:t>Teriparatida SUN puede conservarse antes de la primera apertura a 25°C durante 24 horas.</w:t>
      </w:r>
    </w:p>
    <w:p w14:paraId="20057D17" w14:textId="77777777" w:rsidR="00BD17B4" w:rsidRDefault="00BD17B4" w:rsidP="00E84F80">
      <w:pPr>
        <w:rPr>
          <w:sz w:val="22"/>
        </w:rPr>
      </w:pPr>
    </w:p>
    <w:p w14:paraId="39F0DC18" w14:textId="606BBB83" w:rsidR="00693925" w:rsidRDefault="00EA201D" w:rsidP="00E84F80">
      <w:pPr>
        <w:rPr>
          <w:sz w:val="22"/>
        </w:rPr>
      </w:pPr>
      <w:r>
        <w:rPr>
          <w:sz w:val="22"/>
        </w:rPr>
        <w:t>Teriparatida</w:t>
      </w:r>
      <w:r w:rsidR="00D95532">
        <w:rPr>
          <w:sz w:val="22"/>
        </w:rPr>
        <w:t xml:space="preserve"> SUN</w:t>
      </w:r>
      <w:r w:rsidR="00693925">
        <w:rPr>
          <w:sz w:val="22"/>
        </w:rPr>
        <w:t xml:space="preserve"> debe conservarse siempre </w:t>
      </w:r>
      <w:r w:rsidR="002508D9">
        <w:rPr>
          <w:sz w:val="22"/>
        </w:rPr>
        <w:t xml:space="preserve">en nevera (entre </w:t>
      </w:r>
      <w:r w:rsidR="00693925">
        <w:rPr>
          <w:sz w:val="22"/>
        </w:rPr>
        <w:t>2</w:t>
      </w:r>
      <w:r w:rsidR="00760FC0">
        <w:rPr>
          <w:lang w:val="es-ES_tradnl"/>
        </w:rPr>
        <w:t> </w:t>
      </w:r>
      <w:r w:rsidR="00693925">
        <w:rPr>
          <w:sz w:val="22"/>
        </w:rPr>
        <w:sym w:font="Symbol" w:char="F0B0"/>
      </w:r>
      <w:r w:rsidR="00693925">
        <w:rPr>
          <w:sz w:val="22"/>
        </w:rPr>
        <w:t>C y 8</w:t>
      </w:r>
      <w:r w:rsidR="00693925">
        <w:rPr>
          <w:sz w:val="22"/>
        </w:rPr>
        <w:sym w:font="Symbol" w:char="F0B0"/>
      </w:r>
      <w:r w:rsidR="00693925">
        <w:rPr>
          <w:sz w:val="22"/>
        </w:rPr>
        <w:t>C</w:t>
      </w:r>
      <w:r w:rsidR="002508D9">
        <w:rPr>
          <w:sz w:val="22"/>
        </w:rPr>
        <w:t>)</w:t>
      </w:r>
      <w:r w:rsidR="00693925">
        <w:rPr>
          <w:sz w:val="22"/>
        </w:rPr>
        <w:t xml:space="preserve">. Puede utilizar </w:t>
      </w:r>
      <w:r>
        <w:rPr>
          <w:sz w:val="22"/>
        </w:rPr>
        <w:t>Teriparatida</w:t>
      </w:r>
      <w:r w:rsidR="00D95532">
        <w:rPr>
          <w:sz w:val="22"/>
        </w:rPr>
        <w:t xml:space="preserve"> SUN</w:t>
      </w:r>
      <w:r w:rsidR="00693925">
        <w:rPr>
          <w:sz w:val="22"/>
        </w:rPr>
        <w:t xml:space="preserve"> durante 28</w:t>
      </w:r>
      <w:r w:rsidR="00F90E27">
        <w:rPr>
          <w:sz w:val="22"/>
        </w:rPr>
        <w:t> </w:t>
      </w:r>
      <w:r w:rsidR="00693925">
        <w:rPr>
          <w:sz w:val="22"/>
        </w:rPr>
        <w:t>días después de realizar la primera inyección mientras la pluma se conserv</w:t>
      </w:r>
      <w:r w:rsidR="00BF66FC">
        <w:rPr>
          <w:sz w:val="22"/>
        </w:rPr>
        <w:t>e</w:t>
      </w:r>
      <w:r w:rsidR="00693925">
        <w:rPr>
          <w:sz w:val="22"/>
        </w:rPr>
        <w:t xml:space="preserve"> </w:t>
      </w:r>
      <w:r w:rsidR="00D60276">
        <w:rPr>
          <w:sz w:val="22"/>
        </w:rPr>
        <w:t>en nevera (</w:t>
      </w:r>
      <w:r w:rsidR="002C4E38">
        <w:rPr>
          <w:sz w:val="22"/>
        </w:rPr>
        <w:t xml:space="preserve">entre </w:t>
      </w:r>
      <w:r w:rsidR="00693925">
        <w:rPr>
          <w:sz w:val="22"/>
        </w:rPr>
        <w:t xml:space="preserve">2ºC y </w:t>
      </w:r>
      <w:smartTag w:uri="urn:schemas-microsoft-com:office:smarttags" w:element="metricconverter">
        <w:smartTagPr>
          <w:attr w:name="ProductID" w:val="8ﾺC"/>
        </w:smartTagPr>
        <w:r w:rsidR="00693925">
          <w:rPr>
            <w:sz w:val="22"/>
          </w:rPr>
          <w:t>8ºC</w:t>
        </w:r>
      </w:smartTag>
      <w:r w:rsidR="00693925">
        <w:rPr>
          <w:sz w:val="22"/>
        </w:rPr>
        <w:t>)</w:t>
      </w:r>
      <w:r w:rsidR="002508D9">
        <w:rPr>
          <w:sz w:val="22"/>
        </w:rPr>
        <w:t>.</w:t>
      </w:r>
    </w:p>
    <w:p w14:paraId="68386AB2" w14:textId="77777777" w:rsidR="00693925" w:rsidRDefault="00693925" w:rsidP="00E84F80">
      <w:pPr>
        <w:rPr>
          <w:sz w:val="22"/>
        </w:rPr>
      </w:pPr>
    </w:p>
    <w:p w14:paraId="576210AB" w14:textId="77777777" w:rsidR="00693925" w:rsidRDefault="00693925" w:rsidP="00E84F80">
      <w:pPr>
        <w:rPr>
          <w:sz w:val="22"/>
        </w:rPr>
      </w:pPr>
      <w:r>
        <w:rPr>
          <w:sz w:val="22"/>
        </w:rPr>
        <w:t xml:space="preserve">No congele </w:t>
      </w:r>
      <w:r w:rsidR="00EA201D">
        <w:rPr>
          <w:sz w:val="22"/>
        </w:rPr>
        <w:t>Teriparatida</w:t>
      </w:r>
      <w:r w:rsidR="00D95532">
        <w:rPr>
          <w:sz w:val="22"/>
        </w:rPr>
        <w:t xml:space="preserve"> SUN</w:t>
      </w:r>
      <w:r>
        <w:rPr>
          <w:sz w:val="22"/>
        </w:rPr>
        <w:t xml:space="preserve">. Evite colocar las plumas cerca del congelador de la nevera para prevenir su congelación. No use </w:t>
      </w:r>
      <w:r w:rsidR="00EA201D">
        <w:rPr>
          <w:sz w:val="22"/>
        </w:rPr>
        <w:t>Teriparatida</w:t>
      </w:r>
      <w:r w:rsidR="00D95532">
        <w:rPr>
          <w:sz w:val="22"/>
        </w:rPr>
        <w:t xml:space="preserve"> SUN</w:t>
      </w:r>
      <w:r>
        <w:rPr>
          <w:sz w:val="22"/>
        </w:rPr>
        <w:t xml:space="preserve"> si está o ha estado congelad</w:t>
      </w:r>
      <w:r w:rsidR="00CB61F0">
        <w:rPr>
          <w:sz w:val="22"/>
        </w:rPr>
        <w:t>o</w:t>
      </w:r>
      <w:r>
        <w:rPr>
          <w:sz w:val="22"/>
        </w:rPr>
        <w:t>.</w:t>
      </w:r>
    </w:p>
    <w:p w14:paraId="68266070" w14:textId="77777777" w:rsidR="00693925" w:rsidRDefault="00693925" w:rsidP="00E84F80">
      <w:pPr>
        <w:rPr>
          <w:sz w:val="22"/>
        </w:rPr>
      </w:pPr>
    </w:p>
    <w:p w14:paraId="234E8D3E" w14:textId="77777777" w:rsidR="00693925" w:rsidRDefault="00693925" w:rsidP="00E84F80">
      <w:pPr>
        <w:rPr>
          <w:sz w:val="22"/>
        </w:rPr>
      </w:pPr>
      <w:r>
        <w:rPr>
          <w:sz w:val="22"/>
        </w:rPr>
        <w:t>Cada pluma debe desecharse de forma adecuada después de 28 días, aunque no esté vacía del todo.</w:t>
      </w:r>
    </w:p>
    <w:p w14:paraId="178D5439" w14:textId="77777777" w:rsidR="00693925" w:rsidRDefault="00693925" w:rsidP="00E84F80">
      <w:pPr>
        <w:rPr>
          <w:sz w:val="22"/>
        </w:rPr>
      </w:pPr>
    </w:p>
    <w:p w14:paraId="23E4DA3D" w14:textId="77777777" w:rsidR="00693925" w:rsidRDefault="00EA201D" w:rsidP="00E84F80">
      <w:pPr>
        <w:rPr>
          <w:sz w:val="22"/>
        </w:rPr>
      </w:pPr>
      <w:r>
        <w:rPr>
          <w:sz w:val="22"/>
        </w:rPr>
        <w:t>Teriparatida</w:t>
      </w:r>
      <w:r w:rsidR="00D95532">
        <w:rPr>
          <w:sz w:val="22"/>
        </w:rPr>
        <w:t xml:space="preserve"> SUN</w:t>
      </w:r>
      <w:r w:rsidR="00693925">
        <w:rPr>
          <w:sz w:val="22"/>
        </w:rPr>
        <w:t xml:space="preserve"> contiene una solución transparente e incolora. No utilice </w:t>
      </w:r>
      <w:r>
        <w:rPr>
          <w:sz w:val="22"/>
        </w:rPr>
        <w:t>Teriparatida</w:t>
      </w:r>
      <w:r w:rsidR="00D95532">
        <w:rPr>
          <w:sz w:val="22"/>
        </w:rPr>
        <w:t xml:space="preserve"> SUN</w:t>
      </w:r>
      <w:r w:rsidR="00693925">
        <w:rPr>
          <w:sz w:val="22"/>
        </w:rPr>
        <w:t xml:space="preserve"> si tiene partículas sólidas o si la solución está turbia o presenta color.</w:t>
      </w:r>
    </w:p>
    <w:p w14:paraId="1D950D3C" w14:textId="77777777" w:rsidR="00693925" w:rsidRDefault="00693925" w:rsidP="00E84F80">
      <w:pPr>
        <w:rPr>
          <w:sz w:val="22"/>
        </w:rPr>
      </w:pPr>
    </w:p>
    <w:p w14:paraId="7A297DAD" w14:textId="77777777" w:rsidR="004C48FF" w:rsidRDefault="004C48FF" w:rsidP="00E84F80">
      <w:pPr>
        <w:rPr>
          <w:sz w:val="22"/>
        </w:rPr>
      </w:pPr>
      <w:r>
        <w:rPr>
          <w:sz w:val="22"/>
        </w:rPr>
        <w:t xml:space="preserve">Los medicamentos no se deben tirar por los desagües ni a la basura. Pregunte a su farmacéutico cómo deshacerse de los envases y de los medicamentos que </w:t>
      </w:r>
      <w:r w:rsidR="00BD70D3">
        <w:rPr>
          <w:sz w:val="22"/>
        </w:rPr>
        <w:t xml:space="preserve">ya </w:t>
      </w:r>
      <w:r>
        <w:rPr>
          <w:sz w:val="22"/>
        </w:rPr>
        <w:t>no necesita. De esta forma</w:t>
      </w:r>
      <w:r w:rsidR="00F90E27">
        <w:rPr>
          <w:sz w:val="22"/>
        </w:rPr>
        <w:t>,</w:t>
      </w:r>
      <w:r>
        <w:rPr>
          <w:sz w:val="22"/>
        </w:rPr>
        <w:t xml:space="preserve"> ayudará a proteger el medio ambiente.</w:t>
      </w:r>
    </w:p>
    <w:p w14:paraId="24C74F9C" w14:textId="77777777" w:rsidR="004C48FF" w:rsidRDefault="004C48FF" w:rsidP="00E84F80">
      <w:pPr>
        <w:rPr>
          <w:sz w:val="22"/>
        </w:rPr>
      </w:pPr>
    </w:p>
    <w:p w14:paraId="0D45CD98" w14:textId="77777777" w:rsidR="004C48FF" w:rsidRDefault="004C48FF" w:rsidP="00E84F80">
      <w:pPr>
        <w:rPr>
          <w:sz w:val="22"/>
        </w:rPr>
      </w:pPr>
    </w:p>
    <w:p w14:paraId="49ED035B" w14:textId="77777777" w:rsidR="004C48FF" w:rsidRDefault="004C48FF" w:rsidP="00F90E27">
      <w:pPr>
        <w:keepNext/>
        <w:ind w:left="567" w:hanging="567"/>
        <w:rPr>
          <w:sz w:val="22"/>
        </w:rPr>
      </w:pPr>
      <w:r>
        <w:rPr>
          <w:b/>
          <w:sz w:val="22"/>
        </w:rPr>
        <w:t>6.</w:t>
      </w:r>
      <w:r>
        <w:rPr>
          <w:b/>
          <w:sz w:val="22"/>
        </w:rPr>
        <w:tab/>
      </w:r>
      <w:r w:rsidR="00BD70D3" w:rsidRPr="00BD70D3">
        <w:rPr>
          <w:b/>
          <w:sz w:val="22"/>
        </w:rPr>
        <w:t xml:space="preserve">Contenido del envase </w:t>
      </w:r>
      <w:r w:rsidR="00BD70D3">
        <w:rPr>
          <w:b/>
          <w:sz w:val="22"/>
        </w:rPr>
        <w:t>e información adicional</w:t>
      </w:r>
    </w:p>
    <w:p w14:paraId="24A68A4F" w14:textId="77777777" w:rsidR="004C48FF" w:rsidRDefault="004C48FF" w:rsidP="002F7BEF">
      <w:pPr>
        <w:keepNext/>
        <w:rPr>
          <w:sz w:val="22"/>
        </w:rPr>
      </w:pPr>
    </w:p>
    <w:p w14:paraId="2414C0C8" w14:textId="77777777" w:rsidR="004C48FF" w:rsidRDefault="004C48FF" w:rsidP="00E84F80">
      <w:pPr>
        <w:rPr>
          <w:sz w:val="22"/>
        </w:rPr>
      </w:pPr>
      <w:r>
        <w:rPr>
          <w:b/>
          <w:sz w:val="22"/>
        </w:rPr>
        <w:t xml:space="preserve">Composición de </w:t>
      </w:r>
      <w:r w:rsidR="00EA201D">
        <w:rPr>
          <w:b/>
          <w:sz w:val="22"/>
        </w:rPr>
        <w:t>Teriparatida</w:t>
      </w:r>
      <w:r w:rsidR="00D95532">
        <w:rPr>
          <w:b/>
          <w:sz w:val="22"/>
        </w:rPr>
        <w:t xml:space="preserve"> SUN</w:t>
      </w:r>
    </w:p>
    <w:p w14:paraId="4B348874" w14:textId="77777777" w:rsidR="003D7D07" w:rsidRDefault="003D7D07" w:rsidP="00F90E27">
      <w:pPr>
        <w:ind w:left="567" w:hanging="567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 xml:space="preserve">El principio activo es teriparatida. Cada </w:t>
      </w:r>
      <w:r w:rsidR="00D95532">
        <w:rPr>
          <w:sz w:val="22"/>
        </w:rPr>
        <w:t>dosis de 80 microlitros</w:t>
      </w:r>
      <w:r>
        <w:rPr>
          <w:sz w:val="22"/>
        </w:rPr>
        <w:t xml:space="preserve"> contiene 20</w:t>
      </w:r>
      <w:r w:rsidR="00BD70D3">
        <w:rPr>
          <w:sz w:val="22"/>
        </w:rPr>
        <w:t> </w:t>
      </w:r>
      <w:r>
        <w:rPr>
          <w:sz w:val="22"/>
        </w:rPr>
        <w:t>microgramos de teri</w:t>
      </w:r>
      <w:r w:rsidR="000C19EA">
        <w:rPr>
          <w:sz w:val="22"/>
        </w:rPr>
        <w:t>paratida.</w:t>
      </w:r>
    </w:p>
    <w:p w14:paraId="3963B524" w14:textId="77777777" w:rsidR="00D95532" w:rsidRDefault="00D95532" w:rsidP="00F90E27">
      <w:pPr>
        <w:ind w:left="567" w:hanging="567"/>
        <w:rPr>
          <w:sz w:val="22"/>
        </w:rPr>
      </w:pPr>
      <w:r>
        <w:rPr>
          <w:sz w:val="22"/>
        </w:rPr>
        <w:tab/>
        <w:t xml:space="preserve">Cada pluma precargada de 2,4 ml contiene 600 </w:t>
      </w:r>
      <w:proofErr w:type="spellStart"/>
      <w:r>
        <w:rPr>
          <w:sz w:val="22"/>
        </w:rPr>
        <w:t>mirogramos</w:t>
      </w:r>
      <w:proofErr w:type="spellEnd"/>
      <w:r>
        <w:rPr>
          <w:sz w:val="22"/>
        </w:rPr>
        <w:t xml:space="preserve"> de teriparatida (correspondientes a 250 microgramos por ml).</w:t>
      </w:r>
    </w:p>
    <w:p w14:paraId="4128E83D" w14:textId="77777777" w:rsidR="000C19EA" w:rsidRDefault="000C19EA" w:rsidP="00F90E27">
      <w:pPr>
        <w:ind w:left="567" w:hanging="567"/>
        <w:rPr>
          <w:sz w:val="22"/>
          <w:lang w:val="es-ES_tradnl"/>
        </w:rPr>
      </w:pPr>
      <w:r>
        <w:rPr>
          <w:sz w:val="22"/>
        </w:rPr>
        <w:t>-</w:t>
      </w:r>
      <w:r>
        <w:rPr>
          <w:sz w:val="22"/>
        </w:rPr>
        <w:tab/>
        <w:t>Los demás componentes son ácido acético glacial</w:t>
      </w:r>
      <w:r w:rsidR="00D95532">
        <w:rPr>
          <w:sz w:val="22"/>
        </w:rPr>
        <w:t xml:space="preserve"> (E260)</w:t>
      </w:r>
      <w:r>
        <w:rPr>
          <w:sz w:val="22"/>
        </w:rPr>
        <w:t>, acetato de sodio anhidro</w:t>
      </w:r>
      <w:r w:rsidR="00D95532">
        <w:rPr>
          <w:sz w:val="22"/>
        </w:rPr>
        <w:t xml:space="preserve"> (E262)</w:t>
      </w:r>
      <w:r>
        <w:rPr>
          <w:sz w:val="22"/>
        </w:rPr>
        <w:t>, manitol</w:t>
      </w:r>
      <w:r w:rsidR="00D95532">
        <w:rPr>
          <w:sz w:val="22"/>
        </w:rPr>
        <w:t xml:space="preserve"> (E421)</w:t>
      </w:r>
      <w:r>
        <w:rPr>
          <w:sz w:val="22"/>
        </w:rPr>
        <w:t xml:space="preserve">, </w:t>
      </w:r>
      <w:proofErr w:type="spellStart"/>
      <w:r>
        <w:rPr>
          <w:sz w:val="22"/>
        </w:rPr>
        <w:t>metacresol</w:t>
      </w:r>
      <w:proofErr w:type="spellEnd"/>
      <w:r>
        <w:rPr>
          <w:sz w:val="22"/>
        </w:rPr>
        <w:t xml:space="preserve"> y agua para </w:t>
      </w:r>
      <w:r w:rsidR="007E09EE">
        <w:rPr>
          <w:sz w:val="22"/>
          <w:lang w:val="es-ES_tradnl"/>
        </w:rPr>
        <w:t>preparaciones inyectables</w:t>
      </w:r>
      <w:r>
        <w:rPr>
          <w:sz w:val="22"/>
        </w:rPr>
        <w:t xml:space="preserve">. Además, </w:t>
      </w:r>
      <w:r>
        <w:rPr>
          <w:sz w:val="22"/>
          <w:lang w:val="es-ES_tradnl"/>
        </w:rPr>
        <w:t>se puede haber añadido una solución de ácido clorhídrico</w:t>
      </w:r>
      <w:r w:rsidR="00D95532">
        <w:rPr>
          <w:sz w:val="22"/>
          <w:lang w:val="es-ES_tradnl"/>
        </w:rPr>
        <w:t xml:space="preserve"> (E507)</w:t>
      </w:r>
      <w:r>
        <w:rPr>
          <w:sz w:val="22"/>
          <w:lang w:val="es-ES_tradnl"/>
        </w:rPr>
        <w:t xml:space="preserve"> y/o de hidróxido de sodio</w:t>
      </w:r>
      <w:r w:rsidR="00D95532">
        <w:rPr>
          <w:sz w:val="22"/>
          <w:lang w:val="es-ES_tradnl"/>
        </w:rPr>
        <w:t xml:space="preserve"> (E524)</w:t>
      </w:r>
      <w:r>
        <w:rPr>
          <w:sz w:val="22"/>
          <w:lang w:val="es-ES_tradnl"/>
        </w:rPr>
        <w:t xml:space="preserve"> para ajustar el pH</w:t>
      </w:r>
      <w:r w:rsidR="00D95532">
        <w:rPr>
          <w:sz w:val="22"/>
          <w:lang w:val="es-ES_tradnl"/>
        </w:rPr>
        <w:t xml:space="preserve"> (ver la sección 2 </w:t>
      </w:r>
      <w:r w:rsidR="00EA201D">
        <w:rPr>
          <w:sz w:val="22"/>
          <w:lang w:val="es-ES_tradnl"/>
        </w:rPr>
        <w:t>Teriparatida</w:t>
      </w:r>
      <w:r w:rsidR="00D95532">
        <w:rPr>
          <w:sz w:val="22"/>
          <w:lang w:val="es-ES_tradnl"/>
        </w:rPr>
        <w:t xml:space="preserve"> SUN contiene sodio)</w:t>
      </w:r>
      <w:r>
        <w:rPr>
          <w:sz w:val="22"/>
          <w:lang w:val="es-ES_tradnl"/>
        </w:rPr>
        <w:t>.</w:t>
      </w:r>
    </w:p>
    <w:p w14:paraId="596254E9" w14:textId="77777777" w:rsidR="000C19EA" w:rsidRDefault="000C19EA" w:rsidP="00E84F80">
      <w:pPr>
        <w:rPr>
          <w:sz w:val="22"/>
          <w:lang w:val="es-ES_tradnl"/>
        </w:rPr>
      </w:pPr>
    </w:p>
    <w:p w14:paraId="2C6045F0" w14:textId="77777777" w:rsidR="000C19EA" w:rsidRDefault="000C19EA" w:rsidP="00E84F80">
      <w:pPr>
        <w:rPr>
          <w:sz w:val="22"/>
          <w:lang w:val="es-ES_tradnl"/>
        </w:rPr>
      </w:pPr>
      <w:r>
        <w:rPr>
          <w:b/>
          <w:sz w:val="22"/>
          <w:lang w:val="es-ES_tradnl"/>
        </w:rPr>
        <w:t>Aspecto del producto y contenido del envase</w:t>
      </w:r>
    </w:p>
    <w:p w14:paraId="0467D31F" w14:textId="77777777" w:rsidR="001C1E31" w:rsidRDefault="00EA201D" w:rsidP="00E84F80">
      <w:pPr>
        <w:rPr>
          <w:rStyle w:val="LabelInstructions"/>
          <w:i w:val="0"/>
          <w:color w:val="auto"/>
          <w:sz w:val="22"/>
          <w:lang w:val="es-ES_tradnl"/>
        </w:rPr>
      </w:pPr>
      <w:r>
        <w:rPr>
          <w:rStyle w:val="LabelInstructions"/>
          <w:i w:val="0"/>
          <w:color w:val="auto"/>
          <w:sz w:val="22"/>
          <w:lang w:val="es-ES_tradnl"/>
        </w:rPr>
        <w:t>Teriparatida</w:t>
      </w:r>
      <w:r w:rsidR="00D95532">
        <w:rPr>
          <w:rStyle w:val="LabelInstructions"/>
          <w:i w:val="0"/>
          <w:color w:val="auto"/>
          <w:sz w:val="22"/>
          <w:lang w:val="es-ES_tradnl"/>
        </w:rPr>
        <w:t xml:space="preserve"> SUN</w:t>
      </w:r>
      <w:r w:rsidR="000C19EA">
        <w:rPr>
          <w:rStyle w:val="LabelInstructions"/>
          <w:i w:val="0"/>
          <w:color w:val="auto"/>
          <w:sz w:val="22"/>
          <w:lang w:val="es-ES_tradnl"/>
        </w:rPr>
        <w:t xml:space="preserve"> es una solución </w:t>
      </w:r>
      <w:r w:rsidR="00CB61F0">
        <w:rPr>
          <w:rStyle w:val="LabelInstructions"/>
          <w:i w:val="0"/>
          <w:color w:val="auto"/>
          <w:sz w:val="22"/>
          <w:lang w:val="es-ES_tradnl"/>
        </w:rPr>
        <w:t>transparente</w:t>
      </w:r>
      <w:r w:rsidR="000C19EA">
        <w:rPr>
          <w:rStyle w:val="LabelInstructions"/>
          <w:i w:val="0"/>
          <w:color w:val="auto"/>
          <w:sz w:val="22"/>
          <w:lang w:val="es-ES_tradnl"/>
        </w:rPr>
        <w:t xml:space="preserve"> e incolora</w:t>
      </w:r>
      <w:r w:rsidR="00BD70D3">
        <w:rPr>
          <w:rStyle w:val="LabelInstructions"/>
          <w:i w:val="0"/>
          <w:color w:val="auto"/>
          <w:sz w:val="22"/>
          <w:lang w:val="es-ES_tradnl"/>
        </w:rPr>
        <w:t>.</w:t>
      </w:r>
      <w:r w:rsidR="000C19EA">
        <w:rPr>
          <w:rStyle w:val="LabelInstructions"/>
          <w:i w:val="0"/>
          <w:color w:val="auto"/>
          <w:sz w:val="22"/>
          <w:lang w:val="es-ES_tradnl"/>
        </w:rPr>
        <w:t xml:space="preserve"> </w:t>
      </w:r>
      <w:r w:rsidR="003C7EAB">
        <w:rPr>
          <w:rStyle w:val="LabelInstructions"/>
          <w:i w:val="0"/>
          <w:color w:val="auto"/>
          <w:sz w:val="22"/>
          <w:lang w:val="es-ES_tradnl"/>
        </w:rPr>
        <w:t xml:space="preserve">Se presenta en un cartucho incluido en una pluma precargada desechable. Cada pluma contiene </w:t>
      </w:r>
      <w:r w:rsidR="00413649">
        <w:rPr>
          <w:rStyle w:val="LabelInstructions"/>
          <w:i w:val="0"/>
          <w:color w:val="auto"/>
          <w:sz w:val="22"/>
          <w:lang w:val="es-ES_tradnl"/>
        </w:rPr>
        <w:t>2,4 </w:t>
      </w:r>
      <w:r w:rsidR="003C7EAB">
        <w:rPr>
          <w:rStyle w:val="LabelInstructions"/>
          <w:i w:val="0"/>
          <w:color w:val="auto"/>
          <w:sz w:val="22"/>
          <w:lang w:val="es-ES_tradnl"/>
        </w:rPr>
        <w:t xml:space="preserve">ml de solución suficiente para 28 dosis. </w:t>
      </w:r>
    </w:p>
    <w:p w14:paraId="1E1AF1F4" w14:textId="77777777" w:rsidR="001C1E31" w:rsidRDefault="001C1E31" w:rsidP="00E84F80">
      <w:pPr>
        <w:rPr>
          <w:rStyle w:val="LabelInstructions"/>
          <w:i w:val="0"/>
          <w:color w:val="auto"/>
          <w:sz w:val="22"/>
          <w:lang w:val="es-ES_tradnl"/>
        </w:rPr>
      </w:pPr>
    </w:p>
    <w:p w14:paraId="0AC0DF22" w14:textId="77777777" w:rsidR="001C1E31" w:rsidRDefault="003C7EAB" w:rsidP="00E84F80">
      <w:pPr>
        <w:rPr>
          <w:rStyle w:val="LabelInstructions"/>
          <w:i w:val="0"/>
          <w:color w:val="auto"/>
          <w:sz w:val="22"/>
          <w:lang w:val="es-ES_tradnl"/>
        </w:rPr>
      </w:pPr>
      <w:r>
        <w:rPr>
          <w:rStyle w:val="LabelInstructions"/>
          <w:i w:val="0"/>
          <w:color w:val="auto"/>
          <w:sz w:val="22"/>
          <w:lang w:val="es-ES_tradnl"/>
        </w:rPr>
        <w:t xml:space="preserve">Las plumas están disponibles en </w:t>
      </w:r>
      <w:r w:rsidR="00430E09">
        <w:rPr>
          <w:rStyle w:val="LabelInstructions"/>
          <w:i w:val="0"/>
          <w:color w:val="auto"/>
          <w:sz w:val="22"/>
          <w:lang w:val="es-ES_tradnl"/>
        </w:rPr>
        <w:t>envases</w:t>
      </w:r>
      <w:r>
        <w:rPr>
          <w:rStyle w:val="LabelInstructions"/>
          <w:i w:val="0"/>
          <w:color w:val="auto"/>
          <w:sz w:val="22"/>
          <w:lang w:val="es-ES_tradnl"/>
        </w:rPr>
        <w:t xml:space="preserve"> que contienen una o tres plumas</w:t>
      </w:r>
      <w:r w:rsidR="001C1E31">
        <w:rPr>
          <w:rStyle w:val="LabelInstructions"/>
          <w:i w:val="0"/>
          <w:color w:val="auto"/>
          <w:sz w:val="22"/>
          <w:lang w:val="es-ES_tradnl"/>
        </w:rPr>
        <w:t xml:space="preserve"> precargadas</w:t>
      </w:r>
      <w:r>
        <w:rPr>
          <w:rStyle w:val="LabelInstructions"/>
          <w:i w:val="0"/>
          <w:color w:val="auto"/>
          <w:sz w:val="22"/>
          <w:lang w:val="es-ES_tradnl"/>
        </w:rPr>
        <w:t xml:space="preserve">. </w:t>
      </w:r>
    </w:p>
    <w:p w14:paraId="243CC563" w14:textId="77777777" w:rsidR="001C1E31" w:rsidRDefault="001C1E31" w:rsidP="00E84F80">
      <w:pPr>
        <w:rPr>
          <w:rStyle w:val="LabelInstructions"/>
          <w:i w:val="0"/>
          <w:color w:val="auto"/>
          <w:sz w:val="22"/>
          <w:lang w:val="es-ES_tradnl"/>
        </w:rPr>
      </w:pPr>
    </w:p>
    <w:p w14:paraId="4A6D3CFB" w14:textId="77777777" w:rsidR="000C19EA" w:rsidRDefault="00430E09" w:rsidP="00E84F80">
      <w:pPr>
        <w:rPr>
          <w:rStyle w:val="LabelInstructions"/>
          <w:i w:val="0"/>
          <w:color w:val="auto"/>
          <w:sz w:val="22"/>
          <w:lang w:val="es-ES_tradnl"/>
        </w:rPr>
      </w:pPr>
      <w:r>
        <w:rPr>
          <w:rStyle w:val="LabelInstructions"/>
          <w:i w:val="0"/>
          <w:color w:val="auto"/>
          <w:sz w:val="22"/>
          <w:lang w:val="es-ES_tradnl"/>
        </w:rPr>
        <w:t>Puede que solamente estén disponibles algunos tamaños de envases.</w:t>
      </w:r>
    </w:p>
    <w:p w14:paraId="5BC9571A" w14:textId="77777777" w:rsidR="00430E09" w:rsidRDefault="00430E09" w:rsidP="00E84F80">
      <w:pPr>
        <w:rPr>
          <w:rStyle w:val="LabelInstructions"/>
          <w:i w:val="0"/>
          <w:color w:val="auto"/>
          <w:sz w:val="22"/>
          <w:lang w:val="es-ES_tradnl"/>
        </w:rPr>
      </w:pPr>
    </w:p>
    <w:p w14:paraId="561F6C31" w14:textId="77777777" w:rsidR="00430E09" w:rsidRPr="00C03C06" w:rsidRDefault="00430E09" w:rsidP="00E84F80">
      <w:pPr>
        <w:rPr>
          <w:sz w:val="22"/>
          <w:lang w:val="es-ES_tradnl"/>
        </w:rPr>
      </w:pPr>
      <w:r w:rsidRPr="00C03C06">
        <w:rPr>
          <w:b/>
          <w:sz w:val="22"/>
          <w:lang w:val="es-ES_tradnl"/>
        </w:rPr>
        <w:t xml:space="preserve">Titular de la autorización de comercialización </w:t>
      </w:r>
    </w:p>
    <w:p w14:paraId="0E867549" w14:textId="77777777" w:rsidR="001C1E31" w:rsidRPr="00C83E1A" w:rsidRDefault="001C1E31" w:rsidP="001C1E31">
      <w:pPr>
        <w:rPr>
          <w:bCs/>
          <w:sz w:val="22"/>
          <w:lang w:val="es-ES_tradnl"/>
        </w:rPr>
      </w:pPr>
      <w:proofErr w:type="spellStart"/>
      <w:r w:rsidRPr="00C83E1A">
        <w:rPr>
          <w:bCs/>
          <w:sz w:val="22"/>
          <w:lang w:val="es-ES_tradnl"/>
        </w:rPr>
        <w:t>Sun</w:t>
      </w:r>
      <w:proofErr w:type="spellEnd"/>
      <w:r w:rsidRPr="00C83E1A">
        <w:rPr>
          <w:bCs/>
          <w:sz w:val="22"/>
          <w:lang w:val="es-ES_tradnl"/>
        </w:rPr>
        <w:t xml:space="preserve"> </w:t>
      </w:r>
      <w:proofErr w:type="spellStart"/>
      <w:r w:rsidRPr="00C83E1A">
        <w:rPr>
          <w:bCs/>
          <w:sz w:val="22"/>
          <w:lang w:val="es-ES_tradnl"/>
        </w:rPr>
        <w:t>Pharmaceutical</w:t>
      </w:r>
      <w:proofErr w:type="spellEnd"/>
      <w:r w:rsidRPr="00C83E1A">
        <w:rPr>
          <w:bCs/>
          <w:sz w:val="22"/>
          <w:lang w:val="es-ES_tradnl"/>
        </w:rPr>
        <w:t xml:space="preserve"> Industries Europe B.V.</w:t>
      </w:r>
    </w:p>
    <w:p w14:paraId="574E310F" w14:textId="77777777" w:rsidR="001C1E31" w:rsidRPr="001C1E31" w:rsidRDefault="001C1E31" w:rsidP="001C1E31">
      <w:pPr>
        <w:rPr>
          <w:bCs/>
          <w:sz w:val="22"/>
          <w:lang w:val="en-US"/>
        </w:rPr>
      </w:pPr>
      <w:r w:rsidRPr="001C1E31">
        <w:rPr>
          <w:bCs/>
          <w:sz w:val="22"/>
          <w:lang w:val="en-US"/>
        </w:rPr>
        <w:t>Polarisavenue 87</w:t>
      </w:r>
    </w:p>
    <w:p w14:paraId="6DBCE77C" w14:textId="77777777" w:rsidR="001C1E31" w:rsidRPr="001C1E31" w:rsidRDefault="001C1E31" w:rsidP="001C1E31">
      <w:pPr>
        <w:rPr>
          <w:bCs/>
          <w:sz w:val="22"/>
          <w:lang w:val="en-US"/>
        </w:rPr>
      </w:pPr>
      <w:r w:rsidRPr="001C1E31">
        <w:rPr>
          <w:bCs/>
          <w:sz w:val="22"/>
          <w:lang w:val="en-US"/>
        </w:rPr>
        <w:t>2132 JH Hoofddorp</w:t>
      </w:r>
    </w:p>
    <w:p w14:paraId="0309747D" w14:textId="77777777" w:rsidR="001C1E31" w:rsidRPr="00BD0030" w:rsidRDefault="001C1E31" w:rsidP="001C1E31">
      <w:pPr>
        <w:rPr>
          <w:bCs/>
          <w:sz w:val="22"/>
          <w:lang w:val="pt-PT"/>
        </w:rPr>
      </w:pPr>
      <w:r w:rsidRPr="00BD0030">
        <w:rPr>
          <w:bCs/>
          <w:sz w:val="22"/>
          <w:lang w:val="pt-PT"/>
        </w:rPr>
        <w:t>The Netherlands</w:t>
      </w:r>
    </w:p>
    <w:p w14:paraId="1CC69D61" w14:textId="77777777" w:rsidR="00430E09" w:rsidRPr="006D23FF" w:rsidRDefault="00401CE5" w:rsidP="00E84F80">
      <w:pPr>
        <w:rPr>
          <w:sz w:val="22"/>
          <w:lang w:val="es-ES_tradnl"/>
        </w:rPr>
      </w:pPr>
      <w:r w:rsidRPr="006D23FF">
        <w:rPr>
          <w:sz w:val="22"/>
          <w:lang w:val="es-ES_tradnl"/>
        </w:rPr>
        <w:t>Países Bajos</w:t>
      </w:r>
    </w:p>
    <w:p w14:paraId="0A904E09" w14:textId="77777777" w:rsidR="0020124B" w:rsidRPr="006D23FF" w:rsidRDefault="0020124B" w:rsidP="00E84F80">
      <w:pPr>
        <w:rPr>
          <w:sz w:val="22"/>
          <w:lang w:val="es-ES_tradnl"/>
        </w:rPr>
      </w:pPr>
    </w:p>
    <w:p w14:paraId="5D0E77CC" w14:textId="77777777" w:rsidR="00BD70D3" w:rsidRPr="00C03C06" w:rsidRDefault="00BD70D3" w:rsidP="00E84F80">
      <w:pPr>
        <w:rPr>
          <w:sz w:val="22"/>
        </w:rPr>
      </w:pPr>
      <w:r w:rsidRPr="00C03C06">
        <w:rPr>
          <w:b/>
          <w:sz w:val="22"/>
          <w:lang w:val="es-ES_tradnl"/>
        </w:rPr>
        <w:lastRenderedPageBreak/>
        <w:t>Responsable de la fabricación</w:t>
      </w:r>
      <w:r w:rsidRPr="00C03C06">
        <w:rPr>
          <w:sz w:val="22"/>
        </w:rPr>
        <w:t xml:space="preserve"> </w:t>
      </w:r>
    </w:p>
    <w:p w14:paraId="0F16C6B9" w14:textId="77777777" w:rsidR="001C1E31" w:rsidRPr="001C1E31" w:rsidRDefault="001C1E31" w:rsidP="001C1E31">
      <w:pPr>
        <w:rPr>
          <w:bCs/>
          <w:sz w:val="22"/>
          <w:lang w:val="en-US"/>
        </w:rPr>
      </w:pPr>
      <w:r w:rsidRPr="001C1E31">
        <w:rPr>
          <w:bCs/>
          <w:sz w:val="22"/>
          <w:lang w:val="en-US"/>
        </w:rPr>
        <w:t>Sun Pharmaceutical Industries Europe B.V.</w:t>
      </w:r>
    </w:p>
    <w:p w14:paraId="77D2531D" w14:textId="77777777" w:rsidR="001C1E31" w:rsidRPr="001C1E31" w:rsidRDefault="001C1E31" w:rsidP="001C1E31">
      <w:pPr>
        <w:rPr>
          <w:bCs/>
          <w:sz w:val="22"/>
          <w:lang w:val="en-US"/>
        </w:rPr>
      </w:pPr>
      <w:r w:rsidRPr="001C1E31">
        <w:rPr>
          <w:bCs/>
          <w:sz w:val="22"/>
          <w:lang w:val="en-US"/>
        </w:rPr>
        <w:t>Polarisavenue 87</w:t>
      </w:r>
    </w:p>
    <w:p w14:paraId="5ACB6A4F" w14:textId="77777777" w:rsidR="001C1E31" w:rsidRPr="001C1E31" w:rsidRDefault="001C1E31" w:rsidP="001C1E31">
      <w:pPr>
        <w:rPr>
          <w:bCs/>
          <w:sz w:val="22"/>
          <w:lang w:val="en-US"/>
        </w:rPr>
      </w:pPr>
      <w:r w:rsidRPr="001C1E31">
        <w:rPr>
          <w:bCs/>
          <w:sz w:val="22"/>
          <w:lang w:val="en-US"/>
        </w:rPr>
        <w:t>2132 JH Hoofddorp</w:t>
      </w:r>
    </w:p>
    <w:p w14:paraId="48BA2C65" w14:textId="77777777" w:rsidR="001C1E31" w:rsidRPr="00BD0030" w:rsidRDefault="001C1E31" w:rsidP="001C1E31">
      <w:pPr>
        <w:rPr>
          <w:bCs/>
          <w:sz w:val="22"/>
          <w:lang w:val="pt-PT"/>
        </w:rPr>
      </w:pPr>
      <w:r w:rsidRPr="00BD0030">
        <w:rPr>
          <w:bCs/>
          <w:sz w:val="22"/>
          <w:lang w:val="pt-PT"/>
        </w:rPr>
        <w:t>The Netherlands</w:t>
      </w:r>
    </w:p>
    <w:p w14:paraId="2945F469" w14:textId="77777777" w:rsidR="001C1E31" w:rsidRPr="001C1E31" w:rsidRDefault="001C1E31" w:rsidP="001C1E31">
      <w:pPr>
        <w:rPr>
          <w:sz w:val="22"/>
          <w:lang w:val="es-ES_tradnl"/>
        </w:rPr>
      </w:pPr>
      <w:r w:rsidRPr="001C1E31">
        <w:rPr>
          <w:sz w:val="22"/>
          <w:lang w:val="es-ES_tradnl"/>
        </w:rPr>
        <w:t>Países Bajos</w:t>
      </w:r>
    </w:p>
    <w:p w14:paraId="7BBE3230" w14:textId="77777777" w:rsidR="001C1E31" w:rsidRDefault="001C1E31" w:rsidP="00E84F80">
      <w:pPr>
        <w:rPr>
          <w:sz w:val="22"/>
        </w:rPr>
      </w:pPr>
    </w:p>
    <w:p w14:paraId="4A9857AB" w14:textId="77777777" w:rsidR="001C1E31" w:rsidRPr="00D05C05" w:rsidRDefault="001C1E31" w:rsidP="001C1E31">
      <w:pPr>
        <w:rPr>
          <w:sz w:val="22"/>
          <w:highlight w:val="lightGray"/>
          <w:lang w:val="it-IT"/>
        </w:rPr>
      </w:pPr>
      <w:r w:rsidRPr="00D05C05">
        <w:rPr>
          <w:sz w:val="22"/>
          <w:highlight w:val="lightGray"/>
          <w:lang w:val="it-IT"/>
        </w:rPr>
        <w:t>Terapia S.A.</w:t>
      </w:r>
    </w:p>
    <w:p w14:paraId="51681B41" w14:textId="77777777" w:rsidR="001C1E31" w:rsidRPr="00D05C05" w:rsidRDefault="001C1E31" w:rsidP="001C1E31">
      <w:pPr>
        <w:rPr>
          <w:sz w:val="22"/>
          <w:highlight w:val="lightGray"/>
          <w:lang w:val="it-IT"/>
        </w:rPr>
      </w:pPr>
      <w:r w:rsidRPr="00D05C05">
        <w:rPr>
          <w:sz w:val="22"/>
          <w:highlight w:val="lightGray"/>
          <w:lang w:val="it-IT"/>
        </w:rPr>
        <w:t>Str. Fabricii nr 124</w:t>
      </w:r>
    </w:p>
    <w:p w14:paraId="21EA682E" w14:textId="77777777" w:rsidR="001C1E31" w:rsidRPr="00D05C05" w:rsidRDefault="001C1E31" w:rsidP="001C1E31">
      <w:pPr>
        <w:rPr>
          <w:sz w:val="22"/>
          <w:highlight w:val="lightGray"/>
        </w:rPr>
      </w:pPr>
      <w:r w:rsidRPr="00D05C05">
        <w:rPr>
          <w:sz w:val="22"/>
          <w:highlight w:val="lightGray"/>
        </w:rPr>
        <w:t xml:space="preserve">Cluj-Napoca, </w:t>
      </w:r>
      <w:r w:rsidR="00845A9B" w:rsidRPr="00D05C05">
        <w:rPr>
          <w:sz w:val="22"/>
          <w:highlight w:val="lightGray"/>
        </w:rPr>
        <w:t>400632</w:t>
      </w:r>
    </w:p>
    <w:p w14:paraId="38AB5ED7" w14:textId="77777777" w:rsidR="001C1E31" w:rsidRPr="001C1E31" w:rsidRDefault="001C1E31" w:rsidP="00E84F80">
      <w:pPr>
        <w:rPr>
          <w:sz w:val="22"/>
        </w:rPr>
      </w:pPr>
      <w:r w:rsidRPr="00D05C05">
        <w:rPr>
          <w:sz w:val="22"/>
          <w:highlight w:val="lightGray"/>
        </w:rPr>
        <w:t>Rumanía</w:t>
      </w:r>
    </w:p>
    <w:p w14:paraId="21622570" w14:textId="77777777" w:rsidR="00430E09" w:rsidRPr="00590789" w:rsidRDefault="00430E09" w:rsidP="00E84F80">
      <w:pPr>
        <w:rPr>
          <w:sz w:val="22"/>
        </w:rPr>
      </w:pPr>
    </w:p>
    <w:p w14:paraId="4D431087" w14:textId="77777777" w:rsidR="00693925" w:rsidRPr="00ED7C2F" w:rsidRDefault="00693925" w:rsidP="00C03C06">
      <w:pPr>
        <w:rPr>
          <w:sz w:val="22"/>
          <w:szCs w:val="22"/>
        </w:rPr>
      </w:pPr>
      <w:r w:rsidRPr="00D66842">
        <w:rPr>
          <w:sz w:val="22"/>
          <w:szCs w:val="22"/>
        </w:rPr>
        <w:t>Pueden solicitar más información respecto a este medicamento dirigiéndose</w:t>
      </w:r>
      <w:r w:rsidRPr="00CB4AE2">
        <w:rPr>
          <w:sz w:val="22"/>
          <w:szCs w:val="22"/>
        </w:rPr>
        <w:t xml:space="preserve"> al representante local del titular de la autorización de comercialización</w:t>
      </w:r>
      <w:r w:rsidR="00430E09" w:rsidRPr="00ED7C2F">
        <w:rPr>
          <w:sz w:val="22"/>
          <w:szCs w:val="22"/>
        </w:rPr>
        <w:t>:</w:t>
      </w:r>
    </w:p>
    <w:p w14:paraId="20DDF8E4" w14:textId="77777777" w:rsidR="00D05C05" w:rsidRPr="00ED7C2F" w:rsidRDefault="00D05C05" w:rsidP="00C03C06">
      <w:pPr>
        <w:rPr>
          <w:sz w:val="22"/>
          <w:szCs w:val="22"/>
        </w:rPr>
      </w:pPr>
    </w:p>
    <w:p w14:paraId="7EA2013D" w14:textId="77777777" w:rsidR="00D05C05" w:rsidRPr="00ED7C2F" w:rsidRDefault="00D05C05" w:rsidP="00D05C05">
      <w:pPr>
        <w:rPr>
          <w:b/>
          <w:noProof/>
          <w:sz w:val="22"/>
          <w:szCs w:val="22"/>
        </w:rPr>
      </w:pPr>
      <w:r w:rsidRPr="00ED7C2F">
        <w:rPr>
          <w:b/>
          <w:noProof/>
          <w:sz w:val="22"/>
          <w:szCs w:val="22"/>
        </w:rPr>
        <w:t>België/Belgique/Belgien/</w:t>
      </w:r>
      <w:proofErr w:type="spellStart"/>
      <w:r w:rsidRPr="00ED7C2F">
        <w:rPr>
          <w:b/>
          <w:bCs/>
          <w:sz w:val="22"/>
          <w:szCs w:val="22"/>
        </w:rPr>
        <w:t>България</w:t>
      </w:r>
      <w:proofErr w:type="spellEnd"/>
      <w:r w:rsidRPr="00ED7C2F">
        <w:rPr>
          <w:b/>
          <w:bCs/>
          <w:sz w:val="22"/>
          <w:szCs w:val="22"/>
        </w:rPr>
        <w:t>/</w:t>
      </w:r>
      <w:proofErr w:type="spellStart"/>
      <w:r w:rsidRPr="00ED7C2F">
        <w:rPr>
          <w:b/>
          <w:noProof/>
          <w:sz w:val="22"/>
          <w:szCs w:val="22"/>
        </w:rPr>
        <w:t>Česká</w:t>
      </w:r>
      <w:proofErr w:type="spellEnd"/>
      <w:r w:rsidRPr="00ED7C2F">
        <w:rPr>
          <w:b/>
          <w:noProof/>
          <w:sz w:val="22"/>
          <w:szCs w:val="22"/>
        </w:rPr>
        <w:t xml:space="preserve"> republika/</w:t>
      </w:r>
    </w:p>
    <w:p w14:paraId="28168D21" w14:textId="3441D618" w:rsidR="00D05C05" w:rsidRPr="00ED7C2F" w:rsidRDefault="00D05C05" w:rsidP="00D05C05">
      <w:pPr>
        <w:rPr>
          <w:b/>
          <w:noProof/>
          <w:sz w:val="22"/>
          <w:szCs w:val="22"/>
        </w:rPr>
      </w:pPr>
      <w:r w:rsidRPr="00ED7C2F">
        <w:rPr>
          <w:b/>
          <w:noProof/>
          <w:sz w:val="22"/>
          <w:szCs w:val="22"/>
        </w:rPr>
        <w:t>Danmark/</w:t>
      </w:r>
      <w:r w:rsidRPr="00ED7C2F">
        <w:rPr>
          <w:b/>
          <w:bCs/>
          <w:noProof/>
          <w:sz w:val="22"/>
          <w:szCs w:val="22"/>
        </w:rPr>
        <w:t>Eesti/</w:t>
      </w:r>
      <w:r w:rsidRPr="00ED7C2F">
        <w:rPr>
          <w:b/>
          <w:noProof/>
          <w:sz w:val="22"/>
          <w:szCs w:val="22"/>
        </w:rPr>
        <w:t>Ελλάδα/Hrvatska/Ísland/Κύπρος/</w:t>
      </w:r>
    </w:p>
    <w:p w14:paraId="0430EA28" w14:textId="77777777" w:rsidR="00D05C05" w:rsidRPr="00ED7C2F" w:rsidRDefault="00D05C05" w:rsidP="00D05C05">
      <w:pPr>
        <w:rPr>
          <w:b/>
          <w:noProof/>
          <w:sz w:val="22"/>
          <w:szCs w:val="22"/>
        </w:rPr>
      </w:pPr>
      <w:r w:rsidRPr="00ED7C2F">
        <w:rPr>
          <w:b/>
          <w:noProof/>
          <w:sz w:val="22"/>
          <w:szCs w:val="22"/>
        </w:rPr>
        <w:t>Latvija/Lietuva/Luxembourg/Luxemburg/Magyarország/</w:t>
      </w:r>
    </w:p>
    <w:p w14:paraId="6393B8BA" w14:textId="77777777" w:rsidR="00D05C05" w:rsidRPr="00ED7C2F" w:rsidRDefault="00D05C05" w:rsidP="00D05C05">
      <w:pPr>
        <w:rPr>
          <w:b/>
          <w:noProof/>
          <w:sz w:val="22"/>
          <w:szCs w:val="22"/>
          <w:lang w:val="sv-SE"/>
        </w:rPr>
      </w:pPr>
      <w:r w:rsidRPr="00ED7C2F">
        <w:rPr>
          <w:b/>
          <w:noProof/>
          <w:sz w:val="22"/>
          <w:szCs w:val="22"/>
          <w:lang w:val="sv-SE"/>
        </w:rPr>
        <w:t>Malta/Nederland/Norge/Österreich/Portugal/Slovenija/</w:t>
      </w:r>
    </w:p>
    <w:p w14:paraId="35229A40" w14:textId="77777777" w:rsidR="00D05C05" w:rsidRPr="00ED7C2F" w:rsidRDefault="00D05C05" w:rsidP="00D05C05">
      <w:pPr>
        <w:rPr>
          <w:b/>
          <w:noProof/>
          <w:sz w:val="22"/>
          <w:szCs w:val="22"/>
          <w:lang w:val="sv-SE"/>
        </w:rPr>
      </w:pPr>
      <w:r w:rsidRPr="00ED7C2F">
        <w:rPr>
          <w:b/>
          <w:noProof/>
          <w:sz w:val="22"/>
          <w:szCs w:val="22"/>
          <w:lang w:val="sv-SE"/>
        </w:rPr>
        <w:t>Slovenská republika/Suomi/Finland/Sverige</w:t>
      </w:r>
    </w:p>
    <w:p w14:paraId="0B846B8F" w14:textId="77777777" w:rsidR="00D05C05" w:rsidRPr="00ED7C2F" w:rsidRDefault="00D05C05" w:rsidP="00D05C05">
      <w:pPr>
        <w:numPr>
          <w:ilvl w:val="12"/>
          <w:numId w:val="0"/>
        </w:numPr>
        <w:rPr>
          <w:noProof/>
          <w:sz w:val="22"/>
          <w:szCs w:val="22"/>
          <w:lang w:val="sv-SE"/>
        </w:rPr>
      </w:pPr>
      <w:r w:rsidRPr="00ED7C2F">
        <w:rPr>
          <w:noProof/>
          <w:sz w:val="22"/>
          <w:szCs w:val="22"/>
          <w:lang w:val="sv-SE"/>
        </w:rPr>
        <w:t>Sun Pharmaceutical Industries Europe B.V.</w:t>
      </w:r>
    </w:p>
    <w:p w14:paraId="721F0C69" w14:textId="77777777" w:rsidR="00D05C05" w:rsidRPr="00ED7C2F" w:rsidRDefault="00D05C05" w:rsidP="00D05C05">
      <w:pPr>
        <w:numPr>
          <w:ilvl w:val="12"/>
          <w:numId w:val="0"/>
        </w:numPr>
        <w:rPr>
          <w:noProof/>
          <w:sz w:val="22"/>
          <w:szCs w:val="22"/>
          <w:lang w:val="sv-SE"/>
        </w:rPr>
      </w:pPr>
      <w:r w:rsidRPr="00ED7C2F">
        <w:rPr>
          <w:noProof/>
          <w:sz w:val="22"/>
          <w:szCs w:val="22"/>
          <w:lang w:val="sv-SE"/>
        </w:rPr>
        <w:t>Polarisavenue 87</w:t>
      </w:r>
    </w:p>
    <w:p w14:paraId="2C2C1294" w14:textId="77777777" w:rsidR="00D05C05" w:rsidRPr="00ED7C2F" w:rsidRDefault="00D05C05" w:rsidP="00D05C05">
      <w:pPr>
        <w:rPr>
          <w:noProof/>
          <w:sz w:val="22"/>
          <w:szCs w:val="22"/>
          <w:lang w:val="sv-SE"/>
        </w:rPr>
      </w:pPr>
      <w:r w:rsidRPr="00ED7C2F">
        <w:rPr>
          <w:noProof/>
          <w:sz w:val="22"/>
          <w:szCs w:val="22"/>
          <w:lang w:val="sv-SE"/>
        </w:rPr>
        <w:t>2132 JH Hoofddorp</w:t>
      </w:r>
    </w:p>
    <w:p w14:paraId="31D18A1D" w14:textId="77777777" w:rsidR="00D05C05" w:rsidRPr="00ED7C2F" w:rsidRDefault="00D05C05" w:rsidP="00D05C05">
      <w:pPr>
        <w:rPr>
          <w:sz w:val="22"/>
          <w:szCs w:val="22"/>
          <w:lang w:val="sv-SE"/>
        </w:rPr>
      </w:pPr>
      <w:r w:rsidRPr="00ED7C2F">
        <w:rPr>
          <w:noProof/>
          <w:sz w:val="22"/>
          <w:szCs w:val="22"/>
          <w:lang w:val="sv-SE"/>
        </w:rPr>
        <w:t>Nederland/</w:t>
      </w:r>
      <w:r w:rsidRPr="00ED7C2F">
        <w:rPr>
          <w:sz w:val="22"/>
          <w:szCs w:val="22"/>
          <w:lang w:val="sv-SE"/>
        </w:rPr>
        <w:t>Pays-Bas/</w:t>
      </w:r>
      <w:r w:rsidRPr="00ED7C2F">
        <w:rPr>
          <w:noProof/>
          <w:sz w:val="22"/>
          <w:szCs w:val="22"/>
          <w:lang w:val="sv-SE"/>
        </w:rPr>
        <w:t>Niederlande/</w:t>
      </w:r>
      <w:r w:rsidRPr="00ED7C2F">
        <w:rPr>
          <w:sz w:val="22"/>
          <w:szCs w:val="22"/>
          <w:lang w:val="bg-BG"/>
        </w:rPr>
        <w:t>Нидерландия</w:t>
      </w:r>
      <w:r w:rsidRPr="00ED7C2F">
        <w:rPr>
          <w:sz w:val="22"/>
          <w:szCs w:val="22"/>
          <w:lang w:val="sv-SE"/>
        </w:rPr>
        <w:t>/Nizozemsko/</w:t>
      </w:r>
    </w:p>
    <w:p w14:paraId="4EAC45EA" w14:textId="5CBF2491" w:rsidR="00D05C05" w:rsidRPr="00ED7C2F" w:rsidRDefault="00D05C05" w:rsidP="00D05C05">
      <w:pPr>
        <w:rPr>
          <w:noProof/>
          <w:sz w:val="22"/>
          <w:szCs w:val="22"/>
          <w:lang w:val="sv-SE"/>
        </w:rPr>
      </w:pPr>
      <w:r w:rsidRPr="00ED7C2F">
        <w:rPr>
          <w:sz w:val="22"/>
          <w:szCs w:val="22"/>
          <w:lang w:val="sv-SE"/>
        </w:rPr>
        <w:t>Nederlandene/</w:t>
      </w:r>
      <w:r w:rsidRPr="00ED7C2F">
        <w:rPr>
          <w:noProof/>
          <w:sz w:val="22"/>
          <w:szCs w:val="22"/>
        </w:rPr>
        <w:t>Ολλανδία</w:t>
      </w:r>
      <w:r w:rsidRPr="00ED7C2F">
        <w:rPr>
          <w:noProof/>
          <w:sz w:val="22"/>
          <w:szCs w:val="22"/>
          <w:lang w:val="sv-SE"/>
        </w:rPr>
        <w:t>/Nizozemska/Holland/</w:t>
      </w:r>
    </w:p>
    <w:p w14:paraId="4202F182" w14:textId="77777777" w:rsidR="00D05C05" w:rsidRPr="00ED7C2F" w:rsidRDefault="00D05C05" w:rsidP="00D05C05">
      <w:pPr>
        <w:rPr>
          <w:sz w:val="22"/>
          <w:szCs w:val="22"/>
          <w:lang w:val="sv-SE"/>
        </w:rPr>
      </w:pPr>
      <w:r w:rsidRPr="00ED7C2F">
        <w:rPr>
          <w:noProof/>
          <w:sz w:val="22"/>
          <w:szCs w:val="22"/>
        </w:rPr>
        <w:t>Ολλανδία</w:t>
      </w:r>
      <w:r w:rsidRPr="00ED7C2F">
        <w:rPr>
          <w:noProof/>
          <w:sz w:val="22"/>
          <w:szCs w:val="22"/>
          <w:lang w:val="sv-SE"/>
        </w:rPr>
        <w:t>/</w:t>
      </w:r>
      <w:r w:rsidRPr="00ED7C2F">
        <w:rPr>
          <w:sz w:val="22"/>
          <w:szCs w:val="22"/>
          <w:lang w:val="sv-SE"/>
        </w:rPr>
        <w:t>Nīderlande/Nyderlandai/Pays-Bas/Niederlande/</w:t>
      </w:r>
    </w:p>
    <w:p w14:paraId="05F7D75B" w14:textId="77777777" w:rsidR="00D05C05" w:rsidRPr="00ED7C2F" w:rsidRDefault="00D05C05" w:rsidP="00D05C05">
      <w:pPr>
        <w:rPr>
          <w:sz w:val="22"/>
          <w:szCs w:val="22"/>
          <w:lang w:val="sv-SE"/>
        </w:rPr>
      </w:pPr>
      <w:r w:rsidRPr="00ED7C2F">
        <w:rPr>
          <w:sz w:val="22"/>
          <w:szCs w:val="22"/>
          <w:lang w:val="sv-SE"/>
        </w:rPr>
        <w:t>Hollandia/L-Olanda/Nederland/Niederlande/Países Baixos/</w:t>
      </w:r>
    </w:p>
    <w:p w14:paraId="100D6A58" w14:textId="77777777" w:rsidR="00D05C05" w:rsidRPr="00ED7C2F" w:rsidRDefault="00D05C05" w:rsidP="00D05C05">
      <w:pPr>
        <w:rPr>
          <w:sz w:val="22"/>
          <w:szCs w:val="22"/>
          <w:lang w:val="sv-SE"/>
        </w:rPr>
      </w:pPr>
      <w:r w:rsidRPr="00ED7C2F">
        <w:rPr>
          <w:sz w:val="22"/>
          <w:szCs w:val="22"/>
          <w:lang w:val="sv-SE"/>
        </w:rPr>
        <w:t>Nizozemska/Holandsko/Alankomaat/Nederländerna</w:t>
      </w:r>
    </w:p>
    <w:p w14:paraId="6DB572DB" w14:textId="77777777" w:rsidR="00D05C05" w:rsidRPr="00ED7C2F" w:rsidRDefault="00D05C05" w:rsidP="00D05C05">
      <w:pPr>
        <w:rPr>
          <w:sz w:val="22"/>
          <w:szCs w:val="22"/>
          <w:lang w:val="sv-SE"/>
        </w:rPr>
      </w:pPr>
      <w:r w:rsidRPr="00ED7C2F">
        <w:rPr>
          <w:noProof/>
          <w:sz w:val="22"/>
          <w:szCs w:val="22"/>
          <w:lang w:val="sv-SE"/>
        </w:rPr>
        <w:t>Tel./</w:t>
      </w:r>
      <w:proofErr w:type="spellStart"/>
      <w:r w:rsidRPr="00ED7C2F">
        <w:rPr>
          <w:sz w:val="22"/>
          <w:szCs w:val="22"/>
        </w:rPr>
        <w:t>тел</w:t>
      </w:r>
      <w:proofErr w:type="spellEnd"/>
      <w:r w:rsidRPr="00ED7C2F">
        <w:rPr>
          <w:sz w:val="22"/>
          <w:szCs w:val="22"/>
          <w:lang w:val="sv-SE"/>
        </w:rPr>
        <w:t>./tlf./</w:t>
      </w:r>
      <w:r w:rsidRPr="00ED7C2F">
        <w:rPr>
          <w:noProof/>
          <w:sz w:val="22"/>
          <w:szCs w:val="22"/>
        </w:rPr>
        <w:t>τηλ</w:t>
      </w:r>
      <w:r w:rsidRPr="00ED7C2F">
        <w:rPr>
          <w:noProof/>
          <w:sz w:val="22"/>
          <w:szCs w:val="22"/>
          <w:lang w:val="sv-SE"/>
        </w:rPr>
        <w:t>./</w:t>
      </w:r>
      <w:r w:rsidRPr="00ED7C2F">
        <w:rPr>
          <w:sz w:val="22"/>
          <w:szCs w:val="22"/>
          <w:lang w:val="sv-SE"/>
        </w:rPr>
        <w:t>Sími/</w:t>
      </w:r>
      <w:r w:rsidRPr="00ED7C2F">
        <w:rPr>
          <w:noProof/>
          <w:sz w:val="22"/>
          <w:szCs w:val="22"/>
        </w:rPr>
        <w:t>τηλ</w:t>
      </w:r>
      <w:r w:rsidRPr="00ED7C2F">
        <w:rPr>
          <w:noProof/>
          <w:sz w:val="22"/>
          <w:szCs w:val="22"/>
          <w:lang w:val="sv-SE"/>
        </w:rPr>
        <w:t>./</w:t>
      </w:r>
      <w:r w:rsidRPr="00ED7C2F">
        <w:rPr>
          <w:sz w:val="22"/>
          <w:szCs w:val="22"/>
          <w:lang w:val="sv-SE"/>
        </w:rPr>
        <w:t>Tlf./Puh./</w:t>
      </w:r>
    </w:p>
    <w:p w14:paraId="650420EF" w14:textId="77777777" w:rsidR="00D05C05" w:rsidRPr="00ED7C2F" w:rsidRDefault="00D05C05" w:rsidP="00D05C05">
      <w:pPr>
        <w:tabs>
          <w:tab w:val="left" w:pos="3152"/>
        </w:tabs>
        <w:rPr>
          <w:noProof/>
          <w:sz w:val="22"/>
          <w:szCs w:val="22"/>
          <w:lang w:val="de-DE"/>
        </w:rPr>
      </w:pPr>
      <w:r w:rsidRPr="00ED7C2F">
        <w:rPr>
          <w:noProof/>
          <w:sz w:val="22"/>
          <w:szCs w:val="22"/>
          <w:lang w:val="de-DE"/>
        </w:rPr>
        <w:t>+31 (0)23 568 5501</w:t>
      </w:r>
    </w:p>
    <w:p w14:paraId="6A7067E2" w14:textId="77777777" w:rsidR="00D05C05" w:rsidRPr="00ED7C2F" w:rsidRDefault="00D05C05" w:rsidP="00D05C05">
      <w:pPr>
        <w:rPr>
          <w:sz w:val="22"/>
          <w:szCs w:val="22"/>
          <w:lang w:val="de-DE"/>
        </w:rPr>
      </w:pPr>
    </w:p>
    <w:p w14:paraId="754E3AFD" w14:textId="77777777" w:rsidR="00D05C05" w:rsidRPr="00ED7C2F" w:rsidRDefault="00D05C05" w:rsidP="00D05C05">
      <w:pPr>
        <w:keepNext/>
        <w:keepLines/>
        <w:rPr>
          <w:sz w:val="22"/>
          <w:szCs w:val="22"/>
          <w:lang w:val="de-DE"/>
        </w:rPr>
      </w:pPr>
      <w:r w:rsidRPr="00ED7C2F">
        <w:rPr>
          <w:b/>
          <w:sz w:val="22"/>
          <w:szCs w:val="22"/>
          <w:lang w:val="de-DE"/>
        </w:rPr>
        <w:t>Deutschland</w:t>
      </w:r>
    </w:p>
    <w:p w14:paraId="5539FFB5" w14:textId="77777777" w:rsidR="00D05C05" w:rsidRPr="00ED7C2F" w:rsidRDefault="00D05C05" w:rsidP="00D05C05">
      <w:pPr>
        <w:keepNext/>
        <w:keepLines/>
        <w:rPr>
          <w:sz w:val="22"/>
          <w:szCs w:val="22"/>
          <w:lang w:val="de-DE"/>
        </w:rPr>
      </w:pPr>
      <w:r w:rsidRPr="00ED7C2F">
        <w:rPr>
          <w:sz w:val="22"/>
          <w:szCs w:val="22"/>
          <w:lang w:val="de-DE"/>
        </w:rPr>
        <w:t>Sun Pharmaceuticals Germany GmbH</w:t>
      </w:r>
    </w:p>
    <w:p w14:paraId="2D13B013" w14:textId="77777777" w:rsidR="00D05C05" w:rsidRPr="00ED7C2F" w:rsidRDefault="00D05C05" w:rsidP="00D05C05">
      <w:pPr>
        <w:rPr>
          <w:sz w:val="22"/>
          <w:szCs w:val="22"/>
          <w:lang w:val="de-DE"/>
        </w:rPr>
      </w:pPr>
      <w:r w:rsidRPr="00ED7C2F">
        <w:rPr>
          <w:sz w:val="22"/>
          <w:szCs w:val="22"/>
          <w:lang w:val="de-DE"/>
        </w:rPr>
        <w:t>Hemmelrather Weg 201</w:t>
      </w:r>
    </w:p>
    <w:p w14:paraId="6756A344" w14:textId="77777777" w:rsidR="00D05C05" w:rsidRPr="00ED7C2F" w:rsidRDefault="00D05C05" w:rsidP="00D05C05">
      <w:pPr>
        <w:rPr>
          <w:sz w:val="22"/>
          <w:szCs w:val="22"/>
        </w:rPr>
      </w:pPr>
      <w:r w:rsidRPr="00ED7C2F">
        <w:rPr>
          <w:sz w:val="22"/>
          <w:szCs w:val="22"/>
        </w:rPr>
        <w:t>51377 Leverkusen</w:t>
      </w:r>
    </w:p>
    <w:p w14:paraId="01C243CB" w14:textId="77777777" w:rsidR="00D05C05" w:rsidRPr="00ED7C2F" w:rsidRDefault="00D05C05" w:rsidP="00D05C05">
      <w:pPr>
        <w:tabs>
          <w:tab w:val="left" w:pos="1575"/>
        </w:tabs>
        <w:rPr>
          <w:sz w:val="22"/>
          <w:szCs w:val="22"/>
        </w:rPr>
      </w:pPr>
      <w:proofErr w:type="spellStart"/>
      <w:r w:rsidRPr="00ED7C2F">
        <w:rPr>
          <w:sz w:val="22"/>
          <w:szCs w:val="22"/>
        </w:rPr>
        <w:t>Deutschland</w:t>
      </w:r>
      <w:proofErr w:type="spellEnd"/>
      <w:r w:rsidRPr="00ED7C2F">
        <w:rPr>
          <w:sz w:val="22"/>
          <w:szCs w:val="22"/>
        </w:rPr>
        <w:tab/>
      </w:r>
    </w:p>
    <w:p w14:paraId="14AF7F4B" w14:textId="77777777" w:rsidR="00D05C05" w:rsidRPr="00ED7C2F" w:rsidRDefault="00D05C05" w:rsidP="00D05C05">
      <w:pPr>
        <w:rPr>
          <w:sz w:val="22"/>
          <w:szCs w:val="22"/>
        </w:rPr>
      </w:pPr>
      <w:r w:rsidRPr="00ED7C2F">
        <w:rPr>
          <w:sz w:val="22"/>
          <w:szCs w:val="22"/>
        </w:rPr>
        <w:t>tel. +49 214 403 990</w:t>
      </w:r>
    </w:p>
    <w:p w14:paraId="2BB30ABC" w14:textId="77777777" w:rsidR="00D05C05" w:rsidRPr="00ED7C2F" w:rsidRDefault="00D05C05" w:rsidP="00D05C05">
      <w:pPr>
        <w:tabs>
          <w:tab w:val="left" w:pos="567"/>
        </w:tabs>
        <w:suppressAutoHyphens/>
        <w:rPr>
          <w:sz w:val="22"/>
          <w:szCs w:val="22"/>
          <w:lang w:eastAsia="ar-SA"/>
        </w:rPr>
      </w:pPr>
    </w:p>
    <w:p w14:paraId="0EAF9867" w14:textId="77777777" w:rsidR="00D05C05" w:rsidRPr="00ED7C2F" w:rsidRDefault="00D05C05" w:rsidP="00D05C05">
      <w:pPr>
        <w:rPr>
          <w:b/>
          <w:sz w:val="22"/>
          <w:szCs w:val="22"/>
        </w:rPr>
      </w:pPr>
      <w:r w:rsidRPr="00ED7C2F">
        <w:rPr>
          <w:b/>
          <w:sz w:val="22"/>
          <w:szCs w:val="22"/>
        </w:rPr>
        <w:t>España</w:t>
      </w:r>
    </w:p>
    <w:p w14:paraId="5C48547E" w14:textId="77777777" w:rsidR="00ED7C2F" w:rsidRPr="00ED7C2F" w:rsidRDefault="00ED7C2F" w:rsidP="00ED7C2F">
      <w:pPr>
        <w:rPr>
          <w:ins w:id="4" w:author="Author"/>
          <w:sz w:val="22"/>
          <w:szCs w:val="22"/>
        </w:rPr>
      </w:pPr>
      <w:ins w:id="5" w:author="Author">
        <w:r w:rsidRPr="00ED7C2F">
          <w:rPr>
            <w:sz w:val="22"/>
            <w:szCs w:val="22"/>
          </w:rPr>
          <w:t>LABORATORIOS RUBIÓ, S.A.</w:t>
        </w:r>
      </w:ins>
    </w:p>
    <w:p w14:paraId="5DDE58F0" w14:textId="77777777" w:rsidR="00ED7C2F" w:rsidRPr="00ED7C2F" w:rsidRDefault="00ED7C2F" w:rsidP="00ED7C2F">
      <w:pPr>
        <w:rPr>
          <w:ins w:id="6" w:author="Author"/>
          <w:sz w:val="22"/>
          <w:szCs w:val="22"/>
        </w:rPr>
      </w:pPr>
      <w:ins w:id="7" w:author="Author">
        <w:r w:rsidRPr="00ED7C2F">
          <w:rPr>
            <w:sz w:val="22"/>
            <w:szCs w:val="22"/>
          </w:rPr>
          <w:t xml:space="preserve">Industria, 29. Pol. </w:t>
        </w:r>
        <w:proofErr w:type="spellStart"/>
        <w:r w:rsidRPr="00ED7C2F">
          <w:rPr>
            <w:sz w:val="22"/>
            <w:szCs w:val="22"/>
          </w:rPr>
          <w:t>Ind</w:t>
        </w:r>
        <w:proofErr w:type="spellEnd"/>
        <w:r w:rsidRPr="00ED7C2F">
          <w:rPr>
            <w:sz w:val="22"/>
            <w:szCs w:val="22"/>
          </w:rPr>
          <w:t>. Comte de Sert</w:t>
        </w:r>
      </w:ins>
    </w:p>
    <w:p w14:paraId="3606CFFF" w14:textId="77777777" w:rsidR="00ED7C2F" w:rsidRPr="00ED7C2F" w:rsidRDefault="00ED7C2F" w:rsidP="00ED7C2F">
      <w:pPr>
        <w:rPr>
          <w:ins w:id="8" w:author="Author"/>
          <w:sz w:val="22"/>
          <w:szCs w:val="22"/>
        </w:rPr>
      </w:pPr>
      <w:ins w:id="9" w:author="Author">
        <w:r w:rsidRPr="00ED7C2F">
          <w:rPr>
            <w:sz w:val="22"/>
            <w:szCs w:val="22"/>
          </w:rPr>
          <w:t>08755 Castellbisbal - Barcelona – España</w:t>
        </w:r>
      </w:ins>
    </w:p>
    <w:p w14:paraId="0176738D" w14:textId="72600633" w:rsidR="00D05C05" w:rsidDel="00ED7C2F" w:rsidRDefault="00ED7C2F" w:rsidP="00D05C05">
      <w:pPr>
        <w:rPr>
          <w:del w:id="10" w:author="Author"/>
          <w:sz w:val="22"/>
          <w:szCs w:val="22"/>
        </w:rPr>
      </w:pPr>
      <w:ins w:id="11" w:author="Author">
        <w:r w:rsidRPr="00ED7C2F">
          <w:rPr>
            <w:sz w:val="22"/>
            <w:szCs w:val="22"/>
          </w:rPr>
          <w:t>tel. +34 937 722 509</w:t>
        </w:r>
      </w:ins>
      <w:del w:id="12" w:author="Author">
        <w:r w:rsidR="00D05C05" w:rsidRPr="00ED7C2F" w:rsidDel="00ED7C2F">
          <w:rPr>
            <w:sz w:val="22"/>
            <w:szCs w:val="22"/>
          </w:rPr>
          <w:delText xml:space="preserve">Sun Pharma Laboratorios, S.L. </w:delText>
        </w:r>
      </w:del>
    </w:p>
    <w:p w14:paraId="68DAC398" w14:textId="77777777" w:rsidR="00ED7C2F" w:rsidRPr="00ED7C2F" w:rsidRDefault="00ED7C2F" w:rsidP="00ED7C2F">
      <w:pPr>
        <w:rPr>
          <w:ins w:id="13" w:author="Author"/>
          <w:sz w:val="22"/>
          <w:szCs w:val="22"/>
        </w:rPr>
      </w:pPr>
    </w:p>
    <w:p w14:paraId="383B8A51" w14:textId="71433314" w:rsidR="00D05C05" w:rsidRPr="00ED7C2F" w:rsidDel="00ED7C2F" w:rsidRDefault="00D05C05" w:rsidP="00D05C05">
      <w:pPr>
        <w:rPr>
          <w:del w:id="14" w:author="Author"/>
          <w:sz w:val="22"/>
          <w:szCs w:val="22"/>
        </w:rPr>
      </w:pPr>
      <w:del w:id="15" w:author="Author">
        <w:r w:rsidRPr="00ED7C2F" w:rsidDel="00ED7C2F">
          <w:rPr>
            <w:sz w:val="22"/>
            <w:szCs w:val="22"/>
          </w:rPr>
          <w:delText>Rambla de Catalunya 53-55</w:delText>
        </w:r>
      </w:del>
    </w:p>
    <w:p w14:paraId="5F3611B4" w14:textId="65A2ED3D" w:rsidR="00D05C05" w:rsidRPr="00ED7C2F" w:rsidDel="00ED7C2F" w:rsidRDefault="00D05C05" w:rsidP="00D05C05">
      <w:pPr>
        <w:rPr>
          <w:del w:id="16" w:author="Author"/>
          <w:sz w:val="22"/>
          <w:szCs w:val="22"/>
        </w:rPr>
      </w:pPr>
      <w:del w:id="17" w:author="Author">
        <w:r w:rsidRPr="00ED7C2F" w:rsidDel="00ED7C2F">
          <w:rPr>
            <w:sz w:val="22"/>
            <w:szCs w:val="22"/>
          </w:rPr>
          <w:delText>08007 Barcelona</w:delText>
        </w:r>
      </w:del>
    </w:p>
    <w:p w14:paraId="3852083F" w14:textId="23ED0FC3" w:rsidR="00D05C05" w:rsidRPr="00ED7C2F" w:rsidDel="00ED7C2F" w:rsidRDefault="00D05C05" w:rsidP="00D05C05">
      <w:pPr>
        <w:rPr>
          <w:del w:id="18" w:author="Author"/>
          <w:sz w:val="22"/>
          <w:szCs w:val="22"/>
        </w:rPr>
      </w:pPr>
      <w:del w:id="19" w:author="Author">
        <w:r w:rsidRPr="00ED7C2F" w:rsidDel="00ED7C2F">
          <w:rPr>
            <w:sz w:val="22"/>
            <w:szCs w:val="22"/>
          </w:rPr>
          <w:delText>España</w:delText>
        </w:r>
      </w:del>
    </w:p>
    <w:p w14:paraId="3E133B45" w14:textId="1ED13E1B" w:rsidR="00D05C05" w:rsidRPr="00ED7C2F" w:rsidDel="00ED7C2F" w:rsidRDefault="00D05C05" w:rsidP="00D05C05">
      <w:pPr>
        <w:rPr>
          <w:del w:id="20" w:author="Author"/>
          <w:sz w:val="22"/>
          <w:szCs w:val="22"/>
        </w:rPr>
      </w:pPr>
      <w:del w:id="21" w:author="Author">
        <w:r w:rsidRPr="00ED7C2F" w:rsidDel="00ED7C2F">
          <w:rPr>
            <w:sz w:val="22"/>
            <w:szCs w:val="22"/>
          </w:rPr>
          <w:delText>tel. +34 93 342 78 90</w:delText>
        </w:r>
      </w:del>
    </w:p>
    <w:p w14:paraId="02D58C81" w14:textId="77777777" w:rsidR="00D05C05" w:rsidRPr="00ED7C2F" w:rsidRDefault="00D05C05" w:rsidP="00D05C05">
      <w:pPr>
        <w:rPr>
          <w:b/>
          <w:sz w:val="22"/>
          <w:szCs w:val="22"/>
        </w:rPr>
      </w:pPr>
    </w:p>
    <w:p w14:paraId="557BDA73" w14:textId="77777777" w:rsidR="00D05C05" w:rsidRPr="00ED7C2F" w:rsidRDefault="00D05C05" w:rsidP="00D05C05">
      <w:pPr>
        <w:rPr>
          <w:b/>
          <w:sz w:val="22"/>
          <w:szCs w:val="22"/>
        </w:rPr>
      </w:pPr>
      <w:r w:rsidRPr="00ED7C2F">
        <w:rPr>
          <w:b/>
          <w:sz w:val="22"/>
          <w:szCs w:val="22"/>
        </w:rPr>
        <w:t>France</w:t>
      </w:r>
    </w:p>
    <w:p w14:paraId="0B78405B" w14:textId="77777777" w:rsidR="00D05C05" w:rsidRPr="00ED7C2F" w:rsidRDefault="00D05C05" w:rsidP="00D05C05">
      <w:pPr>
        <w:rPr>
          <w:sz w:val="22"/>
          <w:szCs w:val="22"/>
        </w:rPr>
      </w:pPr>
      <w:proofErr w:type="spellStart"/>
      <w:r w:rsidRPr="00ED7C2F">
        <w:rPr>
          <w:sz w:val="22"/>
          <w:szCs w:val="22"/>
        </w:rPr>
        <w:t>Sun</w:t>
      </w:r>
      <w:proofErr w:type="spellEnd"/>
      <w:r w:rsidRPr="00ED7C2F">
        <w:rPr>
          <w:sz w:val="22"/>
          <w:szCs w:val="22"/>
        </w:rPr>
        <w:t xml:space="preserve"> </w:t>
      </w:r>
      <w:proofErr w:type="spellStart"/>
      <w:r w:rsidRPr="00ED7C2F">
        <w:rPr>
          <w:sz w:val="22"/>
          <w:szCs w:val="22"/>
        </w:rPr>
        <w:t>Pharma</w:t>
      </w:r>
      <w:proofErr w:type="spellEnd"/>
      <w:r w:rsidRPr="00ED7C2F">
        <w:rPr>
          <w:sz w:val="22"/>
          <w:szCs w:val="22"/>
        </w:rPr>
        <w:t xml:space="preserve"> France</w:t>
      </w:r>
    </w:p>
    <w:p w14:paraId="10B6D9DA" w14:textId="77777777" w:rsidR="00440C46" w:rsidRPr="00ED7C2F" w:rsidRDefault="00440C46" w:rsidP="00440C46">
      <w:pPr>
        <w:rPr>
          <w:sz w:val="22"/>
          <w:szCs w:val="22"/>
          <w:lang w:val="fr-FR"/>
        </w:rPr>
      </w:pPr>
      <w:r w:rsidRPr="00ED7C2F">
        <w:rPr>
          <w:sz w:val="22"/>
          <w:szCs w:val="22"/>
          <w:lang w:val="fr-FR"/>
        </w:rPr>
        <w:t>31 Rue des Poissonniers</w:t>
      </w:r>
    </w:p>
    <w:p w14:paraId="63CAC6D4" w14:textId="75A4894B" w:rsidR="00D05C05" w:rsidRPr="00ED7C2F" w:rsidRDefault="00440C46" w:rsidP="00D05C05">
      <w:pPr>
        <w:rPr>
          <w:sz w:val="22"/>
          <w:szCs w:val="22"/>
          <w:lang w:val="fr-FR"/>
        </w:rPr>
      </w:pPr>
      <w:r w:rsidRPr="00ED7C2F">
        <w:rPr>
          <w:sz w:val="22"/>
          <w:szCs w:val="22"/>
          <w:lang w:val="fr-FR"/>
        </w:rPr>
        <w:t xml:space="preserve">92200 Neuilly-Sur-Seine </w:t>
      </w:r>
    </w:p>
    <w:p w14:paraId="753AAA73" w14:textId="77777777" w:rsidR="001C1E31" w:rsidRPr="00ED7C2F" w:rsidRDefault="00D05C05" w:rsidP="00D05C05">
      <w:pPr>
        <w:rPr>
          <w:sz w:val="22"/>
          <w:szCs w:val="22"/>
          <w:lang w:val="fr-FR"/>
        </w:rPr>
      </w:pPr>
      <w:r w:rsidRPr="00ED7C2F">
        <w:rPr>
          <w:sz w:val="22"/>
          <w:szCs w:val="22"/>
          <w:lang w:val="fr-FR"/>
        </w:rPr>
        <w:t>France</w:t>
      </w:r>
    </w:p>
    <w:p w14:paraId="66A9EC25" w14:textId="77777777" w:rsidR="00D05C05" w:rsidRPr="00ED7C2F" w:rsidRDefault="00D05C05" w:rsidP="00D05C05">
      <w:pPr>
        <w:rPr>
          <w:sz w:val="22"/>
          <w:szCs w:val="22"/>
          <w:lang w:val="it-IT"/>
        </w:rPr>
      </w:pPr>
      <w:r w:rsidRPr="00ED7C2F">
        <w:rPr>
          <w:sz w:val="22"/>
          <w:szCs w:val="22"/>
          <w:lang w:val="it-IT"/>
        </w:rPr>
        <w:t>tel. +33 1 41 44 44 50</w:t>
      </w:r>
    </w:p>
    <w:p w14:paraId="1FD536B6" w14:textId="77777777" w:rsidR="00D05C05" w:rsidRPr="00ED7C2F" w:rsidRDefault="00D05C05" w:rsidP="00D05C05">
      <w:pPr>
        <w:rPr>
          <w:sz w:val="22"/>
          <w:szCs w:val="22"/>
          <w:lang w:val="it-IT"/>
        </w:rPr>
      </w:pPr>
    </w:p>
    <w:p w14:paraId="51A0B3D7" w14:textId="77777777" w:rsidR="00D05C05" w:rsidRPr="00ED7C2F" w:rsidRDefault="00D05C05" w:rsidP="00D05C05">
      <w:pPr>
        <w:rPr>
          <w:sz w:val="22"/>
          <w:szCs w:val="22"/>
          <w:lang w:val="it-IT"/>
        </w:rPr>
      </w:pPr>
      <w:r w:rsidRPr="00ED7C2F">
        <w:rPr>
          <w:b/>
          <w:sz w:val="22"/>
          <w:szCs w:val="22"/>
          <w:lang w:val="it-IT"/>
        </w:rPr>
        <w:t>Italia</w:t>
      </w:r>
    </w:p>
    <w:p w14:paraId="1D202323" w14:textId="77777777" w:rsidR="00D05C05" w:rsidRPr="00ED7C2F" w:rsidRDefault="00D05C05" w:rsidP="00D05C05">
      <w:pPr>
        <w:rPr>
          <w:sz w:val="22"/>
          <w:szCs w:val="22"/>
          <w:lang w:val="it-IT"/>
        </w:rPr>
      </w:pPr>
      <w:r w:rsidRPr="00ED7C2F">
        <w:rPr>
          <w:sz w:val="22"/>
          <w:szCs w:val="22"/>
          <w:lang w:val="it-IT"/>
        </w:rPr>
        <w:t>Sun Pharma Italia Srl</w:t>
      </w:r>
    </w:p>
    <w:p w14:paraId="74F0BBFF" w14:textId="77777777" w:rsidR="00D05C05" w:rsidRPr="00ED7C2F" w:rsidRDefault="00D05C05" w:rsidP="00D05C05">
      <w:pPr>
        <w:rPr>
          <w:sz w:val="22"/>
          <w:szCs w:val="22"/>
          <w:lang w:val="it-IT"/>
        </w:rPr>
      </w:pPr>
      <w:r w:rsidRPr="00ED7C2F">
        <w:rPr>
          <w:sz w:val="22"/>
          <w:szCs w:val="22"/>
          <w:lang w:val="it-IT"/>
        </w:rPr>
        <w:lastRenderedPageBreak/>
        <w:t>Viale Giulio Richard, 3</w:t>
      </w:r>
    </w:p>
    <w:p w14:paraId="52690E03" w14:textId="77777777" w:rsidR="00D05C05" w:rsidRPr="00ED7C2F" w:rsidRDefault="00D05C05" w:rsidP="00D05C05">
      <w:pPr>
        <w:rPr>
          <w:sz w:val="22"/>
          <w:szCs w:val="22"/>
          <w:lang w:val="it-IT"/>
        </w:rPr>
      </w:pPr>
      <w:r w:rsidRPr="00ED7C2F">
        <w:rPr>
          <w:sz w:val="22"/>
          <w:szCs w:val="22"/>
          <w:lang w:val="it-IT"/>
        </w:rPr>
        <w:t>20143 Milano</w:t>
      </w:r>
    </w:p>
    <w:p w14:paraId="234B63FB" w14:textId="77777777" w:rsidR="00D05C05" w:rsidRPr="00ED7C2F" w:rsidRDefault="00D05C05" w:rsidP="00D05C05">
      <w:pPr>
        <w:rPr>
          <w:sz w:val="22"/>
          <w:szCs w:val="22"/>
          <w:lang w:val="it-IT"/>
        </w:rPr>
      </w:pPr>
      <w:r w:rsidRPr="00ED7C2F">
        <w:rPr>
          <w:sz w:val="22"/>
          <w:szCs w:val="22"/>
          <w:lang w:val="it-IT"/>
        </w:rPr>
        <w:t>Italia</w:t>
      </w:r>
    </w:p>
    <w:p w14:paraId="1E475453" w14:textId="77777777" w:rsidR="00D05C05" w:rsidRPr="00ED7C2F" w:rsidRDefault="00D05C05" w:rsidP="00D05C05">
      <w:pPr>
        <w:rPr>
          <w:sz w:val="22"/>
          <w:szCs w:val="22"/>
          <w:lang w:val="it-IT"/>
        </w:rPr>
      </w:pPr>
      <w:r w:rsidRPr="00ED7C2F">
        <w:rPr>
          <w:sz w:val="22"/>
          <w:szCs w:val="22"/>
          <w:lang w:val="it-IT"/>
        </w:rPr>
        <w:t>tel. +39 02 33 49 07 93</w:t>
      </w:r>
    </w:p>
    <w:p w14:paraId="317ABA36" w14:textId="77777777" w:rsidR="00D05C05" w:rsidRPr="00ED7C2F" w:rsidRDefault="00D05C05" w:rsidP="00D05C05">
      <w:pPr>
        <w:rPr>
          <w:b/>
          <w:bCs/>
          <w:sz w:val="22"/>
          <w:szCs w:val="22"/>
          <w:lang w:val="pl-PL"/>
        </w:rPr>
      </w:pPr>
    </w:p>
    <w:p w14:paraId="4C467D16" w14:textId="77777777" w:rsidR="00D05C05" w:rsidRPr="00ED7C2F" w:rsidRDefault="00D05C05" w:rsidP="00D05C05">
      <w:pPr>
        <w:rPr>
          <w:b/>
          <w:bCs/>
          <w:sz w:val="22"/>
          <w:szCs w:val="22"/>
          <w:lang w:val="pl-PL"/>
        </w:rPr>
      </w:pPr>
      <w:r w:rsidRPr="00ED7C2F">
        <w:rPr>
          <w:b/>
          <w:bCs/>
          <w:sz w:val="22"/>
          <w:szCs w:val="22"/>
          <w:lang w:val="pl-PL"/>
        </w:rPr>
        <w:t>Polska</w:t>
      </w:r>
    </w:p>
    <w:p w14:paraId="47399C2B" w14:textId="77777777" w:rsidR="00D05C05" w:rsidRPr="00ED7C2F" w:rsidRDefault="00D05C05" w:rsidP="00D05C05">
      <w:pPr>
        <w:rPr>
          <w:bCs/>
          <w:sz w:val="22"/>
          <w:szCs w:val="22"/>
          <w:lang w:val="pl-PL"/>
        </w:rPr>
      </w:pPr>
      <w:r w:rsidRPr="00ED7C2F">
        <w:rPr>
          <w:bCs/>
          <w:sz w:val="22"/>
          <w:szCs w:val="22"/>
          <w:lang w:val="pl-PL"/>
        </w:rPr>
        <w:t>Ranbaxy (Poland) Sp. Z. o. o.</w:t>
      </w:r>
    </w:p>
    <w:p w14:paraId="78ED10A4" w14:textId="77777777" w:rsidR="00440C46" w:rsidRPr="00ED7C2F" w:rsidRDefault="00440C46" w:rsidP="00440C46">
      <w:pPr>
        <w:rPr>
          <w:bCs/>
          <w:color w:val="000000"/>
          <w:sz w:val="22"/>
          <w:szCs w:val="22"/>
          <w:lang w:val="pl-PL"/>
        </w:rPr>
      </w:pPr>
      <w:r w:rsidRPr="00ED7C2F">
        <w:rPr>
          <w:bCs/>
          <w:color w:val="000000"/>
          <w:sz w:val="22"/>
          <w:szCs w:val="22"/>
          <w:lang w:val="pl-PL"/>
        </w:rPr>
        <w:t>ul. Idzikowskiego 16</w:t>
      </w:r>
    </w:p>
    <w:p w14:paraId="363BEC12" w14:textId="7A15E7AB" w:rsidR="00440C46" w:rsidRPr="00ED7C2F" w:rsidRDefault="00440C46" w:rsidP="00440C46">
      <w:pPr>
        <w:rPr>
          <w:bCs/>
          <w:color w:val="000000"/>
          <w:sz w:val="22"/>
          <w:szCs w:val="22"/>
          <w:lang w:val="pl-PL"/>
        </w:rPr>
      </w:pPr>
      <w:r w:rsidRPr="00ED7C2F">
        <w:rPr>
          <w:bCs/>
          <w:color w:val="000000"/>
          <w:sz w:val="22"/>
          <w:szCs w:val="22"/>
          <w:lang w:val="pl-PL"/>
        </w:rPr>
        <w:t xml:space="preserve">00-710 Warszawa  </w:t>
      </w:r>
    </w:p>
    <w:p w14:paraId="328231DB" w14:textId="77777777" w:rsidR="00D05C05" w:rsidRPr="00ED7C2F" w:rsidRDefault="00D05C05" w:rsidP="00D05C05">
      <w:pPr>
        <w:rPr>
          <w:bCs/>
          <w:color w:val="000000"/>
          <w:sz w:val="22"/>
          <w:szCs w:val="22"/>
          <w:lang w:val="pl-PL"/>
        </w:rPr>
      </w:pPr>
      <w:r w:rsidRPr="00ED7C2F">
        <w:rPr>
          <w:bCs/>
          <w:color w:val="000000"/>
          <w:sz w:val="22"/>
          <w:szCs w:val="22"/>
          <w:lang w:val="pl-PL"/>
        </w:rPr>
        <w:t>Polska</w:t>
      </w:r>
    </w:p>
    <w:p w14:paraId="47BF5D46" w14:textId="77777777" w:rsidR="00D05C05" w:rsidRPr="00ED7C2F" w:rsidRDefault="00D05C05" w:rsidP="00D05C05">
      <w:pPr>
        <w:rPr>
          <w:bCs/>
          <w:color w:val="000000"/>
          <w:sz w:val="22"/>
          <w:szCs w:val="22"/>
          <w:lang w:val="pl-PL"/>
        </w:rPr>
      </w:pPr>
      <w:r w:rsidRPr="00ED7C2F">
        <w:rPr>
          <w:bCs/>
          <w:color w:val="000000"/>
          <w:sz w:val="22"/>
          <w:szCs w:val="22"/>
          <w:lang w:val="pl-PL"/>
        </w:rPr>
        <w:t>tel. +48 22 642 07 75</w:t>
      </w:r>
    </w:p>
    <w:p w14:paraId="136A218C" w14:textId="77777777" w:rsidR="00D05C05" w:rsidRPr="00ED7C2F" w:rsidRDefault="00D05C05" w:rsidP="00D05C05">
      <w:pPr>
        <w:rPr>
          <w:bCs/>
          <w:sz w:val="22"/>
          <w:szCs w:val="22"/>
          <w:lang w:val="pl-PL"/>
        </w:rPr>
      </w:pPr>
    </w:p>
    <w:p w14:paraId="6995A68A" w14:textId="77777777" w:rsidR="00D05C05" w:rsidRPr="00ED7C2F" w:rsidRDefault="00D05C05" w:rsidP="00D05C05">
      <w:pPr>
        <w:rPr>
          <w:b/>
          <w:bCs/>
          <w:color w:val="000000"/>
          <w:sz w:val="22"/>
          <w:szCs w:val="22"/>
          <w:lang w:val="pl-PL"/>
        </w:rPr>
      </w:pPr>
      <w:r w:rsidRPr="00ED7C2F">
        <w:rPr>
          <w:b/>
          <w:bCs/>
          <w:color w:val="000000"/>
          <w:sz w:val="22"/>
          <w:szCs w:val="22"/>
          <w:lang w:val="pl-PL"/>
        </w:rPr>
        <w:t>România</w:t>
      </w:r>
    </w:p>
    <w:p w14:paraId="2D22DC31" w14:textId="77777777" w:rsidR="00D05C05" w:rsidRPr="00ED7C2F" w:rsidRDefault="00D05C05" w:rsidP="00D05C05">
      <w:pPr>
        <w:rPr>
          <w:bCs/>
          <w:color w:val="000000"/>
          <w:sz w:val="22"/>
          <w:szCs w:val="22"/>
          <w:lang w:val="pl-PL"/>
        </w:rPr>
      </w:pPr>
      <w:r w:rsidRPr="00ED7C2F">
        <w:rPr>
          <w:bCs/>
          <w:color w:val="000000"/>
          <w:sz w:val="22"/>
          <w:szCs w:val="22"/>
          <w:lang w:val="pl-PL"/>
        </w:rPr>
        <w:t>Terapia S.A.</w:t>
      </w:r>
    </w:p>
    <w:p w14:paraId="2D661865" w14:textId="77777777" w:rsidR="00D05C05" w:rsidRPr="00ED7C2F" w:rsidRDefault="00D05C05" w:rsidP="00D05C05">
      <w:pPr>
        <w:rPr>
          <w:bCs/>
          <w:color w:val="000000"/>
          <w:sz w:val="22"/>
          <w:szCs w:val="22"/>
          <w:lang w:val="pl-PL"/>
        </w:rPr>
      </w:pPr>
      <w:r w:rsidRPr="00ED7C2F">
        <w:rPr>
          <w:bCs/>
          <w:color w:val="000000"/>
          <w:sz w:val="22"/>
          <w:szCs w:val="22"/>
          <w:lang w:val="pl-PL"/>
        </w:rPr>
        <w:t>Str. Fabricii nr 124</w:t>
      </w:r>
    </w:p>
    <w:p w14:paraId="40C2B74E" w14:textId="77777777" w:rsidR="00D05C05" w:rsidRPr="00ED7C2F" w:rsidRDefault="00D05C05" w:rsidP="00D05C05">
      <w:pPr>
        <w:rPr>
          <w:bCs/>
          <w:color w:val="000000"/>
          <w:sz w:val="22"/>
          <w:szCs w:val="22"/>
          <w:lang w:val="pl-PL"/>
        </w:rPr>
      </w:pPr>
      <w:r w:rsidRPr="00ED7C2F">
        <w:rPr>
          <w:bCs/>
          <w:color w:val="000000"/>
          <w:sz w:val="22"/>
          <w:szCs w:val="22"/>
          <w:lang w:val="pl-PL"/>
        </w:rPr>
        <w:t>Cluj-Napoca, 400632</w:t>
      </w:r>
    </w:p>
    <w:p w14:paraId="08FEF24C" w14:textId="77777777" w:rsidR="00D05C05" w:rsidRPr="00ED7C2F" w:rsidRDefault="00D05C05" w:rsidP="00D05C05">
      <w:pPr>
        <w:rPr>
          <w:bCs/>
          <w:color w:val="000000"/>
          <w:sz w:val="22"/>
          <w:szCs w:val="22"/>
          <w:lang w:val="pl-PL"/>
        </w:rPr>
      </w:pPr>
      <w:r w:rsidRPr="00ED7C2F">
        <w:rPr>
          <w:bCs/>
          <w:color w:val="000000"/>
          <w:sz w:val="22"/>
          <w:szCs w:val="22"/>
          <w:lang w:val="pl-PL"/>
        </w:rPr>
        <w:t>România</w:t>
      </w:r>
    </w:p>
    <w:p w14:paraId="37A2019C" w14:textId="77777777" w:rsidR="00D05C05" w:rsidRPr="00ED7C2F" w:rsidRDefault="00D05C05" w:rsidP="00D05C05">
      <w:pPr>
        <w:rPr>
          <w:bCs/>
          <w:color w:val="000000"/>
          <w:sz w:val="22"/>
          <w:szCs w:val="22"/>
          <w:lang w:val="pl-PL"/>
        </w:rPr>
      </w:pPr>
      <w:r w:rsidRPr="00ED7C2F">
        <w:rPr>
          <w:bCs/>
          <w:color w:val="000000"/>
          <w:sz w:val="22"/>
          <w:szCs w:val="22"/>
          <w:lang w:val="pl-PL"/>
        </w:rPr>
        <w:t>tel. +40 (264) 501 500</w:t>
      </w:r>
    </w:p>
    <w:p w14:paraId="5D2499C2" w14:textId="77777777" w:rsidR="00D05C05" w:rsidRPr="00D66842" w:rsidRDefault="00D05C05" w:rsidP="00D05C05">
      <w:pPr>
        <w:rPr>
          <w:noProof/>
          <w:sz w:val="22"/>
          <w:szCs w:val="22"/>
        </w:rPr>
      </w:pPr>
    </w:p>
    <w:p w14:paraId="602B8A61" w14:textId="77777777" w:rsidR="00167CEC" w:rsidRPr="00ED7C2F" w:rsidRDefault="00167CEC" w:rsidP="00C03C06">
      <w:pPr>
        <w:pStyle w:val="Heading2"/>
        <w:keepNext w:val="0"/>
        <w:rPr>
          <w:sz w:val="22"/>
          <w:szCs w:val="22"/>
          <w:lang w:val="es-ES_tradnl"/>
        </w:rPr>
      </w:pPr>
    </w:p>
    <w:p w14:paraId="0168A274" w14:textId="77777777" w:rsidR="00663A07" w:rsidRPr="00ED7C2F" w:rsidRDefault="00BD70D3" w:rsidP="00E84F80">
      <w:pPr>
        <w:pStyle w:val="Heading2"/>
        <w:rPr>
          <w:sz w:val="22"/>
          <w:szCs w:val="22"/>
        </w:rPr>
      </w:pPr>
      <w:r w:rsidRPr="00ED7C2F">
        <w:rPr>
          <w:sz w:val="22"/>
          <w:szCs w:val="22"/>
          <w:lang w:val="es-ES_tradnl"/>
        </w:rPr>
        <w:t>Fecha de la última revisión de este prospecto:</w:t>
      </w:r>
      <w:r w:rsidRPr="00ED7C2F" w:rsidDel="00BD70D3">
        <w:rPr>
          <w:sz w:val="22"/>
          <w:szCs w:val="22"/>
        </w:rPr>
        <w:t xml:space="preserve"> </w:t>
      </w:r>
    </w:p>
    <w:p w14:paraId="262CEF3E" w14:textId="77777777" w:rsidR="00907976" w:rsidRPr="00ED7C2F" w:rsidRDefault="00907976" w:rsidP="00907976">
      <w:pPr>
        <w:rPr>
          <w:sz w:val="22"/>
          <w:szCs w:val="22"/>
        </w:rPr>
      </w:pPr>
    </w:p>
    <w:p w14:paraId="24E2F2B8" w14:textId="77777777" w:rsidR="001C1E31" w:rsidRPr="00ED7C2F" w:rsidRDefault="001C1E31" w:rsidP="00907976">
      <w:pPr>
        <w:rPr>
          <w:b/>
          <w:sz w:val="22"/>
          <w:szCs w:val="22"/>
        </w:rPr>
      </w:pPr>
      <w:r w:rsidRPr="00ED7C2F">
        <w:rPr>
          <w:b/>
          <w:sz w:val="22"/>
          <w:szCs w:val="22"/>
        </w:rPr>
        <w:t>Otras fuentes de información</w:t>
      </w:r>
    </w:p>
    <w:p w14:paraId="31864FFA" w14:textId="2BEAC451" w:rsidR="00663A07" w:rsidRPr="00ED7C2F" w:rsidRDefault="00907976" w:rsidP="00E84F80">
      <w:pPr>
        <w:pStyle w:val="Heading2"/>
        <w:rPr>
          <w:b w:val="0"/>
          <w:sz w:val="22"/>
          <w:szCs w:val="22"/>
        </w:rPr>
      </w:pPr>
      <w:r w:rsidRPr="00D66842">
        <w:rPr>
          <w:b w:val="0"/>
          <w:sz w:val="22"/>
          <w:szCs w:val="22"/>
        </w:rPr>
        <w:t xml:space="preserve">La información detallada de este medicamento está </w:t>
      </w:r>
      <w:r w:rsidRPr="00CB4AE2">
        <w:rPr>
          <w:b w:val="0"/>
          <w:sz w:val="22"/>
          <w:szCs w:val="22"/>
        </w:rPr>
        <w:t>disponible en la página web de la Agencia Europea de Medicamento</w:t>
      </w:r>
      <w:r w:rsidR="001B222C" w:rsidRPr="00CB4AE2">
        <w:rPr>
          <w:b w:val="0"/>
          <w:sz w:val="22"/>
          <w:szCs w:val="22"/>
        </w:rPr>
        <w:t>s</w:t>
      </w:r>
      <w:r w:rsidRPr="00ED7C2F">
        <w:rPr>
          <w:b w:val="0"/>
          <w:sz w:val="22"/>
          <w:szCs w:val="22"/>
        </w:rPr>
        <w:t xml:space="preserve"> </w:t>
      </w:r>
      <w:r w:rsidRPr="00ED7C2F">
        <w:rPr>
          <w:b w:val="0"/>
          <w:color w:val="0000FF"/>
          <w:sz w:val="22"/>
          <w:szCs w:val="22"/>
          <w:u w:val="single"/>
        </w:rPr>
        <w:t>http://www.ema.europa.eu</w:t>
      </w:r>
    </w:p>
    <w:p w14:paraId="08B704D3" w14:textId="77777777" w:rsidR="001D68B8" w:rsidRPr="001D68B8" w:rsidRDefault="00693925" w:rsidP="001D68B8">
      <w:pPr>
        <w:pStyle w:val="Heading7"/>
        <w:jc w:val="left"/>
        <w:rPr>
          <w:b/>
          <w:sz w:val="22"/>
          <w:szCs w:val="22"/>
          <w:lang w:val="es-ES"/>
        </w:rPr>
      </w:pPr>
      <w:r w:rsidRPr="00ED7C2F">
        <w:rPr>
          <w:sz w:val="22"/>
          <w:szCs w:val="22"/>
          <w:lang w:val="es-ES"/>
        </w:rPr>
        <w:br w:type="page"/>
      </w:r>
      <w:r w:rsidR="001D68B8" w:rsidRPr="00D729A9">
        <w:rPr>
          <w:b/>
          <w:sz w:val="22"/>
          <w:szCs w:val="22"/>
          <w:lang w:val="es-ES"/>
        </w:rPr>
        <w:lastRenderedPageBreak/>
        <w:t xml:space="preserve">MANUAL DEL USUARIO DE </w:t>
      </w:r>
      <w:smartTag w:uri="urn:schemas-microsoft-com:office:smarttags" w:element="PersonName">
        <w:smartTagPr>
          <w:attr w:name="ProductID" w:val="LA PLUMA"/>
        </w:smartTagPr>
        <w:r w:rsidR="001D68B8" w:rsidRPr="00D729A9">
          <w:rPr>
            <w:b/>
            <w:sz w:val="22"/>
            <w:szCs w:val="22"/>
            <w:lang w:val="es-ES"/>
          </w:rPr>
          <w:t>LA PLUMA</w:t>
        </w:r>
      </w:smartTag>
    </w:p>
    <w:p w14:paraId="7040CA0F" w14:textId="77777777" w:rsidR="001D68B8" w:rsidRPr="001D68B8" w:rsidRDefault="001D68B8" w:rsidP="001D68B8">
      <w:pPr>
        <w:pStyle w:val="Heading7"/>
        <w:jc w:val="left"/>
        <w:rPr>
          <w:b/>
          <w:sz w:val="22"/>
          <w:szCs w:val="22"/>
          <w:lang w:val="es-ES"/>
        </w:rPr>
      </w:pPr>
    </w:p>
    <w:p w14:paraId="00949AE0" w14:textId="77777777" w:rsidR="001D68B8" w:rsidRPr="00D729A9" w:rsidRDefault="00EA201D" w:rsidP="001D68B8">
      <w:pPr>
        <w:rPr>
          <w:strike/>
          <w:sz w:val="22"/>
          <w:szCs w:val="22"/>
        </w:rPr>
      </w:pPr>
      <w:r>
        <w:rPr>
          <w:sz w:val="22"/>
          <w:szCs w:val="22"/>
        </w:rPr>
        <w:t>Teriparatida</w:t>
      </w:r>
      <w:r w:rsidR="00D729A9" w:rsidRPr="00D729A9">
        <w:rPr>
          <w:sz w:val="22"/>
          <w:szCs w:val="22"/>
        </w:rPr>
        <w:t xml:space="preserve"> SUN </w:t>
      </w:r>
      <w:r w:rsidR="001D68B8" w:rsidRPr="00D729A9">
        <w:rPr>
          <w:sz w:val="22"/>
          <w:szCs w:val="22"/>
        </w:rPr>
        <w:t>20 microgramos</w:t>
      </w:r>
      <w:r w:rsidR="0052376C" w:rsidRPr="00D729A9">
        <w:rPr>
          <w:sz w:val="22"/>
          <w:szCs w:val="22"/>
        </w:rPr>
        <w:t>/</w:t>
      </w:r>
      <w:r w:rsidR="001D68B8" w:rsidRPr="00D729A9">
        <w:rPr>
          <w:sz w:val="22"/>
          <w:szCs w:val="22"/>
        </w:rPr>
        <w:t xml:space="preserve"> 80 microlitros solución inyectable</w:t>
      </w:r>
      <w:r w:rsidR="0052376C" w:rsidRPr="00D729A9">
        <w:rPr>
          <w:sz w:val="22"/>
          <w:szCs w:val="22"/>
        </w:rPr>
        <w:t xml:space="preserve"> en</w:t>
      </w:r>
      <w:r w:rsidR="001D68B8" w:rsidRPr="00D729A9">
        <w:rPr>
          <w:sz w:val="22"/>
          <w:szCs w:val="22"/>
        </w:rPr>
        <w:t xml:space="preserve"> pluma precargada</w:t>
      </w:r>
    </w:p>
    <w:p w14:paraId="60063128" w14:textId="58BB6E6A" w:rsidR="001D68B8" w:rsidRDefault="001D68B8" w:rsidP="001D68B8">
      <w:pPr>
        <w:rPr>
          <w:sz w:val="22"/>
          <w:szCs w:val="22"/>
        </w:rPr>
      </w:pPr>
    </w:p>
    <w:p w14:paraId="2987CD06" w14:textId="77777777" w:rsidR="009B13C7" w:rsidRPr="00C03C06" w:rsidRDefault="009B13C7" w:rsidP="001D68B8">
      <w:pPr>
        <w:rPr>
          <w:sz w:val="22"/>
          <w:szCs w:val="22"/>
        </w:rPr>
      </w:pPr>
    </w:p>
    <w:p w14:paraId="6898A4B2" w14:textId="77777777" w:rsidR="001D68B8" w:rsidRPr="00D729A9" w:rsidRDefault="001D68B8" w:rsidP="001D68B8">
      <w:pPr>
        <w:rPr>
          <w:b/>
          <w:bCs/>
          <w:sz w:val="22"/>
          <w:szCs w:val="22"/>
          <w:u w:val="single"/>
        </w:rPr>
      </w:pPr>
      <w:r w:rsidRPr="00D729A9">
        <w:rPr>
          <w:b/>
          <w:bCs/>
          <w:sz w:val="22"/>
          <w:szCs w:val="22"/>
          <w:u w:val="single"/>
        </w:rPr>
        <w:t>Instrucciones de uso</w:t>
      </w:r>
    </w:p>
    <w:p w14:paraId="42F32BD0" w14:textId="77777777" w:rsidR="001D68B8" w:rsidRPr="001D68B8" w:rsidRDefault="001D68B8" w:rsidP="001D68B8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  <w:lang w:val="es-ES"/>
        </w:rPr>
      </w:pPr>
    </w:p>
    <w:p w14:paraId="05E49AAA" w14:textId="77777777" w:rsidR="001D68B8" w:rsidRPr="0049067C" w:rsidRDefault="001D68B8" w:rsidP="001D68B8">
      <w:pPr>
        <w:pStyle w:val="Header"/>
        <w:tabs>
          <w:tab w:val="clear" w:pos="4320"/>
          <w:tab w:val="clear" w:pos="8640"/>
        </w:tabs>
        <w:rPr>
          <w:sz w:val="22"/>
          <w:szCs w:val="22"/>
          <w:lang w:val="es-ES"/>
        </w:rPr>
      </w:pPr>
      <w:r w:rsidRPr="0049067C">
        <w:rPr>
          <w:sz w:val="22"/>
          <w:szCs w:val="22"/>
          <w:lang w:val="es-ES"/>
        </w:rPr>
        <w:t>Antes de usar su nuev</w:t>
      </w:r>
      <w:r w:rsidR="0052376C" w:rsidRPr="0049067C">
        <w:rPr>
          <w:sz w:val="22"/>
          <w:szCs w:val="22"/>
          <w:lang w:val="es-ES"/>
        </w:rPr>
        <w:t>a pluma</w:t>
      </w:r>
      <w:r w:rsidRPr="0049067C">
        <w:rPr>
          <w:sz w:val="22"/>
          <w:szCs w:val="22"/>
          <w:lang w:val="es-ES"/>
        </w:rPr>
        <w:t xml:space="preserve">, por favor lea toda la sección </w:t>
      </w:r>
      <w:r w:rsidRPr="0049067C">
        <w:rPr>
          <w:i/>
          <w:sz w:val="22"/>
          <w:szCs w:val="22"/>
          <w:lang w:val="es-ES"/>
        </w:rPr>
        <w:t>Instrucciones de Uso</w:t>
      </w:r>
      <w:r w:rsidRPr="0049067C">
        <w:rPr>
          <w:sz w:val="22"/>
          <w:szCs w:val="22"/>
          <w:lang w:val="es-ES"/>
        </w:rPr>
        <w:t xml:space="preserve">. Siga cuidadosamente las indicaciones cuando use </w:t>
      </w:r>
      <w:r w:rsidR="0052376C" w:rsidRPr="0049067C">
        <w:rPr>
          <w:sz w:val="22"/>
          <w:szCs w:val="22"/>
          <w:lang w:val="es-ES"/>
        </w:rPr>
        <w:t>la pluma</w:t>
      </w:r>
      <w:r w:rsidRPr="0049067C">
        <w:rPr>
          <w:sz w:val="22"/>
          <w:szCs w:val="22"/>
          <w:lang w:val="es-ES"/>
        </w:rPr>
        <w:t>.</w:t>
      </w:r>
      <w:r w:rsidR="0049067C" w:rsidRPr="0049067C">
        <w:rPr>
          <w:sz w:val="22"/>
          <w:szCs w:val="22"/>
          <w:lang w:val="es-ES"/>
        </w:rPr>
        <w:t xml:space="preserve"> </w:t>
      </w:r>
      <w:r w:rsidRPr="0049067C">
        <w:rPr>
          <w:sz w:val="22"/>
          <w:szCs w:val="22"/>
          <w:lang w:val="es-ES"/>
        </w:rPr>
        <w:t>Lea también el prospecto incluido en el envase.</w:t>
      </w:r>
    </w:p>
    <w:p w14:paraId="2E0E25E7" w14:textId="77777777" w:rsidR="001D68B8" w:rsidRPr="0049067C" w:rsidRDefault="001D68B8" w:rsidP="001D68B8">
      <w:pPr>
        <w:pStyle w:val="Header"/>
        <w:tabs>
          <w:tab w:val="clear" w:pos="4320"/>
          <w:tab w:val="clear" w:pos="8640"/>
        </w:tabs>
        <w:rPr>
          <w:sz w:val="22"/>
          <w:szCs w:val="22"/>
          <w:lang w:val="es-ES"/>
        </w:rPr>
      </w:pPr>
    </w:p>
    <w:p w14:paraId="6FD0E6F5" w14:textId="39F332D2" w:rsidR="003A291C" w:rsidRPr="005F6C37" w:rsidRDefault="003A291C" w:rsidP="003A291C">
      <w:r w:rsidRPr="003A291C">
        <w:rPr>
          <w:sz w:val="22"/>
          <w:szCs w:val="22"/>
        </w:rPr>
        <w:t>Para ver las instrucciones de uso del video, escanee el código QR o use el enlace:</w:t>
      </w:r>
      <w:r>
        <w:rPr>
          <w:sz w:val="22"/>
          <w:szCs w:val="22"/>
        </w:rPr>
        <w:t xml:space="preserve"> </w:t>
      </w:r>
      <w:hyperlink r:id="rId18" w:history="1">
        <w:r w:rsidR="00247725" w:rsidRPr="00477DF6">
          <w:rPr>
            <w:rStyle w:val="Hyperlink"/>
            <w:sz w:val="22"/>
            <w:szCs w:val="22"/>
          </w:rPr>
          <w:t>https://www.pharmaqr.info/tptes</w:t>
        </w:r>
      </w:hyperlink>
      <w:r w:rsidRPr="00596FE2">
        <w:rPr>
          <w:sz w:val="22"/>
          <w:szCs w:val="22"/>
        </w:rPr>
        <w:t>.</w:t>
      </w:r>
    </w:p>
    <w:p w14:paraId="3C392F41" w14:textId="77777777" w:rsidR="003A291C" w:rsidRDefault="003A291C" w:rsidP="001D68B8">
      <w:pPr>
        <w:pStyle w:val="Header"/>
        <w:tabs>
          <w:tab w:val="clear" w:pos="4320"/>
          <w:tab w:val="clear" w:pos="8640"/>
        </w:tabs>
        <w:rPr>
          <w:sz w:val="22"/>
          <w:szCs w:val="22"/>
          <w:lang w:val="es-ES"/>
        </w:rPr>
      </w:pPr>
    </w:p>
    <w:p w14:paraId="78D699F7" w14:textId="78E0C757" w:rsidR="003A291C" w:rsidRDefault="00F91218" w:rsidP="001D68B8">
      <w:pPr>
        <w:pStyle w:val="Header"/>
        <w:tabs>
          <w:tab w:val="clear" w:pos="4320"/>
          <w:tab w:val="clear" w:pos="8640"/>
        </w:tabs>
        <w:rPr>
          <w:sz w:val="22"/>
          <w:szCs w:val="22"/>
          <w:lang w:val="es-ES"/>
        </w:rPr>
      </w:pPr>
      <w:r>
        <w:rPr>
          <w:noProof/>
          <w:lang w:eastAsia="en-GB"/>
        </w:rPr>
        <w:drawing>
          <wp:inline distT="0" distB="0" distL="0" distR="0" wp14:anchorId="33B71636" wp14:editId="11DBDED3">
            <wp:extent cx="1175657" cy="1175657"/>
            <wp:effectExtent l="0" t="0" r="5715" b="5715"/>
            <wp:docPr id="48" name="Picture 48" descr="TPTEMA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PTEMAEN.png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063" cy="118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D9243" w14:textId="77777777" w:rsidR="007B2B1A" w:rsidRPr="0049067C" w:rsidRDefault="007B2B1A" w:rsidP="001D68B8">
      <w:pPr>
        <w:pStyle w:val="Header"/>
        <w:tabs>
          <w:tab w:val="clear" w:pos="4320"/>
          <w:tab w:val="clear" w:pos="8640"/>
        </w:tabs>
        <w:rPr>
          <w:sz w:val="22"/>
          <w:szCs w:val="22"/>
          <w:lang w:val="es-ES"/>
        </w:rPr>
      </w:pPr>
      <w:r w:rsidRPr="0049067C">
        <w:rPr>
          <w:sz w:val="22"/>
          <w:szCs w:val="22"/>
          <w:lang w:val="es-ES"/>
        </w:rPr>
        <w:t>No comparta su pluma o sus agujas ya que puede suponer un riesgo de transmisión de infecciones.</w:t>
      </w:r>
    </w:p>
    <w:p w14:paraId="5E410628" w14:textId="77777777" w:rsidR="007B2B1A" w:rsidRPr="0049067C" w:rsidRDefault="007B2B1A" w:rsidP="001D68B8">
      <w:pPr>
        <w:pStyle w:val="Header"/>
        <w:tabs>
          <w:tab w:val="clear" w:pos="4320"/>
          <w:tab w:val="clear" w:pos="8640"/>
        </w:tabs>
        <w:rPr>
          <w:sz w:val="22"/>
          <w:szCs w:val="22"/>
          <w:lang w:val="es-ES"/>
        </w:rPr>
      </w:pPr>
    </w:p>
    <w:p w14:paraId="7F9602FF" w14:textId="77777777" w:rsidR="001D68B8" w:rsidRPr="0049067C" w:rsidRDefault="001D68B8" w:rsidP="001D68B8">
      <w:pPr>
        <w:rPr>
          <w:bCs/>
          <w:sz w:val="22"/>
          <w:szCs w:val="22"/>
        </w:rPr>
      </w:pPr>
      <w:r w:rsidRPr="0049067C">
        <w:rPr>
          <w:bCs/>
          <w:sz w:val="22"/>
          <w:szCs w:val="22"/>
        </w:rPr>
        <w:t xml:space="preserve">Su </w:t>
      </w:r>
      <w:r w:rsidR="00A57C3B" w:rsidRPr="0049067C">
        <w:rPr>
          <w:bCs/>
          <w:sz w:val="22"/>
          <w:szCs w:val="22"/>
        </w:rPr>
        <w:t xml:space="preserve">pluma </w:t>
      </w:r>
      <w:r w:rsidRPr="0049067C">
        <w:rPr>
          <w:bCs/>
          <w:sz w:val="22"/>
          <w:szCs w:val="22"/>
        </w:rPr>
        <w:t xml:space="preserve">contiene </w:t>
      </w:r>
      <w:r w:rsidR="0052376C" w:rsidRPr="0049067C">
        <w:rPr>
          <w:bCs/>
          <w:sz w:val="22"/>
          <w:szCs w:val="22"/>
        </w:rPr>
        <w:t xml:space="preserve">medicamento </w:t>
      </w:r>
      <w:r w:rsidRPr="0049067C">
        <w:rPr>
          <w:bCs/>
          <w:sz w:val="22"/>
          <w:szCs w:val="22"/>
        </w:rPr>
        <w:t>para 28 días.</w:t>
      </w:r>
    </w:p>
    <w:p w14:paraId="38FDE201" w14:textId="77777777" w:rsidR="001D68B8" w:rsidRDefault="001D68B8" w:rsidP="001D68B8">
      <w:pPr>
        <w:rPr>
          <w:rFonts w:ascii="Arial" w:hAnsi="Arial" w:cs="Arial"/>
        </w:rPr>
      </w:pPr>
    </w:p>
    <w:p w14:paraId="7ED41375" w14:textId="77777777" w:rsidR="0049067C" w:rsidRPr="00BD0030" w:rsidRDefault="0049067C" w:rsidP="0049067C">
      <w:pPr>
        <w:rPr>
          <w:rFonts w:ascii="Arial" w:hAnsi="Arial" w:cs="Arial"/>
          <w:b/>
          <w:lang w:val="pt-P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9067C" w:rsidRPr="0049067C" w14:paraId="1D0F9267" w14:textId="77777777" w:rsidTr="007C757B">
        <w:tc>
          <w:tcPr>
            <w:tcW w:w="9606" w:type="dxa"/>
            <w:shd w:val="clear" w:color="auto" w:fill="auto"/>
          </w:tcPr>
          <w:p w14:paraId="28FB5A34" w14:textId="77777777" w:rsidR="0049067C" w:rsidRPr="00097898" w:rsidRDefault="0049067C" w:rsidP="0049067C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097898">
              <w:rPr>
                <w:b/>
                <w:sz w:val="22"/>
                <w:szCs w:val="22"/>
                <w:lang w:val="en-GB"/>
              </w:rPr>
              <w:t>Partes</w:t>
            </w:r>
            <w:proofErr w:type="spellEnd"/>
            <w:r w:rsidRPr="00097898">
              <w:rPr>
                <w:b/>
                <w:sz w:val="22"/>
                <w:szCs w:val="22"/>
                <w:lang w:val="en-GB"/>
              </w:rPr>
              <w:t xml:space="preserve"> de </w:t>
            </w:r>
            <w:proofErr w:type="spellStart"/>
            <w:r w:rsidR="00EA201D">
              <w:rPr>
                <w:b/>
                <w:sz w:val="22"/>
                <w:szCs w:val="22"/>
                <w:lang w:val="en-GB"/>
              </w:rPr>
              <w:t>Teriparatida</w:t>
            </w:r>
            <w:proofErr w:type="spellEnd"/>
            <w:r w:rsidRPr="00097898">
              <w:rPr>
                <w:b/>
                <w:sz w:val="22"/>
                <w:szCs w:val="22"/>
                <w:lang w:val="en-GB"/>
              </w:rPr>
              <w:t xml:space="preserve"> SUN*</w:t>
            </w:r>
          </w:p>
          <w:p w14:paraId="4DC0498B" w14:textId="77777777" w:rsidR="0049067C" w:rsidRPr="0049067C" w:rsidRDefault="00DE56FE" w:rsidP="0049067C">
            <w:pPr>
              <w:rPr>
                <w:rFonts w:ascii="Arial" w:hAnsi="Arial" w:cs="Arial"/>
                <w:b/>
                <w:lang w:val="en-GB"/>
              </w:rPr>
            </w:pPr>
            <w:r w:rsidRPr="0049067C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F16E034" wp14:editId="6BA40733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37465</wp:posOffset>
                      </wp:positionV>
                      <wp:extent cx="1129665" cy="237490"/>
                      <wp:effectExtent l="0" t="0" r="0" b="0"/>
                      <wp:wrapNone/>
                      <wp:docPr id="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66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8C496D" w14:textId="77777777" w:rsidR="001E4373" w:rsidRPr="00D81737" w:rsidRDefault="001E4373" w:rsidP="0049067C">
                                  <w:r>
                                    <w:t>Cilindro amarillo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16E0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5.75pt;margin-top:2.95pt;width:88.95pt;height:18.7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" stroked="f">
                      <v:textbox style="mso-fit-shape-to-text:t">
                        <w:txbxContent>
                          <w:p w14:paraId="2B8C496D" w14:textId="77777777" w:rsidR="001E4373" w:rsidRPr="00D81737" w:rsidRDefault="001E4373" w:rsidP="0049067C">
                            <w:r>
                              <w:t>Cilindro amarillo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E99498" w14:textId="77777777" w:rsidR="0049067C" w:rsidRPr="0049067C" w:rsidRDefault="00DE56FE" w:rsidP="0049067C">
            <w:pPr>
              <w:rPr>
                <w:rFonts w:ascii="Arial" w:hAnsi="Arial" w:cs="Arial"/>
                <w:b/>
                <w:lang w:val="en-GB"/>
              </w:rPr>
            </w:pPr>
            <w:r w:rsidRPr="0049067C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EB52757" wp14:editId="56B2F92A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698500</wp:posOffset>
                      </wp:positionV>
                      <wp:extent cx="782955" cy="237490"/>
                      <wp:effectExtent l="0" t="0" r="0" b="0"/>
                      <wp:wrapNone/>
                      <wp:docPr id="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295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541B9D" w14:textId="77777777" w:rsidR="001E4373" w:rsidRPr="00303AD8" w:rsidRDefault="001E4373" w:rsidP="0049067C">
                                  <w:pPr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lang w:val="en-IN"/>
                                    </w:rPr>
                                    <w:t xml:space="preserve">Banda </w:t>
                                  </w:r>
                                  <w:proofErr w:type="spellStart"/>
                                  <w:r>
                                    <w:rPr>
                                      <w:lang w:val="en-IN"/>
                                    </w:rPr>
                                    <w:t>roja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EB52757" id="_x0000_s1027" type="#_x0000_t202" style="position:absolute;margin-left:78.7pt;margin-top:55pt;width:61.65pt;height:18.7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WzhAIAABY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" stroked="f">
                      <v:textbox style="mso-fit-shape-to-text:t">
                        <w:txbxContent>
                          <w:p w14:paraId="29541B9D" w14:textId="77777777" w:rsidR="001E4373" w:rsidRPr="00303AD8" w:rsidRDefault="001E4373" w:rsidP="0049067C">
                            <w:pPr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 xml:space="preserve">Banda </w:t>
                            </w:r>
                            <w:proofErr w:type="spellStart"/>
                            <w:r>
                              <w:rPr>
                                <w:lang w:val="en-IN"/>
                              </w:rPr>
                              <w:t>roja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067C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B0DA1D1" wp14:editId="4505956F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128905</wp:posOffset>
                      </wp:positionV>
                      <wp:extent cx="895985" cy="664210"/>
                      <wp:effectExtent l="0" t="0" r="0" b="0"/>
                      <wp:wrapNone/>
                      <wp:docPr id="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985" cy="664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FDA589" w14:textId="77777777" w:rsidR="001E4373" w:rsidRPr="00303AD8" w:rsidRDefault="001E4373" w:rsidP="0049067C">
                                  <w:pPr>
                                    <w:rPr>
                                      <w:lang w:val="en-I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IN"/>
                                    </w:rPr>
                                    <w:t>Botón</w:t>
                                  </w:r>
                                  <w:proofErr w:type="spellEnd"/>
                                  <w:r>
                                    <w:rPr>
                                      <w:lang w:val="en-IN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lang w:val="en-IN"/>
                                    </w:rPr>
                                    <w:t>inyección</w:t>
                                  </w:r>
                                  <w:proofErr w:type="spellEnd"/>
                                  <w:r>
                                    <w:rPr>
                                      <w:lang w:val="en-IN"/>
                                    </w:rPr>
                                    <w:t xml:space="preserve"> negro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DA1D1" id="_x0000_s1028" type="#_x0000_t202" style="position:absolute;margin-left:14.6pt;margin-top:10.15pt;width:70.55pt;height:52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" stroked="f">
                      <v:textbox>
                        <w:txbxContent>
                          <w:p w14:paraId="74FDA589" w14:textId="77777777" w:rsidR="001E4373" w:rsidRPr="00303AD8" w:rsidRDefault="001E4373" w:rsidP="0049067C">
                            <w:pPr>
                              <w:rPr>
                                <w:lang w:val="en-IN"/>
                              </w:rPr>
                            </w:pPr>
                            <w:proofErr w:type="spellStart"/>
                            <w:r>
                              <w:rPr>
                                <w:lang w:val="en-IN"/>
                              </w:rPr>
                              <w:t>Botón</w:t>
                            </w:r>
                            <w:proofErr w:type="spellEnd"/>
                            <w:r>
                              <w:rPr>
                                <w:lang w:val="en-IN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lang w:val="en-IN"/>
                              </w:rPr>
                              <w:t>inyección</w:t>
                            </w:r>
                            <w:proofErr w:type="spellEnd"/>
                            <w:r>
                              <w:rPr>
                                <w:lang w:val="en-IN"/>
                              </w:rPr>
                              <w:t xml:space="preserve"> negro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067C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2429A3F" wp14:editId="50240AF9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692150</wp:posOffset>
                      </wp:positionV>
                      <wp:extent cx="1298575" cy="383540"/>
                      <wp:effectExtent l="0" t="0" r="0" b="0"/>
                      <wp:wrapNone/>
                      <wp:docPr id="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8575" cy="383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4A5930" w14:textId="77777777" w:rsidR="001E4373" w:rsidRPr="00303AD8" w:rsidRDefault="001E4373" w:rsidP="0049067C">
                                  <w:pPr>
                                    <w:rPr>
                                      <w:lang w:val="en-I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IN"/>
                                    </w:rPr>
                                    <w:t>Cartucho</w:t>
                                  </w:r>
                                  <w:proofErr w:type="spellEnd"/>
                                  <w:r>
                                    <w:rPr>
                                      <w:lang w:val="en-IN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lang w:val="en-IN"/>
                                    </w:rPr>
                                    <w:t>Medicamento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2429A3F" id="_x0000_s1029" type="#_x0000_t202" style="position:absolute;margin-left:257.8pt;margin-top:54.5pt;width:102.25pt;height:30.2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" stroked="f">
                      <v:textbox style="mso-fit-shape-to-text:t">
                        <w:txbxContent>
                          <w:p w14:paraId="234A5930" w14:textId="77777777" w:rsidR="001E4373" w:rsidRPr="00303AD8" w:rsidRDefault="001E4373" w:rsidP="0049067C">
                            <w:pPr>
                              <w:rPr>
                                <w:lang w:val="en-IN"/>
                              </w:rPr>
                            </w:pPr>
                            <w:proofErr w:type="spellStart"/>
                            <w:r>
                              <w:rPr>
                                <w:lang w:val="en-IN"/>
                              </w:rPr>
                              <w:t>Cartucho</w:t>
                            </w:r>
                            <w:proofErr w:type="spellEnd"/>
                            <w:r>
                              <w:rPr>
                                <w:lang w:val="en-IN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lang w:val="en-IN"/>
                              </w:rPr>
                              <w:t>Medicamento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067C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1C5D31F" wp14:editId="6D40FC83">
                      <wp:simplePos x="0" y="0"/>
                      <wp:positionH relativeFrom="column">
                        <wp:posOffset>4841875</wp:posOffset>
                      </wp:positionH>
                      <wp:positionV relativeFrom="paragraph">
                        <wp:posOffset>702310</wp:posOffset>
                      </wp:positionV>
                      <wp:extent cx="817880" cy="383540"/>
                      <wp:effectExtent l="0" t="0" r="0" b="0"/>
                      <wp:wrapNone/>
                      <wp:docPr id="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7880" cy="383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943E43" w14:textId="77777777" w:rsidR="001E4373" w:rsidRPr="00303AD8" w:rsidRDefault="001E4373" w:rsidP="0049067C">
                                  <w:pPr>
                                    <w:rPr>
                                      <w:lang w:val="en-I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IN"/>
                                    </w:rPr>
                                    <w:t>Tapón</w:t>
                                  </w:r>
                                  <w:proofErr w:type="spellEnd"/>
                                  <w:r>
                                    <w:rPr>
                                      <w:lang w:val="en-I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IN"/>
                                    </w:rPr>
                                    <w:t>blanco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1C5D31F" id="_x0000_s1030" type="#_x0000_t202" style="position:absolute;margin-left:381.25pt;margin-top:55.3pt;width:64.4pt;height:30.2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" stroked="f">
                      <v:textbox style="mso-fit-shape-to-text:t">
                        <w:txbxContent>
                          <w:p w14:paraId="53943E43" w14:textId="77777777" w:rsidR="001E4373" w:rsidRPr="00303AD8" w:rsidRDefault="001E4373" w:rsidP="0049067C">
                            <w:pPr>
                              <w:rPr>
                                <w:lang w:val="en-IN"/>
                              </w:rPr>
                            </w:pPr>
                            <w:proofErr w:type="spellStart"/>
                            <w:r>
                              <w:rPr>
                                <w:lang w:val="en-IN"/>
                              </w:rPr>
                              <w:t>Tapón</w:t>
                            </w:r>
                            <w:proofErr w:type="spellEnd"/>
                            <w:r>
                              <w:rPr>
                                <w:lang w:val="en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IN"/>
                              </w:rPr>
                              <w:t>blanco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1B21">
              <w:rPr>
                <w:rFonts w:ascii="Arial" w:hAnsi="Arial" w:cs="Arial"/>
                <w:lang w:val="en-IN"/>
              </w:rPr>
              <w:t xml:space="preserve">                       </w:t>
            </w:r>
            <w:r w:rsidRPr="0049067C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1242CE4" wp14:editId="13DB180C">
                  <wp:extent cx="4876800" cy="736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2565E8" w14:textId="77777777" w:rsidR="0049067C" w:rsidRPr="0049067C" w:rsidRDefault="00DE56FE" w:rsidP="0049067C">
            <w:pPr>
              <w:rPr>
                <w:rFonts w:ascii="Arial" w:hAnsi="Arial" w:cs="Arial"/>
                <w:b/>
                <w:lang w:val="en-GB"/>
              </w:rPr>
            </w:pPr>
            <w:r w:rsidRPr="0049067C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7364984" wp14:editId="58AF3FE4">
                      <wp:simplePos x="0" y="0"/>
                      <wp:positionH relativeFrom="column">
                        <wp:posOffset>2051050</wp:posOffset>
                      </wp:positionH>
                      <wp:positionV relativeFrom="paragraph">
                        <wp:posOffset>8890</wp:posOffset>
                      </wp:positionV>
                      <wp:extent cx="890905" cy="237490"/>
                      <wp:effectExtent l="0" t="0" r="0" b="0"/>
                      <wp:wrapNone/>
                      <wp:docPr id="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090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CB42CF" w14:textId="77777777" w:rsidR="001E4373" w:rsidRPr="00303AD8" w:rsidRDefault="001E4373" w:rsidP="0049067C">
                                  <w:pPr>
                                    <w:rPr>
                                      <w:lang w:val="en-I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IN"/>
                                    </w:rPr>
                                    <w:t>Cuerpo</w:t>
                                  </w:r>
                                  <w:proofErr w:type="spellEnd"/>
                                  <w:r>
                                    <w:rPr>
                                      <w:lang w:val="en-I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IN"/>
                                    </w:rPr>
                                    <w:t>verde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7364984" id="_x0000_s1031" type="#_x0000_t202" style="position:absolute;margin-left:161.5pt;margin-top:.7pt;width:70.15pt;height:18.7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" stroked="f">
                      <v:textbox style="mso-fit-shape-to-text:t">
                        <w:txbxContent>
                          <w:p w14:paraId="5ECB42CF" w14:textId="77777777" w:rsidR="001E4373" w:rsidRPr="00303AD8" w:rsidRDefault="001E4373" w:rsidP="0049067C">
                            <w:pPr>
                              <w:rPr>
                                <w:lang w:val="en-IN"/>
                              </w:rPr>
                            </w:pPr>
                            <w:proofErr w:type="spellStart"/>
                            <w:r>
                              <w:rPr>
                                <w:lang w:val="en-IN"/>
                              </w:rPr>
                              <w:t>Cuerpo</w:t>
                            </w:r>
                            <w:proofErr w:type="spellEnd"/>
                            <w:r>
                              <w:rPr>
                                <w:lang w:val="en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IN"/>
                              </w:rPr>
                              <w:t>verde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CEF61C" w14:textId="77777777" w:rsidR="0049067C" w:rsidRPr="0049067C" w:rsidRDefault="00DE56FE" w:rsidP="0049067C">
            <w:pPr>
              <w:rPr>
                <w:rFonts w:ascii="Arial" w:hAnsi="Arial" w:cs="Arial"/>
                <w:b/>
                <w:lang w:val="en-GB"/>
              </w:rPr>
            </w:pPr>
            <w:r w:rsidRPr="0049067C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330018" wp14:editId="7D9772A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124460</wp:posOffset>
                      </wp:positionV>
                      <wp:extent cx="607060" cy="237490"/>
                      <wp:effectExtent l="0" t="0" r="0" b="0"/>
                      <wp:wrapNone/>
                      <wp:docPr id="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06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AED778" w14:textId="77777777" w:rsidR="001E4373" w:rsidRPr="005B70F4" w:rsidRDefault="001E4373" w:rsidP="0049067C">
                                  <w:pPr>
                                    <w:rPr>
                                      <w:lang w:val="en-I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IN"/>
                                    </w:rPr>
                                    <w:t>Aguja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6330018" id="_x0000_s1032" type="#_x0000_t202" style="position:absolute;margin-left:117.3pt;margin-top:9.8pt;width:47.8pt;height:18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" stroked="f">
                      <v:textbox style="mso-fit-shape-to-text:t">
                        <w:txbxContent>
                          <w:p w14:paraId="5CAED778" w14:textId="77777777" w:rsidR="001E4373" w:rsidRPr="005B70F4" w:rsidRDefault="001E4373" w:rsidP="0049067C">
                            <w:pPr>
                              <w:rPr>
                                <w:lang w:val="en-IN"/>
                              </w:rPr>
                            </w:pPr>
                            <w:proofErr w:type="spellStart"/>
                            <w:r>
                              <w:rPr>
                                <w:lang w:val="en-IN"/>
                              </w:rPr>
                              <w:t>Aguja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067C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615897E" wp14:editId="73487C1D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149860</wp:posOffset>
                      </wp:positionV>
                      <wp:extent cx="851535" cy="383540"/>
                      <wp:effectExtent l="0" t="0" r="0" b="0"/>
                      <wp:wrapNone/>
                      <wp:docPr id="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1535" cy="383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039626" w14:textId="77777777" w:rsidR="001E4373" w:rsidRPr="005B70F4" w:rsidRDefault="001E4373" w:rsidP="0049067C">
                                  <w:pPr>
                                    <w:rPr>
                                      <w:lang w:val="en-I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IN"/>
                                    </w:rPr>
                                    <w:t>Lengüeta</w:t>
                                  </w:r>
                                  <w:proofErr w:type="spellEnd"/>
                                  <w:r>
                                    <w:rPr>
                                      <w:lang w:val="en-IN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lang w:val="en-IN"/>
                                    </w:rPr>
                                    <w:t>papel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615897E" id="_x0000_s1033" type="#_x0000_t202" style="position:absolute;margin-left:30.1pt;margin-top:11.8pt;width:67.05pt;height:30.2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" stroked="f">
                      <v:textbox style="mso-fit-shape-to-text:t">
                        <w:txbxContent>
                          <w:p w14:paraId="5C039626" w14:textId="77777777" w:rsidR="001E4373" w:rsidRPr="005B70F4" w:rsidRDefault="001E4373" w:rsidP="0049067C">
                            <w:pPr>
                              <w:rPr>
                                <w:lang w:val="en-IN"/>
                              </w:rPr>
                            </w:pPr>
                            <w:proofErr w:type="spellStart"/>
                            <w:r>
                              <w:rPr>
                                <w:lang w:val="en-IN"/>
                              </w:rPr>
                              <w:t>Lengüeta</w:t>
                            </w:r>
                            <w:proofErr w:type="spellEnd"/>
                            <w:r>
                              <w:rPr>
                                <w:lang w:val="en-IN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lang w:val="en-IN"/>
                              </w:rPr>
                              <w:t>papel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A42765" w14:textId="77777777" w:rsidR="0049067C" w:rsidRPr="00BD0030" w:rsidRDefault="00DE56FE" w:rsidP="0049067C">
            <w:pPr>
              <w:rPr>
                <w:rFonts w:ascii="Arial" w:hAnsi="Arial" w:cs="Arial"/>
                <w:lang w:val="pt-PT"/>
              </w:rPr>
            </w:pPr>
            <w:r w:rsidRPr="0049067C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E6078" wp14:editId="0E579FDB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46355</wp:posOffset>
                      </wp:positionV>
                      <wp:extent cx="1709420" cy="241300"/>
                      <wp:effectExtent l="0" t="0" r="0" b="0"/>
                      <wp:wrapNone/>
                      <wp:docPr id="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942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41B453" w14:textId="77777777" w:rsidR="001E4373" w:rsidRPr="00B87458" w:rsidRDefault="001E4373" w:rsidP="0049067C">
                                  <w:r w:rsidRPr="00B87458">
                                    <w:t xml:space="preserve">Capucha externa de la aguja </w:t>
                                  </w:r>
                                  <w:proofErr w:type="spellStart"/>
                                  <w:r w:rsidRPr="00B87458">
                                    <w:t>Needle</w:t>
                                  </w:r>
                                  <w:proofErr w:type="spellEnd"/>
                                  <w:r w:rsidRPr="00B87458">
                                    <w:t xml:space="preserve"> </w:t>
                                  </w:r>
                                  <w:proofErr w:type="spellStart"/>
                                  <w:r w:rsidRPr="00B87458">
                                    <w:t>Cover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E6078" id="_x0000_s1034" type="#_x0000_t202" style="position:absolute;margin-left:338.2pt;margin-top:3.65pt;width:134.6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/8OhQIAABc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" stroked="f">
                      <v:textbox>
                        <w:txbxContent>
                          <w:p w14:paraId="1D41B453" w14:textId="77777777" w:rsidR="001E4373" w:rsidRPr="00B87458" w:rsidRDefault="001E4373" w:rsidP="0049067C">
                            <w:r w:rsidRPr="00B87458">
                              <w:t xml:space="preserve">Capucha externa de la aguja </w:t>
                            </w:r>
                            <w:proofErr w:type="spellStart"/>
                            <w:r w:rsidRPr="00B87458">
                              <w:t>Needle</w:t>
                            </w:r>
                            <w:proofErr w:type="spellEnd"/>
                            <w:r w:rsidRPr="00B87458">
                              <w:t xml:space="preserve"> </w:t>
                            </w:r>
                            <w:proofErr w:type="spellStart"/>
                            <w:r w:rsidRPr="00B87458">
                              <w:t>Cover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067C" w:rsidRPr="00BD0030">
              <w:rPr>
                <w:rFonts w:ascii="Arial" w:hAnsi="Arial" w:cs="Arial"/>
                <w:lang w:val="pt-PT"/>
              </w:rPr>
              <w:t xml:space="preserve">                   </w:t>
            </w:r>
          </w:p>
          <w:p w14:paraId="7CAF8EF8" w14:textId="77777777" w:rsidR="0049067C" w:rsidRPr="00037D55" w:rsidRDefault="00DE56FE" w:rsidP="0049067C">
            <w:pPr>
              <w:rPr>
                <w:rFonts w:ascii="Arial" w:hAnsi="Arial" w:cs="Arial"/>
                <w:b/>
                <w:lang w:val="pt-PT"/>
              </w:rPr>
            </w:pPr>
            <w:r w:rsidRPr="0049067C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9C5A3E" wp14:editId="533ED384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14605</wp:posOffset>
                      </wp:positionV>
                      <wp:extent cx="1685925" cy="241300"/>
                      <wp:effectExtent l="0" t="0" r="0" b="0"/>
                      <wp:wrapNone/>
                      <wp:docPr id="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7A5DB2" w14:textId="77777777" w:rsidR="001E4373" w:rsidRPr="005B70F4" w:rsidRDefault="001E4373" w:rsidP="0049067C">
                                  <w:pPr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lang w:val="en-IN"/>
                                    </w:rPr>
                                    <w:t xml:space="preserve">Protector </w:t>
                                  </w:r>
                                  <w:proofErr w:type="spellStart"/>
                                  <w:r>
                                    <w:rPr>
                                      <w:lang w:val="en-IN"/>
                                    </w:rPr>
                                    <w:t>interno</w:t>
                                  </w:r>
                                  <w:proofErr w:type="spellEnd"/>
                                  <w:r>
                                    <w:rPr>
                                      <w:lang w:val="en-IN"/>
                                    </w:rPr>
                                    <w:t xml:space="preserve"> de la </w:t>
                                  </w:r>
                                  <w:proofErr w:type="spellStart"/>
                                  <w:r>
                                    <w:rPr>
                                      <w:lang w:val="en-IN"/>
                                    </w:rPr>
                                    <w:t>aguja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C5A3E" id="_x0000_s1035" type="#_x0000_t202" style="position:absolute;margin-left:201.5pt;margin-top:1.15pt;width:132.75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" stroked="f">
                      <v:textbox>
                        <w:txbxContent>
                          <w:p w14:paraId="007A5DB2" w14:textId="77777777" w:rsidR="001E4373" w:rsidRPr="005B70F4" w:rsidRDefault="001E4373" w:rsidP="0049067C">
                            <w:pPr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 xml:space="preserve">Protector </w:t>
                            </w:r>
                            <w:proofErr w:type="spellStart"/>
                            <w:r>
                              <w:rPr>
                                <w:lang w:val="en-IN"/>
                              </w:rPr>
                              <w:t>interno</w:t>
                            </w:r>
                            <w:proofErr w:type="spellEnd"/>
                            <w:r>
                              <w:rPr>
                                <w:lang w:val="en-IN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lang w:val="en-IN"/>
                              </w:rPr>
                              <w:t>aguja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067C" w:rsidRPr="00BD0030">
              <w:rPr>
                <w:rFonts w:ascii="Arial" w:hAnsi="Arial" w:cs="Arial"/>
                <w:lang w:val="pt-PT"/>
              </w:rPr>
              <w:t xml:space="preserve">                  </w:t>
            </w:r>
            <w:r w:rsidRPr="0049067C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C45445F" wp14:editId="785CCD0C">
                  <wp:extent cx="457200" cy="66865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067C" w:rsidRPr="00BD0030">
              <w:rPr>
                <w:rFonts w:ascii="Arial" w:hAnsi="Arial" w:cs="Arial"/>
                <w:lang w:val="pt-PT"/>
              </w:rPr>
              <w:t xml:space="preserve">               </w:t>
            </w:r>
            <w:r w:rsidRPr="0049067C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B332BB7" wp14:editId="1520C3C1">
                  <wp:extent cx="609600" cy="66040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067C" w:rsidRPr="00037D55">
              <w:rPr>
                <w:rFonts w:ascii="Arial" w:hAnsi="Arial" w:cs="Arial"/>
                <w:lang w:val="pt-PT"/>
              </w:rPr>
              <w:t xml:space="preserve">                          </w:t>
            </w:r>
            <w:r w:rsidRPr="0049067C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5028667" wp14:editId="6CEAD53D">
                  <wp:extent cx="414655" cy="48260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067C" w:rsidRPr="00037D55">
              <w:rPr>
                <w:rFonts w:ascii="Arial" w:hAnsi="Arial" w:cs="Arial"/>
                <w:lang w:val="pt-PT"/>
              </w:rPr>
              <w:t xml:space="preserve">                                     </w:t>
            </w:r>
            <w:r w:rsidRPr="0049067C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8036B5E" wp14:editId="063A9F56">
                  <wp:extent cx="744855" cy="575945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69222B" w14:textId="77777777" w:rsidR="0049067C" w:rsidRPr="00037D55" w:rsidRDefault="0049067C" w:rsidP="0049067C">
            <w:pPr>
              <w:rPr>
                <w:rFonts w:ascii="Arial" w:hAnsi="Arial" w:cs="Arial"/>
                <w:b/>
                <w:lang w:val="pt-PT"/>
              </w:rPr>
            </w:pPr>
          </w:p>
          <w:p w14:paraId="6950C7C7" w14:textId="77777777" w:rsidR="00974604" w:rsidRPr="00974604" w:rsidRDefault="0049067C" w:rsidP="00974604">
            <w:pPr>
              <w:rPr>
                <w:rFonts w:ascii="Arial" w:hAnsi="Arial" w:cs="Arial"/>
              </w:rPr>
            </w:pPr>
            <w:r w:rsidRPr="00974604">
              <w:rPr>
                <w:rFonts w:ascii="Arial" w:hAnsi="Arial" w:cs="Arial"/>
              </w:rPr>
              <w:t>*</w:t>
            </w:r>
            <w:r w:rsidR="00B87458" w:rsidRPr="00974604">
              <w:rPr>
                <w:rFonts w:ascii="Arial" w:hAnsi="Arial" w:cs="Arial"/>
              </w:rPr>
              <w:t>Las agujas no están incluidas.</w:t>
            </w:r>
            <w:r w:rsidR="00974604" w:rsidRPr="00974604">
              <w:rPr>
                <w:rFonts w:ascii="Arial" w:hAnsi="Arial" w:cs="Arial"/>
              </w:rPr>
              <w:t xml:space="preserve"> </w:t>
            </w:r>
            <w:r w:rsidRPr="00974604">
              <w:rPr>
                <w:rFonts w:ascii="Arial" w:hAnsi="Arial" w:cs="Arial"/>
              </w:rPr>
              <w:t xml:space="preserve"> </w:t>
            </w:r>
            <w:r w:rsidR="00974604" w:rsidRPr="00974604">
              <w:rPr>
                <w:rFonts w:ascii="Arial" w:hAnsi="Arial" w:cs="Arial"/>
              </w:rPr>
              <w:t>Se pueden utilizar las agujas para pluma de calibre 31, de 5 mm de longitud.</w:t>
            </w:r>
            <w:r w:rsidR="00974604">
              <w:rPr>
                <w:rFonts w:ascii="Arial" w:hAnsi="Arial" w:cs="Arial"/>
              </w:rPr>
              <w:t xml:space="preserve"> Consulte a su médico o farmacéutico qué calibre y longitud son los más adecuados para usted</w:t>
            </w:r>
            <w:r w:rsidR="00A72813">
              <w:rPr>
                <w:rFonts w:ascii="Arial" w:hAnsi="Arial" w:cs="Arial"/>
              </w:rPr>
              <w:t>.</w:t>
            </w:r>
          </w:p>
          <w:p w14:paraId="5B0D01EC" w14:textId="77777777" w:rsidR="0049067C" w:rsidRPr="00037D55" w:rsidRDefault="0049067C" w:rsidP="0049067C">
            <w:pPr>
              <w:rPr>
                <w:rFonts w:ascii="Arial" w:hAnsi="Arial" w:cs="Arial"/>
                <w:b/>
                <w:lang w:val="pt-PT"/>
              </w:rPr>
            </w:pPr>
          </w:p>
        </w:tc>
      </w:tr>
    </w:tbl>
    <w:p w14:paraId="797040D2" w14:textId="77777777" w:rsidR="0049067C" w:rsidRPr="00037D55" w:rsidRDefault="0049067C" w:rsidP="001D68B8">
      <w:pPr>
        <w:rPr>
          <w:rFonts w:ascii="Arial" w:hAnsi="Arial" w:cs="Arial"/>
          <w:lang w:val="pt-PT"/>
        </w:rPr>
      </w:pPr>
    </w:p>
    <w:p w14:paraId="6273BC76" w14:textId="77777777" w:rsidR="001D68B8" w:rsidRDefault="001D68B8" w:rsidP="0039600A">
      <w:pPr>
        <w:keepNext/>
        <w:rPr>
          <w:bCs/>
          <w:sz w:val="22"/>
          <w:szCs w:val="22"/>
        </w:rPr>
      </w:pPr>
      <w:r w:rsidRPr="00051977">
        <w:rPr>
          <w:bCs/>
          <w:sz w:val="22"/>
          <w:szCs w:val="22"/>
        </w:rPr>
        <w:t xml:space="preserve">Lávese siempre las manos antes de cada inyección. Prepare el lugar de inyección tal como le haya indicado su </w:t>
      </w:r>
      <w:r w:rsidR="0052376C" w:rsidRPr="00051977">
        <w:rPr>
          <w:bCs/>
          <w:sz w:val="22"/>
          <w:szCs w:val="22"/>
        </w:rPr>
        <w:t>médico o farmacéutico</w:t>
      </w:r>
      <w:r w:rsidRPr="00051977">
        <w:rPr>
          <w:bCs/>
          <w:sz w:val="22"/>
          <w:szCs w:val="22"/>
        </w:rPr>
        <w:t>.</w:t>
      </w:r>
    </w:p>
    <w:p w14:paraId="0D11E498" w14:textId="77777777" w:rsidR="00051977" w:rsidRPr="00BD0030" w:rsidRDefault="00051977" w:rsidP="0005197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pt-PT"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051977" w:rsidRPr="00051977" w14:paraId="5ECA3AB2" w14:textId="77777777" w:rsidTr="00D05C05">
        <w:tc>
          <w:tcPr>
            <w:tcW w:w="6487" w:type="dxa"/>
            <w:shd w:val="clear" w:color="auto" w:fill="auto"/>
          </w:tcPr>
          <w:p w14:paraId="027B5A03" w14:textId="77777777" w:rsidR="00051977" w:rsidRPr="008E3F08" w:rsidRDefault="008E3F08" w:rsidP="0005197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  <w:lang w:bidi="ml-IN"/>
              </w:rPr>
            </w:pPr>
            <w:r w:rsidRPr="008E3F08">
              <w:rPr>
                <w:rFonts w:eastAsia="Calibri"/>
                <w:b/>
                <w:sz w:val="22"/>
                <w:szCs w:val="22"/>
                <w:lang w:bidi="ml-IN"/>
              </w:rPr>
              <w:t xml:space="preserve">Paso </w:t>
            </w:r>
            <w:r w:rsidR="00051977" w:rsidRPr="008E3F08">
              <w:rPr>
                <w:rFonts w:eastAsia="Calibri"/>
                <w:b/>
                <w:sz w:val="22"/>
                <w:szCs w:val="22"/>
                <w:lang w:bidi="ml-IN"/>
              </w:rPr>
              <w:t xml:space="preserve">1 </w:t>
            </w:r>
            <w:r w:rsidRPr="008E3F08">
              <w:rPr>
                <w:rFonts w:eastAsia="Calibri"/>
                <w:b/>
                <w:sz w:val="22"/>
                <w:szCs w:val="22"/>
                <w:lang w:bidi="ml-IN"/>
              </w:rPr>
              <w:t>Retire el capuchón blanco</w:t>
            </w:r>
            <w:r w:rsidRPr="008E3F08" w:rsidDel="008E3F08">
              <w:rPr>
                <w:rFonts w:eastAsia="Calibri"/>
                <w:b/>
                <w:sz w:val="22"/>
                <w:szCs w:val="22"/>
                <w:lang w:bidi="ml-IN"/>
              </w:rPr>
              <w:t xml:space="preserve"> </w:t>
            </w:r>
          </w:p>
          <w:p w14:paraId="5138E0CF" w14:textId="77777777" w:rsidR="00051977" w:rsidRPr="00051977" w:rsidRDefault="00DE56FE" w:rsidP="00051977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val="en-IN" w:eastAsia="en-IN"/>
              </w:rPr>
            </w:pPr>
            <w:r w:rsidRPr="00051977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w:drawing>
                <wp:inline distT="0" distB="0" distL="0" distR="0" wp14:anchorId="11FF63D6" wp14:editId="0DA5C80F">
                  <wp:extent cx="1532255" cy="567055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153621" w14:textId="77777777" w:rsidR="00051977" w:rsidRPr="00051977" w:rsidRDefault="008E3F08" w:rsidP="008E3F08">
            <w:pPr>
              <w:autoSpaceDE w:val="0"/>
              <w:autoSpaceDN w:val="0"/>
              <w:adjustRightInd w:val="0"/>
              <w:rPr>
                <w:rFonts w:ascii="Calibri" w:eastAsia="Calibri" w:hAnsi="Calibri"/>
                <w:noProof/>
                <w:sz w:val="22"/>
                <w:szCs w:val="22"/>
                <w:lang w:eastAsia="en-IN"/>
              </w:rPr>
            </w:pPr>
            <w:r w:rsidRPr="008E3F08">
              <w:rPr>
                <w:rFonts w:ascii="Calibri" w:eastAsia="Calibri" w:hAnsi="Calibri"/>
                <w:noProof/>
                <w:sz w:val="22"/>
                <w:szCs w:val="22"/>
                <w:lang w:eastAsia="en-IN"/>
              </w:rPr>
              <w:t>Retire el capuchón blanco tirando de él hacia fuera de la p</w:t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IN"/>
              </w:rPr>
              <w:t>l</w:t>
            </w:r>
            <w:r w:rsidRPr="008E3F08">
              <w:rPr>
                <w:rFonts w:ascii="Calibri" w:eastAsia="Calibri" w:hAnsi="Calibri"/>
                <w:noProof/>
                <w:sz w:val="22"/>
                <w:szCs w:val="22"/>
                <w:lang w:eastAsia="en-IN"/>
              </w:rPr>
              <w:t>uma</w:t>
            </w:r>
          </w:p>
        </w:tc>
      </w:tr>
    </w:tbl>
    <w:p w14:paraId="0F3AAD09" w14:textId="77777777" w:rsidR="00051977" w:rsidRDefault="00051977" w:rsidP="0005197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bidi="ml-IN"/>
        </w:rPr>
      </w:pPr>
    </w:p>
    <w:p w14:paraId="590CFB19" w14:textId="77777777" w:rsidR="00020539" w:rsidRPr="00D05C05" w:rsidRDefault="00020539" w:rsidP="0002053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bidi="ml-I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20539" w:rsidRPr="00020539" w14:paraId="25DA53D2" w14:textId="77777777" w:rsidTr="00596FE2">
        <w:trPr>
          <w:trHeight w:val="2826"/>
        </w:trPr>
        <w:tc>
          <w:tcPr>
            <w:tcW w:w="9747" w:type="dxa"/>
            <w:shd w:val="clear" w:color="auto" w:fill="auto"/>
          </w:tcPr>
          <w:p w14:paraId="6209DD33" w14:textId="77777777" w:rsidR="00020539" w:rsidRPr="00D05C05" w:rsidRDefault="00DE56FE" w:rsidP="0002053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  <w:lang w:bidi="ml-IN"/>
              </w:rPr>
            </w:pPr>
            <w:r>
              <w:rPr>
                <w:rFonts w:eastAsia="Calibri"/>
                <w:b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F8AD95" wp14:editId="7E280790">
                      <wp:simplePos x="0" y="0"/>
                      <wp:positionH relativeFrom="column">
                        <wp:posOffset>4389755</wp:posOffset>
                      </wp:positionH>
                      <wp:positionV relativeFrom="paragraph">
                        <wp:posOffset>80645</wp:posOffset>
                      </wp:positionV>
                      <wp:extent cx="1709420" cy="241300"/>
                      <wp:effectExtent l="0" t="0" r="0" b="0"/>
                      <wp:wrapNone/>
                      <wp:docPr id="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942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BB7CCB" w14:textId="77777777" w:rsidR="001E4373" w:rsidRPr="00B87458" w:rsidRDefault="001E4373" w:rsidP="00097FDB">
                                  <w:r w:rsidRPr="00B87458">
                                    <w:t xml:space="preserve">Capucha externa de la aguja </w:t>
                                  </w:r>
                                  <w:proofErr w:type="spellStart"/>
                                  <w:r w:rsidRPr="00B87458">
                                    <w:t>Needle</w:t>
                                  </w:r>
                                  <w:proofErr w:type="spellEnd"/>
                                  <w:r w:rsidRPr="00B87458">
                                    <w:t xml:space="preserve"> </w:t>
                                  </w:r>
                                  <w:proofErr w:type="spellStart"/>
                                  <w:r w:rsidRPr="00B87458">
                                    <w:t>Cover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8AD95" id="_x0000_s1036" type="#_x0000_t202" style="position:absolute;left:0;text-align:left;margin-left:345.65pt;margin-top:6.35pt;width:134.6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ilhQIAABg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" stroked="f">
                      <v:textbox>
                        <w:txbxContent>
                          <w:p w14:paraId="64BB7CCB" w14:textId="77777777" w:rsidR="001E4373" w:rsidRPr="00B87458" w:rsidRDefault="001E4373" w:rsidP="00097FDB">
                            <w:r w:rsidRPr="00B87458">
                              <w:t xml:space="preserve">Capucha externa de la aguja </w:t>
                            </w:r>
                            <w:proofErr w:type="spellStart"/>
                            <w:r w:rsidRPr="00B87458">
                              <w:t>Needle</w:t>
                            </w:r>
                            <w:proofErr w:type="spellEnd"/>
                            <w:r w:rsidRPr="00B87458">
                              <w:t xml:space="preserve"> </w:t>
                            </w:r>
                            <w:proofErr w:type="spellStart"/>
                            <w:r w:rsidRPr="00B87458">
                              <w:t>Cover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3F08" w:rsidRPr="00D05C05">
              <w:rPr>
                <w:rFonts w:eastAsia="Calibri"/>
                <w:b/>
                <w:sz w:val="22"/>
                <w:szCs w:val="22"/>
                <w:lang w:bidi="ml-IN"/>
              </w:rPr>
              <w:t xml:space="preserve">Paso </w:t>
            </w:r>
            <w:r w:rsidR="00020539" w:rsidRPr="00D05C05">
              <w:rPr>
                <w:rFonts w:eastAsia="Calibri"/>
                <w:b/>
                <w:sz w:val="22"/>
                <w:szCs w:val="22"/>
                <w:lang w:bidi="ml-IN"/>
              </w:rPr>
              <w:t xml:space="preserve">2 </w:t>
            </w:r>
            <w:r w:rsidR="008E3F08" w:rsidRPr="00D05C05">
              <w:rPr>
                <w:rFonts w:eastAsia="Calibri"/>
                <w:b/>
                <w:sz w:val="22"/>
                <w:szCs w:val="22"/>
                <w:lang w:bidi="ml-IN"/>
              </w:rPr>
              <w:t>Coloque la aguja</w:t>
            </w:r>
          </w:p>
          <w:p w14:paraId="07AF672B" w14:textId="77777777" w:rsidR="00020539" w:rsidRPr="00D05C05" w:rsidRDefault="00020539" w:rsidP="0002053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  <w:lang w:bidi="ml-IN"/>
              </w:rPr>
            </w:pPr>
          </w:p>
          <w:p w14:paraId="6F1593EA" w14:textId="77777777" w:rsidR="00020539" w:rsidRPr="00D05C05" w:rsidRDefault="008E3F08" w:rsidP="00020539">
            <w:pPr>
              <w:autoSpaceDE w:val="0"/>
              <w:autoSpaceDN w:val="0"/>
              <w:adjustRightInd w:val="0"/>
              <w:rPr>
                <w:rFonts w:ascii="Calibri" w:eastAsia="Calibri" w:hAnsi="Calibri"/>
                <w:noProof/>
                <w:sz w:val="22"/>
                <w:szCs w:val="22"/>
                <w:lang w:eastAsia="en-IN"/>
              </w:rPr>
            </w:pPr>
            <w:r w:rsidRPr="00D05C05">
              <w:rPr>
                <w:rFonts w:eastAsia="Calibri"/>
                <w:noProof/>
                <w:sz w:val="22"/>
                <w:szCs w:val="22"/>
                <w:lang w:eastAsia="en-IN"/>
              </w:rPr>
              <w:t>a)</w:t>
            </w:r>
            <w:r w:rsidR="00DE56FE" w:rsidRPr="00020539">
              <w:rPr>
                <w:rFonts w:eastAsia="Calibri"/>
                <w:noProof/>
                <w:sz w:val="22"/>
                <w:szCs w:val="22"/>
                <w:lang w:val="en-US"/>
              </w:rPr>
              <w:drawing>
                <wp:inline distT="0" distB="0" distL="0" distR="0" wp14:anchorId="60B728BB" wp14:editId="6DA26CDE">
                  <wp:extent cx="1016000" cy="626745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0539" w:rsidRPr="00D05C05">
              <w:rPr>
                <w:rFonts w:ascii="Calibri" w:eastAsia="Calibri" w:hAnsi="Calibri"/>
                <w:noProof/>
                <w:sz w:val="22"/>
                <w:szCs w:val="22"/>
                <w:lang w:eastAsia="en-IN"/>
              </w:rPr>
              <w:t xml:space="preserve">         </w:t>
            </w:r>
            <w:r w:rsidRPr="00D05C05">
              <w:rPr>
                <w:rFonts w:eastAsia="Calibri"/>
                <w:noProof/>
                <w:sz w:val="22"/>
                <w:szCs w:val="22"/>
                <w:lang w:eastAsia="en-IN"/>
              </w:rPr>
              <w:t>b)</w:t>
            </w:r>
            <w:r w:rsidR="00DE56FE" w:rsidRPr="00020539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w:drawing>
                <wp:inline distT="0" distB="0" distL="0" distR="0" wp14:anchorId="0B375FD0" wp14:editId="6663560C">
                  <wp:extent cx="1278255" cy="617855"/>
                  <wp:effectExtent l="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55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0539" w:rsidRPr="00D05C05">
              <w:rPr>
                <w:rFonts w:ascii="Calibri" w:eastAsia="Calibri" w:hAnsi="Calibri"/>
                <w:noProof/>
                <w:sz w:val="22"/>
                <w:szCs w:val="22"/>
                <w:lang w:eastAsia="en-IN"/>
              </w:rPr>
              <w:t xml:space="preserve">          </w:t>
            </w:r>
            <w:r w:rsidRPr="00D05C05">
              <w:rPr>
                <w:rFonts w:eastAsia="Calibri"/>
                <w:noProof/>
                <w:sz w:val="22"/>
                <w:szCs w:val="22"/>
                <w:lang w:eastAsia="en-IN"/>
              </w:rPr>
              <w:t>c)</w:t>
            </w:r>
            <w:r w:rsidR="00DE56FE" w:rsidRPr="00020539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w:drawing>
                <wp:inline distT="0" distB="0" distL="0" distR="0" wp14:anchorId="0BE90000" wp14:editId="04B1BA39">
                  <wp:extent cx="1252855" cy="660400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0539" w:rsidRPr="00D05C05">
              <w:rPr>
                <w:rFonts w:ascii="Calibri" w:eastAsia="Calibri" w:hAnsi="Calibri"/>
                <w:noProof/>
                <w:sz w:val="22"/>
                <w:szCs w:val="22"/>
                <w:lang w:eastAsia="en-IN"/>
              </w:rPr>
              <w:t xml:space="preserve">         </w:t>
            </w:r>
            <w:r w:rsidRPr="00D05C05">
              <w:rPr>
                <w:rFonts w:eastAsia="Calibri"/>
                <w:noProof/>
                <w:sz w:val="22"/>
                <w:szCs w:val="22"/>
                <w:lang w:eastAsia="en-IN"/>
              </w:rPr>
              <w:t>d)</w:t>
            </w:r>
            <w:r w:rsidR="00DE56FE" w:rsidRPr="00020539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w:drawing>
                <wp:inline distT="0" distB="0" distL="0" distR="0" wp14:anchorId="3141D55B" wp14:editId="45A2C3D3">
                  <wp:extent cx="1143000" cy="728345"/>
                  <wp:effectExtent l="0" t="0" r="0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3B6BE9" w14:textId="1CA55BA0" w:rsidR="00F91218" w:rsidRDefault="00020539" w:rsidP="008E3F0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bidi="ml-IN"/>
              </w:rPr>
            </w:pPr>
            <w:r w:rsidRPr="00020539">
              <w:rPr>
                <w:rFonts w:eastAsia="Calibri"/>
                <w:sz w:val="22"/>
                <w:szCs w:val="22"/>
                <w:lang w:bidi="ml-IN"/>
              </w:rPr>
              <w:t>Retire la lengüeta de            Coloque la aguja                     Enrosque la agu</w:t>
            </w:r>
            <w:r>
              <w:rPr>
                <w:rFonts w:eastAsia="Calibri"/>
                <w:sz w:val="22"/>
                <w:szCs w:val="22"/>
                <w:lang w:bidi="ml-IN"/>
              </w:rPr>
              <w:t xml:space="preserve">ja </w:t>
            </w:r>
            <w:r w:rsidR="00F91218">
              <w:rPr>
                <w:rFonts w:eastAsia="Calibri"/>
                <w:sz w:val="22"/>
                <w:szCs w:val="22"/>
                <w:lang w:bidi="ml-IN"/>
              </w:rPr>
              <w:t xml:space="preserve">                Retire la capucha</w:t>
            </w:r>
          </w:p>
          <w:p w14:paraId="626D430E" w14:textId="3388528B" w:rsidR="00F91218" w:rsidRDefault="00F91218" w:rsidP="008E3F0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bidi="ml-IN"/>
              </w:rPr>
            </w:pPr>
            <w:r>
              <w:rPr>
                <w:rFonts w:eastAsia="Calibri"/>
                <w:sz w:val="22"/>
                <w:szCs w:val="22"/>
                <w:lang w:bidi="ml-IN"/>
              </w:rPr>
              <w:t xml:space="preserve">papel.                                    Presionándola                         en sentido de las agujas       externa </w:t>
            </w:r>
            <w:r w:rsidRPr="008E3F08">
              <w:rPr>
                <w:rFonts w:eastAsia="Calibri"/>
                <w:sz w:val="22"/>
                <w:szCs w:val="22"/>
                <w:lang w:bidi="ml-IN"/>
              </w:rPr>
              <w:t>de la aguja</w:t>
            </w:r>
          </w:p>
          <w:p w14:paraId="29D87A29" w14:textId="535AFFC2" w:rsidR="008E3F08" w:rsidRPr="008E3F08" w:rsidRDefault="00F912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bidi="ml-IN"/>
              </w:rPr>
            </w:pPr>
            <w:r>
              <w:rPr>
                <w:rFonts w:eastAsia="Calibri"/>
                <w:b/>
                <w:sz w:val="22"/>
                <w:szCs w:val="22"/>
                <w:lang w:bidi="ml-IN"/>
              </w:rPr>
              <w:t xml:space="preserve">                                             </w:t>
            </w:r>
            <w:r w:rsidRPr="00020539">
              <w:rPr>
                <w:rFonts w:eastAsia="Calibri"/>
                <w:b/>
                <w:sz w:val="22"/>
                <w:szCs w:val="22"/>
                <w:lang w:bidi="ml-IN"/>
              </w:rPr>
              <w:t xml:space="preserve">directamente </w:t>
            </w:r>
            <w:r>
              <w:rPr>
                <w:rFonts w:eastAsia="Calibri"/>
                <w:sz w:val="22"/>
                <w:szCs w:val="22"/>
                <w:lang w:bidi="ml-IN"/>
              </w:rPr>
              <w:t xml:space="preserve">sobre el            del reloj </w:t>
            </w:r>
            <w:r w:rsidR="00020539">
              <w:rPr>
                <w:rFonts w:eastAsia="Calibri"/>
                <w:sz w:val="22"/>
                <w:szCs w:val="22"/>
                <w:lang w:bidi="ml-IN"/>
              </w:rPr>
              <w:t>hasta</w:t>
            </w:r>
            <w:r>
              <w:rPr>
                <w:rFonts w:eastAsia="Calibri"/>
                <w:sz w:val="22"/>
                <w:szCs w:val="22"/>
                <w:lang w:bidi="ml-IN"/>
              </w:rPr>
              <w:t xml:space="preserve"> </w:t>
            </w:r>
            <w:r w:rsidR="00020539">
              <w:rPr>
                <w:rFonts w:eastAsia="Calibri"/>
                <w:sz w:val="22"/>
                <w:szCs w:val="22"/>
                <w:lang w:bidi="ml-IN"/>
              </w:rPr>
              <w:t xml:space="preserve">que quede      </w:t>
            </w:r>
            <w:r>
              <w:rPr>
                <w:rFonts w:eastAsia="Calibri"/>
                <w:sz w:val="22"/>
                <w:szCs w:val="22"/>
                <w:lang w:bidi="ml-IN"/>
              </w:rPr>
              <w:t xml:space="preserve">y </w:t>
            </w:r>
            <w:r w:rsidRPr="00020539">
              <w:rPr>
                <w:rFonts w:eastAsia="Calibri"/>
                <w:b/>
                <w:sz w:val="22"/>
                <w:szCs w:val="22"/>
                <w:lang w:bidi="ml-IN"/>
              </w:rPr>
              <w:t>consérvela.</w:t>
            </w:r>
            <w:r w:rsidRPr="00020539">
              <w:rPr>
                <w:rFonts w:eastAsia="Calibri"/>
                <w:sz w:val="22"/>
                <w:szCs w:val="22"/>
                <w:lang w:bidi="ml-IN"/>
              </w:rPr>
              <w:t xml:space="preserve">     </w:t>
            </w:r>
          </w:p>
          <w:p w14:paraId="70D33E00" w14:textId="1A6F073C" w:rsidR="00020539" w:rsidRDefault="00020539" w:rsidP="0002053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bidi="ml-IN"/>
              </w:rPr>
            </w:pPr>
            <w:r w:rsidRPr="00020539">
              <w:rPr>
                <w:rFonts w:eastAsia="Calibri"/>
                <w:sz w:val="22"/>
                <w:szCs w:val="22"/>
                <w:lang w:bidi="ml-IN"/>
              </w:rPr>
              <w:t xml:space="preserve">          </w:t>
            </w:r>
            <w:r>
              <w:rPr>
                <w:rFonts w:eastAsia="Calibri"/>
                <w:sz w:val="22"/>
                <w:szCs w:val="22"/>
                <w:lang w:bidi="ml-IN"/>
              </w:rPr>
              <w:t xml:space="preserve">                               </w:t>
            </w:r>
            <w:r w:rsidR="008E3F08">
              <w:rPr>
                <w:rFonts w:eastAsia="Calibri"/>
                <w:sz w:val="22"/>
                <w:szCs w:val="22"/>
                <w:lang w:bidi="ml-IN"/>
              </w:rPr>
              <w:t xml:space="preserve">   </w:t>
            </w:r>
            <w:r>
              <w:rPr>
                <w:rFonts w:eastAsia="Calibri"/>
                <w:sz w:val="22"/>
                <w:szCs w:val="22"/>
                <w:lang w:bidi="ml-IN"/>
              </w:rPr>
              <w:t xml:space="preserve"> </w:t>
            </w:r>
            <w:r w:rsidR="00F91218" w:rsidRPr="00020539">
              <w:rPr>
                <w:rFonts w:eastAsia="Calibri"/>
                <w:sz w:val="22"/>
                <w:szCs w:val="22"/>
                <w:lang w:bidi="ml-IN"/>
              </w:rPr>
              <w:t>cartucho del medicamento</w:t>
            </w:r>
            <w:r w:rsidR="00F91218">
              <w:rPr>
                <w:rFonts w:eastAsia="Calibri"/>
                <w:sz w:val="22"/>
                <w:szCs w:val="22"/>
                <w:lang w:bidi="ml-IN"/>
              </w:rPr>
              <w:t xml:space="preserve">.     perfectamente </w:t>
            </w:r>
            <w:r>
              <w:rPr>
                <w:rFonts w:eastAsia="Calibri"/>
                <w:sz w:val="22"/>
                <w:szCs w:val="22"/>
                <w:lang w:bidi="ml-IN"/>
              </w:rPr>
              <w:t xml:space="preserve">fijada.                                    </w:t>
            </w:r>
          </w:p>
          <w:p w14:paraId="72FE6E4C" w14:textId="3075536D" w:rsidR="00020539" w:rsidRPr="00020539" w:rsidRDefault="00020539" w:rsidP="0002053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bidi="ml-IN"/>
              </w:rPr>
            </w:pPr>
            <w:r w:rsidRPr="00020539">
              <w:rPr>
                <w:rFonts w:eastAsia="Calibri"/>
                <w:sz w:val="22"/>
                <w:szCs w:val="22"/>
                <w:lang w:bidi="ml-IN"/>
              </w:rPr>
              <w:t xml:space="preserve">                                             </w:t>
            </w:r>
          </w:p>
        </w:tc>
      </w:tr>
    </w:tbl>
    <w:p w14:paraId="43CE5CA8" w14:textId="77777777" w:rsidR="00A63B62" w:rsidRPr="00037D55" w:rsidRDefault="00A63B62" w:rsidP="00A63B62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val="pt-PT"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A63B62" w:rsidRPr="00A63B62" w14:paraId="08369654" w14:textId="77777777" w:rsidTr="007C757B">
        <w:tc>
          <w:tcPr>
            <w:tcW w:w="10706" w:type="dxa"/>
            <w:shd w:val="clear" w:color="auto" w:fill="auto"/>
          </w:tcPr>
          <w:p w14:paraId="5EC569CD" w14:textId="77777777" w:rsidR="00A63B62" w:rsidRPr="00D05C05" w:rsidRDefault="001E57A3" w:rsidP="00A63B62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  <w:lang w:bidi="ml-IN"/>
              </w:rPr>
            </w:pPr>
            <w:r w:rsidRPr="00D05C05">
              <w:rPr>
                <w:rFonts w:eastAsia="Calibri"/>
                <w:b/>
                <w:sz w:val="22"/>
                <w:szCs w:val="22"/>
                <w:lang w:bidi="ml-IN"/>
              </w:rPr>
              <w:t xml:space="preserve">Paso </w:t>
            </w:r>
            <w:r w:rsidR="00A63B62" w:rsidRPr="00D05C05">
              <w:rPr>
                <w:rFonts w:eastAsia="Calibri"/>
                <w:b/>
                <w:sz w:val="22"/>
                <w:szCs w:val="22"/>
                <w:lang w:bidi="ml-IN"/>
              </w:rPr>
              <w:t xml:space="preserve">3 </w:t>
            </w:r>
            <w:r w:rsidRPr="00D05C05">
              <w:rPr>
                <w:rFonts w:eastAsia="Calibri"/>
                <w:b/>
                <w:sz w:val="22"/>
                <w:szCs w:val="22"/>
                <w:lang w:bidi="ml-IN"/>
              </w:rPr>
              <w:t>Ajuste la dosis</w:t>
            </w:r>
          </w:p>
          <w:p w14:paraId="5678D655" w14:textId="77777777" w:rsidR="00A63B62" w:rsidRPr="00D05C05" w:rsidRDefault="00DE56FE" w:rsidP="00A63B62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noProof/>
                <w:sz w:val="22"/>
                <w:szCs w:val="22"/>
                <w:lang w:eastAsia="en-IN"/>
              </w:rPr>
            </w:pPr>
            <w:r w:rsidRPr="00A63B62">
              <w:rPr>
                <w:rFonts w:ascii="Calibri" w:eastAsia="Calibri" w:hAnsi="Calibri" w:cs="Kartika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3F3F3C" wp14:editId="6569A282">
                      <wp:simplePos x="0" y="0"/>
                      <wp:positionH relativeFrom="column">
                        <wp:posOffset>3857625</wp:posOffset>
                      </wp:positionH>
                      <wp:positionV relativeFrom="paragraph">
                        <wp:posOffset>151765</wp:posOffset>
                      </wp:positionV>
                      <wp:extent cx="1501140" cy="383540"/>
                      <wp:effectExtent l="0" t="0" r="0" b="0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383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190430" w14:textId="77777777" w:rsidR="001E4373" w:rsidRDefault="001E4373" w:rsidP="00A63B62">
                                  <w:r>
                                    <w:t>P</w:t>
                                  </w:r>
                                  <w:r w:rsidRPr="00AB68F4">
                                    <w:t>rotector</w:t>
                                  </w:r>
                                  <w:r>
                                    <w:t xml:space="preserve"> interno de la aguja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03F3F3C" id="_x0000_s1037" type="#_x0000_t202" style="position:absolute;left:0;text-align:left;margin-left:303.75pt;margin-top:11.95pt;width:118.2pt;height:30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" stroked="f">
                      <v:textbox style="mso-fit-shape-to-text:t">
                        <w:txbxContent>
                          <w:p w14:paraId="02190430" w14:textId="77777777" w:rsidR="001E4373" w:rsidRDefault="001E4373" w:rsidP="00A63B62">
                            <w:r>
                              <w:t>P</w:t>
                            </w:r>
                            <w:r w:rsidRPr="00AB68F4">
                              <w:t>rotector</w:t>
                            </w:r>
                            <w:r>
                              <w:t xml:space="preserve"> interno de la aguja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63B62">
              <w:rPr>
                <w:rFonts w:ascii="Calibri" w:eastAsia="Calibri" w:hAnsi="Calibri" w:cs="Kartika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8C3A88" wp14:editId="3EAE3D10">
                      <wp:simplePos x="0" y="0"/>
                      <wp:positionH relativeFrom="column">
                        <wp:posOffset>2642235</wp:posOffset>
                      </wp:positionH>
                      <wp:positionV relativeFrom="paragraph">
                        <wp:posOffset>245110</wp:posOffset>
                      </wp:positionV>
                      <wp:extent cx="792480" cy="207010"/>
                      <wp:effectExtent l="0" t="0" r="0" b="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48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F91636" w14:textId="77777777" w:rsidR="001E4373" w:rsidRPr="00912337" w:rsidRDefault="001E4373" w:rsidP="00A63B62">
                                  <w:r>
                                    <w:t>Banda roja</w:t>
                                  </w:r>
                                </w:p>
                              </w:txbxContent>
                            </wps:txbx>
                            <wps:bodyPr rot="0" vert="horz" wrap="square" lIns="91440" tIns="18000" rIns="9144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C3A88" id="_x0000_s1038" type="#_x0000_t202" style="position:absolute;left:0;text-align:left;margin-left:208.05pt;margin-top:19.3pt;width:62.4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" stroked="f">
                      <v:textbox inset=",.5mm,,.5mm">
                        <w:txbxContent>
                          <w:p w14:paraId="3DF91636" w14:textId="77777777" w:rsidR="001E4373" w:rsidRPr="00912337" w:rsidRDefault="001E4373" w:rsidP="00A63B62">
                            <w:r>
                              <w:t>Banda roja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3B62" w:rsidRPr="00D05C05">
              <w:rPr>
                <w:rFonts w:ascii="Calibri" w:eastAsia="Calibri" w:hAnsi="Calibri"/>
                <w:noProof/>
                <w:sz w:val="22"/>
                <w:szCs w:val="22"/>
                <w:lang w:eastAsia="en-IN"/>
              </w:rPr>
              <w:t xml:space="preserve">           </w:t>
            </w:r>
            <w:r w:rsidR="001E57A3">
              <w:rPr>
                <w:rFonts w:eastAsia="Calibri"/>
                <w:noProof/>
                <w:sz w:val="22"/>
                <w:szCs w:val="22"/>
                <w:lang w:eastAsia="en-IN"/>
              </w:rPr>
              <w:t>e)</w:t>
            </w:r>
            <w:r w:rsidRPr="00A63B62">
              <w:rPr>
                <w:rFonts w:ascii="Calibri" w:eastAsia="Calibri" w:hAnsi="Calibri"/>
                <w:i/>
                <w:noProof/>
                <w:sz w:val="22"/>
                <w:szCs w:val="22"/>
                <w:lang w:val="en-US"/>
              </w:rPr>
              <w:drawing>
                <wp:inline distT="0" distB="0" distL="0" distR="0" wp14:anchorId="3D69577E" wp14:editId="0D4E5DF5">
                  <wp:extent cx="1397000" cy="1557655"/>
                  <wp:effectExtent l="0" t="0" r="0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55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3B62" w:rsidRPr="00D05C05">
              <w:rPr>
                <w:rFonts w:ascii="Calibri" w:eastAsia="Calibri" w:hAnsi="Calibri"/>
                <w:noProof/>
                <w:sz w:val="22"/>
                <w:szCs w:val="22"/>
                <w:lang w:eastAsia="en-IN"/>
              </w:rPr>
              <w:t xml:space="preserve">                   </w:t>
            </w:r>
            <w:r w:rsidR="001E57A3">
              <w:rPr>
                <w:rFonts w:eastAsia="Calibri"/>
                <w:noProof/>
                <w:sz w:val="22"/>
                <w:szCs w:val="22"/>
                <w:lang w:eastAsia="en-IN"/>
              </w:rPr>
              <w:t>f)</w:t>
            </w:r>
            <w:r w:rsidRPr="00A63B62">
              <w:rPr>
                <w:rFonts w:ascii="Calibri" w:eastAsia="Calibri" w:hAnsi="Calibri"/>
                <w:i/>
                <w:noProof/>
                <w:sz w:val="22"/>
                <w:szCs w:val="22"/>
                <w:lang w:val="en-US"/>
              </w:rPr>
              <w:drawing>
                <wp:inline distT="0" distB="0" distL="0" distR="0" wp14:anchorId="12774A09" wp14:editId="0560006F">
                  <wp:extent cx="1151255" cy="1033145"/>
                  <wp:effectExtent l="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25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3B62" w:rsidRPr="00D05C05">
              <w:rPr>
                <w:rFonts w:ascii="Calibri" w:eastAsia="Calibri" w:hAnsi="Calibri"/>
                <w:i/>
                <w:noProof/>
                <w:sz w:val="22"/>
                <w:szCs w:val="22"/>
                <w:lang w:eastAsia="en-IN"/>
              </w:rPr>
              <w:t xml:space="preserve">            </w:t>
            </w:r>
            <w:r w:rsidR="001E57A3">
              <w:rPr>
                <w:rFonts w:eastAsia="Calibri"/>
                <w:noProof/>
                <w:sz w:val="22"/>
                <w:szCs w:val="22"/>
                <w:lang w:eastAsia="en-IN"/>
              </w:rPr>
              <w:t>g)</w:t>
            </w:r>
            <w:r w:rsidRPr="00A63B62">
              <w:rPr>
                <w:rFonts w:ascii="Calibri" w:eastAsia="Calibri" w:hAnsi="Calibri"/>
                <w:i/>
                <w:noProof/>
                <w:sz w:val="22"/>
                <w:szCs w:val="22"/>
                <w:lang w:val="en-US"/>
              </w:rPr>
              <w:drawing>
                <wp:inline distT="0" distB="0" distL="0" distR="0" wp14:anchorId="4EFD4889" wp14:editId="65D4A208">
                  <wp:extent cx="1160145" cy="1176655"/>
                  <wp:effectExtent l="0" t="0" r="0" b="0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5DCE0" w14:textId="77777777" w:rsidR="00A63B62" w:rsidRPr="00A63B62" w:rsidRDefault="00A63B62" w:rsidP="00A63B62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bidi="ml-IN"/>
              </w:rPr>
            </w:pPr>
            <w:r w:rsidRPr="00A63B62">
              <w:rPr>
                <w:rFonts w:eastAsia="Calibri"/>
                <w:sz w:val="22"/>
                <w:szCs w:val="22"/>
                <w:lang w:bidi="ml-IN"/>
              </w:rPr>
              <w:t xml:space="preserve">             </w:t>
            </w:r>
            <w:r w:rsidRPr="00A63B62">
              <w:rPr>
                <w:rFonts w:eastAsia="Calibri"/>
                <w:b/>
                <w:sz w:val="22"/>
                <w:szCs w:val="22"/>
                <w:lang w:bidi="ml-IN"/>
              </w:rPr>
              <w:t xml:space="preserve"> Tire</w:t>
            </w:r>
            <w:r w:rsidRPr="00A63B62">
              <w:rPr>
                <w:rFonts w:eastAsia="Calibri"/>
                <w:sz w:val="22"/>
                <w:szCs w:val="22"/>
                <w:lang w:bidi="ml-IN"/>
              </w:rPr>
              <w:t xml:space="preserve"> del botón </w:t>
            </w:r>
            <w:r w:rsidR="001E57A3" w:rsidRPr="001E57A3">
              <w:rPr>
                <w:rFonts w:eastAsia="Calibri"/>
                <w:sz w:val="22"/>
                <w:szCs w:val="22"/>
                <w:lang w:bidi="ml-IN"/>
              </w:rPr>
              <w:t>de inyección</w:t>
            </w:r>
            <w:r w:rsidRPr="00A63B62">
              <w:rPr>
                <w:rFonts w:eastAsia="Calibri"/>
                <w:sz w:val="22"/>
                <w:szCs w:val="22"/>
                <w:lang w:bidi="ml-IN"/>
              </w:rPr>
              <w:t xml:space="preserve">          </w:t>
            </w:r>
            <w:r>
              <w:rPr>
                <w:rFonts w:eastAsia="Calibri"/>
                <w:sz w:val="22"/>
                <w:szCs w:val="22"/>
                <w:lang w:bidi="ml-IN"/>
              </w:rPr>
              <w:t xml:space="preserve"> </w:t>
            </w:r>
            <w:r w:rsidR="001E57A3">
              <w:rPr>
                <w:rFonts w:eastAsia="Calibri"/>
                <w:sz w:val="22"/>
                <w:szCs w:val="22"/>
                <w:lang w:bidi="ml-IN"/>
              </w:rPr>
              <w:t xml:space="preserve">  </w:t>
            </w:r>
            <w:r w:rsidRPr="00A63B62">
              <w:rPr>
                <w:rFonts w:eastAsia="Calibri"/>
                <w:b/>
                <w:sz w:val="22"/>
                <w:szCs w:val="22"/>
                <w:lang w:bidi="ml-IN"/>
              </w:rPr>
              <w:t>Asegúrese</w:t>
            </w:r>
            <w:r w:rsidRPr="00A63B62">
              <w:rPr>
                <w:rFonts w:eastAsia="Calibri"/>
                <w:sz w:val="22"/>
                <w:szCs w:val="22"/>
                <w:lang w:bidi="ml-IN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bidi="ml-IN"/>
              </w:rPr>
              <w:t xml:space="preserve">de que se ve </w:t>
            </w:r>
            <w:r w:rsidRPr="00A63B62">
              <w:rPr>
                <w:rFonts w:eastAsia="Calibri"/>
                <w:sz w:val="22"/>
                <w:szCs w:val="22"/>
                <w:lang w:bidi="ml-IN"/>
              </w:rPr>
              <w:t xml:space="preserve">    </w:t>
            </w:r>
            <w:r w:rsidR="001E57A3">
              <w:rPr>
                <w:rFonts w:eastAsia="Calibri"/>
                <w:sz w:val="22"/>
                <w:szCs w:val="22"/>
                <w:lang w:bidi="ml-IN"/>
              </w:rPr>
              <w:t xml:space="preserve"> </w:t>
            </w:r>
            <w:r w:rsidRPr="00A63B62">
              <w:rPr>
                <w:rFonts w:eastAsia="Calibri"/>
                <w:sz w:val="22"/>
                <w:szCs w:val="22"/>
                <w:lang w:bidi="ml-IN"/>
              </w:rPr>
              <w:t xml:space="preserve">    </w:t>
            </w:r>
            <w:r>
              <w:rPr>
                <w:rFonts w:eastAsia="Calibri"/>
                <w:sz w:val="22"/>
                <w:szCs w:val="22"/>
                <w:lang w:bidi="ml-IN"/>
              </w:rPr>
              <w:t>Retire el protector interno</w:t>
            </w:r>
            <w:r w:rsidRPr="00A63B62">
              <w:rPr>
                <w:rFonts w:eastAsia="Calibri"/>
                <w:sz w:val="22"/>
                <w:szCs w:val="22"/>
                <w:lang w:bidi="ml-IN"/>
              </w:rPr>
              <w:t xml:space="preserve">  </w:t>
            </w:r>
          </w:p>
          <w:p w14:paraId="02874D41" w14:textId="77777777" w:rsidR="00A63B62" w:rsidRPr="00A63B62" w:rsidRDefault="00A63B62" w:rsidP="00A63B6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bidi="ml-IN"/>
              </w:rPr>
            </w:pPr>
            <w:r w:rsidRPr="00A63B62">
              <w:rPr>
                <w:rFonts w:eastAsia="Calibri"/>
                <w:sz w:val="22"/>
                <w:szCs w:val="22"/>
                <w:lang w:bidi="ml-IN"/>
              </w:rPr>
              <w:t xml:space="preserve">              </w:t>
            </w:r>
            <w:r>
              <w:rPr>
                <w:rFonts w:eastAsia="Calibri"/>
                <w:sz w:val="22"/>
                <w:szCs w:val="22"/>
                <w:lang w:bidi="ml-IN"/>
              </w:rPr>
              <w:t xml:space="preserve">negro </w:t>
            </w:r>
            <w:r w:rsidRPr="00A63B62">
              <w:rPr>
                <w:rFonts w:eastAsia="Calibri"/>
                <w:b/>
                <w:sz w:val="22"/>
                <w:szCs w:val="22"/>
                <w:lang w:bidi="ml-IN"/>
              </w:rPr>
              <w:t>hasta que se detenga.</w:t>
            </w:r>
            <w:r w:rsidRPr="00A63B62">
              <w:rPr>
                <w:rFonts w:eastAsia="Calibri"/>
                <w:sz w:val="22"/>
                <w:szCs w:val="22"/>
                <w:lang w:bidi="ml-IN"/>
              </w:rPr>
              <w:t xml:space="preserve">            la banda roja.                          de la aguja y deséchelo. </w:t>
            </w:r>
          </w:p>
          <w:p w14:paraId="1BAB5BDB" w14:textId="77777777" w:rsidR="00A63B62" w:rsidRPr="00A63B62" w:rsidRDefault="00A63B62" w:rsidP="00A63B6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bidi="ml-IN"/>
              </w:rPr>
            </w:pPr>
            <w:r w:rsidRPr="00A63B62">
              <w:rPr>
                <w:rFonts w:eastAsia="Calibri"/>
                <w:i/>
                <w:sz w:val="22"/>
                <w:szCs w:val="22"/>
                <w:lang w:bidi="ml-IN"/>
              </w:rPr>
              <w:t xml:space="preserve"> </w:t>
            </w:r>
          </w:p>
          <w:p w14:paraId="17EF9E9B" w14:textId="77777777" w:rsidR="00A63B62" w:rsidRPr="00A63B62" w:rsidRDefault="00A63B62" w:rsidP="00A63B6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bidi="ml-IN"/>
              </w:rPr>
            </w:pPr>
            <w:r w:rsidRPr="00A63B62">
              <w:rPr>
                <w:rFonts w:eastAsia="Calibri"/>
                <w:sz w:val="22"/>
                <w:szCs w:val="22"/>
                <w:lang w:bidi="ml-IN"/>
              </w:rPr>
              <w:t>Si no puede tirar del botón de inyección negro             Nota: D</w:t>
            </w:r>
            <w:r>
              <w:rPr>
                <w:rFonts w:eastAsia="Calibri"/>
                <w:sz w:val="22"/>
                <w:szCs w:val="22"/>
                <w:lang w:bidi="ml-IN"/>
              </w:rPr>
              <w:t>espués de retirar el protector in</w:t>
            </w:r>
            <w:r w:rsidR="00A72813">
              <w:rPr>
                <w:rFonts w:eastAsia="Calibri"/>
                <w:sz w:val="22"/>
                <w:szCs w:val="22"/>
                <w:lang w:bidi="ml-IN"/>
              </w:rPr>
              <w:t>t</w:t>
            </w:r>
            <w:r>
              <w:rPr>
                <w:rFonts w:eastAsia="Calibri"/>
                <w:sz w:val="22"/>
                <w:szCs w:val="22"/>
                <w:lang w:bidi="ml-IN"/>
              </w:rPr>
              <w:t>erno de la</w:t>
            </w:r>
            <w:r w:rsidRPr="00A63B62">
              <w:rPr>
                <w:rFonts w:eastAsia="Calibri"/>
                <w:sz w:val="22"/>
                <w:szCs w:val="22"/>
                <w:lang w:bidi="ml-IN"/>
              </w:rPr>
              <w:t xml:space="preserve"> </w:t>
            </w:r>
          </w:p>
          <w:p w14:paraId="5EA453B5" w14:textId="77777777" w:rsidR="00D0576F" w:rsidRDefault="00D0576F" w:rsidP="00A63B62">
            <w:pPr>
              <w:autoSpaceDE w:val="0"/>
              <w:autoSpaceDN w:val="0"/>
              <w:adjustRightInd w:val="0"/>
              <w:ind w:left="4962" w:hanging="4962"/>
              <w:rPr>
                <w:rFonts w:eastAsia="Calibri"/>
                <w:i/>
                <w:sz w:val="22"/>
                <w:szCs w:val="22"/>
                <w:lang w:bidi="ml-IN"/>
              </w:rPr>
            </w:pPr>
            <w:r w:rsidRPr="006A16E7">
              <w:rPr>
                <w:sz w:val="22"/>
                <w:szCs w:val="22"/>
              </w:rPr>
              <w:t xml:space="preserve">vea la sección </w:t>
            </w:r>
            <w:r w:rsidRPr="006A16E7">
              <w:rPr>
                <w:i/>
                <w:sz w:val="22"/>
                <w:szCs w:val="22"/>
              </w:rPr>
              <w:t xml:space="preserve">Localización y Resolución de </w:t>
            </w:r>
            <w:r w:rsidR="00A63B62" w:rsidRPr="00A63B62">
              <w:rPr>
                <w:rFonts w:eastAsia="Calibri"/>
                <w:i/>
                <w:sz w:val="22"/>
                <w:szCs w:val="22"/>
                <w:lang w:bidi="ml-IN"/>
              </w:rPr>
              <w:t xml:space="preserve">               </w:t>
            </w:r>
            <w:r>
              <w:rPr>
                <w:rFonts w:eastAsia="Calibri"/>
                <w:sz w:val="22"/>
                <w:szCs w:val="22"/>
                <w:lang w:bidi="ml-IN"/>
              </w:rPr>
              <w:t xml:space="preserve">aguja, </w:t>
            </w:r>
            <w:r w:rsidRPr="00D0576F">
              <w:rPr>
                <w:rFonts w:eastAsia="Calibri"/>
                <w:sz w:val="22"/>
                <w:szCs w:val="22"/>
                <w:lang w:bidi="ml-IN"/>
              </w:rPr>
              <w:t>puede que vea gotas del medicamento</w:t>
            </w:r>
            <w:r w:rsidR="00A63B62" w:rsidRPr="00A63B62">
              <w:rPr>
                <w:rFonts w:eastAsia="Calibri"/>
                <w:i/>
                <w:sz w:val="22"/>
                <w:szCs w:val="22"/>
                <w:lang w:bidi="ml-IN"/>
              </w:rPr>
              <w:t xml:space="preserve"> </w:t>
            </w:r>
          </w:p>
          <w:p w14:paraId="612C37D2" w14:textId="77777777" w:rsidR="00D0576F" w:rsidRPr="00D0576F" w:rsidRDefault="00D0576F" w:rsidP="00D0576F">
            <w:pPr>
              <w:autoSpaceDE w:val="0"/>
              <w:autoSpaceDN w:val="0"/>
              <w:adjustRightInd w:val="0"/>
              <w:ind w:left="4962" w:hanging="4962"/>
              <w:rPr>
                <w:rFonts w:eastAsia="Calibri"/>
                <w:sz w:val="22"/>
                <w:szCs w:val="22"/>
                <w:lang w:bidi="ml-IN"/>
              </w:rPr>
            </w:pPr>
            <w:r w:rsidRPr="00037D55">
              <w:rPr>
                <w:rFonts w:eastAsia="Calibri"/>
                <w:i/>
                <w:sz w:val="22"/>
                <w:szCs w:val="22"/>
                <w:lang w:val="pt-PT" w:bidi="ml-IN"/>
              </w:rPr>
              <w:t xml:space="preserve">Problemas, Problema E.                                               </w:t>
            </w:r>
            <w:r w:rsidRPr="00D0576F">
              <w:rPr>
                <w:rFonts w:eastAsia="Calibri"/>
                <w:sz w:val="22"/>
                <w:szCs w:val="22"/>
                <w:lang w:bidi="ml-IN"/>
              </w:rPr>
              <w:t xml:space="preserve">saliendo de la aguja. Es normal y no afecta a su </w:t>
            </w:r>
          </w:p>
          <w:p w14:paraId="786650CC" w14:textId="77777777" w:rsidR="00A63B62" w:rsidRPr="00A63B62" w:rsidRDefault="00D0576F" w:rsidP="00D0576F">
            <w:pPr>
              <w:autoSpaceDE w:val="0"/>
              <w:autoSpaceDN w:val="0"/>
              <w:adjustRightInd w:val="0"/>
              <w:ind w:left="4962" w:hanging="4962"/>
              <w:rPr>
                <w:rFonts w:eastAsia="Calibri"/>
                <w:i/>
                <w:sz w:val="22"/>
                <w:szCs w:val="22"/>
                <w:lang w:val="en-GB" w:bidi="ml-IN"/>
              </w:rPr>
            </w:pPr>
            <w:r>
              <w:rPr>
                <w:rFonts w:eastAsia="Calibri"/>
                <w:i/>
                <w:sz w:val="22"/>
                <w:szCs w:val="22"/>
                <w:lang w:bidi="ml-IN"/>
              </w:rPr>
              <w:t xml:space="preserve">                                                                                       </w:t>
            </w:r>
            <w:proofErr w:type="spellStart"/>
            <w:r>
              <w:rPr>
                <w:rFonts w:eastAsia="Calibri"/>
                <w:sz w:val="22"/>
                <w:szCs w:val="22"/>
                <w:lang w:val="en-US" w:bidi="ml-IN"/>
              </w:rPr>
              <w:t>dosis</w:t>
            </w:r>
            <w:proofErr w:type="spellEnd"/>
            <w:r w:rsidR="00A63B62" w:rsidRPr="00A63B62">
              <w:rPr>
                <w:rFonts w:eastAsia="Calibri"/>
                <w:i/>
                <w:sz w:val="22"/>
                <w:szCs w:val="22"/>
                <w:lang w:val="en-GB" w:bidi="ml-IN"/>
              </w:rPr>
              <w:t>.</w:t>
            </w:r>
          </w:p>
        </w:tc>
      </w:tr>
    </w:tbl>
    <w:p w14:paraId="3131BD81" w14:textId="77777777" w:rsidR="00A63B62" w:rsidRDefault="00A63B62" w:rsidP="00A63B62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val="en-GB" w:bidi="ml-IN"/>
        </w:rPr>
      </w:pPr>
    </w:p>
    <w:p w14:paraId="5C3FBF0D" w14:textId="77777777" w:rsidR="00CF24EC" w:rsidRPr="00CF24EC" w:rsidRDefault="00CF24EC" w:rsidP="00CF24EC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val="en-GB"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CF24EC" w:rsidRPr="003821FA" w14:paraId="7F316425" w14:textId="77777777" w:rsidTr="007C757B">
        <w:tc>
          <w:tcPr>
            <w:tcW w:w="10706" w:type="dxa"/>
            <w:shd w:val="clear" w:color="auto" w:fill="auto"/>
          </w:tcPr>
          <w:p w14:paraId="1491309D" w14:textId="77777777" w:rsidR="00CF24EC" w:rsidRPr="00D05C05" w:rsidRDefault="001E57A3" w:rsidP="00CF24E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  <w:r w:rsidRPr="00D05C05"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Paso </w:t>
            </w:r>
            <w:r w:rsidR="00CF24EC" w:rsidRPr="00D05C05"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4 </w:t>
            </w:r>
            <w:r w:rsidRPr="00D05C05">
              <w:rPr>
                <w:rFonts w:eastAsia="Calibri"/>
                <w:b/>
                <w:bCs/>
                <w:sz w:val="22"/>
                <w:szCs w:val="22"/>
                <w:lang w:bidi="ml-IN"/>
              </w:rPr>
              <w:t>Inyecte la dosis</w:t>
            </w:r>
          </w:p>
          <w:p w14:paraId="2102B72D" w14:textId="77777777" w:rsidR="00CF24EC" w:rsidRPr="00D05C05" w:rsidRDefault="00CF24EC" w:rsidP="00CF24E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</w:p>
          <w:p w14:paraId="0039FF69" w14:textId="77777777" w:rsidR="00CF24EC" w:rsidRPr="00D05C05" w:rsidRDefault="00CF24EC" w:rsidP="00CF24EC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  <w:r w:rsidRPr="00D05C05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  </w:t>
            </w:r>
            <w:r w:rsidR="001E57A3" w:rsidRPr="00D05C05">
              <w:rPr>
                <w:rFonts w:eastAsia="Calibri"/>
                <w:bCs/>
                <w:sz w:val="22"/>
                <w:szCs w:val="22"/>
                <w:lang w:bidi="ml-IN"/>
              </w:rPr>
              <w:t>h)</w:t>
            </w:r>
            <w:r w:rsidR="00DE56FE" w:rsidRPr="00CF24EC">
              <w:rPr>
                <w:rFonts w:eastAsia="Calibri"/>
                <w:bCs/>
                <w:noProof/>
                <w:sz w:val="22"/>
                <w:szCs w:val="22"/>
                <w:lang w:val="en-US"/>
              </w:rPr>
              <w:drawing>
                <wp:inline distT="0" distB="0" distL="0" distR="0" wp14:anchorId="29590D2F" wp14:editId="585B9CB7">
                  <wp:extent cx="1930400" cy="1329055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C05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              </w:t>
            </w:r>
            <w:r w:rsidR="001E57A3">
              <w:rPr>
                <w:rFonts w:eastAsia="Calibri"/>
                <w:bCs/>
                <w:sz w:val="22"/>
                <w:szCs w:val="22"/>
                <w:lang w:bidi="ml-IN"/>
              </w:rPr>
              <w:t>i)</w:t>
            </w:r>
            <w:r w:rsidR="00DE56FE" w:rsidRPr="00CF24EC">
              <w:rPr>
                <w:rFonts w:eastAsia="Calibri"/>
                <w:bCs/>
                <w:noProof/>
                <w:sz w:val="22"/>
                <w:szCs w:val="22"/>
                <w:lang w:val="en-US"/>
              </w:rPr>
              <w:drawing>
                <wp:inline distT="0" distB="0" distL="0" distR="0" wp14:anchorId="4D97EDC0" wp14:editId="5888AD59">
                  <wp:extent cx="2176145" cy="1287145"/>
                  <wp:effectExtent l="0" t="0" r="0" b="0"/>
                  <wp:docPr id="15" name="Picture 15" descr="IFU images-re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FU images-re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145" cy="128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80C40" w14:textId="77777777" w:rsidR="00CF24EC" w:rsidRPr="00CF24EC" w:rsidRDefault="00CF24EC" w:rsidP="00CF24EC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  <w:r w:rsidRPr="00CF24EC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Pellizque suavemente su piel del muslo                    </w:t>
            </w:r>
            <w:r w:rsidRPr="006A16E7">
              <w:rPr>
                <w:b/>
                <w:color w:val="000000"/>
                <w:sz w:val="22"/>
                <w:szCs w:val="22"/>
              </w:rPr>
              <w:t xml:space="preserve">Presione </w:t>
            </w:r>
            <w:r w:rsidRPr="006A16E7">
              <w:rPr>
                <w:sz w:val="22"/>
                <w:szCs w:val="22"/>
              </w:rPr>
              <w:t>el botón de inyección negro hasta</w:t>
            </w:r>
          </w:p>
          <w:p w14:paraId="6BCADA6D" w14:textId="77777777" w:rsidR="00CF24EC" w:rsidRPr="003821FA" w:rsidRDefault="00CF24EC" w:rsidP="00CF24EC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  <w:r w:rsidRPr="003821FA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o el abdomen e introduzca la aguja                        </w:t>
            </w:r>
            <w:r w:rsidR="003821FA" w:rsidRPr="003821FA">
              <w:rPr>
                <w:rFonts w:eastAsia="Calibri"/>
                <w:bCs/>
                <w:sz w:val="22"/>
                <w:szCs w:val="22"/>
                <w:lang w:bidi="ml-IN"/>
              </w:rPr>
              <w:t xml:space="preserve">   que se detenga. Manténgalo presionado y</w:t>
            </w:r>
          </w:p>
          <w:p w14:paraId="602A7464" w14:textId="77777777" w:rsidR="003821FA" w:rsidRDefault="00CF24EC" w:rsidP="003821FA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  <w:r w:rsidRPr="003821FA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</w:t>
            </w:r>
            <w:r w:rsidR="003821FA" w:rsidRPr="003821FA">
              <w:rPr>
                <w:rFonts w:eastAsia="Calibri"/>
                <w:bCs/>
                <w:sz w:val="22"/>
                <w:szCs w:val="22"/>
                <w:lang w:bidi="ml-IN"/>
              </w:rPr>
              <w:t>directamente bajo su piel.</w:t>
            </w:r>
            <w:r w:rsidRPr="003821FA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                                </w:t>
            </w:r>
            <w:r w:rsidR="003821FA" w:rsidRPr="003821FA"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cuente despacio hasta </w:t>
            </w:r>
            <w:smartTag w:uri="urn:schemas-microsoft-com:office:smarttags" w:element="metricconverter">
              <w:smartTagPr>
                <w:attr w:name="ProductID" w:val="5. A"/>
              </w:smartTagPr>
              <w:r w:rsidR="003821FA" w:rsidRPr="003821FA">
                <w:rPr>
                  <w:rFonts w:eastAsia="Calibri"/>
                  <w:b/>
                  <w:bCs/>
                  <w:sz w:val="22"/>
                  <w:szCs w:val="22"/>
                  <w:lang w:bidi="ml-IN"/>
                </w:rPr>
                <w:t>5</w:t>
              </w:r>
              <w:r w:rsidR="003821FA" w:rsidRPr="003821FA">
                <w:rPr>
                  <w:rFonts w:eastAsia="Calibri"/>
                  <w:bCs/>
                  <w:sz w:val="22"/>
                  <w:szCs w:val="22"/>
                  <w:lang w:bidi="ml-IN"/>
                </w:rPr>
                <w:t>. A</w:t>
              </w:r>
            </w:smartTag>
            <w:r w:rsidR="003821FA" w:rsidRPr="003821FA">
              <w:rPr>
                <w:rFonts w:eastAsia="Calibri"/>
                <w:bCs/>
                <w:sz w:val="22"/>
                <w:szCs w:val="22"/>
                <w:lang w:bidi="ml-IN"/>
              </w:rPr>
              <w:t xml:space="preserve"> continuación,</w:t>
            </w:r>
          </w:p>
          <w:p w14:paraId="57C016A4" w14:textId="77777777" w:rsidR="00CF24EC" w:rsidRPr="003821FA" w:rsidRDefault="003821FA" w:rsidP="003821FA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  <w:r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                  </w:t>
            </w:r>
            <w:r w:rsidRPr="003821FA">
              <w:rPr>
                <w:rFonts w:eastAsia="Calibri"/>
                <w:bCs/>
                <w:sz w:val="22"/>
                <w:szCs w:val="22"/>
                <w:lang w:bidi="ml-IN"/>
              </w:rPr>
              <w:t xml:space="preserve">  </w:t>
            </w:r>
            <w:r w:rsidR="00CF24EC" w:rsidRPr="003821FA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             </w:t>
            </w:r>
            <w:r w:rsidRPr="003821FA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                     </w:t>
            </w:r>
            <w:r w:rsidR="00CF24EC" w:rsidRPr="003821FA">
              <w:rPr>
                <w:rFonts w:eastAsia="Calibri"/>
                <w:bCs/>
                <w:sz w:val="22"/>
                <w:szCs w:val="22"/>
                <w:lang w:bidi="ml-IN"/>
              </w:rPr>
              <w:t xml:space="preserve"> </w:t>
            </w:r>
            <w:r w:rsidRPr="003821FA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retire la aguja de la piel.</w:t>
            </w:r>
          </w:p>
        </w:tc>
      </w:tr>
    </w:tbl>
    <w:p w14:paraId="24DBE617" w14:textId="77777777" w:rsidR="00CF24EC" w:rsidRDefault="00CF24EC" w:rsidP="00CF24EC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bidi="ml-IN"/>
        </w:rPr>
      </w:pPr>
    </w:p>
    <w:p w14:paraId="2316C391" w14:textId="77777777" w:rsidR="009E7A1D" w:rsidRPr="009E7A1D" w:rsidRDefault="009E7A1D" w:rsidP="009E7A1D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val="en-GB" w:bidi="ml-IN"/>
        </w:rPr>
      </w:pPr>
    </w:p>
    <w:p w14:paraId="3B5968E5" w14:textId="77777777" w:rsidR="00D41770" w:rsidRDefault="00D41770">
      <w:pPr>
        <w:rPr>
          <w:rFonts w:eastAsia="Calibri"/>
          <w:bCs/>
          <w:sz w:val="22"/>
          <w:szCs w:val="22"/>
          <w:lang w:val="en-GB" w:bidi="ml-IN"/>
        </w:rPr>
      </w:pPr>
      <w:r>
        <w:rPr>
          <w:rFonts w:eastAsia="Calibri"/>
          <w:bCs/>
          <w:sz w:val="22"/>
          <w:szCs w:val="22"/>
          <w:lang w:val="en-GB" w:bidi="ml-IN"/>
        </w:rPr>
        <w:br w:type="page"/>
      </w:r>
    </w:p>
    <w:p w14:paraId="7019DD26" w14:textId="77777777" w:rsidR="009E7A1D" w:rsidRPr="009E7A1D" w:rsidRDefault="009E7A1D" w:rsidP="009E7A1D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val="en-GB" w:bidi="ml-IN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ook w:val="04A0" w:firstRow="1" w:lastRow="0" w:firstColumn="1" w:lastColumn="0" w:noHBand="0" w:noVBand="1"/>
      </w:tblPr>
      <w:tblGrid>
        <w:gridCol w:w="9394"/>
      </w:tblGrid>
      <w:tr w:rsidR="009E7A1D" w:rsidRPr="009E7A1D" w14:paraId="35487E3B" w14:textId="77777777" w:rsidTr="007C757B">
        <w:trPr>
          <w:trHeight w:val="444"/>
        </w:trPr>
        <w:tc>
          <w:tcPr>
            <w:tcW w:w="10706" w:type="dxa"/>
            <w:shd w:val="clear" w:color="auto" w:fill="FF0000"/>
            <w:vAlign w:val="center"/>
          </w:tcPr>
          <w:p w14:paraId="2B45F158" w14:textId="77777777" w:rsidR="009E7A1D" w:rsidRPr="009E7A1D" w:rsidRDefault="009E7A1D" w:rsidP="009E7A1D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en-IN" w:bidi="ml-IN"/>
              </w:rPr>
            </w:pPr>
            <w:r w:rsidRPr="009E7A1D">
              <w:rPr>
                <w:rFonts w:eastAsia="Calibri"/>
                <w:b/>
                <w:bCs/>
                <w:sz w:val="22"/>
                <w:szCs w:val="22"/>
                <w:lang w:val="en-GB" w:bidi="ml-IN"/>
              </w:rPr>
              <w:t>IMPORTANT</w:t>
            </w:r>
            <w:r>
              <w:rPr>
                <w:rFonts w:eastAsia="Calibri"/>
                <w:b/>
                <w:bCs/>
                <w:sz w:val="22"/>
                <w:szCs w:val="22"/>
                <w:lang w:val="en-GB" w:bidi="ml-IN"/>
              </w:rPr>
              <w:t>E</w:t>
            </w:r>
          </w:p>
        </w:tc>
      </w:tr>
      <w:tr w:rsidR="009E7A1D" w:rsidRPr="00A72AAB" w14:paraId="01D8EA14" w14:textId="77777777" w:rsidTr="007C757B">
        <w:tc>
          <w:tcPr>
            <w:tcW w:w="10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F7F4A" w14:textId="77777777" w:rsidR="009E7A1D" w:rsidRPr="00D05C05" w:rsidRDefault="00DA67BD" w:rsidP="009E7A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  <w:r w:rsidRPr="00DA67BD">
              <w:rPr>
                <w:rFonts w:eastAsia="Calibri"/>
                <w:b/>
                <w:bCs/>
                <w:sz w:val="22"/>
                <w:szCs w:val="22"/>
                <w:lang w:bidi="ml-IN"/>
              </w:rPr>
              <w:t>P</w:t>
            </w:r>
            <w:r w:rsidRPr="00D05C05">
              <w:rPr>
                <w:rFonts w:eastAsia="Calibri"/>
                <w:b/>
                <w:bCs/>
                <w:sz w:val="22"/>
                <w:szCs w:val="22"/>
                <w:lang w:bidi="ml-IN"/>
              </w:rPr>
              <w:t>aso</w:t>
            </w:r>
            <w:r w:rsidRPr="00DA67BD"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 </w:t>
            </w:r>
            <w:r w:rsidR="009E7A1D" w:rsidRPr="00D05C05">
              <w:rPr>
                <w:rFonts w:eastAsia="Calibri"/>
                <w:b/>
                <w:bCs/>
                <w:sz w:val="22"/>
                <w:szCs w:val="22"/>
                <w:lang w:bidi="ml-IN"/>
              </w:rPr>
              <w:t>5 Confirme la dosis</w:t>
            </w:r>
          </w:p>
          <w:p w14:paraId="08631C44" w14:textId="77777777" w:rsidR="009E7A1D" w:rsidRPr="00D05C05" w:rsidRDefault="009E7A1D" w:rsidP="009E7A1D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  <w:r w:rsidRPr="00D05C05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       </w:t>
            </w:r>
            <w:r w:rsidR="00DA67BD" w:rsidRPr="00D05C05">
              <w:rPr>
                <w:rFonts w:eastAsia="Calibri"/>
                <w:bCs/>
                <w:sz w:val="22"/>
                <w:szCs w:val="22"/>
                <w:lang w:bidi="ml-IN"/>
              </w:rPr>
              <w:t>j)</w:t>
            </w:r>
            <w:r w:rsidR="00DE56FE" w:rsidRPr="009E7A1D">
              <w:rPr>
                <w:rFonts w:eastAsia="Calibri"/>
                <w:bCs/>
                <w:noProof/>
                <w:sz w:val="22"/>
                <w:szCs w:val="22"/>
                <w:lang w:val="en-US"/>
              </w:rPr>
              <w:drawing>
                <wp:inline distT="0" distB="0" distL="0" distR="0" wp14:anchorId="0E6F1DEE" wp14:editId="57DBEAD5">
                  <wp:extent cx="1397000" cy="1210945"/>
                  <wp:effectExtent l="0" t="0" r="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21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02322" w14:textId="77777777" w:rsidR="009E7A1D" w:rsidRPr="00C83E1A" w:rsidRDefault="009E7A1D" w:rsidP="009E7A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  <w:r w:rsidRPr="00C83E1A">
              <w:rPr>
                <w:rFonts w:eastAsia="Calibri"/>
                <w:b/>
                <w:bCs/>
                <w:sz w:val="22"/>
                <w:szCs w:val="22"/>
                <w:lang w:bidi="ml-IN"/>
              </w:rPr>
              <w:t>Después de completar la inyección</w:t>
            </w:r>
          </w:p>
          <w:p w14:paraId="0090C5AB" w14:textId="77777777" w:rsidR="009E7A1D" w:rsidRPr="00A72AAB" w:rsidRDefault="009E7A1D" w:rsidP="009E7A1D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  <w:r w:rsidRPr="00A72AAB">
              <w:rPr>
                <w:rFonts w:eastAsia="Calibri"/>
                <w:bCs/>
                <w:sz w:val="22"/>
                <w:szCs w:val="22"/>
                <w:lang w:bidi="ml-IN"/>
              </w:rPr>
              <w:t xml:space="preserve">Una vez retirada la aguja de la piel, </w:t>
            </w:r>
            <w:r w:rsidR="00A72AAB" w:rsidRPr="00A72AAB">
              <w:rPr>
                <w:rFonts w:eastAsia="Calibri"/>
                <w:b/>
                <w:bCs/>
                <w:sz w:val="22"/>
                <w:szCs w:val="22"/>
                <w:lang w:bidi="ml-IN"/>
              </w:rPr>
              <w:t>asegúrese</w:t>
            </w:r>
            <w:r w:rsidR="00A72AAB" w:rsidRPr="00A72AAB">
              <w:rPr>
                <w:rFonts w:eastAsia="Calibri"/>
                <w:bCs/>
                <w:sz w:val="22"/>
                <w:szCs w:val="22"/>
                <w:lang w:bidi="ml-IN"/>
              </w:rPr>
              <w:t xml:space="preserve"> de que el botón de inyección negro ha sido introducido hasta el final. Si no se muestra el cilindro amarillo, habrá completado correctamente los pasos</w:t>
            </w:r>
            <w:r w:rsidR="00A72AAB">
              <w:rPr>
                <w:rFonts w:eastAsia="Calibri"/>
                <w:bCs/>
                <w:sz w:val="22"/>
                <w:szCs w:val="22"/>
                <w:lang w:bidi="ml-IN"/>
              </w:rPr>
              <w:t xml:space="preserve"> de la inyección</w:t>
            </w:r>
            <w:r w:rsidRPr="00A72AAB">
              <w:rPr>
                <w:rFonts w:eastAsia="Calibri"/>
                <w:bCs/>
                <w:sz w:val="22"/>
                <w:szCs w:val="22"/>
                <w:lang w:bidi="ml-IN"/>
              </w:rPr>
              <w:t>.</w:t>
            </w:r>
          </w:p>
          <w:p w14:paraId="4CFBDD54" w14:textId="77777777" w:rsidR="009E7A1D" w:rsidRPr="00037D55" w:rsidRDefault="009E7A1D" w:rsidP="009E7A1D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pt-PT" w:bidi="ml-IN"/>
              </w:rPr>
            </w:pPr>
            <w:r w:rsidRPr="00A72AAB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           </w:t>
            </w:r>
            <w:r w:rsidR="00967E00" w:rsidRPr="00037D55">
              <w:rPr>
                <w:rFonts w:eastAsia="Calibri"/>
                <w:bCs/>
                <w:sz w:val="22"/>
                <w:szCs w:val="22"/>
                <w:lang w:val="pt-PT" w:bidi="ml-IN"/>
              </w:rPr>
              <w:t>k)</w:t>
            </w:r>
            <w:r w:rsidR="00DE56FE" w:rsidRPr="009E7A1D">
              <w:rPr>
                <w:rFonts w:eastAsia="Calibri"/>
                <w:bCs/>
                <w:noProof/>
                <w:sz w:val="22"/>
                <w:szCs w:val="22"/>
                <w:lang w:val="en-US"/>
              </w:rPr>
              <w:drawing>
                <wp:inline distT="0" distB="0" distL="0" distR="0" wp14:anchorId="2ACCD023" wp14:editId="0E5991A1">
                  <wp:extent cx="1422400" cy="1202055"/>
                  <wp:effectExtent l="0" t="0" r="0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20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66BFCC" w14:textId="77777777" w:rsidR="009E7A1D" w:rsidRPr="00A72AAB" w:rsidRDefault="009E7A1D" w:rsidP="006F40B6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  <w:r w:rsidRPr="00A72AAB"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NO </w:t>
            </w:r>
            <w:r w:rsidR="00A72AAB" w:rsidRPr="00A72AAB">
              <w:rPr>
                <w:rFonts w:eastAsia="Calibri"/>
                <w:bCs/>
                <w:sz w:val="22"/>
                <w:szCs w:val="22"/>
                <w:lang w:bidi="ml-IN"/>
              </w:rPr>
              <w:t xml:space="preserve">debe ver ninguna parte del cilindro amarillo. En </w:t>
            </w:r>
            <w:r w:rsidR="00A72AAB">
              <w:rPr>
                <w:rFonts w:eastAsia="Calibri"/>
                <w:bCs/>
                <w:sz w:val="22"/>
                <w:szCs w:val="22"/>
                <w:lang w:bidi="ml-IN"/>
              </w:rPr>
              <w:t>c</w:t>
            </w:r>
            <w:r w:rsidR="00A72AAB" w:rsidRPr="00A72AAB">
              <w:rPr>
                <w:rFonts w:eastAsia="Calibri"/>
                <w:bCs/>
                <w:sz w:val="22"/>
                <w:szCs w:val="22"/>
                <w:lang w:bidi="ml-IN"/>
              </w:rPr>
              <w:t>aso contrario y si ya se ha inyectado, no vuelva a inyectarse una segunda vez</w:t>
            </w:r>
            <w:r w:rsidR="00A72AAB">
              <w:rPr>
                <w:rFonts w:eastAsia="Calibri"/>
                <w:bCs/>
                <w:sz w:val="22"/>
                <w:szCs w:val="22"/>
                <w:lang w:bidi="ml-IN"/>
              </w:rPr>
              <w:t xml:space="preserve"> en el mismo sitio. </w:t>
            </w:r>
            <w:r w:rsidR="00A72AAB" w:rsidRPr="00A72AAB">
              <w:rPr>
                <w:rFonts w:eastAsia="Calibri"/>
                <w:bCs/>
                <w:sz w:val="22"/>
                <w:szCs w:val="22"/>
                <w:lang w:bidi="ml-IN"/>
              </w:rPr>
              <w:t xml:space="preserve">En lugar de eso,  </w:t>
            </w:r>
            <w:r w:rsidR="00A72AAB" w:rsidRPr="00A72AAB"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DEBE reajustar su pluma de </w:t>
            </w:r>
            <w:r w:rsidR="00EA201D">
              <w:rPr>
                <w:rFonts w:eastAsia="Calibri"/>
                <w:b/>
                <w:bCs/>
                <w:sz w:val="22"/>
                <w:szCs w:val="22"/>
                <w:lang w:bidi="ml-IN"/>
              </w:rPr>
              <w:t>Teriparatida</w:t>
            </w:r>
            <w:r w:rsidR="00A72AAB"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 SUN </w:t>
            </w:r>
            <w:r w:rsidR="00A72AAB">
              <w:rPr>
                <w:rFonts w:eastAsia="Calibri"/>
                <w:bCs/>
                <w:sz w:val="22"/>
                <w:szCs w:val="22"/>
                <w:lang w:bidi="ml-IN"/>
              </w:rPr>
              <w:t>(Ver sección Resolución de Problemas, Problema A)</w:t>
            </w:r>
            <w:r w:rsidRPr="00A72AAB">
              <w:rPr>
                <w:rFonts w:eastAsia="Calibri"/>
                <w:bCs/>
                <w:sz w:val="22"/>
                <w:szCs w:val="22"/>
                <w:lang w:bidi="ml-IN"/>
              </w:rPr>
              <w:t>.</w:t>
            </w:r>
          </w:p>
        </w:tc>
      </w:tr>
    </w:tbl>
    <w:p w14:paraId="7998A334" w14:textId="77777777" w:rsidR="009E7A1D" w:rsidRDefault="009E7A1D" w:rsidP="009E7A1D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bidi="ml-IN"/>
        </w:rPr>
      </w:pPr>
    </w:p>
    <w:p w14:paraId="6FBA0CF5" w14:textId="77777777" w:rsidR="00AE39E1" w:rsidRPr="00037D55" w:rsidRDefault="00AE39E1" w:rsidP="00AE39E1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val="pt-PT" w:bidi="ml-I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E39E1" w:rsidRPr="00EF5D39" w14:paraId="00670E70" w14:textId="77777777" w:rsidTr="007C757B">
        <w:tc>
          <w:tcPr>
            <w:tcW w:w="10031" w:type="dxa"/>
            <w:shd w:val="clear" w:color="auto" w:fill="auto"/>
          </w:tcPr>
          <w:p w14:paraId="4F9008B7" w14:textId="77777777" w:rsidR="00AE39E1" w:rsidRPr="00D05C05" w:rsidRDefault="00967E00" w:rsidP="00AE39E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  <w:r w:rsidRPr="00D05C05"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Paso </w:t>
            </w:r>
            <w:r w:rsidR="00AE39E1" w:rsidRPr="00D05C05"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6 </w:t>
            </w:r>
            <w:r w:rsidR="003363BC" w:rsidRPr="00D05C05">
              <w:rPr>
                <w:rFonts w:eastAsia="Calibri"/>
                <w:b/>
                <w:bCs/>
                <w:sz w:val="22"/>
                <w:szCs w:val="22"/>
                <w:lang w:bidi="ml-IN"/>
              </w:rPr>
              <w:t>Retire la aguja</w:t>
            </w:r>
          </w:p>
          <w:p w14:paraId="63AB3C1B" w14:textId="77777777" w:rsidR="00AE39E1" w:rsidRPr="00D05C05" w:rsidRDefault="00DE56FE" w:rsidP="00AE39E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  <w:r w:rsidRPr="00AE39E1">
              <w:rPr>
                <w:rFonts w:eastAsia="Calibri"/>
                <w:bCs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3488D5" wp14:editId="037227D4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51435</wp:posOffset>
                      </wp:positionV>
                      <wp:extent cx="770255" cy="639445"/>
                      <wp:effectExtent l="0" t="0" r="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0255" cy="639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24D882" w14:textId="77777777" w:rsidR="001E4373" w:rsidRDefault="001E4373" w:rsidP="00AE39E1">
                                  <w:r>
                                    <w:t>Capucha</w:t>
                                  </w:r>
                                </w:p>
                                <w:p w14:paraId="4592E98A" w14:textId="77777777" w:rsidR="001E4373" w:rsidRPr="003B6AA4" w:rsidRDefault="001E4373" w:rsidP="00AE39E1">
                                  <w:r>
                                    <w:t>Externa de la aguja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488D5" id="_x0000_s1039" type="#_x0000_t202" style="position:absolute;margin-left:5.95pt;margin-top:4.05pt;width:60.65pt;height:5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f+hgIAABc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" stroked="f">
                      <v:textbox>
                        <w:txbxContent>
                          <w:p w14:paraId="6924D882" w14:textId="77777777" w:rsidR="001E4373" w:rsidRDefault="001E4373" w:rsidP="00AE39E1">
                            <w:r>
                              <w:t>Capucha</w:t>
                            </w:r>
                          </w:p>
                          <w:p w14:paraId="4592E98A" w14:textId="77777777" w:rsidR="001E4373" w:rsidRPr="003B6AA4" w:rsidRDefault="001E4373" w:rsidP="00AE39E1">
                            <w:r>
                              <w:t>Externa de la aguja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1625B5" w14:textId="77777777" w:rsidR="00AE39E1" w:rsidRPr="00D05C05" w:rsidRDefault="00AE39E1" w:rsidP="00AE39E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</w:p>
          <w:p w14:paraId="5CB14AAC" w14:textId="77777777" w:rsidR="00AE39E1" w:rsidRPr="00D05C05" w:rsidRDefault="00967E00" w:rsidP="00AE39E1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  <w:r w:rsidRPr="00D05C05">
              <w:rPr>
                <w:rFonts w:eastAsia="Calibri"/>
                <w:bCs/>
                <w:sz w:val="22"/>
                <w:szCs w:val="22"/>
                <w:lang w:bidi="ml-IN"/>
              </w:rPr>
              <w:t>l)</w:t>
            </w:r>
            <w:r w:rsidR="00DE56FE" w:rsidRPr="00AE39E1">
              <w:rPr>
                <w:rFonts w:eastAsia="Calibri"/>
                <w:bCs/>
                <w:noProof/>
                <w:sz w:val="22"/>
                <w:szCs w:val="22"/>
                <w:lang w:val="en-US"/>
              </w:rPr>
              <w:drawing>
                <wp:inline distT="0" distB="0" distL="0" distR="0" wp14:anchorId="4D6E9854" wp14:editId="26D69DB7">
                  <wp:extent cx="1202055" cy="829945"/>
                  <wp:effectExtent l="0" t="0" r="0" b="0"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39E1" w:rsidRPr="00D05C05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</w:t>
            </w:r>
            <w:r w:rsidRPr="00D05C05">
              <w:rPr>
                <w:rFonts w:eastAsia="Calibri"/>
                <w:bCs/>
                <w:sz w:val="22"/>
                <w:szCs w:val="22"/>
                <w:lang w:bidi="ml-IN"/>
              </w:rPr>
              <w:t>m)</w:t>
            </w:r>
            <w:r w:rsidR="00DE56FE" w:rsidRPr="00AE39E1">
              <w:rPr>
                <w:rFonts w:eastAsia="Calibri"/>
                <w:bCs/>
                <w:noProof/>
                <w:sz w:val="22"/>
                <w:szCs w:val="22"/>
                <w:lang w:val="en-US"/>
              </w:rPr>
              <w:drawing>
                <wp:inline distT="0" distB="0" distL="0" distR="0" wp14:anchorId="126D4F19" wp14:editId="06802EDA">
                  <wp:extent cx="1168400" cy="711200"/>
                  <wp:effectExtent l="0" t="0" r="0" b="0"/>
                  <wp:docPr id="1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39E1" w:rsidRPr="00D05C05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 </w:t>
            </w:r>
            <w:r w:rsidRPr="00D05C05">
              <w:rPr>
                <w:rFonts w:eastAsia="Calibri"/>
                <w:bCs/>
                <w:sz w:val="22"/>
                <w:szCs w:val="22"/>
                <w:lang w:bidi="ml-IN"/>
              </w:rPr>
              <w:t>n)</w:t>
            </w:r>
            <w:r w:rsidR="00DE56FE" w:rsidRPr="00AE39E1">
              <w:rPr>
                <w:rFonts w:eastAsia="Calibri"/>
                <w:bCs/>
                <w:noProof/>
                <w:sz w:val="22"/>
                <w:szCs w:val="22"/>
                <w:lang w:val="en-US"/>
              </w:rPr>
              <w:drawing>
                <wp:inline distT="0" distB="0" distL="0" distR="0" wp14:anchorId="7E922095" wp14:editId="46F8E798">
                  <wp:extent cx="1143000" cy="626745"/>
                  <wp:effectExtent l="0" t="0" r="0" b="0"/>
                  <wp:docPr id="2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39E1" w:rsidRPr="00D05C05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 </w:t>
            </w:r>
            <w:r w:rsidRPr="00D05C05">
              <w:rPr>
                <w:rFonts w:eastAsia="Calibri"/>
                <w:bCs/>
                <w:sz w:val="22"/>
                <w:szCs w:val="22"/>
                <w:lang w:bidi="ml-IN"/>
              </w:rPr>
              <w:t>o)</w:t>
            </w:r>
            <w:r w:rsidR="00DE56FE" w:rsidRPr="00AE39E1">
              <w:rPr>
                <w:rFonts w:eastAsia="Calibri"/>
                <w:bCs/>
                <w:noProof/>
                <w:sz w:val="22"/>
                <w:szCs w:val="22"/>
                <w:lang w:val="en-US"/>
              </w:rPr>
              <w:drawing>
                <wp:inline distT="0" distB="0" distL="0" distR="0" wp14:anchorId="55D9889C" wp14:editId="155AB313">
                  <wp:extent cx="1278255" cy="457200"/>
                  <wp:effectExtent l="0" t="0" r="0" b="0"/>
                  <wp:docPr id="2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8A91FC" w14:textId="77777777" w:rsidR="003363BC" w:rsidRDefault="003363BC" w:rsidP="00AE39E1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  <w:r w:rsidRPr="003363BC">
              <w:rPr>
                <w:rFonts w:eastAsia="Calibri"/>
                <w:bCs/>
                <w:sz w:val="22"/>
                <w:szCs w:val="22"/>
                <w:lang w:bidi="ml-IN"/>
              </w:rPr>
              <w:t>Coloque la capucha</w:t>
            </w:r>
            <w:r w:rsidR="00AE39E1" w:rsidRPr="003363BC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</w:t>
            </w:r>
            <w:r w:rsidRPr="003363BC">
              <w:rPr>
                <w:rFonts w:eastAsia="Calibri"/>
                <w:bCs/>
                <w:sz w:val="22"/>
                <w:szCs w:val="22"/>
                <w:lang w:bidi="ml-IN"/>
              </w:rPr>
              <w:t>Desenrosque totalmente la      R</w:t>
            </w:r>
            <w:r>
              <w:rPr>
                <w:rFonts w:eastAsia="Calibri"/>
                <w:bCs/>
                <w:sz w:val="22"/>
                <w:szCs w:val="22"/>
                <w:lang w:bidi="ml-IN"/>
              </w:rPr>
              <w:t xml:space="preserve">etire la aguja y                     Vuelva a colocar el </w:t>
            </w:r>
          </w:p>
          <w:p w14:paraId="25C4887F" w14:textId="200E5324" w:rsidR="001E4373" w:rsidRDefault="003363BC" w:rsidP="00AE39E1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  <w:r w:rsidRPr="003363BC">
              <w:rPr>
                <w:rFonts w:eastAsia="Calibri"/>
                <w:bCs/>
                <w:sz w:val="22"/>
                <w:szCs w:val="22"/>
                <w:lang w:bidi="ml-IN"/>
              </w:rPr>
              <w:t xml:space="preserve">externa de la aguja.           </w:t>
            </w:r>
            <w:r>
              <w:rPr>
                <w:rFonts w:eastAsia="Calibri"/>
                <w:bCs/>
                <w:sz w:val="22"/>
                <w:szCs w:val="22"/>
                <w:lang w:bidi="ml-IN"/>
              </w:rPr>
              <w:t>l</w:t>
            </w:r>
            <w:r w:rsidRPr="003363BC">
              <w:rPr>
                <w:rFonts w:eastAsia="Calibri"/>
                <w:bCs/>
                <w:sz w:val="22"/>
                <w:szCs w:val="22"/>
                <w:lang w:bidi="ml-IN"/>
              </w:rPr>
              <w:t>a aguja</w:t>
            </w:r>
            <w:r w:rsidR="001E4373">
              <w:rPr>
                <w:rFonts w:eastAsia="Calibri"/>
                <w:bCs/>
                <w:sz w:val="22"/>
                <w:szCs w:val="22"/>
                <w:lang w:bidi="ml-IN"/>
              </w:rPr>
              <w:t xml:space="preserve"> en sentido </w:t>
            </w:r>
            <w:r w:rsidR="007208F6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   </w:t>
            </w:r>
            <w:r w:rsidR="007B0081">
              <w:rPr>
                <w:rFonts w:eastAsia="Calibri"/>
                <w:bCs/>
                <w:sz w:val="22"/>
                <w:szCs w:val="22"/>
                <w:lang w:bidi="ml-IN"/>
              </w:rPr>
              <w:t xml:space="preserve">    </w:t>
            </w:r>
            <w:r w:rsidR="007208F6">
              <w:rPr>
                <w:rFonts w:eastAsia="Calibri"/>
                <w:bCs/>
                <w:sz w:val="22"/>
                <w:szCs w:val="22"/>
                <w:lang w:bidi="ml-IN"/>
              </w:rPr>
              <w:t>deséchela tal y como              capuchón blanco.</w:t>
            </w:r>
          </w:p>
          <w:p w14:paraId="2C0521FE" w14:textId="1E1AD250" w:rsidR="007208F6" w:rsidRDefault="001E4373" w:rsidP="00AE39E1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  <w:r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                                contrario a las agujas </w:t>
            </w:r>
            <w:r w:rsidR="007208F6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   </w:t>
            </w:r>
            <w:r w:rsidR="007208F6" w:rsidRPr="00EF5D39">
              <w:rPr>
                <w:rFonts w:eastAsia="Calibri"/>
                <w:bCs/>
                <w:sz w:val="22"/>
                <w:szCs w:val="22"/>
                <w:lang w:bidi="ml-IN"/>
              </w:rPr>
              <w:t xml:space="preserve">le ha indicado su médico      </w:t>
            </w:r>
            <w:r w:rsidR="007208F6">
              <w:rPr>
                <w:rFonts w:eastAsia="Calibri"/>
                <w:bCs/>
                <w:sz w:val="22"/>
                <w:szCs w:val="22"/>
                <w:lang w:bidi="ml-IN"/>
              </w:rPr>
              <w:t xml:space="preserve">  </w:t>
            </w:r>
            <w:r w:rsidR="007208F6" w:rsidRPr="00EF5D39">
              <w:rPr>
                <w:rFonts w:eastAsia="Calibri"/>
                <w:bCs/>
                <w:sz w:val="22"/>
                <w:szCs w:val="22"/>
                <w:lang w:bidi="ml-IN"/>
              </w:rPr>
              <w:t>G</w:t>
            </w:r>
            <w:r w:rsidR="007208F6">
              <w:rPr>
                <w:rFonts w:eastAsia="Calibri"/>
                <w:bCs/>
                <w:sz w:val="22"/>
                <w:szCs w:val="22"/>
                <w:lang w:bidi="ml-IN"/>
              </w:rPr>
              <w:t>uarde la pluma de</w:t>
            </w:r>
          </w:p>
          <w:p w14:paraId="170F40CC" w14:textId="732AEBE6" w:rsidR="00AE39E1" w:rsidRPr="003363BC" w:rsidRDefault="007208F6" w:rsidP="00AE39E1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  <w:r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                                </w:t>
            </w:r>
            <w:r w:rsidR="001E4373">
              <w:rPr>
                <w:rFonts w:eastAsia="Calibri"/>
                <w:bCs/>
                <w:sz w:val="22"/>
                <w:szCs w:val="22"/>
                <w:lang w:bidi="ml-IN"/>
              </w:rPr>
              <w:t xml:space="preserve">del reloj </w:t>
            </w:r>
            <w:r w:rsidR="003363BC" w:rsidRPr="003363BC">
              <w:rPr>
                <w:rFonts w:eastAsia="Calibri"/>
                <w:bCs/>
                <w:sz w:val="22"/>
                <w:szCs w:val="22"/>
                <w:lang w:bidi="ml-IN"/>
              </w:rPr>
              <w:t>d</w:t>
            </w:r>
            <w:r w:rsidR="003363BC">
              <w:rPr>
                <w:rFonts w:eastAsia="Calibri"/>
                <w:bCs/>
                <w:sz w:val="22"/>
                <w:szCs w:val="22"/>
                <w:lang w:bidi="ml-IN"/>
              </w:rPr>
              <w:t xml:space="preserve">ándole de 3 a 5       </w:t>
            </w:r>
            <w:r>
              <w:rPr>
                <w:rFonts w:eastAsia="Calibri"/>
                <w:bCs/>
                <w:sz w:val="22"/>
                <w:szCs w:val="22"/>
                <w:lang w:bidi="ml-IN"/>
              </w:rPr>
              <w:t>o farmacéutico.                        Teriparatida</w:t>
            </w:r>
            <w:r w:rsidRPr="00EF5D39">
              <w:rPr>
                <w:rFonts w:eastAsia="Calibri"/>
                <w:bCs/>
                <w:sz w:val="22"/>
                <w:szCs w:val="22"/>
                <w:lang w:bidi="ml-IN"/>
              </w:rPr>
              <w:t xml:space="preserve"> SUN en</w:t>
            </w:r>
            <w:r w:rsidDel="007208F6">
              <w:rPr>
                <w:rFonts w:eastAsia="Calibri"/>
                <w:bCs/>
                <w:sz w:val="22"/>
                <w:szCs w:val="22"/>
                <w:lang w:bidi="ml-IN"/>
              </w:rPr>
              <w:t xml:space="preserve"> </w:t>
            </w:r>
          </w:p>
          <w:p w14:paraId="3F359A31" w14:textId="30184498" w:rsidR="00EF5D39" w:rsidRDefault="00EF5D39" w:rsidP="00AE39E1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  <w:r w:rsidRPr="00EF5D39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                                vueltas completas a la</w:t>
            </w:r>
            <w:r w:rsidR="00AE39E1" w:rsidRPr="00EF5D39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 </w:t>
            </w:r>
            <w:r w:rsidRPr="00EF5D39">
              <w:rPr>
                <w:rFonts w:eastAsia="Calibri"/>
                <w:bCs/>
                <w:sz w:val="22"/>
                <w:szCs w:val="22"/>
                <w:lang w:bidi="ml-IN"/>
              </w:rPr>
              <w:t xml:space="preserve">  </w:t>
            </w:r>
            <w:r w:rsidR="007208F6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                                      </w:t>
            </w:r>
            <w:proofErr w:type="spellStart"/>
            <w:r w:rsidR="007208F6" w:rsidRPr="00EF5D39">
              <w:rPr>
                <w:rFonts w:eastAsia="Calibri"/>
                <w:bCs/>
                <w:sz w:val="22"/>
                <w:szCs w:val="22"/>
                <w:lang w:bidi="ml-IN"/>
              </w:rPr>
              <w:t>la</w:t>
            </w:r>
            <w:proofErr w:type="spellEnd"/>
            <w:r w:rsidR="007208F6" w:rsidRPr="00EF5D39">
              <w:rPr>
                <w:rFonts w:eastAsia="Calibri"/>
                <w:bCs/>
                <w:sz w:val="22"/>
                <w:szCs w:val="22"/>
                <w:lang w:bidi="ml-IN"/>
              </w:rPr>
              <w:t xml:space="preserve"> nevera </w:t>
            </w:r>
          </w:p>
          <w:p w14:paraId="7EECFB8F" w14:textId="2E0C452D" w:rsidR="007208F6" w:rsidRDefault="00EF5D39" w:rsidP="007208F6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  <w:r w:rsidRPr="00037D55">
              <w:rPr>
                <w:rFonts w:eastAsia="Calibri"/>
                <w:bCs/>
                <w:sz w:val="22"/>
                <w:szCs w:val="22"/>
                <w:lang w:val="pt-PT" w:bidi="ml-IN"/>
              </w:rPr>
              <w:t xml:space="preserve">                            </w:t>
            </w:r>
            <w:r w:rsidR="00AE39E1" w:rsidRPr="00037D55">
              <w:rPr>
                <w:rFonts w:eastAsia="Calibri"/>
                <w:bCs/>
                <w:sz w:val="22"/>
                <w:szCs w:val="22"/>
                <w:lang w:val="pt-PT" w:bidi="ml-IN"/>
              </w:rPr>
              <w:t xml:space="preserve">    </w:t>
            </w:r>
            <w:r w:rsidRPr="00037D55">
              <w:rPr>
                <w:rFonts w:eastAsia="Calibri"/>
                <w:bCs/>
                <w:sz w:val="22"/>
                <w:szCs w:val="22"/>
                <w:lang w:val="pt-PT" w:bidi="ml-IN"/>
              </w:rPr>
              <w:t xml:space="preserve">          </w:t>
            </w:r>
            <w:r w:rsidRPr="00EF5D39">
              <w:rPr>
                <w:rFonts w:eastAsia="Calibri"/>
                <w:bCs/>
                <w:sz w:val="22"/>
                <w:szCs w:val="22"/>
                <w:lang w:bidi="ml-IN"/>
              </w:rPr>
              <w:t xml:space="preserve">capucha externa de la aguja.   </w:t>
            </w:r>
            <w:r w:rsidR="00AE39E1" w:rsidRPr="00EF5D39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      </w:t>
            </w:r>
            <w:r w:rsidRPr="00EF5D39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</w:t>
            </w:r>
            <w:r w:rsidR="007208F6"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                </w:t>
            </w:r>
            <w:r w:rsidRPr="00EF5D39">
              <w:rPr>
                <w:rFonts w:eastAsia="Calibri"/>
                <w:bCs/>
                <w:sz w:val="22"/>
                <w:szCs w:val="22"/>
                <w:lang w:bidi="ml-IN"/>
              </w:rPr>
              <w:t xml:space="preserve"> </w:t>
            </w:r>
            <w:r w:rsidR="007208F6">
              <w:rPr>
                <w:rFonts w:eastAsia="Calibri"/>
                <w:bCs/>
                <w:sz w:val="22"/>
                <w:szCs w:val="22"/>
                <w:lang w:bidi="ml-IN"/>
              </w:rPr>
              <w:t>inmediatamente después</w:t>
            </w:r>
          </w:p>
          <w:p w14:paraId="5E2E331F" w14:textId="0C7088BA" w:rsidR="007208F6" w:rsidRPr="00EF5D39" w:rsidRDefault="007208F6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  <w:r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                                                                                                                                  de su uso.          </w:t>
            </w:r>
          </w:p>
          <w:p w14:paraId="57D0A824" w14:textId="38DC9451" w:rsidR="00AE39E1" w:rsidRPr="00EF5D39" w:rsidRDefault="00EF5D39" w:rsidP="00AE39E1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  <w:r>
              <w:rPr>
                <w:rFonts w:eastAsia="Calibri"/>
                <w:bCs/>
                <w:sz w:val="22"/>
                <w:szCs w:val="22"/>
                <w:lang w:bidi="ml-IN"/>
              </w:rPr>
              <w:t xml:space="preserve">        </w:t>
            </w:r>
          </w:p>
          <w:p w14:paraId="7ACF5E71" w14:textId="77777777" w:rsidR="00AE39E1" w:rsidRPr="00EF5D39" w:rsidRDefault="00EF5D39" w:rsidP="00AE39E1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  <w:r w:rsidRPr="00EF5D39">
              <w:rPr>
                <w:rFonts w:eastAsia="Calibri"/>
                <w:bCs/>
                <w:sz w:val="22"/>
                <w:szCs w:val="22"/>
                <w:lang w:val="es-ES_tradnl" w:bidi="ml-IN"/>
              </w:rPr>
              <w:t>Las indicaciones sobre el manejo de agujas no pretenden sustituir las normas locales, institucionales ni las dadas por los profesionales sanitarios.</w:t>
            </w:r>
          </w:p>
        </w:tc>
      </w:tr>
    </w:tbl>
    <w:p w14:paraId="0CA19C0F" w14:textId="77777777" w:rsidR="00AE39E1" w:rsidRDefault="00AE39E1" w:rsidP="00AE39E1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bidi="ml-IN"/>
        </w:rPr>
      </w:pPr>
    </w:p>
    <w:p w14:paraId="2EEC95DD" w14:textId="77777777" w:rsidR="009C0981" w:rsidRPr="00037D55" w:rsidRDefault="009C0981" w:rsidP="009C0981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val="pt-PT" w:bidi="ml-IN"/>
        </w:rPr>
      </w:pPr>
    </w:p>
    <w:p w14:paraId="453DF9CB" w14:textId="77777777" w:rsidR="009C0981" w:rsidRPr="00037D55" w:rsidRDefault="009C0981" w:rsidP="009C0981">
      <w:pPr>
        <w:autoSpaceDE w:val="0"/>
        <w:autoSpaceDN w:val="0"/>
        <w:adjustRightInd w:val="0"/>
        <w:rPr>
          <w:rFonts w:eastAsia="Calibri"/>
          <w:bCs/>
          <w:sz w:val="4"/>
          <w:szCs w:val="4"/>
          <w:lang w:val="pt-PT"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1909"/>
        <w:gridCol w:w="4901"/>
      </w:tblGrid>
      <w:tr w:rsidR="009C0981" w:rsidRPr="009C0981" w14:paraId="4E418F7C" w14:textId="77777777" w:rsidTr="00A15707">
        <w:tc>
          <w:tcPr>
            <w:tcW w:w="9519" w:type="dxa"/>
            <w:gridSpan w:val="3"/>
            <w:tcBorders>
              <w:bottom w:val="single" w:sz="4" w:space="0" w:color="auto"/>
            </w:tcBorders>
            <w:shd w:val="clear" w:color="auto" w:fill="FF0000"/>
          </w:tcPr>
          <w:p w14:paraId="75A4CC61" w14:textId="77777777" w:rsidR="009C0981" w:rsidRPr="009C0981" w:rsidRDefault="00114E88" w:rsidP="009C0981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  <w:r w:rsidRPr="00114E88">
              <w:rPr>
                <w:rFonts w:eastAsia="Calibri"/>
                <w:b/>
                <w:bCs/>
                <w:color w:val="FFFFFF"/>
                <w:sz w:val="22"/>
                <w:szCs w:val="22"/>
                <w:lang w:bidi="ml-IN"/>
              </w:rPr>
              <w:lastRenderedPageBreak/>
              <w:t>Localización y Resolución de Problemas</w:t>
            </w:r>
          </w:p>
        </w:tc>
      </w:tr>
      <w:tr w:rsidR="009C0981" w:rsidRPr="009C0981" w14:paraId="6B4C27DA" w14:textId="77777777" w:rsidTr="00A15707">
        <w:trPr>
          <w:trHeight w:val="4847"/>
        </w:trPr>
        <w:tc>
          <w:tcPr>
            <w:tcW w:w="2617" w:type="dxa"/>
            <w:tcBorders>
              <w:bottom w:val="nil"/>
              <w:right w:val="nil"/>
            </w:tcBorders>
            <w:shd w:val="clear" w:color="auto" w:fill="auto"/>
          </w:tcPr>
          <w:p w14:paraId="442A77C4" w14:textId="77777777" w:rsidR="009C0981" w:rsidRPr="009C0981" w:rsidRDefault="009C0981" w:rsidP="009C0981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  <w:r w:rsidRPr="009C0981">
              <w:rPr>
                <w:rFonts w:eastAsia="Calibri"/>
                <w:b/>
                <w:bCs/>
                <w:sz w:val="22"/>
                <w:szCs w:val="22"/>
                <w:lang w:bidi="ml-IN"/>
              </w:rPr>
              <w:t>Problem</w:t>
            </w:r>
            <w:r w:rsidR="00114E88" w:rsidRPr="00114E88">
              <w:rPr>
                <w:rFonts w:eastAsia="Calibri"/>
                <w:b/>
                <w:bCs/>
                <w:sz w:val="22"/>
                <w:szCs w:val="22"/>
                <w:lang w:bidi="ml-IN"/>
              </w:rPr>
              <w:t>a</w:t>
            </w:r>
          </w:p>
          <w:p w14:paraId="2C416D60" w14:textId="77777777" w:rsidR="00114E88" w:rsidRPr="00114E88" w:rsidRDefault="00114E88" w:rsidP="00114E88">
            <w:pPr>
              <w:keepNext/>
              <w:keepLines/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  <w:r w:rsidRPr="00114E88"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A. El cilindro amarillo sigue viéndose después de haber presionado el botón de inyección negro. ¿Cómo reajusto mi pluma de </w:t>
            </w:r>
            <w:r w:rsidR="00EA201D">
              <w:rPr>
                <w:rFonts w:eastAsia="Calibri"/>
                <w:b/>
                <w:bCs/>
                <w:sz w:val="22"/>
                <w:szCs w:val="22"/>
                <w:lang w:bidi="ml-IN"/>
              </w:rPr>
              <w:t>Teriparatida</w:t>
            </w:r>
            <w:r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 SUN</w:t>
            </w:r>
            <w:r w:rsidRPr="00114E88">
              <w:rPr>
                <w:rFonts w:eastAsia="Calibri"/>
                <w:b/>
                <w:bCs/>
                <w:sz w:val="22"/>
                <w:szCs w:val="22"/>
                <w:lang w:bidi="ml-IN"/>
              </w:rPr>
              <w:t>?</w:t>
            </w:r>
          </w:p>
          <w:p w14:paraId="650DC72D" w14:textId="77777777" w:rsidR="009C0981" w:rsidRPr="00C83E1A" w:rsidRDefault="009C0981" w:rsidP="009C0981">
            <w:pPr>
              <w:keepNext/>
              <w:keepLines/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</w:p>
          <w:p w14:paraId="5C9EF83D" w14:textId="77777777" w:rsidR="009C0981" w:rsidRPr="00C83E1A" w:rsidRDefault="009C0981" w:rsidP="009C0981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sz w:val="22"/>
                <w:szCs w:val="22"/>
                <w:lang w:bidi="ml-IN"/>
              </w:rPr>
            </w:pPr>
          </w:p>
        </w:tc>
        <w:tc>
          <w:tcPr>
            <w:tcW w:w="19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A635C4" w14:textId="77777777" w:rsidR="009C0981" w:rsidRPr="009C0981" w:rsidRDefault="00DE56FE" w:rsidP="009C0981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sz w:val="22"/>
                <w:szCs w:val="22"/>
                <w:lang w:val="en-GB" w:bidi="ml-IN"/>
              </w:rPr>
            </w:pPr>
            <w:r w:rsidRPr="009C0981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w:drawing>
                <wp:inline distT="0" distB="0" distL="0" distR="0" wp14:anchorId="539490AE" wp14:editId="057F4692">
                  <wp:extent cx="347345" cy="245745"/>
                  <wp:effectExtent l="0" t="0" r="0" b="0"/>
                  <wp:docPr id="2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6998D6" w14:textId="77777777" w:rsidR="009C0981" w:rsidRPr="009C0981" w:rsidRDefault="00DE56FE" w:rsidP="009C0981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Kartika"/>
                <w:noProof/>
                <w:sz w:val="22"/>
                <w:szCs w:val="22"/>
                <w:lang w:val="en-IN" w:eastAsia="en-IN"/>
              </w:rPr>
            </w:pPr>
            <w:r w:rsidRPr="009C0981">
              <w:rPr>
                <w:rFonts w:ascii="Calibri" w:eastAsia="Calibri" w:hAnsi="Calibri" w:cs="Kartika"/>
                <w:noProof/>
                <w:sz w:val="22"/>
                <w:szCs w:val="22"/>
                <w:lang w:val="en-US"/>
              </w:rPr>
              <w:drawing>
                <wp:inline distT="0" distB="0" distL="0" distR="0" wp14:anchorId="7EC2FCF7" wp14:editId="196F9D33">
                  <wp:extent cx="880745" cy="770255"/>
                  <wp:effectExtent l="0" t="0" r="0" b="0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193483" w14:textId="77777777" w:rsidR="009C0981" w:rsidRPr="009C0981" w:rsidRDefault="009C0981" w:rsidP="009C0981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Kartika"/>
                <w:noProof/>
                <w:sz w:val="22"/>
                <w:szCs w:val="22"/>
                <w:lang w:val="en-IN" w:eastAsia="en-IN"/>
              </w:rPr>
            </w:pPr>
          </w:p>
          <w:p w14:paraId="70007F92" w14:textId="77777777" w:rsidR="009C0981" w:rsidRPr="009C0981" w:rsidRDefault="009C0981" w:rsidP="009C0981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Kartika"/>
                <w:noProof/>
                <w:sz w:val="22"/>
                <w:szCs w:val="22"/>
                <w:lang w:val="en-IN" w:eastAsia="en-IN"/>
              </w:rPr>
            </w:pPr>
          </w:p>
          <w:p w14:paraId="5E2AF927" w14:textId="77777777" w:rsidR="009C0981" w:rsidRPr="009C0981" w:rsidRDefault="009C0981" w:rsidP="009C0981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Kartika"/>
                <w:noProof/>
                <w:sz w:val="22"/>
                <w:szCs w:val="22"/>
                <w:lang w:val="en-IN" w:eastAsia="en-IN"/>
              </w:rPr>
            </w:pPr>
          </w:p>
          <w:p w14:paraId="31A52369" w14:textId="77777777" w:rsidR="009C0981" w:rsidRPr="009C0981" w:rsidRDefault="00DE56FE" w:rsidP="009C0981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Kartika"/>
                <w:noProof/>
                <w:sz w:val="22"/>
                <w:szCs w:val="22"/>
                <w:lang w:val="en-GB" w:eastAsia="en-IN"/>
              </w:rPr>
            </w:pPr>
            <w:r w:rsidRPr="009C0981">
              <w:rPr>
                <w:rFonts w:ascii="Calibri" w:eastAsia="Calibri" w:hAnsi="Calibri" w:cs="Kartika"/>
                <w:noProof/>
                <w:sz w:val="22"/>
                <w:szCs w:val="22"/>
                <w:lang w:val="en-US"/>
              </w:rPr>
              <w:drawing>
                <wp:inline distT="0" distB="0" distL="0" distR="0" wp14:anchorId="69EE5E9A" wp14:editId="78B0392C">
                  <wp:extent cx="1075055" cy="71945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4C4F9C" w14:textId="77777777" w:rsidR="009C0981" w:rsidRPr="009C0981" w:rsidRDefault="009C0981" w:rsidP="009C0981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sz w:val="22"/>
                <w:szCs w:val="22"/>
                <w:lang w:val="en-GB" w:bidi="ml-IN"/>
              </w:rPr>
            </w:pPr>
          </w:p>
        </w:tc>
        <w:tc>
          <w:tcPr>
            <w:tcW w:w="4993" w:type="dxa"/>
            <w:tcBorders>
              <w:left w:val="nil"/>
              <w:bottom w:val="nil"/>
            </w:tcBorders>
            <w:shd w:val="clear" w:color="auto" w:fill="auto"/>
          </w:tcPr>
          <w:p w14:paraId="3596CCB1" w14:textId="77777777" w:rsidR="009C0981" w:rsidRPr="009C0981" w:rsidRDefault="00114E88" w:rsidP="009C0981">
            <w:pPr>
              <w:keepNext/>
              <w:keepLines/>
              <w:autoSpaceDE w:val="0"/>
              <w:autoSpaceDN w:val="0"/>
              <w:adjustRightInd w:val="0"/>
              <w:ind w:left="-108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  <w:r w:rsidRPr="00114E88">
              <w:rPr>
                <w:rFonts w:eastAsia="Calibri"/>
                <w:b/>
                <w:bCs/>
                <w:sz w:val="22"/>
                <w:szCs w:val="22"/>
                <w:lang w:bidi="ml-IN"/>
              </w:rPr>
              <w:t>Solució</w:t>
            </w:r>
            <w:r w:rsidR="009C0981" w:rsidRPr="009C0981"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n </w:t>
            </w:r>
          </w:p>
          <w:p w14:paraId="753784E7" w14:textId="77777777" w:rsidR="00114E88" w:rsidRPr="006A16E7" w:rsidRDefault="00114E88" w:rsidP="00114E88">
            <w:pPr>
              <w:keepNext/>
              <w:rPr>
                <w:bCs/>
                <w:sz w:val="22"/>
                <w:szCs w:val="22"/>
              </w:rPr>
            </w:pPr>
            <w:r w:rsidRPr="006A16E7">
              <w:rPr>
                <w:bCs/>
                <w:sz w:val="22"/>
                <w:szCs w:val="22"/>
              </w:rPr>
              <w:t>Siga los siguientes pasos pa</w:t>
            </w:r>
            <w:r>
              <w:rPr>
                <w:bCs/>
                <w:sz w:val="22"/>
                <w:szCs w:val="22"/>
              </w:rPr>
              <w:t xml:space="preserve">ra reajustar la pluma de </w:t>
            </w:r>
            <w:r w:rsidR="00EA201D">
              <w:rPr>
                <w:bCs/>
                <w:sz w:val="22"/>
                <w:szCs w:val="22"/>
              </w:rPr>
              <w:t>Teriparatida</w:t>
            </w:r>
            <w:r>
              <w:rPr>
                <w:bCs/>
                <w:sz w:val="22"/>
                <w:szCs w:val="22"/>
              </w:rPr>
              <w:t xml:space="preserve"> SUN</w:t>
            </w:r>
            <w:r w:rsidRPr="006A16E7">
              <w:rPr>
                <w:bCs/>
                <w:sz w:val="22"/>
                <w:szCs w:val="22"/>
              </w:rPr>
              <w:t>.</w:t>
            </w:r>
          </w:p>
          <w:p w14:paraId="6DF2939E" w14:textId="77777777" w:rsidR="00114E88" w:rsidRPr="00D05C05" w:rsidRDefault="00967E00" w:rsidP="00114E88">
            <w:pPr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6" w:hanging="284"/>
              <w:contextualSpacing/>
              <w:rPr>
                <w:bCs/>
                <w:sz w:val="22"/>
                <w:szCs w:val="22"/>
              </w:rPr>
            </w:pPr>
            <w:r w:rsidRPr="00D05C05">
              <w:rPr>
                <w:bCs/>
                <w:sz w:val="22"/>
                <w:szCs w:val="22"/>
              </w:rPr>
              <w:t xml:space="preserve">La dosis recomendada es de 20 microgramos, administrados una vez al día. </w:t>
            </w:r>
            <w:r w:rsidR="00114E88" w:rsidRPr="00D05C05">
              <w:rPr>
                <w:bCs/>
                <w:sz w:val="22"/>
                <w:szCs w:val="22"/>
              </w:rPr>
              <w:t>Si ya se ha inyectado, NO vuelva a inyectarse una segunda vez en el mismo día.</w:t>
            </w:r>
          </w:p>
          <w:p w14:paraId="0E15FE6D" w14:textId="77777777" w:rsidR="009C0981" w:rsidRPr="009C0981" w:rsidRDefault="00114E88" w:rsidP="00114E88">
            <w:pPr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6" w:hanging="284"/>
              <w:contextualSpacing/>
              <w:rPr>
                <w:bCs/>
                <w:sz w:val="22"/>
                <w:szCs w:val="22"/>
              </w:rPr>
            </w:pPr>
            <w:r w:rsidRPr="00114E88">
              <w:rPr>
                <w:bCs/>
                <w:sz w:val="22"/>
                <w:szCs w:val="22"/>
              </w:rPr>
              <w:t>Retire la aguja.</w:t>
            </w:r>
            <w:r w:rsidR="009C0981" w:rsidRPr="009C0981">
              <w:rPr>
                <w:bCs/>
                <w:sz w:val="22"/>
                <w:szCs w:val="22"/>
              </w:rPr>
              <w:t>.</w:t>
            </w:r>
          </w:p>
          <w:p w14:paraId="7CCE4FF8" w14:textId="77777777" w:rsidR="009C0981" w:rsidRPr="00037D55" w:rsidRDefault="00114E88" w:rsidP="00AF5B6F">
            <w:pPr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6" w:hanging="284"/>
              <w:contextualSpacing/>
              <w:rPr>
                <w:rFonts w:eastAsia="Calibri"/>
                <w:bCs/>
                <w:sz w:val="22"/>
                <w:szCs w:val="22"/>
                <w:lang w:val="pt-PT"/>
              </w:rPr>
            </w:pPr>
            <w:r w:rsidRPr="00037D55">
              <w:rPr>
                <w:rFonts w:eastAsia="Calibri"/>
                <w:bCs/>
                <w:sz w:val="22"/>
                <w:szCs w:val="22"/>
                <w:lang w:val="pt-PT"/>
              </w:rPr>
              <w:t xml:space="preserve">Fije una nueva aguja, retire la capucha externa de la aguja y consérvela. </w:t>
            </w:r>
          </w:p>
          <w:p w14:paraId="11DEDC07" w14:textId="77777777" w:rsidR="00933408" w:rsidRPr="00D05C05" w:rsidRDefault="00AF5B6F" w:rsidP="00933408">
            <w:pPr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6" w:hanging="284"/>
              <w:contextualSpacing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933408">
              <w:rPr>
                <w:rFonts w:eastAsia="Calibri"/>
                <w:bCs/>
                <w:sz w:val="22"/>
                <w:szCs w:val="22"/>
              </w:rPr>
              <w:t>Tire del botón de inyección negro hasta que se detenga. Asegúrese de que ve la banda roja</w:t>
            </w:r>
            <w:r w:rsidR="009C0981" w:rsidRPr="00933408">
              <w:rPr>
                <w:rFonts w:eastAsia="Calibri"/>
                <w:bCs/>
                <w:sz w:val="22"/>
                <w:szCs w:val="22"/>
              </w:rPr>
              <w:t xml:space="preserve">. </w:t>
            </w:r>
            <w:r w:rsidR="00933408">
              <w:rPr>
                <w:rFonts w:eastAsia="Calibri"/>
                <w:bCs/>
                <w:sz w:val="22"/>
                <w:szCs w:val="22"/>
              </w:rPr>
              <w:t>(ver paso 3)</w:t>
            </w:r>
          </w:p>
          <w:p w14:paraId="2DABA0A2" w14:textId="77777777" w:rsidR="009C0981" w:rsidRPr="00D05C05" w:rsidRDefault="00AF5B6F" w:rsidP="00933408">
            <w:pPr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6" w:hanging="284"/>
              <w:contextualSpacing/>
              <w:rPr>
                <w:rFonts w:eastAsia="Calibri"/>
                <w:bCs/>
                <w:sz w:val="22"/>
                <w:szCs w:val="22"/>
              </w:rPr>
            </w:pPr>
            <w:r w:rsidRPr="00D05C05">
              <w:rPr>
                <w:rFonts w:eastAsia="Calibri"/>
                <w:bCs/>
                <w:sz w:val="22"/>
                <w:szCs w:val="22"/>
              </w:rPr>
              <w:t>Retire el protector interno de la aguja y deséchelo.</w:t>
            </w:r>
          </w:p>
          <w:p w14:paraId="2C3E2126" w14:textId="77777777" w:rsidR="009C0981" w:rsidRPr="00037D55" w:rsidRDefault="00AF5B6F" w:rsidP="00AF5B6F">
            <w:pPr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6" w:hanging="284"/>
              <w:contextualSpacing/>
              <w:rPr>
                <w:rFonts w:eastAsia="Calibri"/>
                <w:b/>
                <w:bCs/>
                <w:sz w:val="22"/>
                <w:szCs w:val="22"/>
                <w:lang w:val="pt-PT"/>
              </w:rPr>
            </w:pPr>
            <w:r w:rsidRPr="00AF5B6F">
              <w:rPr>
                <w:rFonts w:eastAsia="Calibri"/>
                <w:bCs/>
                <w:sz w:val="22"/>
                <w:szCs w:val="22"/>
              </w:rPr>
              <w:t>Apunte con la aguja hacia abajo sobre un recipiente vac</w:t>
            </w:r>
            <w:r>
              <w:rPr>
                <w:rFonts w:eastAsia="Calibri"/>
                <w:bCs/>
                <w:sz w:val="22"/>
                <w:szCs w:val="22"/>
              </w:rPr>
              <w:t xml:space="preserve">ío. </w:t>
            </w:r>
            <w:r w:rsidRPr="00AF5B6F">
              <w:rPr>
                <w:rFonts w:eastAsia="Calibri"/>
                <w:bCs/>
                <w:sz w:val="22"/>
                <w:szCs w:val="22"/>
              </w:rPr>
              <w:t xml:space="preserve">Presione el botón de inyección negro hasta que se detenga. </w:t>
            </w:r>
            <w:r>
              <w:rPr>
                <w:rFonts w:eastAsia="Calibri"/>
                <w:bCs/>
                <w:sz w:val="22"/>
                <w:szCs w:val="22"/>
              </w:rPr>
              <w:t xml:space="preserve">Manténgalo presionado y cuente despacio hasta 5. Puede que observe un pequeño chorro o gota de fluido. </w:t>
            </w:r>
            <w:r w:rsidR="00EB4990" w:rsidRPr="00EB4990">
              <w:rPr>
                <w:rFonts w:eastAsia="Calibri"/>
                <w:b/>
                <w:bCs/>
                <w:sz w:val="22"/>
                <w:szCs w:val="22"/>
              </w:rPr>
              <w:t xml:space="preserve">Cuando haya terminado, el botón de inyección negro debe estar </w:t>
            </w:r>
            <w:r w:rsidR="00EB4990" w:rsidRPr="00037D55">
              <w:rPr>
                <w:rFonts w:eastAsia="Calibri"/>
                <w:b/>
                <w:bCs/>
                <w:sz w:val="22"/>
                <w:szCs w:val="22"/>
                <w:lang w:val="pt-PT"/>
              </w:rPr>
              <w:t xml:space="preserve">introducido hasta el final. </w:t>
            </w:r>
          </w:p>
          <w:p w14:paraId="668A6E6B" w14:textId="77777777" w:rsidR="009C0981" w:rsidRPr="009C0981" w:rsidRDefault="003D5044" w:rsidP="003D5044">
            <w:pPr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6" w:hanging="284"/>
              <w:contextualSpacing/>
              <w:rPr>
                <w:rFonts w:eastAsia="Calibri"/>
                <w:bCs/>
                <w:sz w:val="22"/>
                <w:szCs w:val="22"/>
              </w:rPr>
            </w:pPr>
            <w:r w:rsidRPr="003D5044">
              <w:rPr>
                <w:rFonts w:eastAsia="Calibri"/>
                <w:bCs/>
                <w:sz w:val="22"/>
                <w:szCs w:val="22"/>
              </w:rPr>
              <w:t>Si sigue viendo el cilindro amarillo, por favor, póngase en contacto con su médico o farmacéutico.</w:t>
            </w:r>
          </w:p>
          <w:p w14:paraId="67BAE0E0" w14:textId="77777777" w:rsidR="009C0981" w:rsidRPr="009C0981" w:rsidRDefault="003D5044" w:rsidP="003D5044">
            <w:pPr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6" w:hanging="284"/>
              <w:contextualSpacing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3D5044">
              <w:rPr>
                <w:rFonts w:eastAsia="Calibri"/>
                <w:bCs/>
                <w:sz w:val="22"/>
                <w:szCs w:val="22"/>
              </w:rPr>
              <w:t xml:space="preserve">Coloque la capucha externa de la aguja en la aguja. Desenrosque totalmente la aguja dándole de 3 a 5 vueltas completas a la capucha externa </w:t>
            </w:r>
            <w:r>
              <w:rPr>
                <w:rFonts w:eastAsia="Calibri"/>
                <w:bCs/>
                <w:sz w:val="22"/>
                <w:szCs w:val="22"/>
              </w:rPr>
              <w:t xml:space="preserve">de la aguja. </w:t>
            </w:r>
            <w:r w:rsidRPr="003D5044">
              <w:rPr>
                <w:rFonts w:eastAsia="Calibri"/>
                <w:bCs/>
                <w:sz w:val="22"/>
                <w:szCs w:val="22"/>
              </w:rPr>
              <w:t>Retire la aguja y deséchela tal como le ha indicado su m</w:t>
            </w:r>
            <w:r>
              <w:rPr>
                <w:rFonts w:eastAsia="Calibri"/>
                <w:bCs/>
                <w:sz w:val="22"/>
                <w:szCs w:val="22"/>
              </w:rPr>
              <w:t xml:space="preserve">édico o farmacéutico. </w:t>
            </w:r>
            <w:r w:rsidRPr="003D5044">
              <w:rPr>
                <w:rFonts w:eastAsia="Calibri"/>
                <w:bCs/>
                <w:sz w:val="22"/>
                <w:szCs w:val="22"/>
              </w:rPr>
              <w:t xml:space="preserve">Vuelva a colocar el capuchón blanco y guarde la pluma de </w:t>
            </w:r>
            <w:r w:rsidR="00EA201D">
              <w:rPr>
                <w:rFonts w:eastAsia="Calibri"/>
                <w:bCs/>
                <w:sz w:val="22"/>
                <w:szCs w:val="22"/>
              </w:rPr>
              <w:t>Teriparatida</w:t>
            </w:r>
            <w:r w:rsidR="009C0981" w:rsidRPr="009C0981">
              <w:rPr>
                <w:rFonts w:eastAsia="Calibri"/>
                <w:bCs/>
                <w:sz w:val="22"/>
                <w:szCs w:val="22"/>
              </w:rPr>
              <w:t xml:space="preserve"> SUN </w:t>
            </w:r>
            <w:r>
              <w:rPr>
                <w:rFonts w:eastAsia="Calibri"/>
                <w:bCs/>
                <w:sz w:val="22"/>
                <w:szCs w:val="22"/>
              </w:rPr>
              <w:t>e</w:t>
            </w:r>
            <w:r w:rsidR="009C0981" w:rsidRPr="009C0981">
              <w:rPr>
                <w:rFonts w:eastAsia="Calibri"/>
                <w:bCs/>
                <w:sz w:val="22"/>
                <w:szCs w:val="22"/>
              </w:rPr>
              <w:t xml:space="preserve">n </w:t>
            </w:r>
            <w:r>
              <w:rPr>
                <w:rFonts w:eastAsia="Calibri"/>
                <w:bCs/>
                <w:sz w:val="22"/>
                <w:szCs w:val="22"/>
              </w:rPr>
              <w:t>la nevera</w:t>
            </w:r>
            <w:r w:rsidR="009C0981" w:rsidRPr="009C0981">
              <w:rPr>
                <w:rFonts w:eastAsia="Calibri"/>
                <w:bCs/>
                <w:sz w:val="22"/>
                <w:szCs w:val="22"/>
              </w:rPr>
              <w:t xml:space="preserve">. </w:t>
            </w:r>
            <w:r w:rsidR="00933408" w:rsidRPr="00933408">
              <w:rPr>
                <w:rFonts w:eastAsia="Calibri"/>
                <w:bCs/>
                <w:sz w:val="22"/>
                <w:szCs w:val="22"/>
                <w:lang w:val="en-US"/>
              </w:rPr>
              <w:t xml:space="preserve">(Ver </w:t>
            </w:r>
            <w:proofErr w:type="spellStart"/>
            <w:r w:rsidR="00933408" w:rsidRPr="00933408">
              <w:rPr>
                <w:rFonts w:eastAsia="Calibri"/>
                <w:bCs/>
                <w:sz w:val="22"/>
                <w:szCs w:val="22"/>
                <w:lang w:val="en-US"/>
              </w:rPr>
              <w:t>paso</w:t>
            </w:r>
            <w:proofErr w:type="spellEnd"/>
            <w:r w:rsidR="00933408" w:rsidRPr="00933408">
              <w:rPr>
                <w:rFonts w:eastAsia="Calibri"/>
                <w:bCs/>
                <w:sz w:val="22"/>
                <w:szCs w:val="22"/>
                <w:lang w:val="en-US"/>
              </w:rPr>
              <w:t xml:space="preserve"> 6)</w:t>
            </w:r>
          </w:p>
          <w:p w14:paraId="0751E1B2" w14:textId="77777777" w:rsidR="009C0981" w:rsidRPr="009C0981" w:rsidRDefault="009C0981" w:rsidP="009C0981">
            <w:pPr>
              <w:keepNext/>
              <w:keepLines/>
              <w:widowControl w:val="0"/>
              <w:autoSpaceDE w:val="0"/>
              <w:autoSpaceDN w:val="0"/>
              <w:adjustRightInd w:val="0"/>
              <w:ind w:left="176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</w:tr>
      <w:tr w:rsidR="009C0981" w:rsidRPr="009C0981" w14:paraId="11D04CC0" w14:textId="77777777" w:rsidTr="00A15707">
        <w:tc>
          <w:tcPr>
            <w:tcW w:w="261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3A1CD41" w14:textId="77777777" w:rsidR="009C0981" w:rsidRPr="009C0981" w:rsidRDefault="009C0981" w:rsidP="009C098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val="en-GB" w:bidi="ml-IN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4C2894" w14:textId="77777777" w:rsidR="009C0981" w:rsidRPr="009C0981" w:rsidRDefault="009C0981" w:rsidP="009C098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sz w:val="22"/>
                <w:szCs w:val="22"/>
                <w:lang w:val="en-GB" w:bidi="ml-IN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</w:tcBorders>
            <w:shd w:val="clear" w:color="auto" w:fill="EAF1DD"/>
          </w:tcPr>
          <w:p w14:paraId="71BD9A2B" w14:textId="77777777" w:rsidR="009C0981" w:rsidRPr="009C0981" w:rsidRDefault="003D5044" w:rsidP="009C0981">
            <w:pPr>
              <w:autoSpaceDE w:val="0"/>
              <w:autoSpaceDN w:val="0"/>
              <w:adjustRightInd w:val="0"/>
              <w:ind w:left="-108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  <w:r w:rsidRPr="003D5044">
              <w:rPr>
                <w:rFonts w:eastAsia="Calibri"/>
                <w:bCs/>
                <w:sz w:val="22"/>
                <w:szCs w:val="22"/>
                <w:lang w:bidi="ml-IN"/>
              </w:rPr>
              <w:t xml:space="preserve">Puede evitar este problema </w:t>
            </w:r>
            <w:r w:rsidRPr="003D5044">
              <w:rPr>
                <w:rFonts w:eastAsia="Calibri"/>
                <w:b/>
                <w:bCs/>
                <w:sz w:val="22"/>
                <w:szCs w:val="22"/>
                <w:lang w:bidi="ml-IN"/>
              </w:rPr>
              <w:t>utilizando siempre una aguja NUEVA para cada inyección, y presionando el botón de inyección negro hasta el final mientras cuenta hasta 5 despacio.</w:t>
            </w:r>
          </w:p>
        </w:tc>
      </w:tr>
    </w:tbl>
    <w:p w14:paraId="7F1D0F3A" w14:textId="77777777" w:rsidR="009C0981" w:rsidRDefault="009C0981" w:rsidP="009C0981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1572"/>
        <w:gridCol w:w="5247"/>
      </w:tblGrid>
      <w:tr w:rsidR="00A15707" w:rsidRPr="006F6118" w14:paraId="43452379" w14:textId="77777777" w:rsidTr="00A15707">
        <w:tc>
          <w:tcPr>
            <w:tcW w:w="2617" w:type="dxa"/>
            <w:shd w:val="clear" w:color="auto" w:fill="auto"/>
          </w:tcPr>
          <w:p w14:paraId="18DE2E17" w14:textId="77777777" w:rsidR="00A15707" w:rsidRPr="009C0981" w:rsidRDefault="00A15707" w:rsidP="001559B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  <w:r w:rsidRPr="009C0981"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B. </w:t>
            </w:r>
            <w:r w:rsidRPr="007C757B"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¿Cómo puedo saber si mi pluma de </w:t>
            </w:r>
            <w:r w:rsidR="00EA201D">
              <w:rPr>
                <w:rFonts w:eastAsia="Calibri"/>
                <w:b/>
                <w:bCs/>
                <w:sz w:val="22"/>
                <w:szCs w:val="22"/>
                <w:lang w:bidi="ml-IN"/>
              </w:rPr>
              <w:t>Teriparatida</w:t>
            </w:r>
            <w:r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 SUN</w:t>
            </w:r>
            <w:r w:rsidRPr="007C757B"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 funciona?</w:t>
            </w:r>
          </w:p>
          <w:p w14:paraId="1E9AF250" w14:textId="77777777" w:rsidR="00A15707" w:rsidRPr="009C0981" w:rsidRDefault="00A15707" w:rsidP="001559B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</w:p>
          <w:p w14:paraId="394EA541" w14:textId="77777777" w:rsidR="00A15707" w:rsidRPr="009C0981" w:rsidRDefault="00A15707" w:rsidP="001559B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</w:p>
          <w:p w14:paraId="19267F50" w14:textId="77777777" w:rsidR="00A15707" w:rsidRPr="009C0981" w:rsidRDefault="00A15707" w:rsidP="001559B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</w:p>
          <w:p w14:paraId="74EEEB96" w14:textId="77777777" w:rsidR="00A15707" w:rsidRDefault="00A15707" w:rsidP="001559B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</w:p>
          <w:p w14:paraId="0CD0DD4B" w14:textId="77777777" w:rsidR="00A15707" w:rsidRPr="00C51762" w:rsidRDefault="00A15707" w:rsidP="00A1570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</w:p>
        </w:tc>
        <w:tc>
          <w:tcPr>
            <w:tcW w:w="1602" w:type="dxa"/>
            <w:shd w:val="clear" w:color="auto" w:fill="auto"/>
          </w:tcPr>
          <w:p w14:paraId="43C64D34" w14:textId="77777777" w:rsidR="00A15707" w:rsidRPr="00C51762" w:rsidRDefault="00A15707" w:rsidP="001559BA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sz w:val="22"/>
                <w:szCs w:val="22"/>
                <w:lang w:bidi="ml-IN"/>
              </w:rPr>
            </w:pPr>
          </w:p>
          <w:p w14:paraId="298C9E41" w14:textId="77777777" w:rsidR="00A15707" w:rsidRPr="009C0981" w:rsidRDefault="00DE56FE" w:rsidP="001559BA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sz w:val="22"/>
                <w:szCs w:val="22"/>
                <w:lang w:val="en-GB" w:bidi="ml-IN"/>
              </w:rPr>
            </w:pPr>
            <w:r w:rsidRPr="009C0981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w:drawing>
                <wp:inline distT="0" distB="0" distL="0" distR="0" wp14:anchorId="1B8E3729" wp14:editId="39E6E235">
                  <wp:extent cx="347345" cy="245745"/>
                  <wp:effectExtent l="0" t="0" r="0" b="0"/>
                  <wp:docPr id="2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9FFFB4" w14:textId="77777777" w:rsidR="00A15707" w:rsidRPr="009C0981" w:rsidRDefault="00A15707" w:rsidP="001559BA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sz w:val="22"/>
                <w:szCs w:val="22"/>
                <w:lang w:val="en-GB" w:bidi="ml-IN"/>
              </w:rPr>
            </w:pPr>
          </w:p>
        </w:tc>
        <w:tc>
          <w:tcPr>
            <w:tcW w:w="5387" w:type="dxa"/>
            <w:shd w:val="clear" w:color="auto" w:fill="FFFFFF"/>
          </w:tcPr>
          <w:p w14:paraId="1F2158EF" w14:textId="77777777" w:rsidR="00A15707" w:rsidRPr="00C51762" w:rsidRDefault="00A15707" w:rsidP="001559BA">
            <w:pPr>
              <w:autoSpaceDE w:val="0"/>
              <w:autoSpaceDN w:val="0"/>
              <w:adjustRightInd w:val="0"/>
              <w:ind w:left="-108"/>
              <w:rPr>
                <w:rFonts w:eastAsia="Calibri"/>
                <w:sz w:val="22"/>
                <w:szCs w:val="22"/>
                <w:lang w:bidi="ml-IN"/>
              </w:rPr>
            </w:pPr>
            <w:r w:rsidRPr="00C51762">
              <w:rPr>
                <w:rFonts w:eastAsia="Calibri"/>
                <w:sz w:val="22"/>
                <w:szCs w:val="22"/>
                <w:lang w:bidi="ml-IN"/>
              </w:rPr>
              <w:t xml:space="preserve">La pluma de </w:t>
            </w:r>
            <w:r w:rsidR="00EA201D">
              <w:rPr>
                <w:rFonts w:eastAsia="Calibri"/>
                <w:sz w:val="22"/>
                <w:szCs w:val="22"/>
                <w:lang w:bidi="ml-IN"/>
              </w:rPr>
              <w:t>Teriparatida</w:t>
            </w:r>
            <w:r>
              <w:rPr>
                <w:rFonts w:eastAsia="Calibri"/>
                <w:sz w:val="22"/>
                <w:szCs w:val="22"/>
                <w:lang w:bidi="ml-IN"/>
              </w:rPr>
              <w:t xml:space="preserve"> SUN</w:t>
            </w:r>
            <w:r w:rsidRPr="00C51762">
              <w:rPr>
                <w:rFonts w:eastAsia="Calibri"/>
                <w:sz w:val="22"/>
                <w:szCs w:val="22"/>
                <w:lang w:bidi="ml-IN"/>
              </w:rPr>
              <w:t xml:space="preserve"> está diseñada para inyectar una dosis completa cada vez que se utiliza siguiendo las instrucciones de la sección </w:t>
            </w:r>
            <w:r w:rsidRPr="00C51762">
              <w:rPr>
                <w:rFonts w:eastAsia="Calibri"/>
                <w:i/>
                <w:sz w:val="22"/>
                <w:szCs w:val="22"/>
                <w:lang w:bidi="ml-IN"/>
              </w:rPr>
              <w:t>Instrucciones de Uso</w:t>
            </w:r>
            <w:r w:rsidRPr="00C51762">
              <w:rPr>
                <w:rFonts w:eastAsia="Calibri"/>
                <w:sz w:val="22"/>
                <w:szCs w:val="22"/>
                <w:lang w:bidi="ml-IN"/>
              </w:rPr>
              <w:t>. El botón de inyección negro deberá estar introducido hasta el final para c</w:t>
            </w:r>
            <w:r>
              <w:rPr>
                <w:rFonts w:eastAsia="Calibri"/>
                <w:sz w:val="22"/>
                <w:szCs w:val="22"/>
                <w:lang w:bidi="ml-IN"/>
              </w:rPr>
              <w:t xml:space="preserve">onfirmar que la pluma de </w:t>
            </w:r>
            <w:r w:rsidR="00EA201D">
              <w:rPr>
                <w:rFonts w:eastAsia="Calibri"/>
                <w:sz w:val="22"/>
                <w:szCs w:val="22"/>
                <w:lang w:bidi="ml-IN"/>
              </w:rPr>
              <w:t>Teriparatida</w:t>
            </w:r>
            <w:r>
              <w:rPr>
                <w:rFonts w:eastAsia="Calibri"/>
                <w:sz w:val="22"/>
                <w:szCs w:val="22"/>
                <w:lang w:bidi="ml-IN"/>
              </w:rPr>
              <w:t xml:space="preserve"> SUN</w:t>
            </w:r>
            <w:r w:rsidRPr="00C51762">
              <w:rPr>
                <w:rFonts w:eastAsia="Calibri"/>
                <w:sz w:val="22"/>
                <w:szCs w:val="22"/>
                <w:lang w:bidi="ml-IN"/>
              </w:rPr>
              <w:t xml:space="preserve"> ha inyectado la dosis completa.</w:t>
            </w:r>
          </w:p>
          <w:p w14:paraId="5D5D99AC" w14:textId="77777777" w:rsidR="00A15707" w:rsidRPr="00C51762" w:rsidRDefault="00A15707" w:rsidP="001559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bidi="ml-IN"/>
              </w:rPr>
            </w:pPr>
          </w:p>
          <w:p w14:paraId="6ADD34F2" w14:textId="77777777" w:rsidR="00A15707" w:rsidRPr="006F6118" w:rsidRDefault="00A15707" w:rsidP="00A15707">
            <w:pPr>
              <w:autoSpaceDE w:val="0"/>
              <w:autoSpaceDN w:val="0"/>
              <w:adjustRightInd w:val="0"/>
              <w:ind w:left="-108"/>
              <w:rPr>
                <w:rFonts w:eastAsia="Calibri"/>
                <w:sz w:val="22"/>
                <w:szCs w:val="22"/>
                <w:lang w:bidi="ml-IN"/>
              </w:rPr>
            </w:pPr>
            <w:r w:rsidRPr="00C51762">
              <w:rPr>
                <w:rFonts w:eastAsia="Calibri"/>
                <w:sz w:val="22"/>
                <w:szCs w:val="22"/>
                <w:lang w:bidi="ml-IN"/>
              </w:rPr>
              <w:t xml:space="preserve">Recuerde utilizar una aguja nueva para cada inyección para asegurarse de que su pluma de </w:t>
            </w:r>
            <w:r w:rsidR="00EA201D">
              <w:rPr>
                <w:rFonts w:eastAsia="Calibri"/>
                <w:sz w:val="22"/>
                <w:szCs w:val="22"/>
                <w:lang w:bidi="ml-IN"/>
              </w:rPr>
              <w:t>Teriparatida</w:t>
            </w:r>
            <w:r>
              <w:rPr>
                <w:rFonts w:eastAsia="Calibri"/>
                <w:sz w:val="22"/>
                <w:szCs w:val="22"/>
                <w:lang w:bidi="ml-IN"/>
              </w:rPr>
              <w:t xml:space="preserve"> SUN</w:t>
            </w:r>
            <w:r w:rsidRPr="00C51762">
              <w:rPr>
                <w:rFonts w:eastAsia="Calibri"/>
                <w:sz w:val="22"/>
                <w:szCs w:val="22"/>
                <w:lang w:bidi="ml-IN"/>
              </w:rPr>
              <w:t xml:space="preserve"> funciona correctamente.</w:t>
            </w:r>
          </w:p>
        </w:tc>
      </w:tr>
    </w:tbl>
    <w:p w14:paraId="4E6EA0AA" w14:textId="77777777" w:rsidR="006F6118" w:rsidRDefault="006F6118" w:rsidP="006F6118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1572"/>
        <w:gridCol w:w="5247"/>
      </w:tblGrid>
      <w:tr w:rsidR="00A15707" w:rsidRPr="006F6118" w14:paraId="4E18C3F2" w14:textId="77777777" w:rsidTr="001559BA">
        <w:tc>
          <w:tcPr>
            <w:tcW w:w="2617" w:type="dxa"/>
            <w:shd w:val="clear" w:color="auto" w:fill="auto"/>
          </w:tcPr>
          <w:p w14:paraId="05166D15" w14:textId="77777777" w:rsidR="00A15707" w:rsidRPr="00C51762" w:rsidRDefault="00A15707" w:rsidP="00A1570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  <w:r w:rsidRPr="00C51762">
              <w:rPr>
                <w:rFonts w:eastAsia="Calibri"/>
                <w:b/>
                <w:bCs/>
                <w:sz w:val="22"/>
                <w:szCs w:val="22"/>
                <w:lang w:bidi="ml-IN"/>
              </w:rPr>
              <w:t>C. Veo una burbuja</w:t>
            </w:r>
            <w:r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 de aire en mi pluma de </w:t>
            </w:r>
            <w:r w:rsidR="00EA201D">
              <w:rPr>
                <w:rFonts w:eastAsia="Calibri"/>
                <w:b/>
                <w:bCs/>
                <w:sz w:val="22"/>
                <w:szCs w:val="22"/>
                <w:lang w:bidi="ml-IN"/>
              </w:rPr>
              <w:t>Teriparatida</w:t>
            </w:r>
            <w:r w:rsidRPr="00C51762"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 SUN.</w:t>
            </w:r>
          </w:p>
        </w:tc>
        <w:tc>
          <w:tcPr>
            <w:tcW w:w="1602" w:type="dxa"/>
            <w:shd w:val="clear" w:color="auto" w:fill="auto"/>
          </w:tcPr>
          <w:p w14:paraId="48637181" w14:textId="77777777" w:rsidR="00A15707" w:rsidRPr="009C0981" w:rsidRDefault="00DE56FE" w:rsidP="00A15707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sz w:val="22"/>
                <w:szCs w:val="22"/>
                <w:lang w:val="en-GB" w:bidi="ml-IN"/>
              </w:rPr>
            </w:pPr>
            <w:r w:rsidRPr="009C0981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w:drawing>
                <wp:inline distT="0" distB="0" distL="0" distR="0" wp14:anchorId="6980DB93" wp14:editId="0F748BD1">
                  <wp:extent cx="347345" cy="245745"/>
                  <wp:effectExtent l="0" t="0" r="0" b="0"/>
                  <wp:docPr id="2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FFFFFF"/>
          </w:tcPr>
          <w:p w14:paraId="2A064884" w14:textId="77777777" w:rsidR="00A15707" w:rsidRPr="006F6118" w:rsidRDefault="00A15707" w:rsidP="00A15707">
            <w:pPr>
              <w:autoSpaceDE w:val="0"/>
              <w:autoSpaceDN w:val="0"/>
              <w:adjustRightInd w:val="0"/>
              <w:ind w:left="-108"/>
              <w:rPr>
                <w:rFonts w:eastAsia="Calibri"/>
                <w:sz w:val="22"/>
                <w:szCs w:val="22"/>
                <w:lang w:bidi="ml-IN"/>
              </w:rPr>
            </w:pPr>
            <w:r w:rsidRPr="00C51762">
              <w:rPr>
                <w:rFonts w:eastAsia="Calibri"/>
                <w:sz w:val="22"/>
                <w:szCs w:val="22"/>
                <w:lang w:bidi="ml-IN"/>
              </w:rPr>
              <w:t>Una pequeña burbuja de aire no afectará a su dosis ni le hará daño. Puede proceder a la administración de su dosis de la forma habitual.</w:t>
            </w:r>
          </w:p>
        </w:tc>
      </w:tr>
    </w:tbl>
    <w:p w14:paraId="27220C82" w14:textId="77777777" w:rsidR="00A15707" w:rsidRDefault="00A15707" w:rsidP="006F6118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1574"/>
        <w:gridCol w:w="5261"/>
      </w:tblGrid>
      <w:tr w:rsidR="00A15707" w:rsidRPr="006F6118" w14:paraId="18E97C9C" w14:textId="77777777" w:rsidTr="001559BA">
        <w:tc>
          <w:tcPr>
            <w:tcW w:w="2617" w:type="dxa"/>
            <w:shd w:val="clear" w:color="auto" w:fill="auto"/>
          </w:tcPr>
          <w:p w14:paraId="604698CA" w14:textId="77777777" w:rsidR="00A15707" w:rsidRPr="00C51762" w:rsidRDefault="00A15707" w:rsidP="001559B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  <w:r w:rsidRPr="00C51762">
              <w:rPr>
                <w:rFonts w:eastAsia="Calibri"/>
                <w:b/>
                <w:bCs/>
                <w:sz w:val="22"/>
                <w:szCs w:val="22"/>
                <w:lang w:bidi="ml-IN"/>
              </w:rPr>
              <w:t>D. No puedo retirar la aguja.</w:t>
            </w:r>
          </w:p>
          <w:p w14:paraId="0F6054C1" w14:textId="77777777" w:rsidR="00A15707" w:rsidRPr="00C51762" w:rsidRDefault="00A15707" w:rsidP="001559BA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</w:p>
        </w:tc>
        <w:tc>
          <w:tcPr>
            <w:tcW w:w="1602" w:type="dxa"/>
            <w:shd w:val="clear" w:color="auto" w:fill="auto"/>
          </w:tcPr>
          <w:p w14:paraId="7DA01BA5" w14:textId="77777777" w:rsidR="00A15707" w:rsidRPr="009C0981" w:rsidRDefault="00DE56FE" w:rsidP="001559BA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sz w:val="22"/>
                <w:szCs w:val="22"/>
                <w:lang w:val="en-GB" w:bidi="ml-IN"/>
              </w:rPr>
            </w:pPr>
            <w:r w:rsidRPr="009C0981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w:drawing>
                <wp:inline distT="0" distB="0" distL="0" distR="0" wp14:anchorId="05249C9B" wp14:editId="6898AB51">
                  <wp:extent cx="347345" cy="245745"/>
                  <wp:effectExtent l="0" t="0" r="0" b="0"/>
                  <wp:docPr id="2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51773D" w14:textId="77777777" w:rsidR="00A15707" w:rsidRPr="009C0981" w:rsidRDefault="00A15707" w:rsidP="001559BA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sz w:val="22"/>
                <w:szCs w:val="22"/>
                <w:lang w:val="en-GB" w:bidi="ml-IN"/>
              </w:rPr>
            </w:pPr>
          </w:p>
        </w:tc>
        <w:tc>
          <w:tcPr>
            <w:tcW w:w="5387" w:type="dxa"/>
            <w:shd w:val="clear" w:color="auto" w:fill="FFFFFF"/>
          </w:tcPr>
          <w:p w14:paraId="0A582107" w14:textId="77777777" w:rsidR="00A15707" w:rsidRPr="00933408" w:rsidRDefault="00A15707" w:rsidP="001559BA">
            <w:pPr>
              <w:autoSpaceDE w:val="0"/>
              <w:autoSpaceDN w:val="0"/>
              <w:adjustRightInd w:val="0"/>
              <w:ind w:left="180" w:hanging="284"/>
              <w:rPr>
                <w:rFonts w:eastAsia="Calibri"/>
                <w:sz w:val="22"/>
                <w:szCs w:val="22"/>
                <w:lang w:bidi="ml-IN"/>
              </w:rPr>
            </w:pPr>
            <w:r w:rsidRPr="00C51762">
              <w:rPr>
                <w:rFonts w:eastAsia="Calibri"/>
                <w:sz w:val="22"/>
                <w:szCs w:val="22"/>
                <w:lang w:bidi="ml-IN"/>
              </w:rPr>
              <w:t>1) Coloque la capucha externa de la aguja en la aguja.</w:t>
            </w:r>
            <w:r w:rsidRPr="00933408">
              <w:rPr>
                <w:rFonts w:eastAsia="Calibri"/>
                <w:sz w:val="22"/>
                <w:szCs w:val="22"/>
                <w:lang w:bidi="ml-IN"/>
              </w:rPr>
              <w:t xml:space="preserve"> (Ver paso 6)</w:t>
            </w:r>
          </w:p>
          <w:p w14:paraId="71F7B00E" w14:textId="77777777" w:rsidR="00A15707" w:rsidRPr="00C51762" w:rsidRDefault="00A15707" w:rsidP="001559BA">
            <w:pPr>
              <w:autoSpaceDE w:val="0"/>
              <w:autoSpaceDN w:val="0"/>
              <w:adjustRightInd w:val="0"/>
              <w:ind w:left="180" w:hanging="284"/>
              <w:rPr>
                <w:rFonts w:eastAsia="Calibri"/>
                <w:sz w:val="22"/>
                <w:szCs w:val="22"/>
                <w:lang w:bidi="ml-IN"/>
              </w:rPr>
            </w:pPr>
            <w:r w:rsidRPr="00C51762">
              <w:rPr>
                <w:rFonts w:eastAsia="Calibri"/>
                <w:sz w:val="22"/>
                <w:szCs w:val="22"/>
                <w:lang w:bidi="ml-IN"/>
              </w:rPr>
              <w:t xml:space="preserve">2) Utilice la capucha externa de la aguja </w:t>
            </w:r>
            <w:r>
              <w:rPr>
                <w:rFonts w:eastAsia="Calibri"/>
                <w:sz w:val="22"/>
                <w:szCs w:val="22"/>
                <w:lang w:bidi="ml-IN"/>
              </w:rPr>
              <w:t>para desenroscar la aguja</w:t>
            </w:r>
            <w:r w:rsidRPr="00C51762">
              <w:rPr>
                <w:rFonts w:eastAsia="Calibri"/>
                <w:sz w:val="22"/>
                <w:szCs w:val="22"/>
                <w:lang w:bidi="ml-IN"/>
              </w:rPr>
              <w:t>.</w:t>
            </w:r>
          </w:p>
          <w:p w14:paraId="462A07DB" w14:textId="77777777" w:rsidR="00A15707" w:rsidRPr="00C51762" w:rsidRDefault="00A15707" w:rsidP="001559BA">
            <w:pPr>
              <w:autoSpaceDE w:val="0"/>
              <w:autoSpaceDN w:val="0"/>
              <w:adjustRightInd w:val="0"/>
              <w:ind w:left="180" w:hanging="284"/>
              <w:rPr>
                <w:rFonts w:eastAsia="Calibri"/>
                <w:sz w:val="22"/>
                <w:szCs w:val="22"/>
                <w:lang w:bidi="ml-IN"/>
              </w:rPr>
            </w:pPr>
            <w:r w:rsidRPr="00C51762">
              <w:rPr>
                <w:rFonts w:eastAsia="Calibri"/>
                <w:sz w:val="22"/>
                <w:szCs w:val="22"/>
                <w:lang w:bidi="ml-IN"/>
              </w:rPr>
              <w:t>3) Desenrosque totalmente la aguja dándole de 3 a 5 vueltas completas a la capucha externa de la aguja.</w:t>
            </w:r>
          </w:p>
          <w:p w14:paraId="557C3426" w14:textId="77777777" w:rsidR="00A15707" w:rsidRPr="006F6118" w:rsidRDefault="00A15707" w:rsidP="001559BA">
            <w:pPr>
              <w:autoSpaceDE w:val="0"/>
              <w:autoSpaceDN w:val="0"/>
              <w:adjustRightInd w:val="0"/>
              <w:ind w:left="180" w:hanging="284"/>
              <w:rPr>
                <w:rFonts w:eastAsia="Calibri"/>
                <w:sz w:val="22"/>
                <w:szCs w:val="22"/>
                <w:lang w:bidi="ml-IN"/>
              </w:rPr>
            </w:pPr>
            <w:r w:rsidRPr="006F6118">
              <w:rPr>
                <w:rFonts w:eastAsia="Calibri"/>
                <w:sz w:val="22"/>
                <w:szCs w:val="22"/>
                <w:lang w:bidi="ml-IN"/>
              </w:rPr>
              <w:t xml:space="preserve">4) </w:t>
            </w:r>
            <w:r>
              <w:rPr>
                <w:rFonts w:eastAsia="Calibri"/>
                <w:sz w:val="22"/>
                <w:szCs w:val="22"/>
                <w:lang w:bidi="ml-IN"/>
              </w:rPr>
              <w:t>S</w:t>
            </w:r>
            <w:r w:rsidRPr="006F6118">
              <w:rPr>
                <w:rFonts w:eastAsia="Calibri"/>
                <w:sz w:val="22"/>
                <w:szCs w:val="22"/>
                <w:lang w:bidi="ml-IN"/>
              </w:rPr>
              <w:t>i sigue sin poder retirar la aguja, pídale ayuda a alguien.</w:t>
            </w:r>
          </w:p>
        </w:tc>
      </w:tr>
    </w:tbl>
    <w:p w14:paraId="505E283D" w14:textId="77777777" w:rsidR="00A15707" w:rsidRDefault="00A15707" w:rsidP="006F6118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bidi="ml-IN"/>
        </w:rPr>
      </w:pPr>
    </w:p>
    <w:p w14:paraId="473A9582" w14:textId="77777777" w:rsidR="00A15707" w:rsidRPr="00D05C05" w:rsidRDefault="00A15707" w:rsidP="006F6118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1429"/>
        <w:gridCol w:w="5204"/>
      </w:tblGrid>
      <w:tr w:rsidR="006F6118" w:rsidRPr="006F6118" w14:paraId="72C6DE5B" w14:textId="77777777" w:rsidTr="00AC537B">
        <w:tc>
          <w:tcPr>
            <w:tcW w:w="3085" w:type="dxa"/>
            <w:tcBorders>
              <w:right w:val="nil"/>
            </w:tcBorders>
            <w:shd w:val="clear" w:color="auto" w:fill="auto"/>
          </w:tcPr>
          <w:p w14:paraId="2D8684E7" w14:textId="77777777" w:rsidR="006F6118" w:rsidRPr="006F6118" w:rsidRDefault="006F6118" w:rsidP="006F611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  <w:r w:rsidRPr="006F6118">
              <w:rPr>
                <w:rFonts w:eastAsia="Calibri"/>
                <w:b/>
                <w:bCs/>
                <w:sz w:val="22"/>
                <w:szCs w:val="22"/>
                <w:lang w:bidi="ml-IN"/>
              </w:rPr>
              <w:t>E. ¿Qué debería hacer si no puedo tirar del botón de inyección negro?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14:paraId="1CA5623E" w14:textId="77777777" w:rsidR="006F6118" w:rsidRPr="006F6118" w:rsidRDefault="00DE56FE" w:rsidP="006F611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en-GB" w:bidi="ml-IN"/>
              </w:rPr>
            </w:pPr>
            <w:r w:rsidRPr="006F6118">
              <w:rPr>
                <w:rFonts w:eastAsia="Calibri"/>
                <w:bCs/>
                <w:noProof/>
                <w:sz w:val="22"/>
                <w:szCs w:val="22"/>
                <w:lang w:val="en-US"/>
              </w:rPr>
              <w:drawing>
                <wp:inline distT="0" distB="0" distL="0" distR="0" wp14:anchorId="43F1276E" wp14:editId="15827B1C">
                  <wp:extent cx="347345" cy="245745"/>
                  <wp:effectExtent l="0" t="0" r="0" b="0"/>
                  <wp:docPr id="2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0" w:type="dxa"/>
            <w:tcBorders>
              <w:left w:val="nil"/>
            </w:tcBorders>
            <w:shd w:val="clear" w:color="auto" w:fill="auto"/>
          </w:tcPr>
          <w:p w14:paraId="0FB6B393" w14:textId="77777777" w:rsidR="006F6118" w:rsidRPr="006F6118" w:rsidRDefault="006F6118" w:rsidP="006F611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  <w:r w:rsidRPr="006F6118"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Cambie a una nueva pluma de </w:t>
            </w:r>
            <w:r w:rsidR="00EA201D">
              <w:rPr>
                <w:rFonts w:eastAsia="Calibri"/>
                <w:b/>
                <w:bCs/>
                <w:sz w:val="22"/>
                <w:szCs w:val="22"/>
                <w:lang w:bidi="ml-IN"/>
              </w:rPr>
              <w:t>Teriparatida</w:t>
            </w:r>
            <w:r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 SUN</w:t>
            </w:r>
            <w:r w:rsidRPr="006F6118">
              <w:rPr>
                <w:rFonts w:eastAsia="Calibri"/>
                <w:b/>
                <w:bCs/>
                <w:sz w:val="22"/>
                <w:szCs w:val="22"/>
                <w:lang w:bidi="ml-IN"/>
              </w:rPr>
              <w:t xml:space="preserve"> para administrarse su dosis tal como le ha indicado su médico o farmacéutico.</w:t>
            </w:r>
          </w:p>
          <w:p w14:paraId="6F13DA14" w14:textId="77777777" w:rsidR="006F6118" w:rsidRPr="006F6118" w:rsidRDefault="006F6118" w:rsidP="006F611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bidi="ml-IN"/>
              </w:rPr>
            </w:pPr>
          </w:p>
          <w:p w14:paraId="67A21CA3" w14:textId="77777777" w:rsidR="006F6118" w:rsidRPr="006F6118" w:rsidRDefault="006F6118" w:rsidP="006F611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  <w:r w:rsidRPr="006F6118">
              <w:rPr>
                <w:rFonts w:eastAsia="Calibri"/>
                <w:bCs/>
                <w:sz w:val="22"/>
                <w:szCs w:val="22"/>
                <w:lang w:bidi="ml-IN"/>
              </w:rPr>
              <w:t>Esto significa que usted ya ha utilizado todo el medicamento que podía ser inyectado con precisión, a pesar de que usted pueda ver que aún queda algo del medicamento en el cartucho.</w:t>
            </w:r>
          </w:p>
          <w:p w14:paraId="51317E4B" w14:textId="77777777" w:rsidR="006F6118" w:rsidRPr="006F6118" w:rsidRDefault="006F6118" w:rsidP="006F6118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</w:p>
        </w:tc>
      </w:tr>
    </w:tbl>
    <w:p w14:paraId="524D4477" w14:textId="77777777" w:rsidR="006F6118" w:rsidRDefault="006F6118" w:rsidP="006F6118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bidi="ml-IN"/>
        </w:rPr>
      </w:pPr>
    </w:p>
    <w:p w14:paraId="7948695C" w14:textId="77777777" w:rsidR="008E4116" w:rsidRPr="00037D55" w:rsidRDefault="008E4116" w:rsidP="008E4116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val="pt-PT"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8E4116" w:rsidRPr="008E4116" w14:paraId="74575EF8" w14:textId="77777777" w:rsidTr="00AC537B">
        <w:trPr>
          <w:trHeight w:val="318"/>
        </w:trPr>
        <w:tc>
          <w:tcPr>
            <w:tcW w:w="10564" w:type="dxa"/>
            <w:shd w:val="clear" w:color="auto" w:fill="0070C0"/>
            <w:vAlign w:val="center"/>
          </w:tcPr>
          <w:p w14:paraId="69FEF058" w14:textId="77777777" w:rsidR="008E4116" w:rsidRPr="00AC537B" w:rsidRDefault="00076E6D" w:rsidP="00076E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FFFF"/>
                <w:sz w:val="22"/>
                <w:szCs w:val="22"/>
                <w:lang w:val="en-GB" w:bidi="ml-IN"/>
              </w:rPr>
            </w:pPr>
            <w:proofErr w:type="spellStart"/>
            <w:r w:rsidRPr="00AC537B">
              <w:rPr>
                <w:rFonts w:eastAsia="Calibri"/>
                <w:b/>
                <w:bCs/>
                <w:color w:val="FFFFFF"/>
                <w:sz w:val="22"/>
                <w:szCs w:val="22"/>
                <w:lang w:val="en-GB" w:bidi="ml-IN"/>
              </w:rPr>
              <w:t>Limpieza</w:t>
            </w:r>
            <w:proofErr w:type="spellEnd"/>
            <w:r w:rsidRPr="00AC537B">
              <w:rPr>
                <w:rFonts w:eastAsia="Calibri"/>
                <w:b/>
                <w:bCs/>
                <w:color w:val="FFFFFF"/>
                <w:sz w:val="22"/>
                <w:szCs w:val="22"/>
                <w:lang w:val="en-GB" w:bidi="ml-IN"/>
              </w:rPr>
              <w:t xml:space="preserve"> y </w:t>
            </w:r>
            <w:proofErr w:type="spellStart"/>
            <w:r w:rsidRPr="00AC537B">
              <w:rPr>
                <w:rFonts w:eastAsia="Calibri"/>
                <w:b/>
                <w:bCs/>
                <w:color w:val="FFFFFF"/>
                <w:sz w:val="22"/>
                <w:szCs w:val="22"/>
                <w:lang w:val="en-GB" w:bidi="ml-IN"/>
              </w:rPr>
              <w:t>conservación</w:t>
            </w:r>
            <w:proofErr w:type="spellEnd"/>
          </w:p>
        </w:tc>
      </w:tr>
      <w:tr w:rsidR="008E4116" w:rsidRPr="00B51374" w14:paraId="7A338462" w14:textId="77777777" w:rsidTr="00AC537B">
        <w:tc>
          <w:tcPr>
            <w:tcW w:w="10564" w:type="dxa"/>
            <w:shd w:val="clear" w:color="auto" w:fill="auto"/>
          </w:tcPr>
          <w:p w14:paraId="56E34BB9" w14:textId="77777777" w:rsidR="008E4116" w:rsidRPr="006A16E7" w:rsidRDefault="008E4116" w:rsidP="008E4116">
            <w:pPr>
              <w:rPr>
                <w:b/>
                <w:sz w:val="22"/>
                <w:szCs w:val="22"/>
              </w:rPr>
            </w:pPr>
            <w:r w:rsidRPr="006A16E7">
              <w:rPr>
                <w:b/>
                <w:sz w:val="22"/>
                <w:szCs w:val="22"/>
              </w:rPr>
              <w:t xml:space="preserve">Limpieza de su pluma de </w:t>
            </w:r>
            <w:r w:rsidR="00EA201D">
              <w:rPr>
                <w:b/>
                <w:sz w:val="22"/>
                <w:szCs w:val="22"/>
              </w:rPr>
              <w:t>Teriparatida</w:t>
            </w:r>
            <w:r>
              <w:rPr>
                <w:b/>
                <w:sz w:val="22"/>
                <w:szCs w:val="22"/>
              </w:rPr>
              <w:t xml:space="preserve"> SUN</w:t>
            </w:r>
          </w:p>
          <w:p w14:paraId="68DCED51" w14:textId="77777777" w:rsidR="008E4116" w:rsidRPr="006A16E7" w:rsidRDefault="008E4116" w:rsidP="008E4116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6A16E7">
              <w:rPr>
                <w:bCs/>
                <w:color w:val="000000"/>
                <w:sz w:val="22"/>
                <w:szCs w:val="22"/>
              </w:rPr>
              <w:t>L</w:t>
            </w:r>
            <w:r w:rsidRPr="006A16E7">
              <w:rPr>
                <w:sz w:val="22"/>
                <w:szCs w:val="22"/>
              </w:rPr>
              <w:t xml:space="preserve">impie el exterior de su pluma de </w:t>
            </w:r>
            <w:r w:rsidR="00EA201D">
              <w:rPr>
                <w:sz w:val="22"/>
                <w:szCs w:val="22"/>
              </w:rPr>
              <w:t>Teriparatida</w:t>
            </w:r>
            <w:r>
              <w:rPr>
                <w:sz w:val="22"/>
                <w:szCs w:val="22"/>
              </w:rPr>
              <w:t xml:space="preserve"> SUN</w:t>
            </w:r>
            <w:r w:rsidRPr="006A16E7">
              <w:rPr>
                <w:sz w:val="22"/>
                <w:szCs w:val="22"/>
              </w:rPr>
              <w:t xml:space="preserve"> con un paño húmedo.</w:t>
            </w:r>
          </w:p>
          <w:p w14:paraId="7E8938F4" w14:textId="77777777" w:rsidR="008E4116" w:rsidRPr="006A16E7" w:rsidRDefault="008E4116" w:rsidP="008E4116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6A16E7">
              <w:rPr>
                <w:bCs/>
                <w:color w:val="000000"/>
                <w:sz w:val="22"/>
                <w:szCs w:val="22"/>
              </w:rPr>
              <w:t>N</w:t>
            </w:r>
            <w:r w:rsidRPr="006A16E7">
              <w:rPr>
                <w:sz w:val="22"/>
                <w:szCs w:val="22"/>
              </w:rPr>
              <w:t xml:space="preserve">o introduzca su pluma de </w:t>
            </w:r>
            <w:r w:rsidR="00EA201D">
              <w:rPr>
                <w:sz w:val="22"/>
                <w:szCs w:val="22"/>
              </w:rPr>
              <w:t>Teriparatida</w:t>
            </w:r>
            <w:r>
              <w:rPr>
                <w:sz w:val="22"/>
                <w:szCs w:val="22"/>
              </w:rPr>
              <w:t xml:space="preserve"> SUN</w:t>
            </w:r>
            <w:r w:rsidRPr="006A16E7">
              <w:rPr>
                <w:sz w:val="22"/>
                <w:szCs w:val="22"/>
              </w:rPr>
              <w:t xml:space="preserve"> en agua, ni la lave o limpie con ningún líquido.</w:t>
            </w:r>
          </w:p>
          <w:p w14:paraId="715AE47F" w14:textId="77777777" w:rsidR="008E4116" w:rsidRPr="006A16E7" w:rsidRDefault="008E4116" w:rsidP="008E4116">
            <w:pPr>
              <w:rPr>
                <w:b/>
                <w:color w:val="000000"/>
                <w:sz w:val="22"/>
                <w:szCs w:val="22"/>
              </w:rPr>
            </w:pPr>
          </w:p>
          <w:p w14:paraId="46FCBFB7" w14:textId="77777777" w:rsidR="008E4116" w:rsidRPr="006A16E7" w:rsidRDefault="008E4116" w:rsidP="008E4116">
            <w:pPr>
              <w:rPr>
                <w:b/>
                <w:sz w:val="22"/>
                <w:szCs w:val="22"/>
              </w:rPr>
            </w:pPr>
            <w:r w:rsidRPr="006A16E7">
              <w:rPr>
                <w:b/>
                <w:sz w:val="22"/>
                <w:szCs w:val="22"/>
              </w:rPr>
              <w:t xml:space="preserve">Conservación de su pluma de </w:t>
            </w:r>
            <w:r w:rsidR="00EA201D">
              <w:rPr>
                <w:b/>
                <w:sz w:val="22"/>
                <w:szCs w:val="22"/>
              </w:rPr>
              <w:t>Teriparatida</w:t>
            </w:r>
            <w:r>
              <w:rPr>
                <w:b/>
                <w:sz w:val="22"/>
                <w:szCs w:val="22"/>
              </w:rPr>
              <w:t xml:space="preserve"> SUN</w:t>
            </w:r>
          </w:p>
          <w:p w14:paraId="6953B8C1" w14:textId="77777777" w:rsidR="008E4116" w:rsidRPr="006A16E7" w:rsidRDefault="008E4116" w:rsidP="008E4116">
            <w:pPr>
              <w:numPr>
                <w:ilvl w:val="0"/>
                <w:numId w:val="18"/>
              </w:numPr>
              <w:rPr>
                <w:i/>
                <w:sz w:val="22"/>
                <w:szCs w:val="22"/>
              </w:rPr>
            </w:pPr>
            <w:r w:rsidRPr="006A16E7">
              <w:rPr>
                <w:bCs/>
                <w:color w:val="000000"/>
                <w:sz w:val="22"/>
                <w:szCs w:val="22"/>
              </w:rPr>
              <w:t>G</w:t>
            </w:r>
            <w:r w:rsidRPr="006A16E7">
              <w:rPr>
                <w:sz w:val="22"/>
                <w:szCs w:val="22"/>
              </w:rPr>
              <w:t xml:space="preserve">uarde su pluma de </w:t>
            </w:r>
            <w:r w:rsidR="00EA201D">
              <w:rPr>
                <w:sz w:val="22"/>
                <w:szCs w:val="22"/>
              </w:rPr>
              <w:t>Teriparatida</w:t>
            </w:r>
            <w:r>
              <w:rPr>
                <w:sz w:val="22"/>
                <w:szCs w:val="22"/>
              </w:rPr>
              <w:t xml:space="preserve"> SUN</w:t>
            </w:r>
            <w:r w:rsidRPr="006A16E7">
              <w:rPr>
                <w:sz w:val="22"/>
                <w:szCs w:val="22"/>
              </w:rPr>
              <w:t xml:space="preserve"> en la nevera inmediatamente después de cada uso. Lea y siga las instrucciones de cómo conservar </w:t>
            </w:r>
            <w:r>
              <w:rPr>
                <w:sz w:val="22"/>
                <w:szCs w:val="22"/>
              </w:rPr>
              <w:t>su pluma</w:t>
            </w:r>
            <w:r w:rsidRPr="006A16E7">
              <w:rPr>
                <w:i/>
                <w:sz w:val="22"/>
                <w:szCs w:val="22"/>
              </w:rPr>
              <w:t xml:space="preserve"> </w:t>
            </w:r>
            <w:r w:rsidR="00B51374">
              <w:rPr>
                <w:sz w:val="22"/>
                <w:szCs w:val="22"/>
              </w:rPr>
              <w:t xml:space="preserve">en </w:t>
            </w:r>
            <w:r w:rsidRPr="006A16E7">
              <w:rPr>
                <w:sz w:val="22"/>
                <w:szCs w:val="22"/>
              </w:rPr>
              <w:t xml:space="preserve">el </w:t>
            </w:r>
            <w:r w:rsidRPr="006A16E7">
              <w:rPr>
                <w:i/>
                <w:sz w:val="22"/>
                <w:szCs w:val="22"/>
              </w:rPr>
              <w:t>Prospecto: información para el usuario.</w:t>
            </w:r>
          </w:p>
          <w:p w14:paraId="4BE3A5D2" w14:textId="77777777" w:rsidR="008E4116" w:rsidRPr="006A16E7" w:rsidRDefault="008E4116" w:rsidP="008E4116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6A16E7">
              <w:rPr>
                <w:bCs/>
                <w:color w:val="000000"/>
                <w:sz w:val="22"/>
                <w:szCs w:val="22"/>
              </w:rPr>
              <w:t>N</w:t>
            </w:r>
            <w:r w:rsidRPr="006A16E7">
              <w:rPr>
                <w:sz w:val="22"/>
                <w:szCs w:val="22"/>
              </w:rPr>
              <w:t xml:space="preserve">o guarde su pluma de </w:t>
            </w:r>
            <w:r w:rsidR="00EA201D">
              <w:rPr>
                <w:sz w:val="22"/>
                <w:szCs w:val="22"/>
              </w:rPr>
              <w:t>Teriparatida</w:t>
            </w:r>
            <w:r>
              <w:rPr>
                <w:sz w:val="22"/>
                <w:szCs w:val="22"/>
              </w:rPr>
              <w:t xml:space="preserve"> SUN</w:t>
            </w:r>
            <w:r w:rsidRPr="006A16E7">
              <w:rPr>
                <w:caps/>
                <w:sz w:val="22"/>
                <w:szCs w:val="22"/>
              </w:rPr>
              <w:t xml:space="preserve"> </w:t>
            </w:r>
            <w:r w:rsidRPr="006A16E7">
              <w:rPr>
                <w:sz w:val="22"/>
                <w:szCs w:val="22"/>
              </w:rPr>
              <w:t xml:space="preserve">con la aguja puesta ya que esto podría causar la formación de burbujas de aire en el cartucho. </w:t>
            </w:r>
          </w:p>
          <w:p w14:paraId="775D3DBB" w14:textId="77777777" w:rsidR="008E4116" w:rsidRPr="006A16E7" w:rsidRDefault="008E4116" w:rsidP="008E4116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6A16E7">
              <w:rPr>
                <w:bCs/>
                <w:color w:val="000000"/>
                <w:sz w:val="22"/>
                <w:szCs w:val="22"/>
              </w:rPr>
              <w:t>G</w:t>
            </w:r>
            <w:r w:rsidRPr="006A16E7">
              <w:rPr>
                <w:sz w:val="22"/>
                <w:szCs w:val="22"/>
              </w:rPr>
              <w:t xml:space="preserve">uarde la pluma de </w:t>
            </w:r>
            <w:r w:rsidR="00EA201D">
              <w:rPr>
                <w:sz w:val="22"/>
                <w:szCs w:val="22"/>
              </w:rPr>
              <w:t>Teriparatida</w:t>
            </w:r>
            <w:r>
              <w:rPr>
                <w:sz w:val="22"/>
                <w:szCs w:val="22"/>
              </w:rPr>
              <w:t xml:space="preserve"> SUN</w:t>
            </w:r>
            <w:r w:rsidRPr="006A16E7">
              <w:rPr>
                <w:sz w:val="22"/>
                <w:szCs w:val="22"/>
              </w:rPr>
              <w:t xml:space="preserve"> con el capuchón blanco puesto.</w:t>
            </w:r>
          </w:p>
          <w:p w14:paraId="4F1623F9" w14:textId="77777777" w:rsidR="008E4116" w:rsidRDefault="008E4116" w:rsidP="008E4116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Si el medicamento se ha congelado, deseche </w:t>
            </w:r>
            <w:r w:rsidR="00DC3BAE" w:rsidRPr="00DC3BAE">
              <w:rPr>
                <w:bCs/>
                <w:color w:val="000000"/>
                <w:sz w:val="22"/>
                <w:szCs w:val="22"/>
              </w:rPr>
              <w:t xml:space="preserve">la pluma precargada </w:t>
            </w:r>
            <w:r>
              <w:rPr>
                <w:bCs/>
                <w:color w:val="000000"/>
                <w:sz w:val="22"/>
                <w:szCs w:val="22"/>
              </w:rPr>
              <w:t xml:space="preserve">y utilice una nueva pluma </w:t>
            </w:r>
            <w:r w:rsidR="00EA201D">
              <w:rPr>
                <w:bCs/>
                <w:color w:val="000000"/>
                <w:sz w:val="22"/>
                <w:szCs w:val="22"/>
              </w:rPr>
              <w:t>Teriparatida</w:t>
            </w:r>
            <w:r>
              <w:rPr>
                <w:bCs/>
                <w:color w:val="000000"/>
                <w:sz w:val="22"/>
                <w:szCs w:val="22"/>
              </w:rPr>
              <w:t xml:space="preserve"> SUN</w:t>
            </w:r>
            <w:r w:rsidRPr="006A16E7">
              <w:rPr>
                <w:sz w:val="22"/>
                <w:szCs w:val="22"/>
              </w:rPr>
              <w:t xml:space="preserve">. </w:t>
            </w:r>
          </w:p>
          <w:p w14:paraId="1F6ED6CF" w14:textId="77777777" w:rsidR="008E4116" w:rsidRPr="00B51374" w:rsidRDefault="00B51374" w:rsidP="006F40B6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51374">
              <w:rPr>
                <w:bCs/>
                <w:sz w:val="22"/>
                <w:szCs w:val="22"/>
              </w:rPr>
              <w:t>Si</w:t>
            </w:r>
            <w:r w:rsidRPr="00B51374">
              <w:rPr>
                <w:sz w:val="22"/>
                <w:szCs w:val="22"/>
              </w:rPr>
              <w:t xml:space="preserve"> se ha dejado la pluma de </w:t>
            </w:r>
            <w:r w:rsidR="00EA201D">
              <w:rPr>
                <w:sz w:val="22"/>
                <w:szCs w:val="22"/>
              </w:rPr>
              <w:t>Teriparatida</w:t>
            </w:r>
            <w:r>
              <w:rPr>
                <w:sz w:val="22"/>
                <w:szCs w:val="22"/>
              </w:rPr>
              <w:t xml:space="preserve"> SUN</w:t>
            </w:r>
            <w:r w:rsidRPr="00B51374">
              <w:rPr>
                <w:sz w:val="22"/>
                <w:szCs w:val="22"/>
              </w:rPr>
              <w:t xml:space="preserve"> fuera de la nevera, no la deseche. Vuelva a introducirla en la nevera y contacte con su médico o farmacéutico.</w:t>
            </w:r>
          </w:p>
        </w:tc>
      </w:tr>
    </w:tbl>
    <w:p w14:paraId="256AA4DB" w14:textId="77777777" w:rsidR="008E4116" w:rsidRDefault="008E4116" w:rsidP="008E4116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bidi="ml-IN"/>
        </w:rPr>
      </w:pPr>
    </w:p>
    <w:p w14:paraId="074325C7" w14:textId="77777777" w:rsidR="0035325F" w:rsidRPr="00037D55" w:rsidRDefault="0035325F" w:rsidP="0035325F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val="pt-PT"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35325F" w:rsidRPr="0035325F" w14:paraId="28782B5B" w14:textId="77777777" w:rsidTr="00EF57E4">
        <w:trPr>
          <w:trHeight w:val="300"/>
        </w:trPr>
        <w:tc>
          <w:tcPr>
            <w:tcW w:w="9620" w:type="dxa"/>
            <w:shd w:val="clear" w:color="auto" w:fill="0070C0"/>
            <w:vAlign w:val="center"/>
          </w:tcPr>
          <w:p w14:paraId="360CE9F5" w14:textId="77777777" w:rsidR="0035325F" w:rsidRPr="00AC537B" w:rsidRDefault="0035325F" w:rsidP="00DC3B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FFFF"/>
                <w:sz w:val="22"/>
                <w:szCs w:val="22"/>
                <w:lang w:bidi="ml-IN"/>
              </w:rPr>
            </w:pPr>
            <w:r w:rsidRPr="00AC537B">
              <w:rPr>
                <w:rFonts w:eastAsia="Calibri"/>
                <w:b/>
                <w:bCs/>
                <w:color w:val="FFFFFF"/>
                <w:sz w:val="22"/>
                <w:szCs w:val="22"/>
                <w:lang w:bidi="ml-IN"/>
              </w:rPr>
              <w:t>Eliminación de las agujas y de las plumas precargadas</w:t>
            </w:r>
          </w:p>
        </w:tc>
      </w:tr>
      <w:tr w:rsidR="0035325F" w:rsidRPr="00EF57E4" w14:paraId="5C601571" w14:textId="77777777" w:rsidTr="00EF57E4">
        <w:tc>
          <w:tcPr>
            <w:tcW w:w="9620" w:type="dxa"/>
            <w:shd w:val="clear" w:color="auto" w:fill="auto"/>
          </w:tcPr>
          <w:p w14:paraId="25240340" w14:textId="77777777" w:rsidR="00EF57E4" w:rsidRPr="00863FEA" w:rsidRDefault="00EF57E4" w:rsidP="00EF57E4">
            <w:pPr>
              <w:rPr>
                <w:rFonts w:ascii="Arial" w:hAnsi="Arial" w:cs="Arial"/>
                <w:b/>
              </w:rPr>
            </w:pPr>
            <w:r w:rsidRPr="00863FEA">
              <w:rPr>
                <w:b/>
                <w:sz w:val="22"/>
                <w:szCs w:val="22"/>
              </w:rPr>
              <w:t xml:space="preserve">Eliminación de las Agujas y de </w:t>
            </w:r>
            <w:smartTag w:uri="urn:schemas-microsoft-com:office:smarttags" w:element="PersonName">
              <w:smartTagPr>
                <w:attr w:name="ProductID" w:val="LA PLUMA"/>
              </w:smartTagPr>
              <w:r w:rsidRPr="00863FEA">
                <w:rPr>
                  <w:b/>
                  <w:sz w:val="22"/>
                  <w:szCs w:val="22"/>
                </w:rPr>
                <w:t>la Pluma</w:t>
              </w:r>
            </w:smartTag>
            <w:r w:rsidRPr="00863FEA">
              <w:rPr>
                <w:b/>
                <w:sz w:val="22"/>
                <w:szCs w:val="22"/>
              </w:rPr>
              <w:t xml:space="preserve"> </w:t>
            </w:r>
            <w:r w:rsidR="00DC3BAE" w:rsidRPr="00DC3BAE">
              <w:rPr>
                <w:b/>
                <w:sz w:val="22"/>
                <w:szCs w:val="22"/>
              </w:rPr>
              <w:t xml:space="preserve">precargada </w:t>
            </w:r>
            <w:r>
              <w:rPr>
                <w:b/>
                <w:sz w:val="22"/>
                <w:szCs w:val="22"/>
              </w:rPr>
              <w:t xml:space="preserve">de </w:t>
            </w:r>
            <w:r w:rsidR="00EA201D">
              <w:rPr>
                <w:b/>
                <w:sz w:val="22"/>
                <w:szCs w:val="22"/>
              </w:rPr>
              <w:t>Teriparatida</w:t>
            </w:r>
            <w:r>
              <w:rPr>
                <w:b/>
                <w:sz w:val="22"/>
                <w:szCs w:val="22"/>
              </w:rPr>
              <w:t xml:space="preserve"> SUN</w:t>
            </w:r>
          </w:p>
          <w:p w14:paraId="719D62C6" w14:textId="77777777" w:rsidR="00EF57E4" w:rsidRPr="009B3680" w:rsidRDefault="00EF57E4" w:rsidP="00EF57E4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9B3680">
              <w:rPr>
                <w:bCs/>
                <w:sz w:val="22"/>
                <w:szCs w:val="22"/>
              </w:rPr>
              <w:t>A</w:t>
            </w:r>
            <w:r w:rsidRPr="009B3680">
              <w:rPr>
                <w:sz w:val="22"/>
                <w:szCs w:val="22"/>
              </w:rPr>
              <w:t xml:space="preserve">ntes de desechar la pluma </w:t>
            </w:r>
            <w:r w:rsidR="00DC3BAE">
              <w:rPr>
                <w:sz w:val="22"/>
                <w:szCs w:val="22"/>
              </w:rPr>
              <w:t xml:space="preserve">precargada </w:t>
            </w:r>
            <w:r w:rsidRPr="009B3680">
              <w:rPr>
                <w:sz w:val="22"/>
                <w:szCs w:val="22"/>
              </w:rPr>
              <w:t xml:space="preserve">de </w:t>
            </w:r>
            <w:r w:rsidR="00EA201D">
              <w:rPr>
                <w:sz w:val="22"/>
                <w:szCs w:val="22"/>
              </w:rPr>
              <w:t>Teriparatida</w:t>
            </w:r>
            <w:r>
              <w:rPr>
                <w:sz w:val="22"/>
                <w:szCs w:val="22"/>
              </w:rPr>
              <w:t xml:space="preserve"> SUN</w:t>
            </w:r>
            <w:r w:rsidRPr="009B3680">
              <w:rPr>
                <w:sz w:val="22"/>
                <w:szCs w:val="22"/>
              </w:rPr>
              <w:t>, asegúrese de haber retirado la aguja de la pluma.</w:t>
            </w:r>
          </w:p>
          <w:p w14:paraId="3DE32C6F" w14:textId="77777777" w:rsidR="00EF57E4" w:rsidRDefault="00EF57E4" w:rsidP="00EF57E4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FB3AB5">
              <w:rPr>
                <w:sz w:val="22"/>
                <w:szCs w:val="22"/>
                <w:lang w:val="es-ES_tradnl"/>
              </w:rPr>
              <w:t xml:space="preserve">Deposite las agujas usadas en un contenedor para objetos punzantes o un contenedor de plástico duro provisto de cierre de seguridad. </w:t>
            </w:r>
            <w:r w:rsidRPr="00C03C06">
              <w:rPr>
                <w:sz w:val="22"/>
                <w:szCs w:val="22"/>
                <w:lang w:val="es-ES_tradnl"/>
              </w:rPr>
              <w:t>No</w:t>
            </w:r>
            <w:r w:rsidRPr="00FB3AB5">
              <w:rPr>
                <w:sz w:val="22"/>
                <w:szCs w:val="22"/>
                <w:lang w:val="es-ES_tradnl"/>
              </w:rPr>
              <w:t xml:space="preserve"> tire las agujas directamente en el contenedor de basura doméstica</w:t>
            </w:r>
            <w:r w:rsidRPr="009B3680">
              <w:rPr>
                <w:sz w:val="22"/>
                <w:szCs w:val="22"/>
              </w:rPr>
              <w:t>.</w:t>
            </w:r>
          </w:p>
          <w:p w14:paraId="4F2C6462" w14:textId="77777777" w:rsidR="00EF57E4" w:rsidRPr="00C03C06" w:rsidRDefault="00EF57E4" w:rsidP="00EF57E4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C03C06">
              <w:rPr>
                <w:color w:val="000000"/>
                <w:sz w:val="22"/>
                <w:szCs w:val="22"/>
                <w:lang w:val="es-ES_tradnl"/>
              </w:rPr>
              <w:t>No</w:t>
            </w:r>
            <w:r w:rsidRPr="00FB3AB5">
              <w:rPr>
                <w:color w:val="000000"/>
                <w:sz w:val="22"/>
                <w:szCs w:val="22"/>
                <w:lang w:val="es-ES_tradnl"/>
              </w:rPr>
              <w:t xml:space="preserve"> recicle el contenedor lleno de objetos punzantes.</w:t>
            </w:r>
          </w:p>
          <w:p w14:paraId="7513D712" w14:textId="77777777" w:rsidR="00EF57E4" w:rsidRPr="00C03C06" w:rsidRDefault="00EF57E4" w:rsidP="00EF57E4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FB3AB5">
              <w:rPr>
                <w:color w:val="000000"/>
                <w:sz w:val="22"/>
                <w:szCs w:val="22"/>
                <w:lang w:val="es-ES_tradnl"/>
              </w:rPr>
              <w:t>Consulte a su profesional sanitario sobre las opciones existentes para desechar adecuadamente</w:t>
            </w:r>
            <w:r>
              <w:rPr>
                <w:color w:val="000000"/>
                <w:sz w:val="22"/>
                <w:szCs w:val="22"/>
                <w:lang w:val="es-ES_tradnl"/>
              </w:rPr>
              <w:t xml:space="preserve"> la pluma y</w:t>
            </w:r>
            <w:r w:rsidRPr="00FB3AB5">
              <w:rPr>
                <w:color w:val="000000"/>
                <w:sz w:val="22"/>
                <w:szCs w:val="22"/>
                <w:lang w:val="es-ES_tradnl"/>
              </w:rPr>
              <w:t xml:space="preserve"> el contenedor para objetos punzantes</w:t>
            </w:r>
            <w:r>
              <w:rPr>
                <w:color w:val="000000"/>
                <w:sz w:val="22"/>
                <w:szCs w:val="22"/>
                <w:lang w:val="es-ES_tradnl"/>
              </w:rPr>
              <w:t>.</w:t>
            </w:r>
          </w:p>
          <w:p w14:paraId="152EB4B8" w14:textId="77777777" w:rsidR="00EF57E4" w:rsidRPr="009B3680" w:rsidRDefault="00EF57E4" w:rsidP="00EF57E4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FB3AB5">
              <w:rPr>
                <w:color w:val="000000"/>
                <w:sz w:val="22"/>
                <w:szCs w:val="22"/>
                <w:lang w:val="es-ES_tradnl"/>
              </w:rPr>
              <w:t>Las indicaciones sobre el manejo de agujas no pretenden sustituir las normas locales, institucionales ni las dadas por los profesionales sanitarios</w:t>
            </w:r>
            <w:r>
              <w:rPr>
                <w:color w:val="000000"/>
                <w:sz w:val="22"/>
                <w:szCs w:val="22"/>
                <w:lang w:val="es-ES_tradnl"/>
              </w:rPr>
              <w:t>.</w:t>
            </w:r>
          </w:p>
          <w:p w14:paraId="3BD7AEF7" w14:textId="77777777" w:rsidR="0035325F" w:rsidRPr="00EF57E4" w:rsidRDefault="00EF57E4" w:rsidP="00EF57E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bidi="ml-IN"/>
              </w:rPr>
            </w:pPr>
            <w:r w:rsidRPr="009B3680">
              <w:rPr>
                <w:sz w:val="22"/>
                <w:szCs w:val="22"/>
              </w:rPr>
              <w:lastRenderedPageBreak/>
              <w:t xml:space="preserve">Deseche su pluma </w:t>
            </w:r>
            <w:r w:rsidR="00DC3BAE">
              <w:rPr>
                <w:sz w:val="22"/>
                <w:szCs w:val="22"/>
              </w:rPr>
              <w:t xml:space="preserve">precargada </w:t>
            </w:r>
            <w:r w:rsidRPr="009B3680">
              <w:rPr>
                <w:sz w:val="22"/>
                <w:szCs w:val="22"/>
              </w:rPr>
              <w:t>28 días después del primer uso.</w:t>
            </w:r>
          </w:p>
        </w:tc>
      </w:tr>
    </w:tbl>
    <w:p w14:paraId="6D23767A" w14:textId="77777777" w:rsidR="00EF57E4" w:rsidRPr="00D05C05" w:rsidRDefault="00EF57E4" w:rsidP="00EF57E4">
      <w:pPr>
        <w:autoSpaceDE w:val="0"/>
        <w:autoSpaceDN w:val="0"/>
        <w:adjustRightInd w:val="0"/>
        <w:rPr>
          <w:rFonts w:eastAsia="Calibri"/>
          <w:bCs/>
          <w:sz w:val="22"/>
          <w:szCs w:val="22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EF57E4" w:rsidRPr="00EF57E4" w14:paraId="7F2182AB" w14:textId="77777777" w:rsidTr="00AC537B">
        <w:trPr>
          <w:trHeight w:val="300"/>
        </w:trPr>
        <w:tc>
          <w:tcPr>
            <w:tcW w:w="10564" w:type="dxa"/>
            <w:shd w:val="clear" w:color="auto" w:fill="0070C0"/>
            <w:vAlign w:val="center"/>
          </w:tcPr>
          <w:p w14:paraId="04850BC7" w14:textId="77777777" w:rsidR="00EF57E4" w:rsidRPr="00AC537B" w:rsidRDefault="00EF57E4" w:rsidP="002957D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FFFF"/>
                <w:sz w:val="22"/>
                <w:szCs w:val="22"/>
                <w:lang w:val="en-GB" w:bidi="ml-IN"/>
              </w:rPr>
            </w:pPr>
            <w:proofErr w:type="spellStart"/>
            <w:r w:rsidRPr="00AC537B">
              <w:rPr>
                <w:rFonts w:eastAsia="Calibri"/>
                <w:b/>
                <w:bCs/>
                <w:color w:val="FFFFFF"/>
                <w:sz w:val="22"/>
                <w:szCs w:val="22"/>
                <w:lang w:val="en-GB" w:bidi="ml-IN"/>
              </w:rPr>
              <w:t>Ot</w:t>
            </w:r>
            <w:r w:rsidR="002957DF" w:rsidRPr="00AC537B">
              <w:rPr>
                <w:rFonts w:eastAsia="Calibri"/>
                <w:b/>
                <w:bCs/>
                <w:color w:val="FFFFFF"/>
                <w:sz w:val="22"/>
                <w:szCs w:val="22"/>
                <w:lang w:val="en-GB" w:bidi="ml-IN"/>
              </w:rPr>
              <w:t>ros</w:t>
            </w:r>
            <w:proofErr w:type="spellEnd"/>
            <w:r w:rsidR="002957DF" w:rsidRPr="00AC537B">
              <w:rPr>
                <w:rFonts w:eastAsia="Calibri"/>
                <w:b/>
                <w:bCs/>
                <w:color w:val="FFFFFF"/>
                <w:sz w:val="22"/>
                <w:szCs w:val="22"/>
                <w:lang w:val="en-GB" w:bidi="ml-IN"/>
              </w:rPr>
              <w:t xml:space="preserve"> puntos de </w:t>
            </w:r>
            <w:proofErr w:type="spellStart"/>
            <w:r w:rsidR="002957DF" w:rsidRPr="00AC537B">
              <w:rPr>
                <w:rFonts w:eastAsia="Calibri"/>
                <w:b/>
                <w:bCs/>
                <w:color w:val="FFFFFF"/>
                <w:sz w:val="22"/>
                <w:szCs w:val="22"/>
                <w:lang w:val="en-GB" w:bidi="ml-IN"/>
              </w:rPr>
              <w:t>interés</w:t>
            </w:r>
            <w:proofErr w:type="spellEnd"/>
          </w:p>
        </w:tc>
      </w:tr>
      <w:tr w:rsidR="00EF57E4" w:rsidRPr="00D05C05" w14:paraId="6A3E7888" w14:textId="77777777" w:rsidTr="00AC537B">
        <w:tc>
          <w:tcPr>
            <w:tcW w:w="10564" w:type="dxa"/>
            <w:shd w:val="clear" w:color="auto" w:fill="auto"/>
          </w:tcPr>
          <w:p w14:paraId="439ECEDC" w14:textId="77777777" w:rsidR="00EF57E4" w:rsidRPr="00037D55" w:rsidRDefault="00EF57E4" w:rsidP="0020004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207"/>
              <w:rPr>
                <w:rFonts w:eastAsia="Calibri"/>
                <w:bCs/>
                <w:sz w:val="22"/>
                <w:szCs w:val="22"/>
                <w:lang w:val="pt-PT" w:bidi="ml-IN"/>
              </w:rPr>
            </w:pPr>
            <w:r w:rsidRPr="00037D55">
              <w:rPr>
                <w:rFonts w:eastAsia="Calibri"/>
                <w:bCs/>
                <w:sz w:val="22"/>
                <w:szCs w:val="22"/>
                <w:lang w:val="pt-PT" w:bidi="ml-IN"/>
              </w:rPr>
              <w:t xml:space="preserve">La pluma de </w:t>
            </w:r>
            <w:r w:rsidR="00EA201D" w:rsidRPr="00037D55">
              <w:rPr>
                <w:rFonts w:eastAsia="Calibri"/>
                <w:bCs/>
                <w:sz w:val="22"/>
                <w:szCs w:val="22"/>
                <w:lang w:val="pt-PT" w:bidi="ml-IN"/>
              </w:rPr>
              <w:t>Teriparatida</w:t>
            </w:r>
            <w:r w:rsidRPr="00037D55">
              <w:rPr>
                <w:rFonts w:eastAsia="Calibri"/>
                <w:bCs/>
                <w:sz w:val="22"/>
                <w:szCs w:val="22"/>
                <w:lang w:val="pt-PT" w:bidi="ml-IN"/>
              </w:rPr>
              <w:t xml:space="preserve"> SUN contiene medicamento para 28 días.</w:t>
            </w:r>
          </w:p>
          <w:p w14:paraId="3E72A7C3" w14:textId="77777777" w:rsidR="00EF57E4" w:rsidRPr="00037D55" w:rsidRDefault="00EF57E4" w:rsidP="0020004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207"/>
              <w:rPr>
                <w:rFonts w:eastAsia="Calibri"/>
                <w:bCs/>
                <w:sz w:val="22"/>
                <w:szCs w:val="22"/>
                <w:lang w:val="pt-PT" w:bidi="ml-IN"/>
              </w:rPr>
            </w:pPr>
            <w:r w:rsidRPr="00037D55">
              <w:rPr>
                <w:rFonts w:eastAsia="Calibri"/>
                <w:bCs/>
                <w:sz w:val="22"/>
                <w:szCs w:val="22"/>
                <w:lang w:val="pt-PT" w:bidi="ml-IN"/>
              </w:rPr>
              <w:t>No traspase el medicamento a una jeringa.</w:t>
            </w:r>
          </w:p>
          <w:p w14:paraId="4F9AB583" w14:textId="77777777" w:rsidR="00EF57E4" w:rsidRPr="00037D55" w:rsidRDefault="00EF57E4" w:rsidP="0020004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207"/>
              <w:rPr>
                <w:rFonts w:eastAsia="Calibri"/>
                <w:bCs/>
                <w:sz w:val="22"/>
                <w:szCs w:val="22"/>
                <w:lang w:val="pt-PT" w:bidi="ml-IN"/>
              </w:rPr>
            </w:pPr>
            <w:r w:rsidRPr="00037D55">
              <w:rPr>
                <w:rFonts w:eastAsia="Calibri"/>
                <w:bCs/>
                <w:sz w:val="22"/>
                <w:szCs w:val="22"/>
                <w:lang w:val="pt-PT" w:bidi="ml-IN"/>
              </w:rPr>
              <w:t>Anote en un calendario la fecha de su primera inyección.</w:t>
            </w:r>
          </w:p>
          <w:p w14:paraId="7D323BFA" w14:textId="77777777" w:rsidR="002957DF" w:rsidRPr="002957DF" w:rsidRDefault="002957DF" w:rsidP="002957D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207"/>
              <w:rPr>
                <w:rFonts w:eastAsia="Calibri"/>
                <w:bCs/>
                <w:sz w:val="22"/>
                <w:szCs w:val="22"/>
                <w:lang w:bidi="ml-IN"/>
              </w:rPr>
            </w:pPr>
            <w:r w:rsidRPr="002957DF">
              <w:rPr>
                <w:rFonts w:eastAsia="Calibri"/>
                <w:bCs/>
                <w:sz w:val="22"/>
                <w:szCs w:val="22"/>
                <w:lang w:bidi="ml-IN"/>
              </w:rPr>
              <w:t xml:space="preserve">Compruebe la etiqueta de la pluma de </w:t>
            </w:r>
            <w:r w:rsidR="00EA201D">
              <w:rPr>
                <w:rFonts w:eastAsia="Calibri"/>
                <w:bCs/>
                <w:sz w:val="22"/>
                <w:szCs w:val="22"/>
                <w:lang w:bidi="ml-IN"/>
              </w:rPr>
              <w:t>Teriparatida</w:t>
            </w:r>
            <w:r w:rsidRPr="002957DF">
              <w:rPr>
                <w:rFonts w:eastAsia="Calibri"/>
                <w:bCs/>
                <w:sz w:val="22"/>
                <w:szCs w:val="22"/>
                <w:lang w:bidi="ml-IN"/>
              </w:rPr>
              <w:t xml:space="preserve"> SUN para asegurarse de que tiene el medicamento correcto y que no ha caducado.</w:t>
            </w:r>
          </w:p>
          <w:p w14:paraId="0B33DA6A" w14:textId="77777777" w:rsidR="002957DF" w:rsidRPr="00D05C05" w:rsidRDefault="002957DF" w:rsidP="002957D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207"/>
              <w:rPr>
                <w:rFonts w:eastAsia="Calibri"/>
                <w:bCs/>
                <w:sz w:val="22"/>
                <w:szCs w:val="22"/>
                <w:lang w:bidi="ml-IN"/>
              </w:rPr>
            </w:pPr>
            <w:r w:rsidRPr="00D05C05">
              <w:rPr>
                <w:rFonts w:eastAsia="Calibri"/>
                <w:bCs/>
                <w:sz w:val="22"/>
                <w:szCs w:val="22"/>
                <w:lang w:bidi="ml-IN"/>
              </w:rPr>
              <w:t xml:space="preserve">Durante la inyección, puede que oiga uno o más clics, esto es </w:t>
            </w:r>
            <w:r w:rsidR="00DC3BAE">
              <w:rPr>
                <w:rFonts w:eastAsia="Calibri"/>
                <w:bCs/>
                <w:sz w:val="22"/>
                <w:szCs w:val="22"/>
                <w:lang w:bidi="ml-IN"/>
              </w:rPr>
              <w:t>normal en la operativa de la pluma precargada</w:t>
            </w:r>
            <w:r w:rsidRPr="00D05C05">
              <w:rPr>
                <w:rFonts w:eastAsia="Calibri"/>
                <w:bCs/>
                <w:sz w:val="22"/>
                <w:szCs w:val="22"/>
                <w:lang w:bidi="ml-IN"/>
              </w:rPr>
              <w:t>.</w:t>
            </w:r>
          </w:p>
          <w:p w14:paraId="5F4EB9E5" w14:textId="77777777" w:rsidR="00EF57E4" w:rsidRPr="00D05C05" w:rsidRDefault="002957DF" w:rsidP="00D05C05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207"/>
              <w:rPr>
                <w:rFonts w:eastAsia="Calibri"/>
                <w:bCs/>
                <w:sz w:val="22"/>
                <w:szCs w:val="22"/>
                <w:lang w:bidi="ml-IN"/>
              </w:rPr>
            </w:pPr>
            <w:r w:rsidRPr="00D05C05">
              <w:rPr>
                <w:rFonts w:eastAsia="Calibri"/>
                <w:bCs/>
                <w:sz w:val="22"/>
                <w:szCs w:val="22"/>
                <w:lang w:bidi="ml-IN"/>
              </w:rPr>
              <w:t xml:space="preserve">No se recomienda que los invidentes o las personas con dificultades de visión utilicen </w:t>
            </w:r>
            <w:r w:rsidR="00EA201D">
              <w:rPr>
                <w:rFonts w:eastAsia="Calibri"/>
                <w:bCs/>
                <w:sz w:val="22"/>
                <w:szCs w:val="22"/>
                <w:lang w:bidi="ml-IN"/>
              </w:rPr>
              <w:t>Teriparatida</w:t>
            </w:r>
            <w:r w:rsidRPr="00D05C05">
              <w:rPr>
                <w:rFonts w:eastAsia="Calibri"/>
                <w:bCs/>
                <w:sz w:val="22"/>
                <w:szCs w:val="22"/>
                <w:lang w:bidi="ml-IN"/>
              </w:rPr>
              <w:t xml:space="preserve"> SUN sin la ayuda de una persona entrenada en el uso adecuado de</w:t>
            </w:r>
            <w:r w:rsidR="00DC3BAE" w:rsidRPr="00D05C05">
              <w:rPr>
                <w:rFonts w:eastAsia="Calibri"/>
                <w:bCs/>
                <w:sz w:val="22"/>
                <w:szCs w:val="22"/>
                <w:lang w:bidi="ml-IN"/>
              </w:rPr>
              <w:t xml:space="preserve"> la pluma precargada</w:t>
            </w:r>
            <w:r w:rsidR="00DC3BAE">
              <w:rPr>
                <w:rFonts w:eastAsia="Calibri"/>
                <w:bCs/>
                <w:sz w:val="22"/>
                <w:szCs w:val="22"/>
                <w:lang w:bidi="ml-IN"/>
              </w:rPr>
              <w:t>.</w:t>
            </w:r>
          </w:p>
        </w:tc>
      </w:tr>
    </w:tbl>
    <w:p w14:paraId="79A2DA49" w14:textId="77777777" w:rsidR="00EF57E4" w:rsidRPr="00D05C05" w:rsidRDefault="00EF57E4" w:rsidP="00EF57E4">
      <w:p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bidi="ml-IN"/>
        </w:rPr>
      </w:pPr>
    </w:p>
    <w:p w14:paraId="779D1D66" w14:textId="77777777" w:rsidR="00EF57E4" w:rsidRPr="00D05C05" w:rsidRDefault="00EF57E4" w:rsidP="00EF57E4">
      <w:pPr>
        <w:rPr>
          <w:rFonts w:eastAsia="Calibri"/>
          <w:sz w:val="22"/>
          <w:szCs w:val="22"/>
          <w:lang w:bidi="ml-IN"/>
        </w:rPr>
      </w:pPr>
    </w:p>
    <w:sectPr w:rsidR="00EF57E4" w:rsidRPr="00D05C05">
      <w:footerReference w:type="default" r:id="rId45"/>
      <w:footerReference w:type="first" r:id="rId46"/>
      <w:footnotePr>
        <w:numStart w:val="23"/>
      </w:footnotePr>
      <w:pgSz w:w="12240" w:h="15840"/>
      <w:pgMar w:top="1134" w:right="1418" w:bottom="1134" w:left="1418" w:header="737" w:footer="737" w:gutter="0"/>
      <w:pgNumType w:start="1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D8B23" w14:textId="77777777" w:rsidR="00A765A2" w:rsidRDefault="00A765A2">
      <w:r>
        <w:separator/>
      </w:r>
    </w:p>
  </w:endnote>
  <w:endnote w:type="continuationSeparator" w:id="0">
    <w:p w14:paraId="21647F20" w14:textId="77777777" w:rsidR="00A765A2" w:rsidRDefault="00A7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T Extra Bold">
    <w:altName w:val="Elephant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706F7" w14:textId="77777777" w:rsidR="001E4373" w:rsidRPr="00040111" w:rsidRDefault="001E4373" w:rsidP="001C5098">
    <w:pPr>
      <w:pStyle w:val="Footer"/>
      <w:tabs>
        <w:tab w:val="clear" w:pos="4320"/>
        <w:tab w:val="clear" w:pos="8640"/>
        <w:tab w:val="left" w:pos="4155"/>
      </w:tabs>
      <w:jc w:val="center"/>
      <w:rPr>
        <w:rFonts w:ascii="Arial" w:hAnsi="Arial" w:cs="Arial"/>
        <w:sz w:val="16"/>
        <w:szCs w:val="16"/>
      </w:rPr>
    </w:pPr>
    <w:r w:rsidRPr="00040111">
      <w:rPr>
        <w:rStyle w:val="PageNumber"/>
        <w:rFonts w:ascii="Arial" w:hAnsi="Arial" w:cs="Arial"/>
        <w:sz w:val="16"/>
        <w:szCs w:val="16"/>
      </w:rPr>
      <w:fldChar w:fldCharType="begin"/>
    </w:r>
    <w:r w:rsidRPr="00040111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040111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32</w:t>
    </w:r>
    <w:r w:rsidRPr="00040111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0C56D" w14:textId="77777777" w:rsidR="001E4373" w:rsidRPr="00040111" w:rsidRDefault="001E4373">
    <w:pPr>
      <w:pStyle w:val="Footer"/>
      <w:jc w:val="center"/>
      <w:rPr>
        <w:rFonts w:ascii="Arial" w:hAnsi="Arial" w:cs="Arial"/>
        <w:sz w:val="16"/>
        <w:szCs w:val="16"/>
      </w:rPr>
    </w:pPr>
    <w:r w:rsidRPr="00040111">
      <w:rPr>
        <w:rStyle w:val="PageNumber"/>
        <w:rFonts w:ascii="Arial" w:hAnsi="Arial" w:cs="Arial"/>
        <w:sz w:val="16"/>
        <w:szCs w:val="16"/>
      </w:rPr>
      <w:fldChar w:fldCharType="begin"/>
    </w:r>
    <w:r w:rsidRPr="00040111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040111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040111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728F4" w14:textId="77777777" w:rsidR="00A765A2" w:rsidRDefault="00A765A2">
      <w:r>
        <w:separator/>
      </w:r>
    </w:p>
  </w:footnote>
  <w:footnote w:type="continuationSeparator" w:id="0">
    <w:p w14:paraId="44902D76" w14:textId="77777777" w:rsidR="00A765A2" w:rsidRDefault="00A76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EB43DD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7A88F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70A23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3877B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E8CE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9ECD4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B80B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6CE3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1817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1C69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0267B2"/>
    <w:multiLevelType w:val="hybridMultilevel"/>
    <w:tmpl w:val="C07CF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7D6C7E"/>
    <w:multiLevelType w:val="hybridMultilevel"/>
    <w:tmpl w:val="E0165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8F7203"/>
    <w:multiLevelType w:val="hybridMultilevel"/>
    <w:tmpl w:val="D53AB5A2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2EF0E35"/>
    <w:multiLevelType w:val="hybridMultilevel"/>
    <w:tmpl w:val="80A815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2927DF"/>
    <w:multiLevelType w:val="hybridMultilevel"/>
    <w:tmpl w:val="5436FD2A"/>
    <w:lvl w:ilvl="0" w:tplc="0042488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976C6"/>
    <w:multiLevelType w:val="hybridMultilevel"/>
    <w:tmpl w:val="CB2CE906"/>
    <w:lvl w:ilvl="0" w:tplc="D86658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E2E5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04F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107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8C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EA2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03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ECDA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E0DF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25411"/>
    <w:multiLevelType w:val="hybridMultilevel"/>
    <w:tmpl w:val="C4FCA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67870"/>
    <w:multiLevelType w:val="hybridMultilevel"/>
    <w:tmpl w:val="E45E7EE6"/>
    <w:lvl w:ilvl="0" w:tplc="18F25856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B7B4ECFE">
      <w:start w:val="17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64251"/>
    <w:multiLevelType w:val="hybridMultilevel"/>
    <w:tmpl w:val="DE1C9A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B1369"/>
    <w:multiLevelType w:val="hybridMultilevel"/>
    <w:tmpl w:val="159C4B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8537E"/>
    <w:multiLevelType w:val="hybridMultilevel"/>
    <w:tmpl w:val="872ADC4A"/>
    <w:lvl w:ilvl="0" w:tplc="082E2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F18DC"/>
    <w:multiLevelType w:val="hybridMultilevel"/>
    <w:tmpl w:val="AC6E962A"/>
    <w:lvl w:ilvl="0" w:tplc="082E2E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37B85"/>
    <w:multiLevelType w:val="hybridMultilevel"/>
    <w:tmpl w:val="DA00C330"/>
    <w:lvl w:ilvl="0" w:tplc="92B817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32627"/>
    <w:multiLevelType w:val="hybridMultilevel"/>
    <w:tmpl w:val="5BD09E66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D16D8"/>
    <w:multiLevelType w:val="hybridMultilevel"/>
    <w:tmpl w:val="25F81D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82AD2"/>
    <w:multiLevelType w:val="hybridMultilevel"/>
    <w:tmpl w:val="EA1234D2"/>
    <w:lvl w:ilvl="0" w:tplc="082E2EC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6180E2E"/>
    <w:multiLevelType w:val="hybridMultilevel"/>
    <w:tmpl w:val="703E75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6528B"/>
    <w:multiLevelType w:val="hybridMultilevel"/>
    <w:tmpl w:val="D088B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17577"/>
    <w:multiLevelType w:val="hybridMultilevel"/>
    <w:tmpl w:val="3DA8AF50"/>
    <w:lvl w:ilvl="0" w:tplc="2B0AA6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DCC3A6C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3F5EFF"/>
    <w:multiLevelType w:val="hybridMultilevel"/>
    <w:tmpl w:val="B2E485DE"/>
    <w:lvl w:ilvl="0" w:tplc="082E2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5131A"/>
    <w:multiLevelType w:val="hybridMultilevel"/>
    <w:tmpl w:val="E3DAD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30DE9"/>
    <w:multiLevelType w:val="hybridMultilevel"/>
    <w:tmpl w:val="C2106A56"/>
    <w:lvl w:ilvl="0" w:tplc="C1324FAA">
      <w:start w:val="18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D79C6"/>
    <w:multiLevelType w:val="hybridMultilevel"/>
    <w:tmpl w:val="0B726922"/>
    <w:lvl w:ilvl="0" w:tplc="5628CE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7B612D"/>
    <w:multiLevelType w:val="hybridMultilevel"/>
    <w:tmpl w:val="BE5EC81A"/>
    <w:lvl w:ilvl="0" w:tplc="0BFC1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9B3AADA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22"/>
      </w:rPr>
    </w:lvl>
    <w:lvl w:ilvl="2" w:tplc="55FC0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8A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3E6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7AF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F4C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C270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5499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A75EE"/>
    <w:multiLevelType w:val="hybridMultilevel"/>
    <w:tmpl w:val="A92ECF50"/>
    <w:lvl w:ilvl="0" w:tplc="FBC8BB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961801"/>
    <w:multiLevelType w:val="hybridMultilevel"/>
    <w:tmpl w:val="1CE60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28C7C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6BD8D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E65BA"/>
    <w:multiLevelType w:val="hybridMultilevel"/>
    <w:tmpl w:val="DAC8E0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10493"/>
    <w:multiLevelType w:val="hybridMultilevel"/>
    <w:tmpl w:val="586C7C90"/>
    <w:lvl w:ilvl="0" w:tplc="082E2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12141"/>
    <w:multiLevelType w:val="hybridMultilevel"/>
    <w:tmpl w:val="7F8C7D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A786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6"/>
  </w:num>
  <w:num w:numId="4">
    <w:abstractNumId w:val="34"/>
  </w:num>
  <w:num w:numId="5">
    <w:abstractNumId w:val="2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6"/>
  </w:num>
  <w:num w:numId="17">
    <w:abstractNumId w:val="28"/>
  </w:num>
  <w:num w:numId="18">
    <w:abstractNumId w:val="31"/>
  </w:num>
  <w:num w:numId="19">
    <w:abstractNumId w:val="29"/>
  </w:num>
  <w:num w:numId="20">
    <w:abstractNumId w:val="33"/>
  </w:num>
  <w:num w:numId="21">
    <w:abstractNumId w:val="35"/>
  </w:num>
  <w:num w:numId="22">
    <w:abstractNumId w:val="19"/>
  </w:num>
  <w:num w:numId="23">
    <w:abstractNumId w:val="13"/>
  </w:num>
  <w:num w:numId="24">
    <w:abstractNumId w:val="11"/>
  </w:num>
  <w:num w:numId="25">
    <w:abstractNumId w:val="30"/>
  </w:num>
  <w:num w:numId="26">
    <w:abstractNumId w:val="20"/>
  </w:num>
  <w:num w:numId="27">
    <w:abstractNumId w:val="38"/>
  </w:num>
  <w:num w:numId="28">
    <w:abstractNumId w:val="12"/>
  </w:num>
  <w:num w:numId="29">
    <w:abstractNumId w:val="17"/>
  </w:num>
  <w:num w:numId="30">
    <w:abstractNumId w:val="26"/>
  </w:num>
  <w:num w:numId="31">
    <w:abstractNumId w:val="22"/>
  </w:num>
  <w:num w:numId="32">
    <w:abstractNumId w:val="21"/>
  </w:num>
  <w:num w:numId="33">
    <w:abstractNumId w:val="23"/>
  </w:num>
  <w:num w:numId="34">
    <w:abstractNumId w:val="18"/>
  </w:num>
  <w:num w:numId="35">
    <w:abstractNumId w:val="32"/>
  </w:num>
  <w:num w:numId="36">
    <w:abstractNumId w:val="39"/>
  </w:num>
  <w:num w:numId="37">
    <w:abstractNumId w:val="15"/>
  </w:num>
  <w:num w:numId="38">
    <w:abstractNumId w:val="37"/>
  </w:num>
  <w:num w:numId="39">
    <w:abstractNumId w:val="27"/>
  </w:num>
  <w:num w:numId="40">
    <w:abstractNumId w:val="14"/>
  </w:num>
  <w:num w:numId="41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s-ES" w:vendorID="64" w:dllVersion="6" w:nlCheck="1" w:checkStyle="0"/>
  <w:activeWritingStyle w:appName="MSWord" w:lang="en-IN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cumentProtection w:edit="readOnly" w:formatting="1" w:enforcement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color="white">
      <v:fill color="white"/>
    </o:shapedefaults>
  </w:hdrShapeDefaults>
  <w:footnotePr>
    <w:numStart w:val="23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1F7921"/>
    <w:rsid w:val="00005E25"/>
    <w:rsid w:val="00007239"/>
    <w:rsid w:val="0000787F"/>
    <w:rsid w:val="00010981"/>
    <w:rsid w:val="00011046"/>
    <w:rsid w:val="00015E2C"/>
    <w:rsid w:val="0001632A"/>
    <w:rsid w:val="00020539"/>
    <w:rsid w:val="00022D11"/>
    <w:rsid w:val="00033339"/>
    <w:rsid w:val="00034818"/>
    <w:rsid w:val="00037D55"/>
    <w:rsid w:val="00040111"/>
    <w:rsid w:val="000405B7"/>
    <w:rsid w:val="00041D73"/>
    <w:rsid w:val="00047021"/>
    <w:rsid w:val="00047025"/>
    <w:rsid w:val="00050838"/>
    <w:rsid w:val="00051977"/>
    <w:rsid w:val="000538A3"/>
    <w:rsid w:val="00053C5C"/>
    <w:rsid w:val="00055425"/>
    <w:rsid w:val="0005605E"/>
    <w:rsid w:val="000571C5"/>
    <w:rsid w:val="000606BE"/>
    <w:rsid w:val="00062ED0"/>
    <w:rsid w:val="0006624C"/>
    <w:rsid w:val="0007090C"/>
    <w:rsid w:val="00074BB0"/>
    <w:rsid w:val="000761DB"/>
    <w:rsid w:val="00076E6D"/>
    <w:rsid w:val="00084011"/>
    <w:rsid w:val="00086FFE"/>
    <w:rsid w:val="000903FD"/>
    <w:rsid w:val="000908AC"/>
    <w:rsid w:val="000909CD"/>
    <w:rsid w:val="00097898"/>
    <w:rsid w:val="00097FDB"/>
    <w:rsid w:val="000A0895"/>
    <w:rsid w:val="000A4605"/>
    <w:rsid w:val="000A7838"/>
    <w:rsid w:val="000B2A4F"/>
    <w:rsid w:val="000B66F5"/>
    <w:rsid w:val="000B7FB3"/>
    <w:rsid w:val="000C143E"/>
    <w:rsid w:val="000C19EA"/>
    <w:rsid w:val="000C6B83"/>
    <w:rsid w:val="000C773A"/>
    <w:rsid w:val="000D20BD"/>
    <w:rsid w:val="000D39F7"/>
    <w:rsid w:val="000D4832"/>
    <w:rsid w:val="000D4EBC"/>
    <w:rsid w:val="000D50E2"/>
    <w:rsid w:val="000D5485"/>
    <w:rsid w:val="000D7EB5"/>
    <w:rsid w:val="000E140A"/>
    <w:rsid w:val="000E170C"/>
    <w:rsid w:val="000E1F18"/>
    <w:rsid w:val="000E20E3"/>
    <w:rsid w:val="000E3C3A"/>
    <w:rsid w:val="000E5B57"/>
    <w:rsid w:val="000E7F06"/>
    <w:rsid w:val="000F1BF2"/>
    <w:rsid w:val="000F3C05"/>
    <w:rsid w:val="000F64BF"/>
    <w:rsid w:val="00101112"/>
    <w:rsid w:val="001012D5"/>
    <w:rsid w:val="00101657"/>
    <w:rsid w:val="0010319B"/>
    <w:rsid w:val="001040FE"/>
    <w:rsid w:val="00107EE2"/>
    <w:rsid w:val="0011327C"/>
    <w:rsid w:val="00114E88"/>
    <w:rsid w:val="001153AB"/>
    <w:rsid w:val="001156C1"/>
    <w:rsid w:val="0011701A"/>
    <w:rsid w:val="00121A5F"/>
    <w:rsid w:val="00122B7A"/>
    <w:rsid w:val="0012336A"/>
    <w:rsid w:val="00126D46"/>
    <w:rsid w:val="00130938"/>
    <w:rsid w:val="00134A30"/>
    <w:rsid w:val="00135440"/>
    <w:rsid w:val="0013632A"/>
    <w:rsid w:val="00140E00"/>
    <w:rsid w:val="00144694"/>
    <w:rsid w:val="00146EA9"/>
    <w:rsid w:val="0015117C"/>
    <w:rsid w:val="001543DE"/>
    <w:rsid w:val="00155429"/>
    <w:rsid w:val="001559BA"/>
    <w:rsid w:val="0016134A"/>
    <w:rsid w:val="001627CE"/>
    <w:rsid w:val="00162A65"/>
    <w:rsid w:val="00162F17"/>
    <w:rsid w:val="001636E6"/>
    <w:rsid w:val="00167CEC"/>
    <w:rsid w:val="0017227C"/>
    <w:rsid w:val="00172462"/>
    <w:rsid w:val="001729F5"/>
    <w:rsid w:val="001731CC"/>
    <w:rsid w:val="00175756"/>
    <w:rsid w:val="00181685"/>
    <w:rsid w:val="00184EE4"/>
    <w:rsid w:val="00185A65"/>
    <w:rsid w:val="001910A5"/>
    <w:rsid w:val="00191717"/>
    <w:rsid w:val="0019294A"/>
    <w:rsid w:val="00192A39"/>
    <w:rsid w:val="00197A0C"/>
    <w:rsid w:val="001A2E8A"/>
    <w:rsid w:val="001A75E1"/>
    <w:rsid w:val="001B222C"/>
    <w:rsid w:val="001B5F17"/>
    <w:rsid w:val="001B747D"/>
    <w:rsid w:val="001C1688"/>
    <w:rsid w:val="001C1E31"/>
    <w:rsid w:val="001C3FCA"/>
    <w:rsid w:val="001C4E57"/>
    <w:rsid w:val="001C5098"/>
    <w:rsid w:val="001D020F"/>
    <w:rsid w:val="001D1340"/>
    <w:rsid w:val="001D1EFE"/>
    <w:rsid w:val="001D5576"/>
    <w:rsid w:val="001D62B3"/>
    <w:rsid w:val="001D68B8"/>
    <w:rsid w:val="001E13A1"/>
    <w:rsid w:val="001E4373"/>
    <w:rsid w:val="001E47E0"/>
    <w:rsid w:val="001E4CAC"/>
    <w:rsid w:val="001E57A3"/>
    <w:rsid w:val="001E6B50"/>
    <w:rsid w:val="001F09BF"/>
    <w:rsid w:val="001F0C4F"/>
    <w:rsid w:val="001F36F6"/>
    <w:rsid w:val="001F6AB9"/>
    <w:rsid w:val="001F7921"/>
    <w:rsid w:val="0020004B"/>
    <w:rsid w:val="0020124B"/>
    <w:rsid w:val="00203895"/>
    <w:rsid w:val="00203F98"/>
    <w:rsid w:val="00205EC4"/>
    <w:rsid w:val="00207ADD"/>
    <w:rsid w:val="00214CE1"/>
    <w:rsid w:val="0021759E"/>
    <w:rsid w:val="00217981"/>
    <w:rsid w:val="00222607"/>
    <w:rsid w:val="0022732D"/>
    <w:rsid w:val="00236BB3"/>
    <w:rsid w:val="00242138"/>
    <w:rsid w:val="0024227F"/>
    <w:rsid w:val="002440EB"/>
    <w:rsid w:val="00245453"/>
    <w:rsid w:val="00247725"/>
    <w:rsid w:val="00247BCD"/>
    <w:rsid w:val="002508D9"/>
    <w:rsid w:val="00251510"/>
    <w:rsid w:val="00252EDE"/>
    <w:rsid w:val="00254E22"/>
    <w:rsid w:val="00255013"/>
    <w:rsid w:val="002562CF"/>
    <w:rsid w:val="002564A8"/>
    <w:rsid w:val="0025792B"/>
    <w:rsid w:val="00257B67"/>
    <w:rsid w:val="002613B9"/>
    <w:rsid w:val="00262797"/>
    <w:rsid w:val="0026287E"/>
    <w:rsid w:val="0026710E"/>
    <w:rsid w:val="0027028E"/>
    <w:rsid w:val="00272B8B"/>
    <w:rsid w:val="002733CC"/>
    <w:rsid w:val="002746C9"/>
    <w:rsid w:val="00275B2B"/>
    <w:rsid w:val="00280F39"/>
    <w:rsid w:val="002825CA"/>
    <w:rsid w:val="0028479A"/>
    <w:rsid w:val="00290571"/>
    <w:rsid w:val="002916B4"/>
    <w:rsid w:val="00293467"/>
    <w:rsid w:val="00293607"/>
    <w:rsid w:val="00293F2E"/>
    <w:rsid w:val="002957DF"/>
    <w:rsid w:val="002958F9"/>
    <w:rsid w:val="002960F9"/>
    <w:rsid w:val="002A4FC9"/>
    <w:rsid w:val="002A5516"/>
    <w:rsid w:val="002B1BBF"/>
    <w:rsid w:val="002B29D9"/>
    <w:rsid w:val="002B3F5D"/>
    <w:rsid w:val="002B4B56"/>
    <w:rsid w:val="002C31DD"/>
    <w:rsid w:val="002C348C"/>
    <w:rsid w:val="002C3682"/>
    <w:rsid w:val="002C4E38"/>
    <w:rsid w:val="002C5944"/>
    <w:rsid w:val="002D1DEA"/>
    <w:rsid w:val="002D1E29"/>
    <w:rsid w:val="002D1F75"/>
    <w:rsid w:val="002D373C"/>
    <w:rsid w:val="002D456E"/>
    <w:rsid w:val="002D5478"/>
    <w:rsid w:val="002E13B7"/>
    <w:rsid w:val="002E299B"/>
    <w:rsid w:val="002E4D55"/>
    <w:rsid w:val="002E6637"/>
    <w:rsid w:val="002E6886"/>
    <w:rsid w:val="002F1EE5"/>
    <w:rsid w:val="002F237B"/>
    <w:rsid w:val="002F250F"/>
    <w:rsid w:val="002F4683"/>
    <w:rsid w:val="002F47D9"/>
    <w:rsid w:val="002F60B4"/>
    <w:rsid w:val="002F7BEF"/>
    <w:rsid w:val="00300A1D"/>
    <w:rsid w:val="00305C4F"/>
    <w:rsid w:val="00305E9A"/>
    <w:rsid w:val="00311233"/>
    <w:rsid w:val="0031301F"/>
    <w:rsid w:val="00320651"/>
    <w:rsid w:val="00321B8F"/>
    <w:rsid w:val="00321DC5"/>
    <w:rsid w:val="00322DD4"/>
    <w:rsid w:val="0032304E"/>
    <w:rsid w:val="00323F3E"/>
    <w:rsid w:val="00325E46"/>
    <w:rsid w:val="00327463"/>
    <w:rsid w:val="003311B4"/>
    <w:rsid w:val="00335ACC"/>
    <w:rsid w:val="003363BC"/>
    <w:rsid w:val="00341886"/>
    <w:rsid w:val="00344788"/>
    <w:rsid w:val="0035325F"/>
    <w:rsid w:val="00354EA8"/>
    <w:rsid w:val="0035556B"/>
    <w:rsid w:val="00357F87"/>
    <w:rsid w:val="00360EC3"/>
    <w:rsid w:val="00362480"/>
    <w:rsid w:val="003642CC"/>
    <w:rsid w:val="00366BB9"/>
    <w:rsid w:val="00371FDE"/>
    <w:rsid w:val="00372443"/>
    <w:rsid w:val="00374224"/>
    <w:rsid w:val="003757F2"/>
    <w:rsid w:val="003821FA"/>
    <w:rsid w:val="00391875"/>
    <w:rsid w:val="00391FA7"/>
    <w:rsid w:val="0039277A"/>
    <w:rsid w:val="00395A06"/>
    <w:rsid w:val="00395D9A"/>
    <w:rsid w:val="0039600A"/>
    <w:rsid w:val="003978B2"/>
    <w:rsid w:val="003A24C7"/>
    <w:rsid w:val="003A291C"/>
    <w:rsid w:val="003A3448"/>
    <w:rsid w:val="003A741D"/>
    <w:rsid w:val="003B0160"/>
    <w:rsid w:val="003B4B30"/>
    <w:rsid w:val="003C102A"/>
    <w:rsid w:val="003C102E"/>
    <w:rsid w:val="003C185D"/>
    <w:rsid w:val="003C1E6C"/>
    <w:rsid w:val="003C22AD"/>
    <w:rsid w:val="003C5820"/>
    <w:rsid w:val="003C7EAB"/>
    <w:rsid w:val="003D5044"/>
    <w:rsid w:val="003D7D07"/>
    <w:rsid w:val="003E7078"/>
    <w:rsid w:val="003E7477"/>
    <w:rsid w:val="003E7CB7"/>
    <w:rsid w:val="003F066E"/>
    <w:rsid w:val="003F15F9"/>
    <w:rsid w:val="00401405"/>
    <w:rsid w:val="00401CE5"/>
    <w:rsid w:val="0040699D"/>
    <w:rsid w:val="00413649"/>
    <w:rsid w:val="004140A6"/>
    <w:rsid w:val="00417200"/>
    <w:rsid w:val="00422F82"/>
    <w:rsid w:val="004231DE"/>
    <w:rsid w:val="00427B0F"/>
    <w:rsid w:val="00430397"/>
    <w:rsid w:val="00430E09"/>
    <w:rsid w:val="004317DA"/>
    <w:rsid w:val="00432D54"/>
    <w:rsid w:val="00435FAC"/>
    <w:rsid w:val="00440C46"/>
    <w:rsid w:val="00443866"/>
    <w:rsid w:val="00443CED"/>
    <w:rsid w:val="00447068"/>
    <w:rsid w:val="0045032B"/>
    <w:rsid w:val="00453EFF"/>
    <w:rsid w:val="0045475E"/>
    <w:rsid w:val="0045507D"/>
    <w:rsid w:val="00456B2A"/>
    <w:rsid w:val="00457FB2"/>
    <w:rsid w:val="00461F15"/>
    <w:rsid w:val="00463C1F"/>
    <w:rsid w:val="00467036"/>
    <w:rsid w:val="0047141F"/>
    <w:rsid w:val="00473180"/>
    <w:rsid w:val="0049067C"/>
    <w:rsid w:val="0049113C"/>
    <w:rsid w:val="00494251"/>
    <w:rsid w:val="0049682F"/>
    <w:rsid w:val="004A03FA"/>
    <w:rsid w:val="004A4015"/>
    <w:rsid w:val="004A6A75"/>
    <w:rsid w:val="004A73AB"/>
    <w:rsid w:val="004B0F7F"/>
    <w:rsid w:val="004B177D"/>
    <w:rsid w:val="004B1876"/>
    <w:rsid w:val="004B5FC2"/>
    <w:rsid w:val="004C0F9D"/>
    <w:rsid w:val="004C1AC2"/>
    <w:rsid w:val="004C48CA"/>
    <w:rsid w:val="004C48FF"/>
    <w:rsid w:val="004C713B"/>
    <w:rsid w:val="004C71F0"/>
    <w:rsid w:val="004C72DD"/>
    <w:rsid w:val="004D3DAC"/>
    <w:rsid w:val="004D6B5E"/>
    <w:rsid w:val="004D6E20"/>
    <w:rsid w:val="004E0E41"/>
    <w:rsid w:val="004E2DC1"/>
    <w:rsid w:val="004E43BD"/>
    <w:rsid w:val="004F7327"/>
    <w:rsid w:val="00500836"/>
    <w:rsid w:val="00500AF0"/>
    <w:rsid w:val="00500CB9"/>
    <w:rsid w:val="005025FE"/>
    <w:rsid w:val="00503232"/>
    <w:rsid w:val="00503400"/>
    <w:rsid w:val="00504013"/>
    <w:rsid w:val="00510993"/>
    <w:rsid w:val="00511288"/>
    <w:rsid w:val="00514A76"/>
    <w:rsid w:val="005224D0"/>
    <w:rsid w:val="0052376C"/>
    <w:rsid w:val="00523DC1"/>
    <w:rsid w:val="005244E9"/>
    <w:rsid w:val="0052453A"/>
    <w:rsid w:val="005271F1"/>
    <w:rsid w:val="00530A61"/>
    <w:rsid w:val="00536597"/>
    <w:rsid w:val="00545BB8"/>
    <w:rsid w:val="0054615D"/>
    <w:rsid w:val="0054636D"/>
    <w:rsid w:val="00550180"/>
    <w:rsid w:val="00550E10"/>
    <w:rsid w:val="00557AAE"/>
    <w:rsid w:val="00560B32"/>
    <w:rsid w:val="00562467"/>
    <w:rsid w:val="00571480"/>
    <w:rsid w:val="00571501"/>
    <w:rsid w:val="00572A2B"/>
    <w:rsid w:val="0057394B"/>
    <w:rsid w:val="005741BA"/>
    <w:rsid w:val="005752E1"/>
    <w:rsid w:val="0057645C"/>
    <w:rsid w:val="00577369"/>
    <w:rsid w:val="00580FB3"/>
    <w:rsid w:val="00585104"/>
    <w:rsid w:val="005859B7"/>
    <w:rsid w:val="005864DF"/>
    <w:rsid w:val="0059002B"/>
    <w:rsid w:val="00590667"/>
    <w:rsid w:val="00590789"/>
    <w:rsid w:val="005918FB"/>
    <w:rsid w:val="00592677"/>
    <w:rsid w:val="0059356F"/>
    <w:rsid w:val="00594C20"/>
    <w:rsid w:val="00596FE2"/>
    <w:rsid w:val="00597B0A"/>
    <w:rsid w:val="005A004B"/>
    <w:rsid w:val="005A3C95"/>
    <w:rsid w:val="005A7595"/>
    <w:rsid w:val="005B1BD4"/>
    <w:rsid w:val="005B2803"/>
    <w:rsid w:val="005B3D51"/>
    <w:rsid w:val="005B762B"/>
    <w:rsid w:val="005B7CC0"/>
    <w:rsid w:val="005C18B6"/>
    <w:rsid w:val="005C5451"/>
    <w:rsid w:val="005C5E64"/>
    <w:rsid w:val="005D293C"/>
    <w:rsid w:val="005D3657"/>
    <w:rsid w:val="005D5DCF"/>
    <w:rsid w:val="005D6875"/>
    <w:rsid w:val="005E0439"/>
    <w:rsid w:val="005E6037"/>
    <w:rsid w:val="005E6271"/>
    <w:rsid w:val="005F016C"/>
    <w:rsid w:val="005F28BB"/>
    <w:rsid w:val="005F2B60"/>
    <w:rsid w:val="005F2FEE"/>
    <w:rsid w:val="005F3401"/>
    <w:rsid w:val="005F49A6"/>
    <w:rsid w:val="005F5881"/>
    <w:rsid w:val="005F65A3"/>
    <w:rsid w:val="006012FE"/>
    <w:rsid w:val="0060351E"/>
    <w:rsid w:val="00605BAC"/>
    <w:rsid w:val="00605D1E"/>
    <w:rsid w:val="0061083F"/>
    <w:rsid w:val="00610887"/>
    <w:rsid w:val="00611C37"/>
    <w:rsid w:val="00620BCC"/>
    <w:rsid w:val="00621C7A"/>
    <w:rsid w:val="00621D2F"/>
    <w:rsid w:val="00622260"/>
    <w:rsid w:val="00632176"/>
    <w:rsid w:val="00633649"/>
    <w:rsid w:val="006362ED"/>
    <w:rsid w:val="0063712C"/>
    <w:rsid w:val="00651638"/>
    <w:rsid w:val="006544DA"/>
    <w:rsid w:val="00654D82"/>
    <w:rsid w:val="006570E1"/>
    <w:rsid w:val="006576B5"/>
    <w:rsid w:val="00660CE9"/>
    <w:rsid w:val="00661069"/>
    <w:rsid w:val="00661812"/>
    <w:rsid w:val="00661D06"/>
    <w:rsid w:val="00663A07"/>
    <w:rsid w:val="006666CD"/>
    <w:rsid w:val="00667A2C"/>
    <w:rsid w:val="006704D0"/>
    <w:rsid w:val="00676AD8"/>
    <w:rsid w:val="00677886"/>
    <w:rsid w:val="00677CD5"/>
    <w:rsid w:val="0068379A"/>
    <w:rsid w:val="00686642"/>
    <w:rsid w:val="00692527"/>
    <w:rsid w:val="006935F9"/>
    <w:rsid w:val="00693925"/>
    <w:rsid w:val="006957C9"/>
    <w:rsid w:val="00697D1B"/>
    <w:rsid w:val="006A15C3"/>
    <w:rsid w:val="006A1E0C"/>
    <w:rsid w:val="006A4E6B"/>
    <w:rsid w:val="006B0FC4"/>
    <w:rsid w:val="006B34BB"/>
    <w:rsid w:val="006B3E50"/>
    <w:rsid w:val="006B7A1C"/>
    <w:rsid w:val="006C02C2"/>
    <w:rsid w:val="006C5C46"/>
    <w:rsid w:val="006D23FF"/>
    <w:rsid w:val="006D5B4C"/>
    <w:rsid w:val="006D6961"/>
    <w:rsid w:val="006E2BF9"/>
    <w:rsid w:val="006E2F7E"/>
    <w:rsid w:val="006F0E58"/>
    <w:rsid w:val="006F0F78"/>
    <w:rsid w:val="006F2EBE"/>
    <w:rsid w:val="006F40B6"/>
    <w:rsid w:val="006F4553"/>
    <w:rsid w:val="006F6118"/>
    <w:rsid w:val="00703862"/>
    <w:rsid w:val="0070770E"/>
    <w:rsid w:val="0071021A"/>
    <w:rsid w:val="00713554"/>
    <w:rsid w:val="00713B57"/>
    <w:rsid w:val="007140E9"/>
    <w:rsid w:val="00715F89"/>
    <w:rsid w:val="00717CC2"/>
    <w:rsid w:val="007208F6"/>
    <w:rsid w:val="00726959"/>
    <w:rsid w:val="0073308E"/>
    <w:rsid w:val="007409CB"/>
    <w:rsid w:val="00741944"/>
    <w:rsid w:val="00744C8B"/>
    <w:rsid w:val="00744E59"/>
    <w:rsid w:val="00755118"/>
    <w:rsid w:val="00760FC0"/>
    <w:rsid w:val="0076157C"/>
    <w:rsid w:val="0076792F"/>
    <w:rsid w:val="00771757"/>
    <w:rsid w:val="00771CEF"/>
    <w:rsid w:val="0077348C"/>
    <w:rsid w:val="00776BAE"/>
    <w:rsid w:val="00780D85"/>
    <w:rsid w:val="00780F3D"/>
    <w:rsid w:val="00784510"/>
    <w:rsid w:val="0078563E"/>
    <w:rsid w:val="00786B15"/>
    <w:rsid w:val="00786D32"/>
    <w:rsid w:val="00791863"/>
    <w:rsid w:val="00792CE5"/>
    <w:rsid w:val="007965D2"/>
    <w:rsid w:val="007A177F"/>
    <w:rsid w:val="007A20C1"/>
    <w:rsid w:val="007A3B31"/>
    <w:rsid w:val="007A5FB5"/>
    <w:rsid w:val="007B0081"/>
    <w:rsid w:val="007B0E6B"/>
    <w:rsid w:val="007B1371"/>
    <w:rsid w:val="007B1883"/>
    <w:rsid w:val="007B18CA"/>
    <w:rsid w:val="007B1B21"/>
    <w:rsid w:val="007B2B1A"/>
    <w:rsid w:val="007B3F15"/>
    <w:rsid w:val="007B7C1B"/>
    <w:rsid w:val="007C0A70"/>
    <w:rsid w:val="007C157F"/>
    <w:rsid w:val="007C3BA0"/>
    <w:rsid w:val="007C45F5"/>
    <w:rsid w:val="007C55C7"/>
    <w:rsid w:val="007C757B"/>
    <w:rsid w:val="007E09EE"/>
    <w:rsid w:val="007E7E08"/>
    <w:rsid w:val="007F47AA"/>
    <w:rsid w:val="007F5C7C"/>
    <w:rsid w:val="008002BD"/>
    <w:rsid w:val="00801AF0"/>
    <w:rsid w:val="00802309"/>
    <w:rsid w:val="00802866"/>
    <w:rsid w:val="00807205"/>
    <w:rsid w:val="00807428"/>
    <w:rsid w:val="0081244B"/>
    <w:rsid w:val="008168B5"/>
    <w:rsid w:val="0081691E"/>
    <w:rsid w:val="00816F54"/>
    <w:rsid w:val="00822DF5"/>
    <w:rsid w:val="00825D02"/>
    <w:rsid w:val="00826EE8"/>
    <w:rsid w:val="00827656"/>
    <w:rsid w:val="00830DF6"/>
    <w:rsid w:val="008339F9"/>
    <w:rsid w:val="00834F15"/>
    <w:rsid w:val="0083702B"/>
    <w:rsid w:val="0084002B"/>
    <w:rsid w:val="00843F88"/>
    <w:rsid w:val="00845A9B"/>
    <w:rsid w:val="00845EA0"/>
    <w:rsid w:val="00846955"/>
    <w:rsid w:val="008474F5"/>
    <w:rsid w:val="008504BB"/>
    <w:rsid w:val="0085191D"/>
    <w:rsid w:val="00853639"/>
    <w:rsid w:val="00855D18"/>
    <w:rsid w:val="00860C01"/>
    <w:rsid w:val="00860EB7"/>
    <w:rsid w:val="008612CA"/>
    <w:rsid w:val="008614EF"/>
    <w:rsid w:val="00864C30"/>
    <w:rsid w:val="00870B29"/>
    <w:rsid w:val="00871446"/>
    <w:rsid w:val="00874163"/>
    <w:rsid w:val="00881F72"/>
    <w:rsid w:val="0088244D"/>
    <w:rsid w:val="0088298B"/>
    <w:rsid w:val="00884B09"/>
    <w:rsid w:val="00884DA7"/>
    <w:rsid w:val="00885D9D"/>
    <w:rsid w:val="0089023B"/>
    <w:rsid w:val="00891D6B"/>
    <w:rsid w:val="00893B9D"/>
    <w:rsid w:val="008A31C1"/>
    <w:rsid w:val="008A4906"/>
    <w:rsid w:val="008A7A18"/>
    <w:rsid w:val="008B0D92"/>
    <w:rsid w:val="008B1A21"/>
    <w:rsid w:val="008B5D58"/>
    <w:rsid w:val="008B6F7A"/>
    <w:rsid w:val="008B7759"/>
    <w:rsid w:val="008C0C5F"/>
    <w:rsid w:val="008C1377"/>
    <w:rsid w:val="008C23A4"/>
    <w:rsid w:val="008C3BC6"/>
    <w:rsid w:val="008C66B8"/>
    <w:rsid w:val="008D2925"/>
    <w:rsid w:val="008E228D"/>
    <w:rsid w:val="008E29B6"/>
    <w:rsid w:val="008E3F08"/>
    <w:rsid w:val="008E4116"/>
    <w:rsid w:val="008E7CC1"/>
    <w:rsid w:val="008F09B2"/>
    <w:rsid w:val="008F19D6"/>
    <w:rsid w:val="008F1A1C"/>
    <w:rsid w:val="008F32AE"/>
    <w:rsid w:val="008F59F4"/>
    <w:rsid w:val="008F69E3"/>
    <w:rsid w:val="008F6F0E"/>
    <w:rsid w:val="00901092"/>
    <w:rsid w:val="009042C2"/>
    <w:rsid w:val="00907976"/>
    <w:rsid w:val="009102B7"/>
    <w:rsid w:val="0091061F"/>
    <w:rsid w:val="00912198"/>
    <w:rsid w:val="0091538D"/>
    <w:rsid w:val="009159FA"/>
    <w:rsid w:val="00916216"/>
    <w:rsid w:val="0091694B"/>
    <w:rsid w:val="00916B7B"/>
    <w:rsid w:val="0092282D"/>
    <w:rsid w:val="00927183"/>
    <w:rsid w:val="00931843"/>
    <w:rsid w:val="00932077"/>
    <w:rsid w:val="0093218E"/>
    <w:rsid w:val="009327DC"/>
    <w:rsid w:val="00933408"/>
    <w:rsid w:val="00940349"/>
    <w:rsid w:val="009424D6"/>
    <w:rsid w:val="0094509A"/>
    <w:rsid w:val="00946DE6"/>
    <w:rsid w:val="00947814"/>
    <w:rsid w:val="00950AF5"/>
    <w:rsid w:val="00950E06"/>
    <w:rsid w:val="009516F6"/>
    <w:rsid w:val="0095437E"/>
    <w:rsid w:val="00962669"/>
    <w:rsid w:val="00963F19"/>
    <w:rsid w:val="009661DF"/>
    <w:rsid w:val="00966904"/>
    <w:rsid w:val="00967E00"/>
    <w:rsid w:val="00971FF3"/>
    <w:rsid w:val="00974604"/>
    <w:rsid w:val="00974ABA"/>
    <w:rsid w:val="009838D3"/>
    <w:rsid w:val="009869A7"/>
    <w:rsid w:val="0099039F"/>
    <w:rsid w:val="00995798"/>
    <w:rsid w:val="00996897"/>
    <w:rsid w:val="00996AD9"/>
    <w:rsid w:val="009A129A"/>
    <w:rsid w:val="009A2E32"/>
    <w:rsid w:val="009A5A15"/>
    <w:rsid w:val="009A6F82"/>
    <w:rsid w:val="009A7D6D"/>
    <w:rsid w:val="009B13C7"/>
    <w:rsid w:val="009B2244"/>
    <w:rsid w:val="009B292A"/>
    <w:rsid w:val="009B4450"/>
    <w:rsid w:val="009C0981"/>
    <w:rsid w:val="009C0C4A"/>
    <w:rsid w:val="009C187E"/>
    <w:rsid w:val="009C5DAC"/>
    <w:rsid w:val="009C6119"/>
    <w:rsid w:val="009C6F73"/>
    <w:rsid w:val="009C7D49"/>
    <w:rsid w:val="009D132F"/>
    <w:rsid w:val="009D33D9"/>
    <w:rsid w:val="009D41D6"/>
    <w:rsid w:val="009D4668"/>
    <w:rsid w:val="009D58EB"/>
    <w:rsid w:val="009E0D76"/>
    <w:rsid w:val="009E2573"/>
    <w:rsid w:val="009E347C"/>
    <w:rsid w:val="009E7A1D"/>
    <w:rsid w:val="009E7CB4"/>
    <w:rsid w:val="009F02A4"/>
    <w:rsid w:val="009F1096"/>
    <w:rsid w:val="009F16A7"/>
    <w:rsid w:val="00A00F3B"/>
    <w:rsid w:val="00A05543"/>
    <w:rsid w:val="00A06DB6"/>
    <w:rsid w:val="00A103D7"/>
    <w:rsid w:val="00A1402D"/>
    <w:rsid w:val="00A152A9"/>
    <w:rsid w:val="00A15707"/>
    <w:rsid w:val="00A2111B"/>
    <w:rsid w:val="00A243BA"/>
    <w:rsid w:val="00A2473B"/>
    <w:rsid w:val="00A251EE"/>
    <w:rsid w:val="00A2568A"/>
    <w:rsid w:val="00A265D3"/>
    <w:rsid w:val="00A31B7E"/>
    <w:rsid w:val="00A31CD7"/>
    <w:rsid w:val="00A32C6B"/>
    <w:rsid w:val="00A33D59"/>
    <w:rsid w:val="00A34A08"/>
    <w:rsid w:val="00A46C05"/>
    <w:rsid w:val="00A52283"/>
    <w:rsid w:val="00A56C43"/>
    <w:rsid w:val="00A57C3B"/>
    <w:rsid w:val="00A57EB1"/>
    <w:rsid w:val="00A61091"/>
    <w:rsid w:val="00A63B62"/>
    <w:rsid w:val="00A640A7"/>
    <w:rsid w:val="00A72813"/>
    <w:rsid w:val="00A729C5"/>
    <w:rsid w:val="00A72A32"/>
    <w:rsid w:val="00A72AAB"/>
    <w:rsid w:val="00A765A2"/>
    <w:rsid w:val="00A77A18"/>
    <w:rsid w:val="00A80357"/>
    <w:rsid w:val="00A80721"/>
    <w:rsid w:val="00A811E3"/>
    <w:rsid w:val="00A83366"/>
    <w:rsid w:val="00A91014"/>
    <w:rsid w:val="00A94D31"/>
    <w:rsid w:val="00A94FBC"/>
    <w:rsid w:val="00A9705E"/>
    <w:rsid w:val="00AA0779"/>
    <w:rsid w:val="00AA383C"/>
    <w:rsid w:val="00AA66BC"/>
    <w:rsid w:val="00AA676C"/>
    <w:rsid w:val="00AA7D7A"/>
    <w:rsid w:val="00AB68BF"/>
    <w:rsid w:val="00AC537B"/>
    <w:rsid w:val="00AC665C"/>
    <w:rsid w:val="00AC6E73"/>
    <w:rsid w:val="00AD1AEC"/>
    <w:rsid w:val="00AD2A08"/>
    <w:rsid w:val="00AD3634"/>
    <w:rsid w:val="00AE1E94"/>
    <w:rsid w:val="00AE21B2"/>
    <w:rsid w:val="00AE39E1"/>
    <w:rsid w:val="00AF2458"/>
    <w:rsid w:val="00AF5B6F"/>
    <w:rsid w:val="00B0016B"/>
    <w:rsid w:val="00B05BB5"/>
    <w:rsid w:val="00B14086"/>
    <w:rsid w:val="00B22396"/>
    <w:rsid w:val="00B22AF5"/>
    <w:rsid w:val="00B249D4"/>
    <w:rsid w:val="00B25D49"/>
    <w:rsid w:val="00B33EE0"/>
    <w:rsid w:val="00B34379"/>
    <w:rsid w:val="00B34782"/>
    <w:rsid w:val="00B42802"/>
    <w:rsid w:val="00B45948"/>
    <w:rsid w:val="00B51374"/>
    <w:rsid w:val="00B537B3"/>
    <w:rsid w:val="00B5451F"/>
    <w:rsid w:val="00B54730"/>
    <w:rsid w:val="00B55C4B"/>
    <w:rsid w:val="00B601F9"/>
    <w:rsid w:val="00B632FF"/>
    <w:rsid w:val="00B63AAF"/>
    <w:rsid w:val="00B65590"/>
    <w:rsid w:val="00B67E88"/>
    <w:rsid w:val="00B745B0"/>
    <w:rsid w:val="00B75CAF"/>
    <w:rsid w:val="00B87458"/>
    <w:rsid w:val="00B90D8C"/>
    <w:rsid w:val="00B9147E"/>
    <w:rsid w:val="00B94034"/>
    <w:rsid w:val="00BA006E"/>
    <w:rsid w:val="00BA0142"/>
    <w:rsid w:val="00BA0AB4"/>
    <w:rsid w:val="00BA3311"/>
    <w:rsid w:val="00BB1609"/>
    <w:rsid w:val="00BB1C46"/>
    <w:rsid w:val="00BC07CD"/>
    <w:rsid w:val="00BC4AC8"/>
    <w:rsid w:val="00BC63BB"/>
    <w:rsid w:val="00BC6B8F"/>
    <w:rsid w:val="00BD0030"/>
    <w:rsid w:val="00BD17B4"/>
    <w:rsid w:val="00BD2D40"/>
    <w:rsid w:val="00BD3F7B"/>
    <w:rsid w:val="00BD405D"/>
    <w:rsid w:val="00BD5555"/>
    <w:rsid w:val="00BD70D3"/>
    <w:rsid w:val="00BE1EAA"/>
    <w:rsid w:val="00BE637D"/>
    <w:rsid w:val="00BF2B84"/>
    <w:rsid w:val="00BF66FC"/>
    <w:rsid w:val="00BF7BBA"/>
    <w:rsid w:val="00C01491"/>
    <w:rsid w:val="00C039BF"/>
    <w:rsid w:val="00C03C06"/>
    <w:rsid w:val="00C10B28"/>
    <w:rsid w:val="00C117F7"/>
    <w:rsid w:val="00C12812"/>
    <w:rsid w:val="00C133BF"/>
    <w:rsid w:val="00C146F3"/>
    <w:rsid w:val="00C1545E"/>
    <w:rsid w:val="00C203C6"/>
    <w:rsid w:val="00C20667"/>
    <w:rsid w:val="00C272F5"/>
    <w:rsid w:val="00C30566"/>
    <w:rsid w:val="00C310A8"/>
    <w:rsid w:val="00C33552"/>
    <w:rsid w:val="00C356F7"/>
    <w:rsid w:val="00C372EC"/>
    <w:rsid w:val="00C402E6"/>
    <w:rsid w:val="00C4044A"/>
    <w:rsid w:val="00C40C97"/>
    <w:rsid w:val="00C43FF4"/>
    <w:rsid w:val="00C514AE"/>
    <w:rsid w:val="00C51762"/>
    <w:rsid w:val="00C52CC6"/>
    <w:rsid w:val="00C537CE"/>
    <w:rsid w:val="00C54039"/>
    <w:rsid w:val="00C541BC"/>
    <w:rsid w:val="00C554C5"/>
    <w:rsid w:val="00C561E3"/>
    <w:rsid w:val="00C56C81"/>
    <w:rsid w:val="00C6108F"/>
    <w:rsid w:val="00C61247"/>
    <w:rsid w:val="00C613BD"/>
    <w:rsid w:val="00C63A1D"/>
    <w:rsid w:val="00C709D6"/>
    <w:rsid w:val="00C713DE"/>
    <w:rsid w:val="00C71ADA"/>
    <w:rsid w:val="00C7330C"/>
    <w:rsid w:val="00C73E08"/>
    <w:rsid w:val="00C74DDE"/>
    <w:rsid w:val="00C81663"/>
    <w:rsid w:val="00C81E8E"/>
    <w:rsid w:val="00C83E1A"/>
    <w:rsid w:val="00C91113"/>
    <w:rsid w:val="00C93040"/>
    <w:rsid w:val="00C94328"/>
    <w:rsid w:val="00CA0D7B"/>
    <w:rsid w:val="00CA0EBC"/>
    <w:rsid w:val="00CA5286"/>
    <w:rsid w:val="00CA52ED"/>
    <w:rsid w:val="00CA66E4"/>
    <w:rsid w:val="00CA7B4F"/>
    <w:rsid w:val="00CB108D"/>
    <w:rsid w:val="00CB2D31"/>
    <w:rsid w:val="00CB4597"/>
    <w:rsid w:val="00CB4AE2"/>
    <w:rsid w:val="00CB5D26"/>
    <w:rsid w:val="00CB61F0"/>
    <w:rsid w:val="00CC15F0"/>
    <w:rsid w:val="00CC2894"/>
    <w:rsid w:val="00CC39DB"/>
    <w:rsid w:val="00CC5DB3"/>
    <w:rsid w:val="00CD34DE"/>
    <w:rsid w:val="00CE21F7"/>
    <w:rsid w:val="00CE38B6"/>
    <w:rsid w:val="00CF0F95"/>
    <w:rsid w:val="00CF24EC"/>
    <w:rsid w:val="00CF79AC"/>
    <w:rsid w:val="00D02A48"/>
    <w:rsid w:val="00D04C5A"/>
    <w:rsid w:val="00D0576F"/>
    <w:rsid w:val="00D05C05"/>
    <w:rsid w:val="00D1049D"/>
    <w:rsid w:val="00D1189F"/>
    <w:rsid w:val="00D15191"/>
    <w:rsid w:val="00D21453"/>
    <w:rsid w:val="00D24466"/>
    <w:rsid w:val="00D25901"/>
    <w:rsid w:val="00D261E1"/>
    <w:rsid w:val="00D26860"/>
    <w:rsid w:val="00D32708"/>
    <w:rsid w:val="00D33535"/>
    <w:rsid w:val="00D35B11"/>
    <w:rsid w:val="00D40257"/>
    <w:rsid w:val="00D40EAA"/>
    <w:rsid w:val="00D4144B"/>
    <w:rsid w:val="00D41770"/>
    <w:rsid w:val="00D43D1E"/>
    <w:rsid w:val="00D44005"/>
    <w:rsid w:val="00D47335"/>
    <w:rsid w:val="00D51FF5"/>
    <w:rsid w:val="00D52FCA"/>
    <w:rsid w:val="00D5329D"/>
    <w:rsid w:val="00D54470"/>
    <w:rsid w:val="00D54B56"/>
    <w:rsid w:val="00D563C6"/>
    <w:rsid w:val="00D56783"/>
    <w:rsid w:val="00D56BFB"/>
    <w:rsid w:val="00D57257"/>
    <w:rsid w:val="00D60276"/>
    <w:rsid w:val="00D66842"/>
    <w:rsid w:val="00D700E5"/>
    <w:rsid w:val="00D702B5"/>
    <w:rsid w:val="00D729A9"/>
    <w:rsid w:val="00D734F1"/>
    <w:rsid w:val="00D75226"/>
    <w:rsid w:val="00D77A92"/>
    <w:rsid w:val="00D77D43"/>
    <w:rsid w:val="00D80CD7"/>
    <w:rsid w:val="00D82B81"/>
    <w:rsid w:val="00D83551"/>
    <w:rsid w:val="00D93761"/>
    <w:rsid w:val="00D952E6"/>
    <w:rsid w:val="00D95532"/>
    <w:rsid w:val="00D972A6"/>
    <w:rsid w:val="00DA3BA6"/>
    <w:rsid w:val="00DA4464"/>
    <w:rsid w:val="00DA5BC7"/>
    <w:rsid w:val="00DA6701"/>
    <w:rsid w:val="00DA67BD"/>
    <w:rsid w:val="00DA750E"/>
    <w:rsid w:val="00DB0417"/>
    <w:rsid w:val="00DB0E59"/>
    <w:rsid w:val="00DB150A"/>
    <w:rsid w:val="00DC37FA"/>
    <w:rsid w:val="00DC3BAE"/>
    <w:rsid w:val="00DC62AD"/>
    <w:rsid w:val="00DC7D95"/>
    <w:rsid w:val="00DC7DC7"/>
    <w:rsid w:val="00DD0F70"/>
    <w:rsid w:val="00DD437A"/>
    <w:rsid w:val="00DE123C"/>
    <w:rsid w:val="00DE1AE4"/>
    <w:rsid w:val="00DE5367"/>
    <w:rsid w:val="00DE56FE"/>
    <w:rsid w:val="00DF2A37"/>
    <w:rsid w:val="00DF5460"/>
    <w:rsid w:val="00DF7E78"/>
    <w:rsid w:val="00E07610"/>
    <w:rsid w:val="00E23612"/>
    <w:rsid w:val="00E24400"/>
    <w:rsid w:val="00E253CD"/>
    <w:rsid w:val="00E26B25"/>
    <w:rsid w:val="00E26E0D"/>
    <w:rsid w:val="00E35323"/>
    <w:rsid w:val="00E3645C"/>
    <w:rsid w:val="00E42816"/>
    <w:rsid w:val="00E43537"/>
    <w:rsid w:val="00E44E95"/>
    <w:rsid w:val="00E45FC2"/>
    <w:rsid w:val="00E47C50"/>
    <w:rsid w:val="00E50648"/>
    <w:rsid w:val="00E51F2F"/>
    <w:rsid w:val="00E54E5B"/>
    <w:rsid w:val="00E5731C"/>
    <w:rsid w:val="00E62953"/>
    <w:rsid w:val="00E669F3"/>
    <w:rsid w:val="00E76D69"/>
    <w:rsid w:val="00E80D0D"/>
    <w:rsid w:val="00E84F80"/>
    <w:rsid w:val="00E85275"/>
    <w:rsid w:val="00E86897"/>
    <w:rsid w:val="00E91843"/>
    <w:rsid w:val="00E93E30"/>
    <w:rsid w:val="00E94A32"/>
    <w:rsid w:val="00E965AA"/>
    <w:rsid w:val="00EA201D"/>
    <w:rsid w:val="00EA2176"/>
    <w:rsid w:val="00EA3C1D"/>
    <w:rsid w:val="00EA3D3D"/>
    <w:rsid w:val="00EB3B3E"/>
    <w:rsid w:val="00EB422D"/>
    <w:rsid w:val="00EB4990"/>
    <w:rsid w:val="00EB544D"/>
    <w:rsid w:val="00EB6FE0"/>
    <w:rsid w:val="00EC31AA"/>
    <w:rsid w:val="00EC399F"/>
    <w:rsid w:val="00EC39A8"/>
    <w:rsid w:val="00EC5252"/>
    <w:rsid w:val="00EC537F"/>
    <w:rsid w:val="00EC7D47"/>
    <w:rsid w:val="00ED275A"/>
    <w:rsid w:val="00ED4611"/>
    <w:rsid w:val="00ED5A1D"/>
    <w:rsid w:val="00ED5ED1"/>
    <w:rsid w:val="00ED7C2F"/>
    <w:rsid w:val="00EE2D70"/>
    <w:rsid w:val="00EE35BE"/>
    <w:rsid w:val="00EE3CF7"/>
    <w:rsid w:val="00EE558E"/>
    <w:rsid w:val="00EE75F3"/>
    <w:rsid w:val="00EE760D"/>
    <w:rsid w:val="00EF0F91"/>
    <w:rsid w:val="00EF2CCA"/>
    <w:rsid w:val="00EF57E4"/>
    <w:rsid w:val="00EF5D39"/>
    <w:rsid w:val="00F0354F"/>
    <w:rsid w:val="00F0797C"/>
    <w:rsid w:val="00F10379"/>
    <w:rsid w:val="00F12123"/>
    <w:rsid w:val="00F12BA9"/>
    <w:rsid w:val="00F14B11"/>
    <w:rsid w:val="00F201AB"/>
    <w:rsid w:val="00F21213"/>
    <w:rsid w:val="00F220CD"/>
    <w:rsid w:val="00F22509"/>
    <w:rsid w:val="00F2264A"/>
    <w:rsid w:val="00F23C5A"/>
    <w:rsid w:val="00F241DF"/>
    <w:rsid w:val="00F247DE"/>
    <w:rsid w:val="00F27079"/>
    <w:rsid w:val="00F3064B"/>
    <w:rsid w:val="00F322E8"/>
    <w:rsid w:val="00F34227"/>
    <w:rsid w:val="00F34C10"/>
    <w:rsid w:val="00F415F4"/>
    <w:rsid w:val="00F44BE5"/>
    <w:rsid w:val="00F46421"/>
    <w:rsid w:val="00F510A3"/>
    <w:rsid w:val="00F52ADC"/>
    <w:rsid w:val="00F60569"/>
    <w:rsid w:val="00F6085A"/>
    <w:rsid w:val="00F63555"/>
    <w:rsid w:val="00F642D4"/>
    <w:rsid w:val="00F64D88"/>
    <w:rsid w:val="00F70CBE"/>
    <w:rsid w:val="00F739E5"/>
    <w:rsid w:val="00F75928"/>
    <w:rsid w:val="00F75BC9"/>
    <w:rsid w:val="00F76B4D"/>
    <w:rsid w:val="00F814A1"/>
    <w:rsid w:val="00F8430B"/>
    <w:rsid w:val="00F87510"/>
    <w:rsid w:val="00F87F6A"/>
    <w:rsid w:val="00F90E27"/>
    <w:rsid w:val="00F91218"/>
    <w:rsid w:val="00F9275A"/>
    <w:rsid w:val="00F9454C"/>
    <w:rsid w:val="00FA1D6F"/>
    <w:rsid w:val="00FA790B"/>
    <w:rsid w:val="00FB0537"/>
    <w:rsid w:val="00FB3219"/>
    <w:rsid w:val="00FC08D1"/>
    <w:rsid w:val="00FC2475"/>
    <w:rsid w:val="00FC5464"/>
    <w:rsid w:val="00FD3DC1"/>
    <w:rsid w:val="00FD4D69"/>
    <w:rsid w:val="00FE35F6"/>
    <w:rsid w:val="00FE4D89"/>
    <w:rsid w:val="00FF1EE8"/>
    <w:rsid w:val="00FF441B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,"/>
  <w:listSeparator w:val=","/>
  <w14:docId w14:val="23B0E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1762"/>
    <w:rPr>
      <w:lang w:val="es-E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Times"/>
      <w:i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 MT Extra Bold" w:eastAsia="Times" w:hAnsi="Times New Roman MT Extra Bold"/>
      <w:b/>
      <w:sz w:val="34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2880"/>
        <w:tab w:val="left" w:pos="4320"/>
      </w:tabs>
      <w:jc w:val="center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right" w:pos="5490"/>
      </w:tabs>
      <w:spacing w:after="240" w:line="480" w:lineRule="auto"/>
      <w:outlineLvl w:val="4"/>
    </w:pPr>
    <w:rPr>
      <w:rFonts w:eastAsia="Times"/>
      <w:b/>
      <w:sz w:val="29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9"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right" w:pos="5490"/>
      </w:tabs>
      <w:spacing w:after="240" w:line="480" w:lineRule="auto"/>
      <w:outlineLvl w:val="8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Times" w:hAnsi="Times"/>
      <w:sz w:val="27"/>
      <w:lang w:val="en-US"/>
    </w:rPr>
  </w:style>
  <w:style w:type="paragraph" w:styleId="BodyText3">
    <w:name w:val="Body Text 3"/>
    <w:basedOn w:val="Normal"/>
    <w:pPr>
      <w:tabs>
        <w:tab w:val="left" w:pos="270"/>
      </w:tabs>
    </w:pPr>
    <w:rPr>
      <w:sz w:val="24"/>
      <w:lang w:val="en-US"/>
    </w:rPr>
  </w:style>
  <w:style w:type="paragraph" w:styleId="BodyTextIndent2">
    <w:name w:val="Body Text Indent 2"/>
    <w:basedOn w:val="Normal"/>
    <w:pPr>
      <w:tabs>
        <w:tab w:val="left" w:pos="450"/>
      </w:tabs>
      <w:spacing w:after="500"/>
      <w:ind w:left="450" w:hanging="450"/>
    </w:pPr>
    <w:rPr>
      <w:sz w:val="24"/>
      <w:lang w:val="en-US"/>
    </w:rPr>
  </w:style>
  <w:style w:type="paragraph" w:styleId="BodyText2">
    <w:name w:val="Body Text 2"/>
    <w:basedOn w:val="Normal"/>
    <w:pPr>
      <w:tabs>
        <w:tab w:val="left" w:pos="270"/>
      </w:tabs>
      <w:jc w:val="center"/>
    </w:pPr>
    <w:rPr>
      <w:b/>
      <w:sz w:val="22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BodyTextIndent3">
    <w:name w:val="Body Text Indent 3"/>
    <w:basedOn w:val="Normal"/>
    <w:pPr>
      <w:tabs>
        <w:tab w:val="left" w:pos="450"/>
      </w:tabs>
      <w:spacing w:after="1900"/>
      <w:ind w:left="446" w:hanging="446"/>
    </w:pPr>
    <w:rPr>
      <w:sz w:val="24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en-US"/>
    </w:rPr>
  </w:style>
  <w:style w:type="character" w:customStyle="1" w:styleId="LabelInstructions">
    <w:name w:val="Label Instructions"/>
    <w:rPr>
      <w:i/>
      <w:color w:val="0000FF"/>
    </w:rPr>
  </w:style>
  <w:style w:type="paragraph" w:styleId="BodyTextIndent">
    <w:name w:val="Body Text Indent"/>
    <w:basedOn w:val="Normal"/>
    <w:pPr>
      <w:ind w:left="567" w:hanging="567"/>
    </w:pPr>
    <w:rPr>
      <w:b/>
      <w:snapToGrid w:val="0"/>
      <w:color w:val="808080"/>
      <w:sz w:val="22"/>
      <w:lang w:val="en-GB"/>
    </w:rPr>
  </w:style>
  <w:style w:type="character" w:styleId="CommentReference">
    <w:name w:val="annotation reference"/>
    <w:semiHidden/>
    <w:rPr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pPr>
      <w:tabs>
        <w:tab w:val="left" w:pos="567"/>
      </w:tabs>
    </w:pPr>
    <w:rPr>
      <w:sz w:val="22"/>
      <w:lang w:val="en-GB"/>
    </w:rPr>
  </w:style>
  <w:style w:type="paragraph" w:customStyle="1" w:styleId="Text">
    <w:name w:val="Text"/>
    <w:basedOn w:val="Normal"/>
    <w:pPr>
      <w:spacing w:before="120" w:line="269" w:lineRule="exact"/>
      <w:jc w:val="both"/>
    </w:pPr>
    <w:rPr>
      <w:rFonts w:ascii="Sabon" w:hAnsi="Sabon"/>
      <w:sz w:val="22"/>
      <w:lang w:val="en-GB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semiHidden/>
    <w:pPr>
      <w:tabs>
        <w:tab w:val="left" w:pos="567"/>
      </w:tabs>
      <w:spacing w:line="260" w:lineRule="exact"/>
    </w:pPr>
    <w:rPr>
      <w:snapToGrid w:val="0"/>
      <w:lang w:val="en-GB"/>
    </w:rPr>
  </w:style>
  <w:style w:type="paragraph" w:styleId="BlockText">
    <w:name w:val="Block Text"/>
    <w:basedOn w:val="Normal"/>
    <w:pPr>
      <w:ind w:left="567" w:right="14"/>
      <w:jc w:val="both"/>
    </w:pPr>
    <w:rPr>
      <w:sz w:val="22"/>
      <w:lang w:val="es-ES_tradn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A">
    <w:name w:val="Title A"/>
    <w:basedOn w:val="Normal"/>
    <w:rsid w:val="00047025"/>
    <w:pPr>
      <w:jc w:val="center"/>
    </w:pPr>
    <w:rPr>
      <w:b/>
      <w:sz w:val="22"/>
      <w:lang w:val="es-ES_tradnl"/>
    </w:rPr>
  </w:style>
  <w:style w:type="paragraph" w:customStyle="1" w:styleId="TitleB">
    <w:name w:val="Title B"/>
    <w:basedOn w:val="Normal"/>
    <w:rsid w:val="00047025"/>
    <w:pPr>
      <w:ind w:left="567" w:hanging="567"/>
    </w:pPr>
    <w:rPr>
      <w:b/>
      <w:sz w:val="22"/>
    </w:rPr>
  </w:style>
  <w:style w:type="paragraph" w:styleId="BodyTextFirstIndent">
    <w:name w:val="Body Text First Indent"/>
    <w:basedOn w:val="BodyText"/>
    <w:rsid w:val="00047025"/>
    <w:pPr>
      <w:spacing w:after="120"/>
      <w:ind w:firstLine="210"/>
    </w:pPr>
    <w:rPr>
      <w:rFonts w:ascii="Times New Roman" w:eastAsia="Times New Roman" w:hAnsi="Times New Roman"/>
      <w:sz w:val="20"/>
      <w:lang w:val="es-ES"/>
    </w:rPr>
  </w:style>
  <w:style w:type="paragraph" w:styleId="BodyTextFirstIndent2">
    <w:name w:val="Body Text First Indent 2"/>
    <w:basedOn w:val="BodyTextIndent"/>
    <w:rsid w:val="00047025"/>
    <w:pPr>
      <w:spacing w:after="120"/>
      <w:ind w:left="283" w:firstLine="210"/>
    </w:pPr>
    <w:rPr>
      <w:b w:val="0"/>
      <w:snapToGrid/>
      <w:color w:val="auto"/>
      <w:sz w:val="20"/>
      <w:lang w:val="es-ES"/>
    </w:rPr>
  </w:style>
  <w:style w:type="paragraph" w:styleId="Caption">
    <w:name w:val="caption"/>
    <w:basedOn w:val="Normal"/>
    <w:next w:val="Normal"/>
    <w:qFormat/>
    <w:rsid w:val="00047025"/>
    <w:rPr>
      <w:b/>
      <w:bCs/>
    </w:rPr>
  </w:style>
  <w:style w:type="paragraph" w:styleId="Closing">
    <w:name w:val="Closing"/>
    <w:basedOn w:val="Normal"/>
    <w:rsid w:val="00047025"/>
    <w:pPr>
      <w:ind w:left="4252"/>
    </w:pPr>
  </w:style>
  <w:style w:type="paragraph" w:styleId="CommentSubject">
    <w:name w:val="annotation subject"/>
    <w:basedOn w:val="CommentText"/>
    <w:next w:val="CommentText"/>
    <w:semiHidden/>
    <w:rsid w:val="00047025"/>
    <w:pPr>
      <w:tabs>
        <w:tab w:val="clear" w:pos="567"/>
      </w:tabs>
      <w:spacing w:line="240" w:lineRule="auto"/>
    </w:pPr>
    <w:rPr>
      <w:b/>
      <w:bCs/>
      <w:snapToGrid/>
      <w:lang w:val="es-ES"/>
    </w:rPr>
  </w:style>
  <w:style w:type="paragraph" w:styleId="Date">
    <w:name w:val="Date"/>
    <w:basedOn w:val="Normal"/>
    <w:next w:val="Normal"/>
    <w:rsid w:val="00047025"/>
  </w:style>
  <w:style w:type="paragraph" w:styleId="E-mailSignature">
    <w:name w:val="E-mail Signature"/>
    <w:basedOn w:val="Normal"/>
    <w:rsid w:val="00047025"/>
  </w:style>
  <w:style w:type="paragraph" w:styleId="EnvelopeAddress">
    <w:name w:val="envelope address"/>
    <w:basedOn w:val="Normal"/>
    <w:rsid w:val="0004702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047025"/>
    <w:rPr>
      <w:rFonts w:ascii="Arial" w:hAnsi="Arial" w:cs="Arial"/>
    </w:rPr>
  </w:style>
  <w:style w:type="paragraph" w:styleId="HTMLAddress">
    <w:name w:val="HTML Address"/>
    <w:basedOn w:val="Normal"/>
    <w:rsid w:val="00047025"/>
    <w:rPr>
      <w:i/>
      <w:iCs/>
    </w:rPr>
  </w:style>
  <w:style w:type="paragraph" w:styleId="HTMLPreformatted">
    <w:name w:val="HTML Preformatted"/>
    <w:basedOn w:val="Normal"/>
    <w:rsid w:val="00047025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047025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047025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047025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047025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047025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047025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047025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047025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047025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047025"/>
    <w:rPr>
      <w:rFonts w:ascii="Arial" w:hAnsi="Arial" w:cs="Arial"/>
      <w:b/>
      <w:bCs/>
    </w:rPr>
  </w:style>
  <w:style w:type="paragraph" w:styleId="List">
    <w:name w:val="List"/>
    <w:basedOn w:val="Normal"/>
    <w:rsid w:val="00047025"/>
    <w:pPr>
      <w:ind w:left="283" w:hanging="283"/>
    </w:pPr>
  </w:style>
  <w:style w:type="paragraph" w:styleId="List2">
    <w:name w:val="List 2"/>
    <w:basedOn w:val="Normal"/>
    <w:rsid w:val="00047025"/>
    <w:pPr>
      <w:ind w:left="566" w:hanging="283"/>
    </w:pPr>
  </w:style>
  <w:style w:type="paragraph" w:styleId="List3">
    <w:name w:val="List 3"/>
    <w:basedOn w:val="Normal"/>
    <w:rsid w:val="00047025"/>
    <w:pPr>
      <w:ind w:left="849" w:hanging="283"/>
    </w:pPr>
  </w:style>
  <w:style w:type="paragraph" w:styleId="List4">
    <w:name w:val="List 4"/>
    <w:basedOn w:val="Normal"/>
    <w:rsid w:val="00047025"/>
    <w:pPr>
      <w:ind w:left="1132" w:hanging="283"/>
    </w:pPr>
  </w:style>
  <w:style w:type="paragraph" w:styleId="List5">
    <w:name w:val="List 5"/>
    <w:basedOn w:val="Normal"/>
    <w:rsid w:val="00047025"/>
    <w:pPr>
      <w:ind w:left="1415" w:hanging="283"/>
    </w:pPr>
  </w:style>
  <w:style w:type="paragraph" w:styleId="ListBullet">
    <w:name w:val="List Bullet"/>
    <w:basedOn w:val="Normal"/>
    <w:rsid w:val="00047025"/>
    <w:pPr>
      <w:numPr>
        <w:numId w:val="6"/>
      </w:numPr>
    </w:pPr>
  </w:style>
  <w:style w:type="paragraph" w:styleId="ListBullet2">
    <w:name w:val="List Bullet 2"/>
    <w:basedOn w:val="Normal"/>
    <w:rsid w:val="00047025"/>
    <w:pPr>
      <w:numPr>
        <w:numId w:val="7"/>
      </w:numPr>
    </w:pPr>
  </w:style>
  <w:style w:type="paragraph" w:styleId="ListBullet3">
    <w:name w:val="List Bullet 3"/>
    <w:basedOn w:val="Normal"/>
    <w:rsid w:val="00047025"/>
    <w:pPr>
      <w:numPr>
        <w:numId w:val="8"/>
      </w:numPr>
    </w:pPr>
  </w:style>
  <w:style w:type="paragraph" w:styleId="ListBullet4">
    <w:name w:val="List Bullet 4"/>
    <w:basedOn w:val="Normal"/>
    <w:rsid w:val="00047025"/>
    <w:pPr>
      <w:numPr>
        <w:numId w:val="9"/>
      </w:numPr>
    </w:pPr>
  </w:style>
  <w:style w:type="paragraph" w:styleId="ListBullet5">
    <w:name w:val="List Bullet 5"/>
    <w:basedOn w:val="Normal"/>
    <w:rsid w:val="00047025"/>
    <w:pPr>
      <w:numPr>
        <w:numId w:val="10"/>
      </w:numPr>
    </w:pPr>
  </w:style>
  <w:style w:type="paragraph" w:styleId="ListContinue">
    <w:name w:val="List Continue"/>
    <w:basedOn w:val="Normal"/>
    <w:rsid w:val="00047025"/>
    <w:pPr>
      <w:spacing w:after="120"/>
      <w:ind w:left="283"/>
    </w:pPr>
  </w:style>
  <w:style w:type="paragraph" w:styleId="ListContinue2">
    <w:name w:val="List Continue 2"/>
    <w:basedOn w:val="Normal"/>
    <w:rsid w:val="00047025"/>
    <w:pPr>
      <w:spacing w:after="120"/>
      <w:ind w:left="566"/>
    </w:pPr>
  </w:style>
  <w:style w:type="paragraph" w:styleId="ListContinue3">
    <w:name w:val="List Continue 3"/>
    <w:basedOn w:val="Normal"/>
    <w:rsid w:val="00047025"/>
    <w:pPr>
      <w:spacing w:after="120"/>
      <w:ind w:left="849"/>
    </w:pPr>
  </w:style>
  <w:style w:type="paragraph" w:styleId="ListContinue4">
    <w:name w:val="List Continue 4"/>
    <w:basedOn w:val="Normal"/>
    <w:rsid w:val="00047025"/>
    <w:pPr>
      <w:spacing w:after="120"/>
      <w:ind w:left="1132"/>
    </w:pPr>
  </w:style>
  <w:style w:type="paragraph" w:styleId="ListContinue5">
    <w:name w:val="List Continue 5"/>
    <w:basedOn w:val="Normal"/>
    <w:rsid w:val="00047025"/>
    <w:pPr>
      <w:spacing w:after="120"/>
      <w:ind w:left="1415"/>
    </w:pPr>
  </w:style>
  <w:style w:type="paragraph" w:styleId="ListNumber">
    <w:name w:val="List Number"/>
    <w:basedOn w:val="Normal"/>
    <w:rsid w:val="00047025"/>
    <w:pPr>
      <w:numPr>
        <w:numId w:val="11"/>
      </w:numPr>
    </w:pPr>
  </w:style>
  <w:style w:type="paragraph" w:styleId="ListNumber2">
    <w:name w:val="List Number 2"/>
    <w:basedOn w:val="Normal"/>
    <w:rsid w:val="00047025"/>
    <w:pPr>
      <w:numPr>
        <w:numId w:val="12"/>
      </w:numPr>
    </w:pPr>
  </w:style>
  <w:style w:type="paragraph" w:styleId="ListNumber3">
    <w:name w:val="List Number 3"/>
    <w:basedOn w:val="Normal"/>
    <w:rsid w:val="00047025"/>
    <w:pPr>
      <w:numPr>
        <w:numId w:val="13"/>
      </w:numPr>
    </w:pPr>
  </w:style>
  <w:style w:type="paragraph" w:styleId="ListNumber4">
    <w:name w:val="List Number 4"/>
    <w:basedOn w:val="Normal"/>
    <w:rsid w:val="00047025"/>
    <w:pPr>
      <w:numPr>
        <w:numId w:val="14"/>
      </w:numPr>
    </w:pPr>
  </w:style>
  <w:style w:type="paragraph" w:styleId="ListNumber5">
    <w:name w:val="List Number 5"/>
    <w:basedOn w:val="Normal"/>
    <w:rsid w:val="00047025"/>
    <w:pPr>
      <w:numPr>
        <w:numId w:val="15"/>
      </w:numPr>
    </w:pPr>
  </w:style>
  <w:style w:type="paragraph" w:styleId="MacroText">
    <w:name w:val="macro"/>
    <w:semiHidden/>
    <w:rsid w:val="000470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0470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047025"/>
    <w:rPr>
      <w:sz w:val="24"/>
      <w:szCs w:val="24"/>
    </w:rPr>
  </w:style>
  <w:style w:type="paragraph" w:styleId="NormalIndent">
    <w:name w:val="Normal Indent"/>
    <w:basedOn w:val="Normal"/>
    <w:rsid w:val="00047025"/>
    <w:pPr>
      <w:ind w:left="720"/>
    </w:pPr>
  </w:style>
  <w:style w:type="paragraph" w:styleId="NoteHeading">
    <w:name w:val="Note Heading"/>
    <w:basedOn w:val="Normal"/>
    <w:next w:val="Normal"/>
    <w:rsid w:val="00047025"/>
  </w:style>
  <w:style w:type="paragraph" w:styleId="PlainText">
    <w:name w:val="Plain Text"/>
    <w:basedOn w:val="Normal"/>
    <w:rsid w:val="00047025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047025"/>
  </w:style>
  <w:style w:type="paragraph" w:styleId="Signature">
    <w:name w:val="Signature"/>
    <w:basedOn w:val="Normal"/>
    <w:rsid w:val="00047025"/>
    <w:pPr>
      <w:ind w:left="4252"/>
    </w:pPr>
  </w:style>
  <w:style w:type="paragraph" w:styleId="Subtitle">
    <w:name w:val="Subtitle"/>
    <w:basedOn w:val="Normal"/>
    <w:qFormat/>
    <w:rsid w:val="0004702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047025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047025"/>
  </w:style>
  <w:style w:type="paragraph" w:styleId="Title">
    <w:name w:val="Title"/>
    <w:basedOn w:val="Normal"/>
    <w:qFormat/>
    <w:rsid w:val="0004702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047025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047025"/>
  </w:style>
  <w:style w:type="paragraph" w:styleId="TOC2">
    <w:name w:val="toc 2"/>
    <w:basedOn w:val="Normal"/>
    <w:next w:val="Normal"/>
    <w:autoRedefine/>
    <w:semiHidden/>
    <w:rsid w:val="00047025"/>
    <w:pPr>
      <w:ind w:left="200"/>
    </w:pPr>
  </w:style>
  <w:style w:type="paragraph" w:styleId="TOC3">
    <w:name w:val="toc 3"/>
    <w:basedOn w:val="Normal"/>
    <w:next w:val="Normal"/>
    <w:autoRedefine/>
    <w:semiHidden/>
    <w:rsid w:val="00047025"/>
    <w:pPr>
      <w:ind w:left="400"/>
    </w:pPr>
  </w:style>
  <w:style w:type="paragraph" w:styleId="TOC4">
    <w:name w:val="toc 4"/>
    <w:basedOn w:val="Normal"/>
    <w:next w:val="Normal"/>
    <w:autoRedefine/>
    <w:semiHidden/>
    <w:rsid w:val="00047025"/>
    <w:pPr>
      <w:ind w:left="600"/>
    </w:pPr>
  </w:style>
  <w:style w:type="paragraph" w:styleId="TOC5">
    <w:name w:val="toc 5"/>
    <w:basedOn w:val="Normal"/>
    <w:next w:val="Normal"/>
    <w:autoRedefine/>
    <w:semiHidden/>
    <w:rsid w:val="00047025"/>
    <w:pPr>
      <w:ind w:left="800"/>
    </w:pPr>
  </w:style>
  <w:style w:type="paragraph" w:styleId="TOC6">
    <w:name w:val="toc 6"/>
    <w:basedOn w:val="Normal"/>
    <w:next w:val="Normal"/>
    <w:autoRedefine/>
    <w:semiHidden/>
    <w:rsid w:val="00047025"/>
    <w:pPr>
      <w:ind w:left="1000"/>
    </w:pPr>
  </w:style>
  <w:style w:type="paragraph" w:styleId="TOC7">
    <w:name w:val="toc 7"/>
    <w:basedOn w:val="Normal"/>
    <w:next w:val="Normal"/>
    <w:autoRedefine/>
    <w:semiHidden/>
    <w:rsid w:val="00047025"/>
    <w:pPr>
      <w:ind w:left="1200"/>
    </w:pPr>
  </w:style>
  <w:style w:type="paragraph" w:styleId="TOC8">
    <w:name w:val="toc 8"/>
    <w:basedOn w:val="Normal"/>
    <w:next w:val="Normal"/>
    <w:autoRedefine/>
    <w:semiHidden/>
    <w:rsid w:val="00047025"/>
    <w:pPr>
      <w:ind w:left="1400"/>
    </w:pPr>
  </w:style>
  <w:style w:type="paragraph" w:styleId="TOC9">
    <w:name w:val="toc 9"/>
    <w:basedOn w:val="Normal"/>
    <w:next w:val="Normal"/>
    <w:autoRedefine/>
    <w:semiHidden/>
    <w:rsid w:val="00047025"/>
    <w:pPr>
      <w:ind w:left="1600"/>
    </w:pPr>
  </w:style>
  <w:style w:type="character" w:styleId="FollowedHyperlink">
    <w:name w:val="FollowedHyperlink"/>
    <w:rsid w:val="00884DA7"/>
    <w:rPr>
      <w:color w:val="606420"/>
      <w:u w:val="single"/>
    </w:rPr>
  </w:style>
  <w:style w:type="paragraph" w:styleId="Revision">
    <w:name w:val="Revision"/>
    <w:hidden/>
    <w:uiPriority w:val="99"/>
    <w:semiHidden/>
    <w:rsid w:val="00590667"/>
    <w:rPr>
      <w:lang w:val="es-ES" w:eastAsia="en-US"/>
    </w:rPr>
  </w:style>
  <w:style w:type="character" w:styleId="Hyperlink">
    <w:name w:val="Hyperlink"/>
    <w:rsid w:val="003E7477"/>
    <w:rPr>
      <w:color w:val="0000FF"/>
      <w:u w:val="single"/>
    </w:rPr>
  </w:style>
  <w:style w:type="paragraph" w:customStyle="1" w:styleId="BodytextAgency">
    <w:name w:val="Body text (Agency)"/>
    <w:basedOn w:val="Normal"/>
    <w:rsid w:val="00E35323"/>
    <w:pPr>
      <w:spacing w:after="140" w:line="280" w:lineRule="atLeast"/>
    </w:pPr>
    <w:rPr>
      <w:rFonts w:ascii="Verdana" w:hAnsi="Verdana"/>
      <w:sz w:val="18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6D23FF"/>
  </w:style>
  <w:style w:type="paragraph" w:styleId="IntenseQuote">
    <w:name w:val="Intense Quote"/>
    <w:basedOn w:val="Normal"/>
    <w:next w:val="Normal"/>
    <w:link w:val="IntenseQuoteChar"/>
    <w:uiPriority w:val="30"/>
    <w:qFormat/>
    <w:rsid w:val="006D23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x-none"/>
    </w:rPr>
  </w:style>
  <w:style w:type="character" w:customStyle="1" w:styleId="IntenseQuoteChar">
    <w:name w:val="Intense Quote Char"/>
    <w:link w:val="IntenseQuote"/>
    <w:uiPriority w:val="30"/>
    <w:rsid w:val="006D23FF"/>
    <w:rPr>
      <w:b/>
      <w:bCs/>
      <w:i/>
      <w:iCs/>
      <w:color w:val="4F81BD"/>
      <w:lang w:val="es-ES"/>
    </w:rPr>
  </w:style>
  <w:style w:type="paragraph" w:styleId="ListParagraph">
    <w:name w:val="List Paragraph"/>
    <w:basedOn w:val="Normal"/>
    <w:uiPriority w:val="34"/>
    <w:qFormat/>
    <w:rsid w:val="006D23FF"/>
    <w:pPr>
      <w:ind w:left="720"/>
    </w:pPr>
  </w:style>
  <w:style w:type="paragraph" w:styleId="NoSpacing">
    <w:name w:val="No Spacing"/>
    <w:uiPriority w:val="1"/>
    <w:qFormat/>
    <w:rsid w:val="006D23FF"/>
    <w:rPr>
      <w:lang w:val="es-E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D23FF"/>
    <w:rPr>
      <w:i/>
      <w:iCs/>
      <w:color w:val="000000"/>
      <w:lang w:eastAsia="x-none"/>
    </w:rPr>
  </w:style>
  <w:style w:type="character" w:customStyle="1" w:styleId="QuoteChar">
    <w:name w:val="Quote Char"/>
    <w:link w:val="Quote"/>
    <w:uiPriority w:val="29"/>
    <w:rsid w:val="006D23FF"/>
    <w:rPr>
      <w:i/>
      <w:iCs/>
      <w:color w:val="000000"/>
      <w:lang w:val="es-E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23FF"/>
    <w:pPr>
      <w:spacing w:before="240" w:after="60"/>
      <w:outlineLvl w:val="9"/>
    </w:pPr>
    <w:rPr>
      <w:rFonts w:ascii="Cambria" w:eastAsia="Times New Roman" w:hAnsi="Cambria"/>
      <w:b/>
      <w:bCs/>
      <w:i w:val="0"/>
      <w:kern w:val="32"/>
      <w:sz w:val="32"/>
      <w:szCs w:val="32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E51F2F"/>
    <w:rPr>
      <w:color w:val="605E5C"/>
      <w:shd w:val="clear" w:color="auto" w:fill="E1DFDD"/>
    </w:rPr>
  </w:style>
  <w:style w:type="character" w:customStyle="1" w:styleId="Hipervnculo1">
    <w:name w:val="Hipervínculo1"/>
    <w:uiPriority w:val="99"/>
    <w:rsid w:val="00586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ma.europa.eu/en/medicines/human/EPAR/teriparatide-sun" TargetMode="External"/><Relationship Id="rId18" Type="http://schemas.openxmlformats.org/officeDocument/2006/relationships/hyperlink" Target="https://www.pharmaqr.info/tptes" TargetMode="External"/><Relationship Id="rId26" Type="http://schemas.openxmlformats.org/officeDocument/2006/relationships/image" Target="media/image7.png"/><Relationship Id="rId39" Type="http://schemas.openxmlformats.org/officeDocument/2006/relationships/image" Target="media/image20.png"/><Relationship Id="rId21" Type="http://schemas.openxmlformats.org/officeDocument/2006/relationships/image" Target="media/image2.png"/><Relationship Id="rId34" Type="http://schemas.openxmlformats.org/officeDocument/2006/relationships/image" Target="media/image15.png"/><Relationship Id="rId42" Type="http://schemas.openxmlformats.org/officeDocument/2006/relationships/image" Target="media/image23.png"/><Relationship Id="rId47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1.xml"/><Relationship Id="rId16" Type="http://schemas.openxmlformats.org/officeDocument/2006/relationships/hyperlink" Target="https://www.pharmaqr.info/tptes" TargetMode="External"/><Relationship Id="rId29" Type="http://schemas.openxmlformats.org/officeDocument/2006/relationships/image" Target="media/image10.png"/><Relationship Id="rId11" Type="http://schemas.openxmlformats.org/officeDocument/2006/relationships/footnotes" Target="footnotes.xml"/><Relationship Id="rId24" Type="http://schemas.openxmlformats.org/officeDocument/2006/relationships/image" Target="media/image5.png"/><Relationship Id="rId32" Type="http://schemas.openxmlformats.org/officeDocument/2006/relationships/image" Target="media/image13.png"/><Relationship Id="rId37" Type="http://schemas.openxmlformats.org/officeDocument/2006/relationships/image" Target="media/image18.png"/><Relationship Id="rId40" Type="http://schemas.openxmlformats.org/officeDocument/2006/relationships/image" Target="media/image21.png"/><Relationship Id="rId45" Type="http://schemas.openxmlformats.org/officeDocument/2006/relationships/footer" Target="footer1.xml"/><Relationship Id="rId5" Type="http://schemas.openxmlformats.org/officeDocument/2006/relationships/customXml" Target="../customXml/item4.xml"/><Relationship Id="rId15" Type="http://schemas.openxmlformats.org/officeDocument/2006/relationships/hyperlink" Target="http://www.ema.europa.eu/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36" Type="http://schemas.openxmlformats.org/officeDocument/2006/relationships/image" Target="media/image17.png"/><Relationship Id="rId49" Type="http://schemas.openxmlformats.org/officeDocument/2006/relationships/customXml" Target="../customXml/item6.xml"/><Relationship Id="rId10" Type="http://schemas.openxmlformats.org/officeDocument/2006/relationships/webSettings" Target="webSettings.xml"/><Relationship Id="rId19" Type="http://schemas.openxmlformats.org/officeDocument/2006/relationships/image" Target="media/image1.gif"/><Relationship Id="rId31" Type="http://schemas.openxmlformats.org/officeDocument/2006/relationships/image" Target="media/image12.png"/><Relationship Id="rId44" Type="http://schemas.openxmlformats.org/officeDocument/2006/relationships/image" Target="media/image25.emf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s://www.ema.europa.eu/en/medicines/human/EPAR/teriparatide-sun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image" Target="media/image16.jpeg"/><Relationship Id="rId43" Type="http://schemas.openxmlformats.org/officeDocument/2006/relationships/image" Target="media/image24.png"/><Relationship Id="rId48" Type="http://schemas.openxmlformats.org/officeDocument/2006/relationships/theme" Target="theme/theme1.xml"/><Relationship Id="rId8" Type="http://schemas.openxmlformats.org/officeDocument/2006/relationships/styles" Target="styles.xml"/><Relationship Id="rId3" Type="http://schemas.openxmlformats.org/officeDocument/2006/relationships/customXml" Target="../customXml/item2.xml"/><Relationship Id="rId12" Type="http://schemas.openxmlformats.org/officeDocument/2006/relationships/endnotes" Target="endnotes.xml"/><Relationship Id="rId17" Type="http://schemas.openxmlformats.org/officeDocument/2006/relationships/hyperlink" Target="http://www.ema.europa.eu/docs/en_GB/document_library/Template_or_form/2013/03/WC500139752.doc" TargetMode="External"/><Relationship Id="rId25" Type="http://schemas.openxmlformats.org/officeDocument/2006/relationships/image" Target="media/image6.png"/><Relationship Id="rId33" Type="http://schemas.openxmlformats.org/officeDocument/2006/relationships/image" Target="media/image14.png"/><Relationship Id="rId38" Type="http://schemas.openxmlformats.org/officeDocument/2006/relationships/image" Target="media/image19.png"/><Relationship Id="rId46" Type="http://schemas.openxmlformats.org/officeDocument/2006/relationships/footer" Target="footer2.xml"/><Relationship Id="rId20" Type="http://schemas.openxmlformats.org/officeDocument/2006/relationships/image" Target="cid:5AAD667C-792C-4E33-944B-E445C32907EB" TargetMode="External"/><Relationship Id="rId41" Type="http://schemas.openxmlformats.org/officeDocument/2006/relationships/image" Target="media/image22.png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EMADOC-1700519818-2516022</_dlc_DocId>
    <_dlc_DocIdUrl xmlns="a034c160-bfb7-45f5-8632-2eb7e0508071">
      <Url>https://euema.sharepoint.com/sites/CRM/_layouts/15/DocIdRedir.aspx?ID=EMADOC-1700519818-2516022</Url>
      <Description>EMADOC-1700519818-2516022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DF08DB2-095E-4B6B-99E9-B3D4C51FBC6A}">
  <ds:schemaRefs>
    <ds:schemaRef ds:uri="http://www.w3.org/XML/1998/namespace"/>
    <ds:schemaRef ds:uri="d4937c54-bfb3-467d-8ddc-d591ed8cbfd1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9de98f31-43d0-49b7-ab46-1c62a48c6e46"/>
  </ds:schemaRefs>
</ds:datastoreItem>
</file>

<file path=customXml/itemProps2.xml><?xml version="1.0" encoding="utf-8"?>
<ds:datastoreItem xmlns:ds="http://schemas.openxmlformats.org/officeDocument/2006/customXml" ds:itemID="{D07A9108-AC7D-45DA-95C0-BCB317861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F768E-91B5-4B88-8D10-54F57C778FC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7D0773B-0C2B-4E89-B181-056C44161081}"/>
</file>

<file path=customXml/itemProps5.xml><?xml version="1.0" encoding="utf-8"?>
<ds:datastoreItem xmlns:ds="http://schemas.openxmlformats.org/officeDocument/2006/customXml" ds:itemID="{67A27386-4498-435C-AC4C-910968A0E05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0AA97EB-61B7-4ECB-849A-3D65F648A5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8980</Words>
  <Characters>51805</Characters>
  <Application>Microsoft Office Word</Application>
  <DocSecurity>0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60664</CharactersWithSpaces>
  <SharedDoc>false</SharedDoc>
  <HLinks>
    <vt:vector size="18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Teriparatide SUN: EPAR - Product information - tracked changes</dc:title>
  <dc:subject/>
  <dc:creator/>
  <cp:keywords/>
  <cp:lastModifiedBy/>
  <cp:revision>1</cp:revision>
  <dcterms:created xsi:type="dcterms:W3CDTF">2024-06-18T09:28:00Z</dcterms:created>
  <dcterms:modified xsi:type="dcterms:W3CDTF">2025-10-01T21:36:00Z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MediaServiceImageTags">
    <vt:lpwstr/>
  </property>
  <property fmtid="{D5CDD505-2E9C-101B-9397-08002B2CF9AE}" pid="4" name="_dlc_DocIdItemGuid">
    <vt:lpwstr>d645ba88-a336-45f8-939f-09cb41e11292</vt:lpwstr>
  </property>
</Properties>
</file>