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567" w:type="dxa"/>
        <w:tblLook w:val="04A0" w:firstRow="1" w:lastRow="0" w:firstColumn="1" w:lastColumn="0" w:noHBand="0" w:noVBand="1"/>
      </w:tblPr>
      <w:tblGrid>
        <w:gridCol w:w="8493"/>
      </w:tblGrid>
      <w:tr w:rsidR="00A66031" w14:paraId="761617D1" w14:textId="77777777" w:rsidTr="00A66031">
        <w:trPr>
          <w:trHeight w:val="1549"/>
        </w:trPr>
        <w:tc>
          <w:tcPr>
            <w:tcW w:w="9060" w:type="dxa"/>
          </w:tcPr>
          <w:p w14:paraId="534C3C85" w14:textId="5364319E" w:rsidR="00A66031" w:rsidRPr="00A66031" w:rsidRDefault="00A66031" w:rsidP="00A66031">
            <w:pPr>
              <w:pStyle w:val="Ttulo"/>
              <w:ind w:left="0" w:firstLine="0"/>
              <w:jc w:val="left"/>
              <w:rPr>
                <w:b w:val="0"/>
                <w:bCs/>
                <w:szCs w:val="22"/>
                <w:lang w:val="es-ES_tradnl"/>
              </w:rPr>
            </w:pPr>
            <w:r w:rsidRPr="00A66031">
              <w:rPr>
                <w:b w:val="0"/>
                <w:bCs/>
                <w:szCs w:val="22"/>
                <w:lang w:val="es-ES_tradnl"/>
              </w:rPr>
              <w:t>Este documento es la información sobre el producto aprobada para Voriconazol Accord en el que se destacan las modificaciones introducidas en el procedimiento anterior que afectan a la información sobre el producto (EMA/N/0000269325).</w:t>
            </w:r>
          </w:p>
          <w:p w14:paraId="2EBA9714" w14:textId="77777777" w:rsidR="00A66031" w:rsidRPr="00A66031" w:rsidRDefault="00A66031" w:rsidP="00A66031">
            <w:pPr>
              <w:pStyle w:val="Ttulo"/>
              <w:tabs>
                <w:tab w:val="left" w:pos="567"/>
              </w:tabs>
              <w:jc w:val="left"/>
              <w:rPr>
                <w:b w:val="0"/>
                <w:bCs/>
                <w:szCs w:val="22"/>
                <w:lang w:val="es-ES_tradnl"/>
              </w:rPr>
            </w:pPr>
          </w:p>
          <w:p w14:paraId="45234B8C" w14:textId="6854EC2C" w:rsidR="00A66031" w:rsidRPr="00A66031" w:rsidRDefault="00A66031" w:rsidP="00A66031">
            <w:pPr>
              <w:pStyle w:val="Ttulo"/>
              <w:tabs>
                <w:tab w:val="left" w:pos="567"/>
              </w:tabs>
              <w:ind w:left="0" w:firstLine="0"/>
              <w:jc w:val="left"/>
              <w:rPr>
                <w:b w:val="0"/>
                <w:bCs/>
                <w:szCs w:val="22"/>
                <w:lang w:val="es-ES_tradnl"/>
              </w:rPr>
            </w:pPr>
            <w:r w:rsidRPr="00A66031">
              <w:rPr>
                <w:b w:val="0"/>
                <w:bCs/>
                <w:szCs w:val="22"/>
                <w:lang w:val="es-ES_tradnl"/>
              </w:rPr>
              <w:t xml:space="preserve">Para más información, consulte el sitio web de la Agencia Europea de Medicamentos: </w:t>
            </w:r>
            <w:hyperlink r:id="rId11" w:history="1">
              <w:r w:rsidRPr="00B14C43">
                <w:rPr>
                  <w:rStyle w:val="Hipervnculo"/>
                  <w:b w:val="0"/>
                  <w:bCs/>
                  <w:szCs w:val="22"/>
                  <w:lang w:val="es-ES_tradnl"/>
                </w:rPr>
                <w:t>https://www.ema.europa.eu/en/medicines/human/EPAR/voriconazole-accord</w:t>
              </w:r>
            </w:hyperlink>
          </w:p>
        </w:tc>
      </w:tr>
    </w:tbl>
    <w:p w14:paraId="1C26E32A" w14:textId="77777777" w:rsidR="00F06339" w:rsidRDefault="00F06339" w:rsidP="00D061AA">
      <w:pPr>
        <w:pStyle w:val="Ttulo"/>
        <w:tabs>
          <w:tab w:val="left" w:pos="567"/>
        </w:tabs>
        <w:rPr>
          <w:szCs w:val="22"/>
          <w:lang w:val="es-ES_tradnl"/>
        </w:rPr>
      </w:pPr>
    </w:p>
    <w:p w14:paraId="558D3C34" w14:textId="77777777" w:rsidR="00F06339" w:rsidRDefault="00F06339" w:rsidP="00D061AA">
      <w:pPr>
        <w:pStyle w:val="Ttulo"/>
        <w:tabs>
          <w:tab w:val="left" w:pos="567"/>
        </w:tabs>
        <w:rPr>
          <w:szCs w:val="22"/>
          <w:lang w:val="es-ES_tradnl"/>
        </w:rPr>
      </w:pPr>
    </w:p>
    <w:p w14:paraId="3341F809" w14:textId="77777777" w:rsidR="00F06339" w:rsidRDefault="00F06339" w:rsidP="00D061AA">
      <w:pPr>
        <w:pStyle w:val="Ttulo"/>
        <w:tabs>
          <w:tab w:val="left" w:pos="567"/>
        </w:tabs>
        <w:rPr>
          <w:szCs w:val="22"/>
          <w:lang w:val="es-ES_tradnl"/>
        </w:rPr>
      </w:pPr>
    </w:p>
    <w:p w14:paraId="67222666" w14:textId="77777777" w:rsidR="00F06339" w:rsidRDefault="00F06339" w:rsidP="00D061AA">
      <w:pPr>
        <w:pStyle w:val="Ttulo"/>
        <w:tabs>
          <w:tab w:val="left" w:pos="567"/>
        </w:tabs>
        <w:rPr>
          <w:szCs w:val="22"/>
          <w:lang w:val="es-ES_tradnl"/>
        </w:rPr>
      </w:pPr>
    </w:p>
    <w:p w14:paraId="62F2880B" w14:textId="77777777" w:rsidR="00F06339" w:rsidRDefault="00F06339" w:rsidP="00D061AA">
      <w:pPr>
        <w:pStyle w:val="Ttulo"/>
        <w:tabs>
          <w:tab w:val="left" w:pos="567"/>
        </w:tabs>
        <w:rPr>
          <w:szCs w:val="22"/>
          <w:lang w:val="es-ES_tradnl"/>
        </w:rPr>
      </w:pPr>
    </w:p>
    <w:p w14:paraId="6D04F9EE" w14:textId="77777777" w:rsidR="00F06339" w:rsidRDefault="00F06339" w:rsidP="00D061AA">
      <w:pPr>
        <w:pStyle w:val="Ttulo"/>
        <w:tabs>
          <w:tab w:val="left" w:pos="567"/>
        </w:tabs>
        <w:rPr>
          <w:szCs w:val="22"/>
          <w:lang w:val="es-ES_tradnl"/>
        </w:rPr>
      </w:pPr>
    </w:p>
    <w:p w14:paraId="6500EBDA" w14:textId="77777777" w:rsidR="00F06339" w:rsidRDefault="00F06339" w:rsidP="00D061AA">
      <w:pPr>
        <w:pStyle w:val="Ttulo"/>
        <w:tabs>
          <w:tab w:val="left" w:pos="567"/>
        </w:tabs>
        <w:rPr>
          <w:szCs w:val="22"/>
          <w:lang w:val="es-ES_tradnl"/>
        </w:rPr>
      </w:pPr>
    </w:p>
    <w:p w14:paraId="3FFB7D67" w14:textId="77777777" w:rsidR="00F06339" w:rsidRDefault="00F06339" w:rsidP="00D061AA">
      <w:pPr>
        <w:pStyle w:val="Ttulo"/>
        <w:tabs>
          <w:tab w:val="left" w:pos="567"/>
        </w:tabs>
        <w:rPr>
          <w:szCs w:val="22"/>
          <w:lang w:val="es-ES_tradnl"/>
        </w:rPr>
      </w:pPr>
    </w:p>
    <w:p w14:paraId="4518FE0C" w14:textId="77777777" w:rsidR="00F06339" w:rsidRDefault="00F06339" w:rsidP="00D061AA">
      <w:pPr>
        <w:pStyle w:val="Ttulo"/>
        <w:tabs>
          <w:tab w:val="left" w:pos="567"/>
        </w:tabs>
        <w:rPr>
          <w:szCs w:val="22"/>
          <w:lang w:val="es-ES_tradnl"/>
        </w:rPr>
      </w:pPr>
    </w:p>
    <w:p w14:paraId="21ADC6D4" w14:textId="77777777" w:rsidR="00F06339" w:rsidRPr="00C52C4C" w:rsidRDefault="00F06339" w:rsidP="00D061AA">
      <w:pPr>
        <w:pStyle w:val="Ttulo"/>
        <w:tabs>
          <w:tab w:val="left" w:pos="567"/>
        </w:tabs>
        <w:rPr>
          <w:szCs w:val="22"/>
          <w:lang w:val="es-ES_tradnl"/>
        </w:rPr>
      </w:pPr>
    </w:p>
    <w:p w14:paraId="3DDC2124" w14:textId="77777777" w:rsidR="00D061AA" w:rsidRPr="00C52C4C" w:rsidRDefault="00D061AA" w:rsidP="00D061AA">
      <w:pPr>
        <w:pStyle w:val="Ttulo"/>
        <w:tabs>
          <w:tab w:val="left" w:pos="567"/>
        </w:tabs>
        <w:rPr>
          <w:szCs w:val="22"/>
          <w:lang w:val="es-ES_tradnl"/>
        </w:rPr>
      </w:pPr>
    </w:p>
    <w:p w14:paraId="40F03938" w14:textId="77777777" w:rsidR="00D061AA" w:rsidRPr="00C52C4C" w:rsidRDefault="00D061AA" w:rsidP="00D061AA">
      <w:pPr>
        <w:pStyle w:val="Ttulo"/>
        <w:tabs>
          <w:tab w:val="left" w:pos="567"/>
        </w:tabs>
        <w:rPr>
          <w:szCs w:val="22"/>
          <w:lang w:val="es-ES_tradnl"/>
        </w:rPr>
      </w:pPr>
    </w:p>
    <w:p w14:paraId="5ACFFCB3" w14:textId="77777777" w:rsidR="00D061AA" w:rsidRPr="00C52C4C" w:rsidRDefault="00D061AA" w:rsidP="00D061AA">
      <w:pPr>
        <w:pStyle w:val="Ttulo"/>
        <w:tabs>
          <w:tab w:val="left" w:pos="567"/>
        </w:tabs>
        <w:rPr>
          <w:szCs w:val="22"/>
          <w:lang w:val="es-ES_tradnl"/>
        </w:rPr>
      </w:pPr>
    </w:p>
    <w:p w14:paraId="781E3352" w14:textId="77777777" w:rsidR="00D061AA" w:rsidRPr="00C52C4C" w:rsidRDefault="00D061AA" w:rsidP="00D061AA">
      <w:pPr>
        <w:pStyle w:val="Ttulo"/>
        <w:tabs>
          <w:tab w:val="left" w:pos="567"/>
        </w:tabs>
        <w:rPr>
          <w:szCs w:val="22"/>
          <w:lang w:val="es-ES_tradnl"/>
        </w:rPr>
      </w:pPr>
    </w:p>
    <w:p w14:paraId="39A3B7E4" w14:textId="77777777" w:rsidR="00D061AA" w:rsidRPr="00C52C4C" w:rsidRDefault="00D061AA" w:rsidP="00D061AA">
      <w:pPr>
        <w:pStyle w:val="Ttulo"/>
        <w:tabs>
          <w:tab w:val="left" w:pos="567"/>
        </w:tabs>
        <w:rPr>
          <w:szCs w:val="22"/>
          <w:lang w:val="es-ES_tradnl"/>
        </w:rPr>
      </w:pPr>
    </w:p>
    <w:p w14:paraId="58D27D45" w14:textId="77777777" w:rsidR="00D061AA" w:rsidRDefault="00D061AA" w:rsidP="00D061AA">
      <w:pPr>
        <w:pStyle w:val="Ttulo"/>
        <w:tabs>
          <w:tab w:val="left" w:pos="567"/>
        </w:tabs>
        <w:rPr>
          <w:szCs w:val="22"/>
          <w:lang w:val="es-ES_tradnl"/>
        </w:rPr>
      </w:pPr>
    </w:p>
    <w:p w14:paraId="1E1C98EF" w14:textId="77777777" w:rsidR="00ED76C9" w:rsidRDefault="00ED76C9" w:rsidP="00D061AA">
      <w:pPr>
        <w:pStyle w:val="Ttulo"/>
        <w:tabs>
          <w:tab w:val="left" w:pos="567"/>
        </w:tabs>
        <w:rPr>
          <w:szCs w:val="22"/>
          <w:lang w:val="es-ES_tradnl"/>
        </w:rPr>
      </w:pPr>
    </w:p>
    <w:p w14:paraId="4A23CCA2" w14:textId="77777777" w:rsidR="00ED76C9" w:rsidRDefault="00ED76C9" w:rsidP="00D061AA">
      <w:pPr>
        <w:pStyle w:val="Ttulo"/>
        <w:tabs>
          <w:tab w:val="left" w:pos="567"/>
        </w:tabs>
        <w:rPr>
          <w:szCs w:val="22"/>
          <w:lang w:val="es-ES_tradnl"/>
        </w:rPr>
      </w:pPr>
    </w:p>
    <w:p w14:paraId="5A6E4B73" w14:textId="77777777" w:rsidR="00ED76C9" w:rsidRDefault="00ED76C9" w:rsidP="00D061AA">
      <w:pPr>
        <w:pStyle w:val="Ttulo"/>
        <w:tabs>
          <w:tab w:val="left" w:pos="567"/>
        </w:tabs>
        <w:rPr>
          <w:szCs w:val="22"/>
          <w:lang w:val="es-ES_tradnl"/>
        </w:rPr>
      </w:pPr>
    </w:p>
    <w:p w14:paraId="54516A7F" w14:textId="77777777" w:rsidR="00ED76C9" w:rsidRPr="00C52C4C" w:rsidRDefault="00ED76C9" w:rsidP="00D061AA">
      <w:pPr>
        <w:pStyle w:val="Ttulo"/>
        <w:tabs>
          <w:tab w:val="left" w:pos="567"/>
        </w:tabs>
        <w:rPr>
          <w:szCs w:val="22"/>
          <w:lang w:val="es-ES_tradnl"/>
        </w:rPr>
      </w:pPr>
    </w:p>
    <w:p w14:paraId="526F5D4E" w14:textId="77777777" w:rsidR="00D061AA" w:rsidRPr="00C52C4C" w:rsidRDefault="00D061AA" w:rsidP="00D061AA">
      <w:pPr>
        <w:pStyle w:val="Ttulo"/>
        <w:tabs>
          <w:tab w:val="left" w:pos="567"/>
        </w:tabs>
        <w:rPr>
          <w:szCs w:val="22"/>
          <w:lang w:val="es-ES_tradnl"/>
        </w:rPr>
      </w:pPr>
    </w:p>
    <w:p w14:paraId="155B6B01" w14:textId="77777777" w:rsidR="00D061AA" w:rsidRPr="00C52C4C" w:rsidRDefault="00D061AA" w:rsidP="00D061AA">
      <w:pPr>
        <w:pStyle w:val="Ttulo"/>
        <w:tabs>
          <w:tab w:val="left" w:pos="567"/>
        </w:tabs>
        <w:rPr>
          <w:szCs w:val="22"/>
          <w:lang w:val="es-ES_tradnl"/>
        </w:rPr>
      </w:pPr>
    </w:p>
    <w:p w14:paraId="6F24CDE4" w14:textId="77777777" w:rsidR="00D061AA" w:rsidRPr="00C52C4C" w:rsidRDefault="00D061AA" w:rsidP="00D061AA">
      <w:pPr>
        <w:pStyle w:val="Ttulo"/>
        <w:tabs>
          <w:tab w:val="left" w:pos="567"/>
        </w:tabs>
        <w:rPr>
          <w:szCs w:val="22"/>
          <w:lang w:val="es-ES_tradnl"/>
        </w:rPr>
      </w:pPr>
    </w:p>
    <w:p w14:paraId="71FB9D6F" w14:textId="77777777" w:rsidR="00D061AA" w:rsidRPr="00C52C4C" w:rsidRDefault="00D061AA" w:rsidP="00D061AA">
      <w:pPr>
        <w:pStyle w:val="Ttulo"/>
        <w:tabs>
          <w:tab w:val="left" w:pos="567"/>
        </w:tabs>
        <w:rPr>
          <w:szCs w:val="22"/>
          <w:lang w:val="es-ES_tradnl"/>
        </w:rPr>
      </w:pPr>
    </w:p>
    <w:p w14:paraId="5CD3A408" w14:textId="77777777" w:rsidR="00D061AA" w:rsidRDefault="00D061AA" w:rsidP="00D061AA">
      <w:pPr>
        <w:pStyle w:val="Ttulo"/>
        <w:tabs>
          <w:tab w:val="left" w:pos="567"/>
        </w:tabs>
        <w:rPr>
          <w:szCs w:val="22"/>
          <w:lang w:val="pt-PT"/>
        </w:rPr>
      </w:pPr>
      <w:r w:rsidRPr="00C52C4C">
        <w:rPr>
          <w:szCs w:val="22"/>
          <w:lang w:val="pt-PT"/>
        </w:rPr>
        <w:t>ANEXO I</w:t>
      </w:r>
    </w:p>
    <w:p w14:paraId="3E48B8B9" w14:textId="77777777" w:rsidR="00344F86" w:rsidRPr="00C52C4C" w:rsidRDefault="00344F86" w:rsidP="00D061AA">
      <w:pPr>
        <w:pStyle w:val="Ttulo"/>
        <w:tabs>
          <w:tab w:val="left" w:pos="567"/>
        </w:tabs>
        <w:rPr>
          <w:szCs w:val="22"/>
          <w:lang w:val="pt-PT"/>
        </w:rPr>
      </w:pPr>
    </w:p>
    <w:p w14:paraId="06E367AE" w14:textId="77777777" w:rsidR="00D061AA" w:rsidRDefault="00D061AA" w:rsidP="00AA094E">
      <w:pPr>
        <w:pStyle w:val="11"/>
        <w:rPr>
          <w:b/>
        </w:rPr>
      </w:pPr>
      <w:r w:rsidRPr="00C52C4C">
        <w:rPr>
          <w:b/>
        </w:rPr>
        <w:t xml:space="preserve">FICHA TÉCNICA O RESUMEN </w:t>
      </w:r>
      <w:smartTag w:uri="urn:schemas-microsoft-com:office:smarttags" w:element="PersonName">
        <w:r w:rsidRPr="00C52C4C">
          <w:rPr>
            <w:b/>
          </w:rPr>
          <w:t>DE</w:t>
        </w:r>
      </w:smartTag>
      <w:r w:rsidRPr="00C52C4C">
        <w:rPr>
          <w:b/>
        </w:rPr>
        <w:t xml:space="preserve"> LAS CARACTERÍSTICAS </w:t>
      </w:r>
      <w:smartTag w:uri="urn:schemas-microsoft-com:office:smarttags" w:element="PersonName">
        <w:r w:rsidRPr="00C52C4C">
          <w:rPr>
            <w:b/>
          </w:rPr>
          <w:t>D</w:t>
        </w:r>
        <w:smartTag w:uri="urn:schemas-microsoft-com:office:smarttags" w:element="PersonName">
          <w:r w:rsidRPr="00C52C4C">
            <w:rPr>
              <w:b/>
            </w:rPr>
            <w:t>E</w:t>
          </w:r>
        </w:smartTag>
      </w:smartTag>
      <w:r w:rsidRPr="00C52C4C">
        <w:rPr>
          <w:b/>
        </w:rPr>
        <w:t>L P</w:t>
      </w:r>
      <w:smartTag w:uri="urn:schemas-microsoft-com:office:smarttags" w:element="PersonName">
        <w:r w:rsidRPr="00C52C4C">
          <w:rPr>
            <w:b/>
          </w:rPr>
          <w:t>RO</w:t>
        </w:r>
      </w:smartTag>
      <w:r w:rsidRPr="00C52C4C">
        <w:rPr>
          <w:b/>
        </w:rPr>
        <w:t>DUCTO</w:t>
      </w:r>
    </w:p>
    <w:p w14:paraId="5D0D22D9" w14:textId="77777777" w:rsidR="00885A50" w:rsidRDefault="00885A50" w:rsidP="00AA094E">
      <w:pPr>
        <w:pStyle w:val="11"/>
        <w:rPr>
          <w:b/>
        </w:rPr>
      </w:pPr>
    </w:p>
    <w:p w14:paraId="5BFED837" w14:textId="77777777" w:rsidR="00885A50" w:rsidRPr="00C52C4C" w:rsidRDefault="00885A50" w:rsidP="00AA094E">
      <w:pPr>
        <w:pStyle w:val="11"/>
        <w:rPr>
          <w:b/>
        </w:rPr>
      </w:pPr>
    </w:p>
    <w:p w14:paraId="5AB999B5" w14:textId="77777777" w:rsidR="00D061AA" w:rsidRPr="00C52C4C" w:rsidRDefault="00D061AA" w:rsidP="001528C6">
      <w:pPr>
        <w:pStyle w:val="11"/>
        <w:jc w:val="left"/>
        <w:rPr>
          <w:b/>
        </w:rPr>
      </w:pPr>
      <w:r w:rsidRPr="00C52C4C">
        <w:br w:type="page"/>
      </w:r>
      <w:r w:rsidRPr="00C52C4C">
        <w:rPr>
          <w:b/>
        </w:rPr>
        <w:lastRenderedPageBreak/>
        <w:t>1.</w:t>
      </w:r>
      <w:r w:rsidRPr="00C52C4C">
        <w:rPr>
          <w:b/>
        </w:rPr>
        <w:tab/>
      </w:r>
      <w:smartTag w:uri="urn:schemas-microsoft-com:office:smarttags" w:element="PersonName">
        <w:r w:rsidRPr="00C52C4C">
          <w:rPr>
            <w:b/>
          </w:rPr>
          <w:t>NO</w:t>
        </w:r>
      </w:smartTag>
      <w:r w:rsidRPr="00C52C4C">
        <w:rPr>
          <w:b/>
        </w:rPr>
        <w:t xml:space="preserve">MBRE </w:t>
      </w:r>
      <w:smartTag w:uri="urn:schemas-microsoft-com:office:smarttags" w:element="PersonName">
        <w:r w:rsidRPr="00C52C4C">
          <w:rPr>
            <w:b/>
          </w:rPr>
          <w:t>D</w:t>
        </w:r>
        <w:smartTag w:uri="urn:schemas-microsoft-com:office:smarttags" w:element="PersonName">
          <w:r w:rsidRPr="00C52C4C">
            <w:rPr>
              <w:b/>
            </w:rPr>
            <w:t>E</w:t>
          </w:r>
        </w:smartTag>
      </w:smartTag>
      <w:r w:rsidRPr="00C52C4C">
        <w:rPr>
          <w:b/>
        </w:rPr>
        <w:t>L MEDICAMENTO</w:t>
      </w:r>
    </w:p>
    <w:p w14:paraId="1D4AABE4" w14:textId="77777777" w:rsidR="00D061AA" w:rsidRPr="00C52C4C" w:rsidRDefault="00D061AA" w:rsidP="00D061AA">
      <w:pPr>
        <w:tabs>
          <w:tab w:val="left" w:pos="567"/>
        </w:tabs>
        <w:rPr>
          <w:sz w:val="22"/>
          <w:szCs w:val="22"/>
          <w:lang w:val="es-ES_tradnl"/>
        </w:rPr>
      </w:pPr>
    </w:p>
    <w:p w14:paraId="54B11C53" w14:textId="77777777" w:rsidR="00D061AA" w:rsidRPr="00C52C4C" w:rsidRDefault="008D11BB" w:rsidP="00D061AA">
      <w:pPr>
        <w:tabs>
          <w:tab w:val="left" w:pos="567"/>
        </w:tabs>
        <w:rPr>
          <w:sz w:val="22"/>
          <w:szCs w:val="22"/>
          <w:lang w:val="es-ES_tradnl"/>
        </w:rPr>
      </w:pPr>
      <w:bookmarkStart w:id="0" w:name="_Hlk196836873"/>
      <w:r w:rsidRPr="00C52C4C">
        <w:rPr>
          <w:sz w:val="22"/>
          <w:szCs w:val="22"/>
        </w:rPr>
        <w:t>Voriconazol</w:t>
      </w:r>
      <w:r w:rsidR="00011619" w:rsidRPr="00C52C4C">
        <w:rPr>
          <w:sz w:val="22"/>
          <w:szCs w:val="22"/>
        </w:rPr>
        <w:t xml:space="preserve"> Accord</w:t>
      </w:r>
      <w:bookmarkEnd w:id="0"/>
      <w:r w:rsidR="00011619" w:rsidRPr="00C52C4C">
        <w:rPr>
          <w:sz w:val="22"/>
          <w:szCs w:val="22"/>
        </w:rPr>
        <w:t xml:space="preserve"> </w:t>
      </w:r>
      <w:r w:rsidR="00D061AA" w:rsidRPr="00C52C4C">
        <w:rPr>
          <w:sz w:val="22"/>
          <w:szCs w:val="22"/>
          <w:lang w:val="es-ES_tradnl"/>
        </w:rPr>
        <w:t>50 mg comprimidos recubiertos con película</w:t>
      </w:r>
    </w:p>
    <w:p w14:paraId="29987578" w14:textId="77777777" w:rsidR="00195285" w:rsidRPr="00C52C4C" w:rsidRDefault="00195285" w:rsidP="00195285">
      <w:pPr>
        <w:tabs>
          <w:tab w:val="left" w:pos="567"/>
        </w:tabs>
        <w:rPr>
          <w:sz w:val="22"/>
          <w:szCs w:val="22"/>
          <w:lang w:val="es-ES_tradnl"/>
        </w:rPr>
      </w:pPr>
      <w:r w:rsidRPr="00C52C4C">
        <w:rPr>
          <w:sz w:val="22"/>
          <w:szCs w:val="22"/>
        </w:rPr>
        <w:t xml:space="preserve">Voriconazol Accord </w:t>
      </w:r>
      <w:r w:rsidRPr="00C52C4C">
        <w:rPr>
          <w:sz w:val="22"/>
          <w:szCs w:val="22"/>
          <w:lang w:val="es-ES_tradnl"/>
        </w:rPr>
        <w:t>200 mg comprimidos recubiertos con película</w:t>
      </w:r>
    </w:p>
    <w:p w14:paraId="58DF43D9" w14:textId="77777777" w:rsidR="00D061AA" w:rsidRPr="00C52C4C" w:rsidRDefault="00D061AA" w:rsidP="00D061AA">
      <w:pPr>
        <w:tabs>
          <w:tab w:val="left" w:pos="567"/>
        </w:tabs>
        <w:rPr>
          <w:sz w:val="22"/>
          <w:szCs w:val="22"/>
          <w:lang w:val="es-ES_tradnl"/>
        </w:rPr>
      </w:pPr>
    </w:p>
    <w:p w14:paraId="083AD213" w14:textId="77777777" w:rsidR="00D061AA" w:rsidRPr="00C52C4C" w:rsidRDefault="00D061AA" w:rsidP="00D061AA">
      <w:pPr>
        <w:tabs>
          <w:tab w:val="left" w:pos="567"/>
        </w:tabs>
        <w:rPr>
          <w:sz w:val="22"/>
          <w:szCs w:val="22"/>
          <w:lang w:val="es-ES_tradnl"/>
        </w:rPr>
      </w:pPr>
    </w:p>
    <w:p w14:paraId="5399C824" w14:textId="77777777" w:rsidR="00D061AA" w:rsidRPr="00C52C4C" w:rsidRDefault="00D061AA" w:rsidP="00D061AA">
      <w:pPr>
        <w:tabs>
          <w:tab w:val="left" w:pos="567"/>
        </w:tabs>
        <w:ind w:left="567" w:hanging="567"/>
        <w:rPr>
          <w:sz w:val="22"/>
          <w:szCs w:val="22"/>
          <w:lang w:val="es-ES_tradnl"/>
        </w:rPr>
      </w:pPr>
      <w:r w:rsidRPr="00C52C4C">
        <w:rPr>
          <w:b/>
          <w:sz w:val="22"/>
          <w:szCs w:val="22"/>
          <w:lang w:val="es-ES_tradnl"/>
        </w:rPr>
        <w:t>2.</w:t>
      </w:r>
      <w:r w:rsidRPr="00C52C4C">
        <w:rPr>
          <w:b/>
          <w:sz w:val="22"/>
          <w:szCs w:val="22"/>
          <w:lang w:val="es-ES_tradnl"/>
        </w:rPr>
        <w:tab/>
        <w:t>COMPO</w:t>
      </w:r>
      <w:smartTag w:uri="urn:schemas-microsoft-com:office:smarttags" w:element="PersonName">
        <w:r w:rsidRPr="00C52C4C">
          <w:rPr>
            <w:b/>
            <w:sz w:val="22"/>
            <w:szCs w:val="22"/>
            <w:lang w:val="es-ES_tradnl"/>
          </w:rPr>
          <w:t>SI</w:t>
        </w:r>
      </w:smartTag>
      <w:r w:rsidRPr="00C52C4C">
        <w:rPr>
          <w:b/>
          <w:sz w:val="22"/>
          <w:szCs w:val="22"/>
          <w:lang w:val="es-ES_tradnl"/>
        </w:rPr>
        <w:t>CIÓN CUAL</w:t>
      </w:r>
      <w:smartTag w:uri="urn:schemas-microsoft-com:office:smarttags" w:element="PersonName">
        <w:r w:rsidRPr="00C52C4C">
          <w:rPr>
            <w:b/>
            <w:sz w:val="22"/>
            <w:szCs w:val="22"/>
            <w:lang w:val="es-ES_tradnl"/>
          </w:rPr>
          <w:t>IT</w:t>
        </w:r>
      </w:smartTag>
      <w:r w:rsidRPr="00C52C4C">
        <w:rPr>
          <w:b/>
          <w:sz w:val="22"/>
          <w:szCs w:val="22"/>
          <w:lang w:val="es-ES_tradnl"/>
        </w:rPr>
        <w:t>ATIVA Y CUANT</w:t>
      </w:r>
      <w:smartTag w:uri="urn:schemas-microsoft-com:office:smarttags" w:element="PersonName">
        <w:r w:rsidRPr="00C52C4C">
          <w:rPr>
            <w:b/>
            <w:sz w:val="22"/>
            <w:szCs w:val="22"/>
            <w:lang w:val="es-ES_tradnl"/>
          </w:rPr>
          <w:t>IT</w:t>
        </w:r>
      </w:smartTag>
      <w:r w:rsidRPr="00C52C4C">
        <w:rPr>
          <w:b/>
          <w:sz w:val="22"/>
          <w:szCs w:val="22"/>
          <w:lang w:val="es-ES_tradnl"/>
        </w:rPr>
        <w:t xml:space="preserve">ATIVA </w:t>
      </w:r>
    </w:p>
    <w:p w14:paraId="4D9FF17B" w14:textId="77777777" w:rsidR="00D061AA" w:rsidRPr="00C52C4C" w:rsidRDefault="00D061AA" w:rsidP="00D061AA">
      <w:pPr>
        <w:tabs>
          <w:tab w:val="left" w:pos="567"/>
        </w:tabs>
        <w:rPr>
          <w:sz w:val="22"/>
          <w:szCs w:val="22"/>
          <w:lang w:val="es-ES_tradnl"/>
        </w:rPr>
      </w:pPr>
    </w:p>
    <w:p w14:paraId="0BFFE4D0" w14:textId="77777777" w:rsidR="000F0386" w:rsidRPr="001A4823" w:rsidRDefault="000F0386" w:rsidP="00D061AA">
      <w:pPr>
        <w:tabs>
          <w:tab w:val="left" w:pos="567"/>
        </w:tabs>
        <w:rPr>
          <w:sz w:val="22"/>
          <w:szCs w:val="22"/>
          <w:u w:val="single"/>
          <w:lang w:val="es-ES_tradnl"/>
        </w:rPr>
      </w:pPr>
      <w:r w:rsidRPr="001A4823">
        <w:rPr>
          <w:sz w:val="22"/>
          <w:szCs w:val="22"/>
          <w:u w:val="single"/>
          <w:lang w:val="es-ES_tradnl"/>
        </w:rPr>
        <w:t>Voriconazol Accord 50 mg comprimidos recubiertos con película</w:t>
      </w:r>
    </w:p>
    <w:p w14:paraId="72F9ACF7" w14:textId="77777777" w:rsidR="00D061AA" w:rsidRPr="00C52C4C" w:rsidRDefault="00D061AA" w:rsidP="00D061AA">
      <w:pPr>
        <w:tabs>
          <w:tab w:val="left" w:pos="567"/>
        </w:tabs>
        <w:rPr>
          <w:sz w:val="22"/>
          <w:szCs w:val="22"/>
          <w:lang w:val="es-ES_tradnl"/>
        </w:rPr>
      </w:pPr>
      <w:r w:rsidRPr="00C52C4C">
        <w:rPr>
          <w:sz w:val="22"/>
          <w:szCs w:val="22"/>
          <w:lang w:val="es-ES_tradnl"/>
        </w:rPr>
        <w:t>Cada comprimido contiene 50 mg de voriconazol</w:t>
      </w:r>
      <w:r w:rsidR="00011619" w:rsidRPr="00C52C4C">
        <w:rPr>
          <w:sz w:val="22"/>
          <w:szCs w:val="22"/>
          <w:lang w:val="es-ES_tradnl"/>
        </w:rPr>
        <w:t>.</w:t>
      </w:r>
    </w:p>
    <w:p w14:paraId="6F6D82C7" w14:textId="77777777" w:rsidR="00D061AA" w:rsidRPr="00C52C4C" w:rsidRDefault="00D061AA" w:rsidP="00D061AA">
      <w:pPr>
        <w:tabs>
          <w:tab w:val="left" w:pos="567"/>
        </w:tabs>
        <w:rPr>
          <w:sz w:val="22"/>
          <w:szCs w:val="22"/>
          <w:lang w:val="es-ES_tradnl"/>
        </w:rPr>
      </w:pPr>
    </w:p>
    <w:p w14:paraId="573F00A8" w14:textId="77777777" w:rsidR="00195285" w:rsidRPr="00F65F25" w:rsidRDefault="00D061AA" w:rsidP="00D061AA">
      <w:pPr>
        <w:tabs>
          <w:tab w:val="left" w:pos="567"/>
        </w:tabs>
        <w:rPr>
          <w:sz w:val="22"/>
          <w:szCs w:val="22"/>
          <w:u w:val="single"/>
          <w:lang w:val="es-ES_tradnl"/>
        </w:rPr>
      </w:pPr>
      <w:r w:rsidRPr="00F65F25">
        <w:rPr>
          <w:sz w:val="22"/>
          <w:szCs w:val="22"/>
          <w:u w:val="single"/>
          <w:lang w:val="es-ES_tradnl"/>
        </w:rPr>
        <w:t xml:space="preserve">Excipiente con efecto conocido </w:t>
      </w:r>
    </w:p>
    <w:p w14:paraId="27090A52" w14:textId="77777777" w:rsidR="00D061AA" w:rsidRPr="00C52C4C" w:rsidRDefault="00195285" w:rsidP="00D061AA">
      <w:pPr>
        <w:tabs>
          <w:tab w:val="left" w:pos="567"/>
        </w:tabs>
        <w:rPr>
          <w:sz w:val="22"/>
          <w:szCs w:val="22"/>
          <w:lang w:val="es-ES_tradnl"/>
        </w:rPr>
      </w:pPr>
      <w:r w:rsidRPr="00C52C4C">
        <w:rPr>
          <w:sz w:val="22"/>
          <w:szCs w:val="22"/>
          <w:lang w:val="es-ES_tradnl"/>
        </w:rPr>
        <w:t>C</w:t>
      </w:r>
      <w:r w:rsidR="00D061AA" w:rsidRPr="00C52C4C">
        <w:rPr>
          <w:sz w:val="22"/>
          <w:szCs w:val="22"/>
          <w:lang w:val="es-ES_tradnl"/>
        </w:rPr>
        <w:t xml:space="preserve">ada comprimido contiene 63 mg de lactosa </w:t>
      </w:r>
      <w:r w:rsidR="00011619" w:rsidRPr="00C52C4C">
        <w:rPr>
          <w:sz w:val="22"/>
          <w:szCs w:val="22"/>
          <w:lang w:val="es-ES_tradnl"/>
        </w:rPr>
        <w:t xml:space="preserve">(como </w:t>
      </w:r>
      <w:r w:rsidR="00D061AA" w:rsidRPr="00C52C4C">
        <w:rPr>
          <w:sz w:val="22"/>
          <w:szCs w:val="22"/>
          <w:lang w:val="es-ES_tradnl"/>
        </w:rPr>
        <w:t>monohidrato</w:t>
      </w:r>
      <w:r w:rsidR="00011619" w:rsidRPr="00C52C4C">
        <w:rPr>
          <w:sz w:val="22"/>
          <w:szCs w:val="22"/>
          <w:lang w:val="es-ES_tradnl"/>
        </w:rPr>
        <w:t>)</w:t>
      </w:r>
      <w:r w:rsidR="00D061AA" w:rsidRPr="00C52C4C">
        <w:rPr>
          <w:sz w:val="22"/>
          <w:szCs w:val="22"/>
          <w:lang w:val="es-ES_tradnl"/>
        </w:rPr>
        <w:t>.</w:t>
      </w:r>
    </w:p>
    <w:p w14:paraId="20DDA4BD" w14:textId="77777777" w:rsidR="00195285" w:rsidRPr="00C52C4C" w:rsidRDefault="00195285" w:rsidP="00D061AA">
      <w:pPr>
        <w:tabs>
          <w:tab w:val="left" w:pos="567"/>
        </w:tabs>
        <w:rPr>
          <w:sz w:val="22"/>
          <w:szCs w:val="22"/>
          <w:lang w:val="es-ES_tradnl"/>
        </w:rPr>
      </w:pPr>
    </w:p>
    <w:p w14:paraId="72059BEE" w14:textId="77777777" w:rsidR="00195285" w:rsidRPr="00F65F25" w:rsidRDefault="00195285" w:rsidP="00195285">
      <w:pPr>
        <w:tabs>
          <w:tab w:val="left" w:pos="567"/>
        </w:tabs>
        <w:rPr>
          <w:sz w:val="22"/>
          <w:szCs w:val="22"/>
          <w:u w:val="single"/>
          <w:lang w:val="es-ES_tradnl"/>
        </w:rPr>
      </w:pPr>
      <w:r w:rsidRPr="00F65F25">
        <w:rPr>
          <w:sz w:val="22"/>
          <w:szCs w:val="22"/>
          <w:u w:val="single"/>
        </w:rPr>
        <w:t xml:space="preserve">Voriconazol Accord </w:t>
      </w:r>
      <w:r w:rsidRPr="00F65F25">
        <w:rPr>
          <w:sz w:val="22"/>
          <w:szCs w:val="22"/>
          <w:u w:val="single"/>
          <w:lang w:val="es-ES_tradnl"/>
        </w:rPr>
        <w:t>200 mg comprimidos recubiertos con película</w:t>
      </w:r>
    </w:p>
    <w:p w14:paraId="5C3BFF48" w14:textId="77777777" w:rsidR="000F0386" w:rsidRDefault="000F0386" w:rsidP="00195285">
      <w:pPr>
        <w:tabs>
          <w:tab w:val="left" w:pos="567"/>
        </w:tabs>
        <w:rPr>
          <w:sz w:val="22"/>
          <w:szCs w:val="22"/>
          <w:lang w:val="es-ES_tradnl"/>
        </w:rPr>
      </w:pPr>
      <w:r>
        <w:rPr>
          <w:sz w:val="22"/>
          <w:szCs w:val="22"/>
          <w:lang w:val="es-ES_tradnl"/>
        </w:rPr>
        <w:t>Cada comprimido contiene 200 mg voriconazol.</w:t>
      </w:r>
    </w:p>
    <w:p w14:paraId="04BD56E2" w14:textId="77777777" w:rsidR="000F0386" w:rsidRDefault="000F0386" w:rsidP="00195285">
      <w:pPr>
        <w:tabs>
          <w:tab w:val="left" w:pos="567"/>
        </w:tabs>
        <w:rPr>
          <w:sz w:val="22"/>
          <w:szCs w:val="22"/>
          <w:lang w:val="es-ES_tradnl"/>
        </w:rPr>
      </w:pPr>
    </w:p>
    <w:p w14:paraId="6EBADAE4" w14:textId="77777777" w:rsidR="000F0386" w:rsidRPr="001A4823" w:rsidRDefault="000F0386" w:rsidP="00195285">
      <w:pPr>
        <w:tabs>
          <w:tab w:val="left" w:pos="567"/>
        </w:tabs>
        <w:rPr>
          <w:sz w:val="22"/>
          <w:szCs w:val="22"/>
          <w:u w:val="single"/>
          <w:lang w:val="es-ES_tradnl"/>
        </w:rPr>
      </w:pPr>
      <w:r w:rsidRPr="001A4823">
        <w:rPr>
          <w:sz w:val="22"/>
          <w:szCs w:val="22"/>
          <w:u w:val="single"/>
          <w:lang w:val="es-ES_tradnl"/>
        </w:rPr>
        <w:t>Excipiente con efecto conocido</w:t>
      </w:r>
    </w:p>
    <w:p w14:paraId="116C3EEA" w14:textId="77777777" w:rsidR="00195285" w:rsidRPr="00C52C4C" w:rsidRDefault="00195285" w:rsidP="00195285">
      <w:pPr>
        <w:tabs>
          <w:tab w:val="left" w:pos="567"/>
        </w:tabs>
        <w:rPr>
          <w:sz w:val="22"/>
          <w:szCs w:val="22"/>
          <w:lang w:val="es-ES_tradnl"/>
        </w:rPr>
      </w:pPr>
      <w:r w:rsidRPr="00C52C4C">
        <w:rPr>
          <w:sz w:val="22"/>
          <w:szCs w:val="22"/>
          <w:lang w:val="es-ES_tradnl"/>
        </w:rPr>
        <w:t>Cada comprimido contiene 251 mg de lactosa (como monohidrato).</w:t>
      </w:r>
    </w:p>
    <w:p w14:paraId="00B641A5" w14:textId="77777777" w:rsidR="00195285" w:rsidRPr="00C52C4C" w:rsidRDefault="00195285" w:rsidP="00D061AA">
      <w:pPr>
        <w:tabs>
          <w:tab w:val="left" w:pos="567"/>
        </w:tabs>
        <w:rPr>
          <w:sz w:val="22"/>
          <w:szCs w:val="22"/>
          <w:lang w:val="es-ES_tradnl"/>
        </w:rPr>
      </w:pPr>
    </w:p>
    <w:p w14:paraId="6B0117FA" w14:textId="77777777" w:rsidR="00D061AA" w:rsidRPr="00C52C4C" w:rsidRDefault="00D061AA" w:rsidP="00D061AA">
      <w:pPr>
        <w:tabs>
          <w:tab w:val="left" w:pos="567"/>
        </w:tabs>
        <w:rPr>
          <w:sz w:val="22"/>
          <w:szCs w:val="22"/>
          <w:lang w:val="es-ES_tradnl"/>
        </w:rPr>
      </w:pPr>
      <w:r w:rsidRPr="00C52C4C">
        <w:rPr>
          <w:sz w:val="22"/>
          <w:szCs w:val="22"/>
          <w:lang w:val="es-ES_tradnl"/>
        </w:rPr>
        <w:t>Para consultar la lista completa de excipientes ver sección 6.1.</w:t>
      </w:r>
    </w:p>
    <w:p w14:paraId="2401C523" w14:textId="77777777" w:rsidR="00D061AA" w:rsidRPr="00C52C4C" w:rsidRDefault="00D061AA" w:rsidP="00D061AA">
      <w:pPr>
        <w:tabs>
          <w:tab w:val="left" w:pos="567"/>
        </w:tabs>
        <w:rPr>
          <w:sz w:val="22"/>
          <w:szCs w:val="22"/>
          <w:lang w:val="es-ES_tradnl"/>
        </w:rPr>
      </w:pPr>
    </w:p>
    <w:p w14:paraId="72F4A3B5" w14:textId="77777777" w:rsidR="00D061AA" w:rsidRPr="00C52C4C" w:rsidRDefault="00D061AA" w:rsidP="00D061AA">
      <w:pPr>
        <w:tabs>
          <w:tab w:val="left" w:pos="567"/>
        </w:tabs>
        <w:rPr>
          <w:sz w:val="22"/>
          <w:szCs w:val="22"/>
          <w:lang w:val="es-ES_tradnl"/>
        </w:rPr>
      </w:pPr>
    </w:p>
    <w:p w14:paraId="2E394859" w14:textId="77777777" w:rsidR="00D061AA" w:rsidRPr="00C52C4C" w:rsidRDefault="00D061AA" w:rsidP="00D061AA">
      <w:pPr>
        <w:tabs>
          <w:tab w:val="left" w:pos="567"/>
        </w:tabs>
        <w:ind w:left="567" w:hanging="567"/>
        <w:rPr>
          <w:caps/>
          <w:sz w:val="22"/>
          <w:szCs w:val="22"/>
          <w:lang w:val="es-ES_tradnl"/>
        </w:rPr>
      </w:pPr>
      <w:r w:rsidRPr="00C52C4C">
        <w:rPr>
          <w:b/>
          <w:sz w:val="22"/>
          <w:szCs w:val="22"/>
          <w:lang w:val="es-ES_tradnl"/>
        </w:rPr>
        <w:t>3.</w:t>
      </w:r>
      <w:r w:rsidRPr="00C52C4C">
        <w:rPr>
          <w:b/>
          <w:sz w:val="22"/>
          <w:szCs w:val="22"/>
          <w:lang w:val="es-ES_tradnl"/>
        </w:rPr>
        <w:tab/>
        <w:t>FORMA FARMACÉUTICA</w:t>
      </w:r>
    </w:p>
    <w:p w14:paraId="66993FE4" w14:textId="77777777" w:rsidR="00D061AA" w:rsidRPr="00C52C4C" w:rsidRDefault="00D061AA" w:rsidP="00D061AA">
      <w:pPr>
        <w:tabs>
          <w:tab w:val="left" w:pos="567"/>
        </w:tabs>
        <w:rPr>
          <w:sz w:val="22"/>
          <w:szCs w:val="22"/>
          <w:lang w:val="es-ES_tradnl"/>
        </w:rPr>
      </w:pPr>
    </w:p>
    <w:p w14:paraId="20350B8F" w14:textId="77777777" w:rsidR="00195285" w:rsidRDefault="00195285" w:rsidP="00D061AA">
      <w:pPr>
        <w:pStyle w:val="Textonotaalfinal"/>
        <w:rPr>
          <w:szCs w:val="22"/>
          <w:u w:val="single"/>
          <w:lang w:val="es-ES_tradnl"/>
        </w:rPr>
      </w:pPr>
      <w:r w:rsidRPr="00F65F25">
        <w:rPr>
          <w:szCs w:val="22"/>
          <w:u w:val="single"/>
          <w:lang w:val="es-ES"/>
        </w:rPr>
        <w:t xml:space="preserve">Voriconazol Accord </w:t>
      </w:r>
      <w:r w:rsidRPr="00F65F25">
        <w:rPr>
          <w:szCs w:val="22"/>
          <w:u w:val="single"/>
          <w:lang w:val="es-ES_tradnl"/>
        </w:rPr>
        <w:t>50 mg comprimidos recubiertos con película</w:t>
      </w:r>
    </w:p>
    <w:p w14:paraId="2E093ED9" w14:textId="77777777" w:rsidR="000F0386" w:rsidRPr="00F65F25" w:rsidRDefault="000F0386" w:rsidP="00D061AA">
      <w:pPr>
        <w:pStyle w:val="Textonotaalfinal"/>
        <w:rPr>
          <w:szCs w:val="22"/>
          <w:u w:val="single"/>
          <w:lang w:val="es-ES_tradnl"/>
        </w:rPr>
      </w:pPr>
    </w:p>
    <w:p w14:paraId="33BCD2C4" w14:textId="77777777" w:rsidR="00D061AA" w:rsidRPr="00C52C4C" w:rsidRDefault="00D061AA" w:rsidP="00D061AA">
      <w:pPr>
        <w:pStyle w:val="Textonotaalfinal"/>
        <w:rPr>
          <w:szCs w:val="22"/>
          <w:lang w:val="es-ES_tradnl"/>
        </w:rPr>
      </w:pPr>
      <w:r w:rsidRPr="00C52C4C">
        <w:rPr>
          <w:szCs w:val="22"/>
          <w:lang w:val="es-ES_tradnl"/>
        </w:rPr>
        <w:t>Comprimidos</w:t>
      </w:r>
      <w:r w:rsidR="00011619" w:rsidRPr="00C52C4C">
        <w:rPr>
          <w:szCs w:val="22"/>
          <w:lang w:val="es-ES_tradnl"/>
        </w:rPr>
        <w:t xml:space="preserve"> recubiertos con película</w:t>
      </w:r>
      <w:r w:rsidRPr="00C52C4C">
        <w:rPr>
          <w:szCs w:val="22"/>
          <w:lang w:val="es-ES_tradnl"/>
        </w:rPr>
        <w:t xml:space="preserve"> de color blanco a blanquecino, redond</w:t>
      </w:r>
      <w:r w:rsidR="003575CB">
        <w:rPr>
          <w:szCs w:val="22"/>
          <w:lang w:val="es-ES_tradnl"/>
        </w:rPr>
        <w:t>eados</w:t>
      </w:r>
      <w:r w:rsidRPr="00C52C4C">
        <w:rPr>
          <w:szCs w:val="22"/>
          <w:lang w:val="es-ES_tradnl"/>
        </w:rPr>
        <w:t>,</w:t>
      </w:r>
      <w:r w:rsidR="007A5CEF">
        <w:rPr>
          <w:szCs w:val="22"/>
          <w:lang w:val="es-ES_tradnl"/>
        </w:rPr>
        <w:t xml:space="preserve"> de</w:t>
      </w:r>
      <w:r w:rsidRPr="00C52C4C">
        <w:rPr>
          <w:szCs w:val="22"/>
          <w:lang w:val="es-ES_tradnl"/>
        </w:rPr>
        <w:t xml:space="preserve"> </w:t>
      </w:r>
      <w:r w:rsidR="00011619" w:rsidRPr="00C52C4C">
        <w:rPr>
          <w:szCs w:val="22"/>
          <w:lang w:val="es-ES_tradnl"/>
        </w:rPr>
        <w:t xml:space="preserve">aproximadamente </w:t>
      </w:r>
      <w:smartTag w:uri="urn:schemas-microsoft-com:office:smarttags" w:element="metricconverter">
        <w:smartTagPr>
          <w:attr w:name="ProductID" w:val="7,0 mm"/>
        </w:smartTagPr>
        <w:r w:rsidR="00011619" w:rsidRPr="00C52C4C">
          <w:rPr>
            <w:szCs w:val="22"/>
            <w:lang w:val="es-ES_tradnl"/>
          </w:rPr>
          <w:t>7,0 mm</w:t>
        </w:r>
      </w:smartTag>
      <w:r w:rsidR="00011619" w:rsidRPr="00C52C4C">
        <w:rPr>
          <w:szCs w:val="22"/>
          <w:lang w:val="es-ES_tradnl"/>
        </w:rPr>
        <w:t xml:space="preserve"> de diámetro, </w:t>
      </w:r>
      <w:r w:rsidRPr="00C52C4C">
        <w:rPr>
          <w:szCs w:val="22"/>
          <w:lang w:val="es-ES_tradnl"/>
        </w:rPr>
        <w:t>con la palabra “</w:t>
      </w:r>
      <w:r w:rsidR="00011619" w:rsidRPr="00C52C4C">
        <w:rPr>
          <w:szCs w:val="22"/>
          <w:lang w:val="es-ES_tradnl"/>
        </w:rPr>
        <w:t>V50</w:t>
      </w:r>
      <w:r w:rsidRPr="00C52C4C">
        <w:rPr>
          <w:szCs w:val="22"/>
          <w:lang w:val="es-ES_tradnl"/>
        </w:rPr>
        <w:t xml:space="preserve">” grabada en una cara y </w:t>
      </w:r>
      <w:r w:rsidR="00011619" w:rsidRPr="00C52C4C">
        <w:rPr>
          <w:szCs w:val="22"/>
          <w:lang w:val="es-ES_tradnl"/>
        </w:rPr>
        <w:t>liso</w:t>
      </w:r>
      <w:r w:rsidRPr="00C52C4C">
        <w:rPr>
          <w:szCs w:val="22"/>
          <w:lang w:val="es-ES_tradnl"/>
        </w:rPr>
        <w:t xml:space="preserve"> en la otra.</w:t>
      </w:r>
    </w:p>
    <w:p w14:paraId="6DEE6B10" w14:textId="77777777" w:rsidR="00D061AA" w:rsidRPr="00C52C4C" w:rsidRDefault="00D061AA" w:rsidP="00D061AA">
      <w:pPr>
        <w:tabs>
          <w:tab w:val="left" w:pos="567"/>
        </w:tabs>
        <w:rPr>
          <w:sz w:val="22"/>
          <w:szCs w:val="22"/>
          <w:lang w:val="es-ES_tradnl"/>
        </w:rPr>
      </w:pPr>
    </w:p>
    <w:p w14:paraId="6E8E380D" w14:textId="77777777" w:rsidR="00195285" w:rsidRDefault="00195285" w:rsidP="00D061AA">
      <w:pPr>
        <w:tabs>
          <w:tab w:val="left" w:pos="567"/>
        </w:tabs>
        <w:rPr>
          <w:sz w:val="22"/>
          <w:szCs w:val="22"/>
          <w:u w:val="single"/>
          <w:lang w:val="es-ES_tradnl"/>
        </w:rPr>
      </w:pPr>
      <w:r w:rsidRPr="00F65F25">
        <w:rPr>
          <w:sz w:val="22"/>
          <w:szCs w:val="22"/>
          <w:u w:val="single"/>
        </w:rPr>
        <w:t xml:space="preserve">Voriconazol Accord </w:t>
      </w:r>
      <w:r w:rsidRPr="00F65F25">
        <w:rPr>
          <w:sz w:val="22"/>
          <w:szCs w:val="22"/>
          <w:u w:val="single"/>
          <w:lang w:val="es-ES_tradnl"/>
        </w:rPr>
        <w:t>200 mg comprimidos recubiertos con película</w:t>
      </w:r>
    </w:p>
    <w:p w14:paraId="610932A6" w14:textId="77777777" w:rsidR="000F0386" w:rsidRPr="00F65F25" w:rsidRDefault="000F0386" w:rsidP="00D061AA">
      <w:pPr>
        <w:tabs>
          <w:tab w:val="left" w:pos="567"/>
        </w:tabs>
        <w:rPr>
          <w:sz w:val="22"/>
          <w:szCs w:val="22"/>
          <w:u w:val="single"/>
          <w:lang w:val="es-ES_tradnl"/>
        </w:rPr>
      </w:pPr>
    </w:p>
    <w:p w14:paraId="38E8E1BF" w14:textId="77777777" w:rsidR="00195285" w:rsidRPr="00C52C4C" w:rsidRDefault="00195285" w:rsidP="00195285">
      <w:pPr>
        <w:pStyle w:val="Textonotaalfinal"/>
        <w:rPr>
          <w:szCs w:val="22"/>
          <w:lang w:val="es-ES_tradnl"/>
        </w:rPr>
      </w:pPr>
      <w:r w:rsidRPr="00C52C4C">
        <w:rPr>
          <w:szCs w:val="22"/>
          <w:lang w:val="es-ES_tradnl"/>
        </w:rPr>
        <w:t>Comprimidos</w:t>
      </w:r>
      <w:r w:rsidR="00BC1389">
        <w:rPr>
          <w:szCs w:val="22"/>
          <w:lang w:val="es-ES_tradnl"/>
        </w:rPr>
        <w:t xml:space="preserve"> </w:t>
      </w:r>
      <w:r w:rsidR="00BC1389" w:rsidRPr="00C52C4C">
        <w:rPr>
          <w:szCs w:val="22"/>
          <w:lang w:val="es-ES_tradnl"/>
        </w:rPr>
        <w:t>recubiertos con película</w:t>
      </w:r>
      <w:r w:rsidRPr="00C52C4C">
        <w:rPr>
          <w:szCs w:val="22"/>
          <w:lang w:val="es-ES_tradnl"/>
        </w:rPr>
        <w:t xml:space="preserve"> de color blanco a blanquecino, </w:t>
      </w:r>
      <w:r w:rsidR="00BC1389">
        <w:rPr>
          <w:szCs w:val="22"/>
          <w:lang w:val="es-ES_tradnl"/>
        </w:rPr>
        <w:t>ovalado,</w:t>
      </w:r>
      <w:r w:rsidRPr="00C52C4C">
        <w:rPr>
          <w:szCs w:val="22"/>
          <w:lang w:val="es-ES_tradnl"/>
        </w:rPr>
        <w:t xml:space="preserve"> </w:t>
      </w:r>
      <w:r w:rsidR="007A5CEF">
        <w:rPr>
          <w:szCs w:val="22"/>
          <w:lang w:val="es-ES_tradnl"/>
        </w:rPr>
        <w:t>de</w:t>
      </w:r>
      <w:r w:rsidRPr="00C52C4C">
        <w:rPr>
          <w:szCs w:val="22"/>
          <w:lang w:val="es-ES_tradnl"/>
        </w:rPr>
        <w:t xml:space="preserve"> aproximadamente 15,6 mm de longitud y 7,8 mm de anchura, con “V200” grabada en una cara y lisa en la otra.</w:t>
      </w:r>
    </w:p>
    <w:p w14:paraId="59293540" w14:textId="77777777" w:rsidR="0002447E" w:rsidRPr="00C52C4C" w:rsidRDefault="0002447E" w:rsidP="00D061AA">
      <w:pPr>
        <w:tabs>
          <w:tab w:val="left" w:pos="567"/>
        </w:tabs>
        <w:rPr>
          <w:sz w:val="22"/>
          <w:szCs w:val="22"/>
          <w:lang w:val="es-ES_tradnl"/>
        </w:rPr>
      </w:pPr>
    </w:p>
    <w:p w14:paraId="1CECC26D" w14:textId="77777777" w:rsidR="00195285" w:rsidRPr="00C52C4C" w:rsidRDefault="00195285" w:rsidP="00D061AA">
      <w:pPr>
        <w:tabs>
          <w:tab w:val="left" w:pos="567"/>
        </w:tabs>
        <w:rPr>
          <w:sz w:val="22"/>
          <w:szCs w:val="22"/>
          <w:lang w:val="es-ES_tradnl"/>
        </w:rPr>
      </w:pPr>
    </w:p>
    <w:p w14:paraId="41EB91D6" w14:textId="77777777" w:rsidR="00D061AA" w:rsidRPr="00C52C4C" w:rsidRDefault="00D061AA" w:rsidP="00D061AA">
      <w:pPr>
        <w:tabs>
          <w:tab w:val="left" w:pos="567"/>
        </w:tabs>
        <w:ind w:left="567" w:hanging="567"/>
        <w:rPr>
          <w:caps/>
          <w:sz w:val="22"/>
          <w:szCs w:val="22"/>
          <w:lang w:val="es-ES_tradnl"/>
        </w:rPr>
      </w:pPr>
      <w:r w:rsidRPr="00C52C4C">
        <w:rPr>
          <w:b/>
          <w:caps/>
          <w:sz w:val="22"/>
          <w:szCs w:val="22"/>
          <w:lang w:val="es-ES_tradnl"/>
        </w:rPr>
        <w:t>4.</w:t>
      </w:r>
      <w:r w:rsidRPr="00C52C4C">
        <w:rPr>
          <w:b/>
          <w:caps/>
          <w:sz w:val="22"/>
          <w:szCs w:val="22"/>
          <w:lang w:val="es-ES_tradnl"/>
        </w:rPr>
        <w:tab/>
        <w:t>DATOS CLÍNICOS</w:t>
      </w:r>
    </w:p>
    <w:p w14:paraId="0546881A" w14:textId="77777777" w:rsidR="00D061AA" w:rsidRPr="00C52C4C" w:rsidRDefault="00D061AA" w:rsidP="00D061AA">
      <w:pPr>
        <w:pStyle w:val="Textonotaalfinal"/>
        <w:rPr>
          <w:szCs w:val="22"/>
          <w:lang w:val="es-ES_tradnl"/>
        </w:rPr>
      </w:pPr>
    </w:p>
    <w:p w14:paraId="7DDFFA40" w14:textId="77777777" w:rsidR="00D061AA" w:rsidRPr="00C52C4C" w:rsidRDefault="00D061AA" w:rsidP="00D061AA">
      <w:pPr>
        <w:tabs>
          <w:tab w:val="left" w:pos="567"/>
        </w:tabs>
        <w:ind w:left="567" w:hanging="567"/>
        <w:rPr>
          <w:sz w:val="22"/>
          <w:szCs w:val="22"/>
          <w:lang w:val="es-ES_tradnl"/>
        </w:rPr>
      </w:pPr>
      <w:r w:rsidRPr="00C52C4C">
        <w:rPr>
          <w:b/>
          <w:sz w:val="22"/>
          <w:szCs w:val="22"/>
          <w:lang w:val="es-ES_tradnl"/>
        </w:rPr>
        <w:t>4.1</w:t>
      </w:r>
      <w:r w:rsidRPr="00C52C4C">
        <w:rPr>
          <w:b/>
          <w:sz w:val="22"/>
          <w:szCs w:val="22"/>
          <w:lang w:val="es-ES_tradnl"/>
        </w:rPr>
        <w:tab/>
        <w:t>Indicaciones terapéuticas</w:t>
      </w:r>
    </w:p>
    <w:p w14:paraId="14905AEB" w14:textId="77777777" w:rsidR="00D061AA" w:rsidRPr="00C52C4C" w:rsidRDefault="00D061AA" w:rsidP="00D061AA">
      <w:pPr>
        <w:pStyle w:val="Textonotaalfinal"/>
        <w:rPr>
          <w:szCs w:val="22"/>
          <w:lang w:val="es-ES_tradnl"/>
        </w:rPr>
      </w:pPr>
    </w:p>
    <w:p w14:paraId="00FCB1FB"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Voriconazol </w:t>
      </w:r>
      <w:r w:rsidR="001B7E9E" w:rsidRPr="00C52C4C">
        <w:rPr>
          <w:sz w:val="22"/>
          <w:szCs w:val="22"/>
          <w:lang w:val="es-ES_tradnl"/>
        </w:rPr>
        <w:t xml:space="preserve">Accord </w:t>
      </w:r>
      <w:r w:rsidRPr="00C52C4C">
        <w:rPr>
          <w:sz w:val="22"/>
          <w:szCs w:val="22"/>
          <w:lang w:val="es-ES_tradnl"/>
        </w:rPr>
        <w:t>es un fármaco antifúngico triazólico de amplio espectro indicado en adultos y niños de 2 años de edad o mayores, para:</w:t>
      </w:r>
    </w:p>
    <w:p w14:paraId="79449E08" w14:textId="77777777" w:rsidR="00D061AA" w:rsidRPr="00C52C4C" w:rsidRDefault="00D061AA" w:rsidP="00D061AA">
      <w:pPr>
        <w:tabs>
          <w:tab w:val="left" w:pos="567"/>
        </w:tabs>
        <w:rPr>
          <w:sz w:val="22"/>
          <w:szCs w:val="22"/>
          <w:lang w:val="es-ES_tradnl"/>
        </w:rPr>
      </w:pPr>
    </w:p>
    <w:p w14:paraId="586F8D6B" w14:textId="77777777" w:rsidR="00D061AA" w:rsidRPr="00C52C4C" w:rsidRDefault="00D061AA" w:rsidP="00D061AA">
      <w:pPr>
        <w:tabs>
          <w:tab w:val="left" w:pos="567"/>
        </w:tabs>
        <w:rPr>
          <w:sz w:val="22"/>
          <w:szCs w:val="22"/>
          <w:lang w:val="es-ES_tradnl"/>
        </w:rPr>
      </w:pPr>
      <w:r w:rsidRPr="00C52C4C">
        <w:rPr>
          <w:sz w:val="22"/>
          <w:szCs w:val="22"/>
          <w:lang w:val="es-ES_tradnl"/>
        </w:rPr>
        <w:t>Tratamiento de aspergilosis invasiva.</w:t>
      </w:r>
    </w:p>
    <w:p w14:paraId="4A9138A2" w14:textId="77777777" w:rsidR="00D061AA" w:rsidRPr="00C52C4C" w:rsidRDefault="00D061AA" w:rsidP="00D061AA">
      <w:pPr>
        <w:tabs>
          <w:tab w:val="left" w:pos="567"/>
        </w:tabs>
        <w:rPr>
          <w:sz w:val="22"/>
          <w:szCs w:val="22"/>
          <w:lang w:val="es-ES_tradnl"/>
        </w:rPr>
      </w:pPr>
    </w:p>
    <w:p w14:paraId="403674DF" w14:textId="77777777" w:rsidR="00D061AA" w:rsidRPr="00C52C4C" w:rsidRDefault="00D061AA" w:rsidP="00D061AA">
      <w:pPr>
        <w:tabs>
          <w:tab w:val="left" w:pos="567"/>
        </w:tabs>
        <w:rPr>
          <w:sz w:val="22"/>
          <w:szCs w:val="22"/>
          <w:lang w:val="es-ES_tradnl"/>
        </w:rPr>
      </w:pPr>
      <w:r w:rsidRPr="00C52C4C">
        <w:rPr>
          <w:sz w:val="22"/>
          <w:szCs w:val="22"/>
          <w:lang w:val="es-ES_tradnl"/>
        </w:rPr>
        <w:t>Tratamiento de candidemia en pacientes no neutropénicos.</w:t>
      </w:r>
    </w:p>
    <w:p w14:paraId="042E5692" w14:textId="77777777" w:rsidR="00D061AA" w:rsidRPr="00C52C4C" w:rsidRDefault="00D061AA" w:rsidP="00D061AA">
      <w:pPr>
        <w:tabs>
          <w:tab w:val="left" w:pos="567"/>
        </w:tabs>
        <w:rPr>
          <w:sz w:val="22"/>
          <w:szCs w:val="22"/>
          <w:lang w:val="es-ES_tradnl"/>
        </w:rPr>
      </w:pPr>
    </w:p>
    <w:p w14:paraId="00BBE46D"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Tratamiento de infecciones invasivas graves por </w:t>
      </w:r>
      <w:r w:rsidRPr="00C52C4C">
        <w:rPr>
          <w:i/>
          <w:sz w:val="22"/>
          <w:szCs w:val="22"/>
          <w:lang w:val="es-ES_tradnl"/>
        </w:rPr>
        <w:t>Candida</w:t>
      </w:r>
      <w:r w:rsidRPr="00C52C4C">
        <w:rPr>
          <w:sz w:val="22"/>
          <w:szCs w:val="22"/>
          <w:lang w:val="es-ES_tradnl"/>
        </w:rPr>
        <w:t xml:space="preserve"> (incluyendo </w:t>
      </w:r>
      <w:r w:rsidRPr="00C52C4C">
        <w:rPr>
          <w:i/>
          <w:sz w:val="22"/>
          <w:szCs w:val="22"/>
          <w:lang w:val="es-ES_tradnl"/>
        </w:rPr>
        <w:t>C. krusei</w:t>
      </w:r>
      <w:r w:rsidRPr="00C52C4C">
        <w:rPr>
          <w:sz w:val="22"/>
          <w:szCs w:val="22"/>
          <w:lang w:val="es-ES_tradnl"/>
        </w:rPr>
        <w:t>) resistentes a fluconazol.</w:t>
      </w:r>
    </w:p>
    <w:p w14:paraId="4336E4B7" w14:textId="77777777" w:rsidR="00D061AA" w:rsidRPr="00C52C4C" w:rsidRDefault="00D061AA" w:rsidP="00D061AA">
      <w:pPr>
        <w:tabs>
          <w:tab w:val="left" w:pos="567"/>
        </w:tabs>
        <w:rPr>
          <w:sz w:val="22"/>
          <w:szCs w:val="22"/>
          <w:lang w:val="es-ES_tradnl"/>
        </w:rPr>
      </w:pPr>
    </w:p>
    <w:p w14:paraId="2BF12663"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Tratamiento de infecciones fúngicas graves por </w:t>
      </w:r>
      <w:r w:rsidRPr="00C52C4C">
        <w:rPr>
          <w:i/>
          <w:sz w:val="22"/>
          <w:szCs w:val="22"/>
          <w:lang w:val="es-ES_tradnl"/>
        </w:rPr>
        <w:t>Scedosporium</w:t>
      </w:r>
      <w:r w:rsidRPr="00C52C4C">
        <w:rPr>
          <w:sz w:val="22"/>
          <w:szCs w:val="22"/>
          <w:lang w:val="es-ES_tradnl"/>
        </w:rPr>
        <w:t xml:space="preserve"> spp. y </w:t>
      </w:r>
      <w:r w:rsidRPr="00C52C4C">
        <w:rPr>
          <w:i/>
          <w:sz w:val="22"/>
          <w:szCs w:val="22"/>
          <w:lang w:val="es-ES_tradnl"/>
        </w:rPr>
        <w:t>Fusarium</w:t>
      </w:r>
      <w:r w:rsidRPr="00C52C4C">
        <w:rPr>
          <w:sz w:val="22"/>
          <w:szCs w:val="22"/>
          <w:lang w:val="es-ES_tradnl"/>
        </w:rPr>
        <w:t xml:space="preserve"> spp.</w:t>
      </w:r>
    </w:p>
    <w:p w14:paraId="5D5A641A" w14:textId="77777777" w:rsidR="00D061AA" w:rsidRPr="00C52C4C" w:rsidRDefault="00D061AA" w:rsidP="00D061AA">
      <w:pPr>
        <w:tabs>
          <w:tab w:val="left" w:pos="567"/>
        </w:tabs>
        <w:rPr>
          <w:sz w:val="22"/>
          <w:szCs w:val="22"/>
          <w:lang w:val="es-ES_tradnl"/>
        </w:rPr>
      </w:pPr>
    </w:p>
    <w:p w14:paraId="6FBF25DD" w14:textId="77777777" w:rsidR="00D061AA" w:rsidRPr="00C52C4C" w:rsidRDefault="008D11BB" w:rsidP="00D061AA">
      <w:pPr>
        <w:tabs>
          <w:tab w:val="left" w:pos="567"/>
        </w:tabs>
        <w:rPr>
          <w:sz w:val="22"/>
          <w:szCs w:val="22"/>
          <w:lang w:val="es-ES_tradnl"/>
        </w:rPr>
      </w:pPr>
      <w:r w:rsidRPr="00C52C4C">
        <w:rPr>
          <w:sz w:val="22"/>
          <w:szCs w:val="22"/>
        </w:rPr>
        <w:t>Voriconazol</w:t>
      </w:r>
      <w:r w:rsidR="00011619" w:rsidRPr="00C52C4C">
        <w:rPr>
          <w:sz w:val="22"/>
          <w:szCs w:val="22"/>
        </w:rPr>
        <w:t xml:space="preserve"> Accord </w:t>
      </w:r>
      <w:r w:rsidR="00D061AA" w:rsidRPr="00C52C4C">
        <w:rPr>
          <w:snapToGrid w:val="0"/>
          <w:sz w:val="22"/>
          <w:szCs w:val="22"/>
          <w:lang w:val="es-ES_tradnl"/>
        </w:rPr>
        <w:t>se debe administrar principalmente a pacientes con infecciones progresivas que impliquen una posible amenaza para la vida.</w:t>
      </w:r>
    </w:p>
    <w:p w14:paraId="131C891F" w14:textId="77777777" w:rsidR="00D061AA" w:rsidRPr="00C52C4C" w:rsidRDefault="00D061AA" w:rsidP="00D061AA">
      <w:pPr>
        <w:tabs>
          <w:tab w:val="left" w:pos="567"/>
        </w:tabs>
        <w:rPr>
          <w:sz w:val="22"/>
          <w:szCs w:val="22"/>
          <w:lang w:val="es-ES_tradnl"/>
        </w:rPr>
      </w:pPr>
    </w:p>
    <w:p w14:paraId="48C52B39" w14:textId="77777777" w:rsidR="00467F71" w:rsidRPr="00C52C4C" w:rsidRDefault="00467F71" w:rsidP="00D061AA">
      <w:pPr>
        <w:tabs>
          <w:tab w:val="left" w:pos="567"/>
        </w:tabs>
        <w:rPr>
          <w:snapToGrid w:val="0"/>
          <w:sz w:val="22"/>
          <w:szCs w:val="22"/>
          <w:lang w:val="es-ES_tradnl"/>
        </w:rPr>
      </w:pPr>
      <w:r w:rsidRPr="00C52C4C">
        <w:rPr>
          <w:snapToGrid w:val="0"/>
          <w:sz w:val="22"/>
          <w:szCs w:val="22"/>
          <w:lang w:val="es-ES_tradnl"/>
        </w:rPr>
        <w:t>Profilaxis de infecciones fúngicas invasivas en los receptores de trasplantes alogénicos de células madre hematopoyéticas (TCMH) de alto riesgo.</w:t>
      </w:r>
    </w:p>
    <w:p w14:paraId="4F18160E" w14:textId="77777777" w:rsidR="00467F71" w:rsidRPr="00C52C4C" w:rsidRDefault="00467F71" w:rsidP="00D061AA">
      <w:pPr>
        <w:tabs>
          <w:tab w:val="left" w:pos="567"/>
        </w:tabs>
        <w:rPr>
          <w:sz w:val="22"/>
          <w:szCs w:val="22"/>
          <w:lang w:val="es-ES_tradnl"/>
        </w:rPr>
      </w:pPr>
    </w:p>
    <w:p w14:paraId="6A12E396" w14:textId="77777777" w:rsidR="00D061AA" w:rsidRPr="00C52C4C" w:rsidRDefault="00D061AA" w:rsidP="00D061AA">
      <w:pPr>
        <w:tabs>
          <w:tab w:val="left" w:pos="567"/>
        </w:tabs>
        <w:ind w:left="567" w:hanging="567"/>
        <w:rPr>
          <w:sz w:val="22"/>
          <w:szCs w:val="22"/>
          <w:lang w:val="es-ES_tradnl"/>
        </w:rPr>
      </w:pPr>
      <w:r w:rsidRPr="00C52C4C">
        <w:rPr>
          <w:b/>
          <w:sz w:val="22"/>
          <w:szCs w:val="22"/>
          <w:lang w:val="es-ES_tradnl"/>
        </w:rPr>
        <w:t>4.2</w:t>
      </w:r>
      <w:r w:rsidRPr="00C52C4C">
        <w:rPr>
          <w:b/>
          <w:sz w:val="22"/>
          <w:szCs w:val="22"/>
          <w:lang w:val="es-ES_tradnl"/>
        </w:rPr>
        <w:tab/>
        <w:t>Posología y forma de administración</w:t>
      </w:r>
    </w:p>
    <w:p w14:paraId="71B1DCC9" w14:textId="77777777" w:rsidR="00D061AA" w:rsidRPr="00C52C4C" w:rsidRDefault="00D061AA" w:rsidP="00D061AA">
      <w:pPr>
        <w:tabs>
          <w:tab w:val="left" w:pos="567"/>
        </w:tabs>
        <w:rPr>
          <w:sz w:val="22"/>
          <w:szCs w:val="22"/>
          <w:lang w:val="es-ES_tradnl"/>
        </w:rPr>
      </w:pPr>
    </w:p>
    <w:p w14:paraId="4F700F6B" w14:textId="77777777" w:rsidR="00D061AA" w:rsidRPr="00C52C4C" w:rsidRDefault="00D061AA" w:rsidP="00D061AA">
      <w:pPr>
        <w:tabs>
          <w:tab w:val="left" w:pos="567"/>
        </w:tabs>
        <w:rPr>
          <w:sz w:val="22"/>
          <w:szCs w:val="22"/>
          <w:u w:val="single"/>
          <w:lang w:val="es-ES_tradnl"/>
        </w:rPr>
      </w:pPr>
      <w:r w:rsidRPr="00C52C4C">
        <w:rPr>
          <w:sz w:val="22"/>
          <w:szCs w:val="22"/>
          <w:u w:val="single"/>
          <w:lang w:val="es-ES_tradnl"/>
        </w:rPr>
        <w:t>Posología</w:t>
      </w:r>
    </w:p>
    <w:p w14:paraId="190C5437" w14:textId="77777777" w:rsidR="00D061AA" w:rsidRPr="00C52C4C" w:rsidRDefault="00D061AA" w:rsidP="00D061AA">
      <w:pPr>
        <w:tabs>
          <w:tab w:val="left" w:pos="567"/>
        </w:tabs>
        <w:rPr>
          <w:sz w:val="22"/>
          <w:szCs w:val="22"/>
          <w:lang w:val="es-ES_tradnl"/>
        </w:rPr>
      </w:pPr>
    </w:p>
    <w:p w14:paraId="09077B61" w14:textId="77777777" w:rsidR="00D061AA" w:rsidRPr="00C52C4C" w:rsidRDefault="00D061AA" w:rsidP="00D061AA">
      <w:pPr>
        <w:tabs>
          <w:tab w:val="left" w:pos="567"/>
        </w:tabs>
        <w:rPr>
          <w:sz w:val="22"/>
          <w:szCs w:val="22"/>
          <w:lang w:val="es-ES_tradnl"/>
        </w:rPr>
      </w:pPr>
      <w:r w:rsidRPr="00C52C4C">
        <w:rPr>
          <w:sz w:val="22"/>
          <w:szCs w:val="22"/>
          <w:lang w:val="es-ES_tradnl"/>
        </w:rPr>
        <w:t>Antes del inicio y durante el tratamiento con voriconazol se deberán monitorizar y corregir, siempre que sea necesario, las alteraciones electrolíticas, tales como hipopotasemia, hipomagnesemia e hipocalcemia (ver sección 4.4).</w:t>
      </w:r>
    </w:p>
    <w:p w14:paraId="7F14F0F5" w14:textId="77777777" w:rsidR="00D061AA" w:rsidRDefault="00D061AA" w:rsidP="00D061AA">
      <w:pPr>
        <w:tabs>
          <w:tab w:val="left" w:pos="567"/>
        </w:tabs>
        <w:rPr>
          <w:sz w:val="22"/>
          <w:szCs w:val="22"/>
          <w:lang w:val="es-ES_tradnl"/>
        </w:rPr>
      </w:pPr>
    </w:p>
    <w:p w14:paraId="616CD419" w14:textId="77777777" w:rsidR="000F0386" w:rsidRDefault="0015503B" w:rsidP="00D061AA">
      <w:pPr>
        <w:tabs>
          <w:tab w:val="left" w:pos="567"/>
        </w:tabs>
        <w:rPr>
          <w:sz w:val="22"/>
          <w:szCs w:val="22"/>
          <w:lang w:val="es-ES_tradnl"/>
        </w:rPr>
      </w:pPr>
      <w:r>
        <w:rPr>
          <w:sz w:val="22"/>
          <w:szCs w:val="22"/>
          <w:lang w:val="es-ES_tradnl"/>
        </w:rPr>
        <w:t>Además, v</w:t>
      </w:r>
      <w:r w:rsidR="000F0386">
        <w:rPr>
          <w:sz w:val="22"/>
          <w:szCs w:val="22"/>
          <w:lang w:val="es-ES_tradnl"/>
        </w:rPr>
        <w:t xml:space="preserve">oriconazol puede estar disponible como polvo para solución para </w:t>
      </w:r>
      <w:r w:rsidR="002A519C">
        <w:rPr>
          <w:sz w:val="22"/>
          <w:szCs w:val="22"/>
          <w:lang w:val="es-ES_tradnl"/>
        </w:rPr>
        <w:t>perfusión</w:t>
      </w:r>
      <w:r w:rsidR="000F0386">
        <w:rPr>
          <w:sz w:val="22"/>
          <w:szCs w:val="22"/>
          <w:lang w:val="es-ES_tradnl"/>
        </w:rPr>
        <w:t xml:space="preserve">, polvo y solvente para solución para </w:t>
      </w:r>
      <w:r w:rsidR="002A519C">
        <w:rPr>
          <w:sz w:val="22"/>
          <w:szCs w:val="22"/>
          <w:lang w:val="es-ES_tradnl"/>
        </w:rPr>
        <w:t>perfusión</w:t>
      </w:r>
      <w:r w:rsidR="000F0386">
        <w:rPr>
          <w:sz w:val="22"/>
          <w:szCs w:val="22"/>
          <w:lang w:val="es-ES_tradnl"/>
        </w:rPr>
        <w:t xml:space="preserve"> y polvo para suspensión oral, sin embargo no con este nombre comercial.</w:t>
      </w:r>
    </w:p>
    <w:p w14:paraId="2711AEE8" w14:textId="77777777" w:rsidR="000F0386" w:rsidRPr="00C52C4C" w:rsidRDefault="000F0386" w:rsidP="00D061AA">
      <w:pPr>
        <w:tabs>
          <w:tab w:val="left" w:pos="567"/>
        </w:tabs>
        <w:rPr>
          <w:sz w:val="22"/>
          <w:szCs w:val="22"/>
          <w:lang w:val="es-ES_tradnl"/>
        </w:rPr>
      </w:pPr>
    </w:p>
    <w:p w14:paraId="6C6FBC5E" w14:textId="77777777" w:rsidR="00467F71" w:rsidRPr="00C52C4C" w:rsidRDefault="00467F71" w:rsidP="00467F71">
      <w:pPr>
        <w:tabs>
          <w:tab w:val="left" w:pos="567"/>
        </w:tabs>
        <w:rPr>
          <w:sz w:val="22"/>
          <w:szCs w:val="22"/>
          <w:u w:val="single"/>
          <w:lang w:val="es-ES_tradnl"/>
        </w:rPr>
      </w:pPr>
      <w:r w:rsidRPr="00C52C4C">
        <w:rPr>
          <w:sz w:val="22"/>
          <w:szCs w:val="22"/>
          <w:u w:val="single"/>
          <w:lang w:val="es-ES_tradnl"/>
        </w:rPr>
        <w:t>Tratamiento</w:t>
      </w:r>
    </w:p>
    <w:p w14:paraId="159A43EF" w14:textId="77777777" w:rsidR="00467F71" w:rsidRPr="00C52C4C" w:rsidRDefault="00467F71" w:rsidP="00467F71">
      <w:pPr>
        <w:pStyle w:val="Ttulo1"/>
        <w:keepNext w:val="0"/>
        <w:tabs>
          <w:tab w:val="left" w:pos="567"/>
        </w:tabs>
        <w:rPr>
          <w:bCs w:val="0"/>
          <w:i/>
          <w:szCs w:val="22"/>
          <w:u w:val="none"/>
        </w:rPr>
      </w:pPr>
    </w:p>
    <w:p w14:paraId="5A2CDCF2" w14:textId="77777777" w:rsidR="00467F71" w:rsidRPr="00C52C4C" w:rsidRDefault="00467F71" w:rsidP="00467F71">
      <w:pPr>
        <w:pStyle w:val="Ttulo1"/>
        <w:keepNext w:val="0"/>
        <w:tabs>
          <w:tab w:val="left" w:pos="567"/>
        </w:tabs>
        <w:rPr>
          <w:bCs w:val="0"/>
          <w:i/>
          <w:szCs w:val="22"/>
          <w:u w:val="none"/>
        </w:rPr>
      </w:pPr>
      <w:r w:rsidRPr="00C52C4C">
        <w:rPr>
          <w:bCs w:val="0"/>
          <w:i/>
          <w:szCs w:val="22"/>
          <w:u w:val="none"/>
        </w:rPr>
        <w:t xml:space="preserve">Adultos </w:t>
      </w:r>
    </w:p>
    <w:p w14:paraId="062527CE" w14:textId="77777777" w:rsidR="00D061AA" w:rsidRPr="00C52C4C" w:rsidRDefault="00D061AA" w:rsidP="00D061AA">
      <w:pPr>
        <w:pStyle w:val="Textoindependiente"/>
        <w:tabs>
          <w:tab w:val="left" w:pos="567"/>
        </w:tabs>
        <w:rPr>
          <w:szCs w:val="22"/>
        </w:rPr>
      </w:pPr>
      <w:r w:rsidRPr="00C52C4C">
        <w:rPr>
          <w:szCs w:val="22"/>
        </w:rPr>
        <w:t xml:space="preserve">El tratamiento </w:t>
      </w:r>
      <w:r w:rsidR="00EE2F20" w:rsidRPr="00C52C4C">
        <w:rPr>
          <w:szCs w:val="22"/>
        </w:rPr>
        <w:t>se</w:t>
      </w:r>
      <w:r w:rsidR="00EE2F20">
        <w:rPr>
          <w:szCs w:val="22"/>
        </w:rPr>
        <w:t xml:space="preserve"> </w:t>
      </w:r>
      <w:r w:rsidRPr="00C52C4C">
        <w:rPr>
          <w:szCs w:val="22"/>
        </w:rPr>
        <w:t xml:space="preserve">debe iniciar con la dosis de carga especificada de </w:t>
      </w:r>
      <w:r w:rsidR="0092031D" w:rsidRPr="00C52C4C">
        <w:rPr>
          <w:szCs w:val="22"/>
        </w:rPr>
        <w:t xml:space="preserve">voriconazol </w:t>
      </w:r>
      <w:r w:rsidRPr="00C52C4C">
        <w:rPr>
          <w:szCs w:val="22"/>
        </w:rPr>
        <w:t>intravenoso u oral, para alcanzar concentraciones plasmáticas el día 1 cercanas al equilibrio estacionario. Dada su alta biodisponibilidad oral (96%; ver sección 5.2), cuando clínicamente esté indicado, es adecuado el cambio entre la administración intravenosa y la oral.</w:t>
      </w:r>
    </w:p>
    <w:p w14:paraId="5A74AEED" w14:textId="77777777" w:rsidR="00D061AA" w:rsidRPr="00C52C4C" w:rsidRDefault="00D061AA" w:rsidP="00D061AA">
      <w:pPr>
        <w:tabs>
          <w:tab w:val="left" w:pos="567"/>
        </w:tabs>
        <w:rPr>
          <w:sz w:val="22"/>
          <w:szCs w:val="22"/>
          <w:lang w:val="es-ES_tradnl"/>
        </w:rPr>
      </w:pPr>
    </w:p>
    <w:p w14:paraId="49679091" w14:textId="77777777" w:rsidR="00D061AA" w:rsidRPr="00C52C4C" w:rsidRDefault="00D061AA" w:rsidP="00D061AA">
      <w:pPr>
        <w:keepNext/>
        <w:tabs>
          <w:tab w:val="left" w:pos="567"/>
        </w:tabs>
        <w:rPr>
          <w:sz w:val="22"/>
          <w:szCs w:val="22"/>
          <w:lang w:val="es-ES_tradnl"/>
        </w:rPr>
      </w:pPr>
      <w:r w:rsidRPr="00C52C4C">
        <w:rPr>
          <w:sz w:val="22"/>
          <w:szCs w:val="22"/>
          <w:lang w:val="es-ES_tradnl"/>
        </w:rPr>
        <w:t>En la tabla siguiente se proporciona información detallada sobre las recomendaciones posológicas:</w:t>
      </w:r>
    </w:p>
    <w:p w14:paraId="2521D5AE" w14:textId="77777777" w:rsidR="00D061AA" w:rsidRPr="00C52C4C" w:rsidRDefault="00D061AA" w:rsidP="00D061AA">
      <w:pPr>
        <w:keepNext/>
        <w:tabs>
          <w:tab w:val="left" w:pos="567"/>
        </w:tabs>
        <w:rPr>
          <w:sz w:val="22"/>
          <w:szCs w:val="22"/>
          <w:lang w:val="es-ES_tradnl"/>
        </w:rPr>
      </w:pPr>
    </w:p>
    <w:tbl>
      <w:tblPr>
        <w:tblW w:w="9356" w:type="dxa"/>
        <w:tblInd w:w="72" w:type="dxa"/>
        <w:tblBorders>
          <w:top w:val="single" w:sz="18" w:space="0" w:color="auto"/>
          <w:left w:val="single" w:sz="18" w:space="0" w:color="auto"/>
          <w:bottom w:val="single" w:sz="18" w:space="0" w:color="auto"/>
          <w:right w:val="single" w:sz="18" w:space="0" w:color="auto"/>
        </w:tblBorders>
        <w:tblLayout w:type="fixed"/>
        <w:tblCellMar>
          <w:left w:w="72" w:type="dxa"/>
          <w:right w:w="72" w:type="dxa"/>
        </w:tblCellMar>
        <w:tblLook w:val="0000" w:firstRow="0" w:lastRow="0" w:firstColumn="0" w:lastColumn="0" w:noHBand="0" w:noVBand="0"/>
      </w:tblPr>
      <w:tblGrid>
        <w:gridCol w:w="2268"/>
        <w:gridCol w:w="2410"/>
        <w:gridCol w:w="2410"/>
        <w:gridCol w:w="2268"/>
      </w:tblGrid>
      <w:tr w:rsidR="00D061AA" w:rsidRPr="00C52C4C" w14:paraId="782DB3BB" w14:textId="77777777" w:rsidTr="00AC5BF4">
        <w:trPr>
          <w:trHeight w:val="40"/>
        </w:trPr>
        <w:tc>
          <w:tcPr>
            <w:tcW w:w="2268" w:type="dxa"/>
            <w:tcBorders>
              <w:top w:val="single" w:sz="4" w:space="0" w:color="auto"/>
              <w:left w:val="single" w:sz="4" w:space="0" w:color="auto"/>
              <w:bottom w:val="nil"/>
              <w:right w:val="single" w:sz="4" w:space="0" w:color="auto"/>
            </w:tcBorders>
          </w:tcPr>
          <w:p w14:paraId="1E0F473C" w14:textId="77777777" w:rsidR="00D061AA" w:rsidRPr="00C52C4C" w:rsidRDefault="00D061AA" w:rsidP="00EE4A64">
            <w:pPr>
              <w:keepNext/>
              <w:tabs>
                <w:tab w:val="left" w:pos="567"/>
              </w:tabs>
              <w:rPr>
                <w:sz w:val="22"/>
                <w:szCs w:val="22"/>
                <w:lang w:val="es-ES_tradnl"/>
              </w:rPr>
            </w:pPr>
          </w:p>
          <w:p w14:paraId="4B2C862A" w14:textId="77777777" w:rsidR="00D061AA" w:rsidRPr="00C52C4C" w:rsidRDefault="00D061AA" w:rsidP="00EE4A64">
            <w:pPr>
              <w:keepNext/>
              <w:tabs>
                <w:tab w:val="left" w:pos="567"/>
              </w:tabs>
              <w:rPr>
                <w:sz w:val="22"/>
                <w:szCs w:val="22"/>
                <w:lang w:val="es-ES_tradnl"/>
              </w:rPr>
            </w:pPr>
          </w:p>
        </w:tc>
        <w:tc>
          <w:tcPr>
            <w:tcW w:w="2410" w:type="dxa"/>
            <w:tcBorders>
              <w:top w:val="single" w:sz="4" w:space="0" w:color="auto"/>
              <w:left w:val="nil"/>
              <w:bottom w:val="nil"/>
              <w:right w:val="single" w:sz="4" w:space="0" w:color="auto"/>
            </w:tcBorders>
          </w:tcPr>
          <w:p w14:paraId="0623CA09" w14:textId="77777777" w:rsidR="00D061AA" w:rsidRPr="00C52C4C" w:rsidRDefault="00D061AA" w:rsidP="00EE4A64">
            <w:pPr>
              <w:pStyle w:val="Ttulo3"/>
              <w:tabs>
                <w:tab w:val="left" w:pos="567"/>
              </w:tabs>
              <w:rPr>
                <w:szCs w:val="22"/>
                <w:lang w:eastAsia="en-US"/>
              </w:rPr>
            </w:pPr>
            <w:r w:rsidRPr="00C52C4C">
              <w:rPr>
                <w:szCs w:val="22"/>
                <w:lang w:eastAsia="en-US"/>
              </w:rPr>
              <w:t>Intravenosa</w:t>
            </w:r>
          </w:p>
        </w:tc>
        <w:tc>
          <w:tcPr>
            <w:tcW w:w="4678" w:type="dxa"/>
            <w:gridSpan w:val="2"/>
            <w:tcBorders>
              <w:top w:val="single" w:sz="4" w:space="0" w:color="auto"/>
              <w:left w:val="nil"/>
              <w:bottom w:val="single" w:sz="4" w:space="0" w:color="auto"/>
              <w:right w:val="single" w:sz="4" w:space="0" w:color="auto"/>
            </w:tcBorders>
          </w:tcPr>
          <w:p w14:paraId="260A6767" w14:textId="77777777" w:rsidR="00D061AA" w:rsidRPr="00C52C4C" w:rsidRDefault="00D061AA" w:rsidP="00EE4A64">
            <w:pPr>
              <w:keepNext/>
              <w:tabs>
                <w:tab w:val="left" w:pos="567"/>
              </w:tabs>
              <w:jc w:val="center"/>
              <w:rPr>
                <w:sz w:val="22"/>
                <w:szCs w:val="22"/>
                <w:lang w:val="es-ES_tradnl"/>
              </w:rPr>
            </w:pPr>
            <w:r w:rsidRPr="00C52C4C">
              <w:rPr>
                <w:b/>
                <w:sz w:val="22"/>
                <w:szCs w:val="22"/>
                <w:lang w:val="es-ES_tradnl"/>
              </w:rPr>
              <w:t>Oral</w:t>
            </w:r>
          </w:p>
        </w:tc>
      </w:tr>
      <w:tr w:rsidR="00D061AA" w:rsidRPr="00C52C4C" w14:paraId="7F68CA09" w14:textId="77777777" w:rsidTr="00AC5BF4">
        <w:trPr>
          <w:trHeight w:val="40"/>
        </w:trPr>
        <w:tc>
          <w:tcPr>
            <w:tcW w:w="2268" w:type="dxa"/>
            <w:tcBorders>
              <w:top w:val="nil"/>
              <w:left w:val="single" w:sz="4" w:space="0" w:color="auto"/>
              <w:bottom w:val="single" w:sz="4" w:space="0" w:color="auto"/>
              <w:right w:val="single" w:sz="4" w:space="0" w:color="auto"/>
            </w:tcBorders>
          </w:tcPr>
          <w:p w14:paraId="0C54FA8F" w14:textId="77777777" w:rsidR="00D061AA" w:rsidRPr="00C52C4C" w:rsidRDefault="00D061AA" w:rsidP="00EE4A64">
            <w:pPr>
              <w:tabs>
                <w:tab w:val="left" w:pos="567"/>
              </w:tabs>
              <w:rPr>
                <w:sz w:val="22"/>
                <w:szCs w:val="22"/>
                <w:u w:val="single"/>
                <w:lang w:val="es-ES_tradnl"/>
              </w:rPr>
            </w:pPr>
          </w:p>
        </w:tc>
        <w:tc>
          <w:tcPr>
            <w:tcW w:w="2410" w:type="dxa"/>
            <w:tcBorders>
              <w:top w:val="nil"/>
              <w:left w:val="nil"/>
              <w:bottom w:val="single" w:sz="4" w:space="0" w:color="auto"/>
              <w:right w:val="single" w:sz="4" w:space="0" w:color="auto"/>
            </w:tcBorders>
          </w:tcPr>
          <w:p w14:paraId="331CE989" w14:textId="77777777" w:rsidR="00D061AA" w:rsidRPr="00C52C4C" w:rsidRDefault="00D061AA" w:rsidP="00EE4A64">
            <w:pPr>
              <w:tabs>
                <w:tab w:val="left" w:pos="567"/>
              </w:tabs>
              <w:rPr>
                <w:sz w:val="22"/>
                <w:szCs w:val="22"/>
                <w:lang w:val="es-ES_tradnl"/>
              </w:rPr>
            </w:pPr>
          </w:p>
        </w:tc>
        <w:tc>
          <w:tcPr>
            <w:tcW w:w="2410" w:type="dxa"/>
            <w:tcBorders>
              <w:top w:val="single" w:sz="4" w:space="0" w:color="auto"/>
              <w:left w:val="nil"/>
              <w:bottom w:val="single" w:sz="4" w:space="0" w:color="auto"/>
              <w:right w:val="single" w:sz="4" w:space="0" w:color="auto"/>
            </w:tcBorders>
          </w:tcPr>
          <w:p w14:paraId="7737FF56" w14:textId="77777777" w:rsidR="00D061AA" w:rsidRPr="00C52C4C" w:rsidRDefault="00D061AA" w:rsidP="00EE4A64">
            <w:pPr>
              <w:tabs>
                <w:tab w:val="left" w:pos="567"/>
              </w:tabs>
              <w:jc w:val="center"/>
              <w:rPr>
                <w:sz w:val="22"/>
                <w:szCs w:val="22"/>
                <w:lang w:val="es-ES_tradnl"/>
              </w:rPr>
            </w:pPr>
            <w:r w:rsidRPr="00C52C4C">
              <w:rPr>
                <w:sz w:val="22"/>
                <w:szCs w:val="22"/>
                <w:lang w:val="es-ES_tradnl"/>
              </w:rPr>
              <w:t>Pacientes con peso igual o superior a 40 kg</w:t>
            </w:r>
            <w:r w:rsidR="00BF36BB" w:rsidRPr="00C52C4C">
              <w:rPr>
                <w:sz w:val="22"/>
                <w:szCs w:val="22"/>
                <w:lang w:val="es-ES_tradnl"/>
              </w:rPr>
              <w:t>*</w:t>
            </w:r>
          </w:p>
        </w:tc>
        <w:tc>
          <w:tcPr>
            <w:tcW w:w="2268" w:type="dxa"/>
            <w:tcBorders>
              <w:top w:val="single" w:sz="4" w:space="0" w:color="auto"/>
              <w:left w:val="nil"/>
              <w:bottom w:val="single" w:sz="4" w:space="0" w:color="auto"/>
              <w:right w:val="single" w:sz="4" w:space="0" w:color="auto"/>
            </w:tcBorders>
          </w:tcPr>
          <w:p w14:paraId="3A4B8CE4" w14:textId="77777777" w:rsidR="00D061AA" w:rsidRPr="00C52C4C" w:rsidRDefault="00D061AA" w:rsidP="00EE4A64">
            <w:pPr>
              <w:tabs>
                <w:tab w:val="left" w:pos="567"/>
              </w:tabs>
              <w:jc w:val="center"/>
              <w:rPr>
                <w:sz w:val="22"/>
                <w:szCs w:val="22"/>
                <w:lang w:val="es-ES_tradnl"/>
              </w:rPr>
            </w:pPr>
            <w:r w:rsidRPr="00C52C4C">
              <w:rPr>
                <w:sz w:val="22"/>
                <w:szCs w:val="22"/>
                <w:lang w:val="es-ES_tradnl"/>
              </w:rPr>
              <w:t>Pacientes con peso inferior a 40 kg*</w:t>
            </w:r>
          </w:p>
        </w:tc>
      </w:tr>
      <w:tr w:rsidR="00D061AA" w:rsidRPr="00C52C4C" w14:paraId="21448A94" w14:textId="77777777" w:rsidTr="00AC5BF4">
        <w:tc>
          <w:tcPr>
            <w:tcW w:w="2268" w:type="dxa"/>
            <w:tcBorders>
              <w:top w:val="nil"/>
              <w:left w:val="single" w:sz="4" w:space="0" w:color="auto"/>
              <w:bottom w:val="single" w:sz="4" w:space="0" w:color="auto"/>
              <w:right w:val="nil"/>
            </w:tcBorders>
          </w:tcPr>
          <w:p w14:paraId="721BB8D9" w14:textId="77777777" w:rsidR="00D061AA" w:rsidRPr="00C52C4C" w:rsidRDefault="00D061AA" w:rsidP="00EE4A64">
            <w:pPr>
              <w:tabs>
                <w:tab w:val="left" w:pos="567"/>
              </w:tabs>
              <w:rPr>
                <w:b/>
                <w:sz w:val="22"/>
                <w:szCs w:val="22"/>
                <w:lang w:val="es-ES_tradnl"/>
              </w:rPr>
            </w:pPr>
            <w:r w:rsidRPr="00C52C4C">
              <w:rPr>
                <w:b/>
                <w:sz w:val="22"/>
                <w:szCs w:val="22"/>
                <w:lang w:val="es-ES_tradnl"/>
              </w:rPr>
              <w:t>Dosis de carga</w:t>
            </w:r>
          </w:p>
          <w:p w14:paraId="2C8F4728" w14:textId="77777777" w:rsidR="00D061AA" w:rsidRPr="00C52C4C" w:rsidRDefault="00D061AA" w:rsidP="00EE4A64">
            <w:pPr>
              <w:tabs>
                <w:tab w:val="left" w:pos="567"/>
              </w:tabs>
              <w:rPr>
                <w:sz w:val="22"/>
                <w:szCs w:val="22"/>
                <w:lang w:val="es-ES_tradnl"/>
              </w:rPr>
            </w:pPr>
            <w:r w:rsidRPr="00C52C4C">
              <w:rPr>
                <w:b/>
                <w:sz w:val="22"/>
                <w:szCs w:val="22"/>
                <w:lang w:val="es-ES_tradnl"/>
              </w:rPr>
              <w:t>(primeras 24 horas)</w:t>
            </w:r>
          </w:p>
        </w:tc>
        <w:tc>
          <w:tcPr>
            <w:tcW w:w="2410" w:type="dxa"/>
            <w:tcBorders>
              <w:top w:val="single" w:sz="4" w:space="0" w:color="auto"/>
              <w:left w:val="single" w:sz="4" w:space="0" w:color="auto"/>
              <w:bottom w:val="single" w:sz="4" w:space="0" w:color="auto"/>
              <w:right w:val="nil"/>
            </w:tcBorders>
          </w:tcPr>
          <w:p w14:paraId="0FA999C8" w14:textId="77777777" w:rsidR="00D061AA" w:rsidRPr="00C52C4C" w:rsidRDefault="00D061AA" w:rsidP="00EE4A64">
            <w:pPr>
              <w:tabs>
                <w:tab w:val="left" w:pos="567"/>
              </w:tabs>
              <w:rPr>
                <w:sz w:val="22"/>
                <w:szCs w:val="22"/>
                <w:lang w:val="es-ES_tradnl"/>
              </w:rPr>
            </w:pPr>
            <w:r w:rsidRPr="00C52C4C">
              <w:rPr>
                <w:sz w:val="22"/>
                <w:szCs w:val="22"/>
                <w:lang w:val="es-ES_tradnl"/>
              </w:rPr>
              <w:t>6 mg/kg cada 12 horas</w:t>
            </w:r>
          </w:p>
        </w:tc>
        <w:tc>
          <w:tcPr>
            <w:tcW w:w="2410" w:type="dxa"/>
            <w:tcBorders>
              <w:top w:val="single" w:sz="4" w:space="0" w:color="auto"/>
              <w:left w:val="single" w:sz="4" w:space="0" w:color="auto"/>
              <w:bottom w:val="single" w:sz="4" w:space="0" w:color="auto"/>
              <w:right w:val="single" w:sz="4" w:space="0" w:color="auto"/>
            </w:tcBorders>
          </w:tcPr>
          <w:p w14:paraId="787D55BC" w14:textId="77777777" w:rsidR="00D061AA" w:rsidRPr="00C52C4C" w:rsidRDefault="00D061AA" w:rsidP="00EE4A64">
            <w:pPr>
              <w:tabs>
                <w:tab w:val="left" w:pos="567"/>
              </w:tabs>
              <w:jc w:val="center"/>
              <w:rPr>
                <w:sz w:val="22"/>
                <w:szCs w:val="22"/>
                <w:lang w:val="es-ES_tradnl"/>
              </w:rPr>
            </w:pPr>
            <w:r w:rsidRPr="00C52C4C">
              <w:rPr>
                <w:sz w:val="22"/>
                <w:szCs w:val="22"/>
                <w:lang w:val="es-ES_tradnl"/>
              </w:rPr>
              <w:t>400 mg cada 12 horas</w:t>
            </w:r>
          </w:p>
        </w:tc>
        <w:tc>
          <w:tcPr>
            <w:tcW w:w="2268" w:type="dxa"/>
            <w:tcBorders>
              <w:top w:val="single" w:sz="4" w:space="0" w:color="auto"/>
              <w:left w:val="nil"/>
              <w:bottom w:val="single" w:sz="4" w:space="0" w:color="auto"/>
              <w:right w:val="single" w:sz="4" w:space="0" w:color="auto"/>
            </w:tcBorders>
          </w:tcPr>
          <w:p w14:paraId="7B4F0375" w14:textId="77777777" w:rsidR="00D061AA" w:rsidRPr="00C52C4C" w:rsidRDefault="00D061AA" w:rsidP="00EE4A64">
            <w:pPr>
              <w:tabs>
                <w:tab w:val="left" w:pos="567"/>
              </w:tabs>
              <w:rPr>
                <w:sz w:val="22"/>
                <w:szCs w:val="22"/>
                <w:lang w:val="es-ES_tradnl"/>
              </w:rPr>
            </w:pPr>
            <w:r w:rsidRPr="00C52C4C">
              <w:rPr>
                <w:sz w:val="22"/>
                <w:szCs w:val="22"/>
                <w:lang w:val="es-ES_tradnl"/>
              </w:rPr>
              <w:t>200 mg cada 12 horas</w:t>
            </w:r>
          </w:p>
        </w:tc>
      </w:tr>
      <w:tr w:rsidR="00D061AA" w:rsidRPr="00C52C4C" w14:paraId="572DDF53" w14:textId="77777777" w:rsidTr="00AC5BF4">
        <w:tc>
          <w:tcPr>
            <w:tcW w:w="2268" w:type="dxa"/>
            <w:tcBorders>
              <w:top w:val="nil"/>
              <w:left w:val="single" w:sz="4" w:space="0" w:color="auto"/>
              <w:bottom w:val="single" w:sz="4" w:space="0" w:color="auto"/>
              <w:right w:val="nil"/>
            </w:tcBorders>
          </w:tcPr>
          <w:p w14:paraId="5D8518F8" w14:textId="77777777" w:rsidR="00D061AA" w:rsidRPr="00C52C4C" w:rsidRDefault="00D061AA" w:rsidP="00EE4A64">
            <w:pPr>
              <w:tabs>
                <w:tab w:val="left" w:pos="567"/>
              </w:tabs>
              <w:rPr>
                <w:b/>
                <w:sz w:val="22"/>
                <w:szCs w:val="22"/>
                <w:lang w:val="es-ES_tradnl"/>
              </w:rPr>
            </w:pPr>
            <w:r w:rsidRPr="00C52C4C">
              <w:rPr>
                <w:b/>
                <w:sz w:val="22"/>
                <w:szCs w:val="22"/>
                <w:lang w:val="es-ES_tradnl"/>
              </w:rPr>
              <w:t>Dosis de mantenimiento (tras las primeras 24 horas)</w:t>
            </w:r>
          </w:p>
        </w:tc>
        <w:tc>
          <w:tcPr>
            <w:tcW w:w="2410" w:type="dxa"/>
            <w:tcBorders>
              <w:top w:val="single" w:sz="4" w:space="0" w:color="auto"/>
              <w:left w:val="single" w:sz="4" w:space="0" w:color="auto"/>
              <w:bottom w:val="single" w:sz="4" w:space="0" w:color="auto"/>
              <w:right w:val="nil"/>
            </w:tcBorders>
          </w:tcPr>
          <w:p w14:paraId="561BCDB1" w14:textId="77777777" w:rsidR="00D061AA" w:rsidRPr="00C52C4C" w:rsidRDefault="00D061AA" w:rsidP="00EE4A64">
            <w:pPr>
              <w:tabs>
                <w:tab w:val="left" w:pos="567"/>
              </w:tabs>
              <w:jc w:val="center"/>
              <w:rPr>
                <w:sz w:val="22"/>
                <w:szCs w:val="22"/>
                <w:lang w:val="es-ES_tradnl"/>
              </w:rPr>
            </w:pPr>
            <w:r w:rsidRPr="00C52C4C">
              <w:rPr>
                <w:sz w:val="22"/>
                <w:szCs w:val="22"/>
                <w:lang w:val="es-ES_tradnl"/>
              </w:rPr>
              <w:t>4 mg/kg dos veces al día</w:t>
            </w:r>
          </w:p>
        </w:tc>
        <w:tc>
          <w:tcPr>
            <w:tcW w:w="2410" w:type="dxa"/>
            <w:tcBorders>
              <w:top w:val="single" w:sz="4" w:space="0" w:color="auto"/>
              <w:left w:val="single" w:sz="4" w:space="0" w:color="auto"/>
              <w:bottom w:val="single" w:sz="4" w:space="0" w:color="auto"/>
              <w:right w:val="single" w:sz="4" w:space="0" w:color="auto"/>
            </w:tcBorders>
          </w:tcPr>
          <w:p w14:paraId="03AED2DA" w14:textId="77777777" w:rsidR="00D061AA" w:rsidRPr="00C52C4C" w:rsidRDefault="00D061AA" w:rsidP="00EE4A64">
            <w:pPr>
              <w:tabs>
                <w:tab w:val="left" w:pos="567"/>
              </w:tabs>
              <w:jc w:val="center"/>
              <w:rPr>
                <w:sz w:val="22"/>
                <w:szCs w:val="22"/>
                <w:lang w:val="es-ES_tradnl"/>
              </w:rPr>
            </w:pPr>
            <w:r w:rsidRPr="00C52C4C">
              <w:rPr>
                <w:sz w:val="22"/>
                <w:szCs w:val="22"/>
                <w:lang w:val="es-ES_tradnl"/>
              </w:rPr>
              <w:t xml:space="preserve">200 mg </w:t>
            </w:r>
            <w:r w:rsidR="00A92BB8" w:rsidRPr="00C52C4C">
              <w:rPr>
                <w:sz w:val="22"/>
                <w:szCs w:val="22"/>
                <w:lang w:val="es-ES_tradnl"/>
              </w:rPr>
              <w:t>dos veces al día</w:t>
            </w:r>
          </w:p>
        </w:tc>
        <w:tc>
          <w:tcPr>
            <w:tcW w:w="2268" w:type="dxa"/>
            <w:tcBorders>
              <w:top w:val="nil"/>
              <w:left w:val="nil"/>
              <w:bottom w:val="single" w:sz="4" w:space="0" w:color="auto"/>
              <w:right w:val="single" w:sz="4" w:space="0" w:color="auto"/>
            </w:tcBorders>
          </w:tcPr>
          <w:p w14:paraId="64DB969D" w14:textId="77777777" w:rsidR="00D061AA" w:rsidRPr="00C52C4C" w:rsidRDefault="00D061AA" w:rsidP="00EE4A64">
            <w:pPr>
              <w:tabs>
                <w:tab w:val="left" w:pos="567"/>
              </w:tabs>
              <w:jc w:val="center"/>
              <w:rPr>
                <w:sz w:val="22"/>
                <w:szCs w:val="22"/>
                <w:lang w:val="es-ES_tradnl"/>
              </w:rPr>
            </w:pPr>
            <w:r w:rsidRPr="00C52C4C">
              <w:rPr>
                <w:sz w:val="22"/>
                <w:szCs w:val="22"/>
                <w:lang w:val="es-ES_tradnl"/>
              </w:rPr>
              <w:t xml:space="preserve">100 mg </w:t>
            </w:r>
            <w:r w:rsidR="00A92BB8" w:rsidRPr="00C52C4C">
              <w:rPr>
                <w:sz w:val="22"/>
                <w:szCs w:val="22"/>
                <w:lang w:val="es-ES_tradnl"/>
              </w:rPr>
              <w:t>dos veces al día</w:t>
            </w:r>
          </w:p>
        </w:tc>
      </w:tr>
    </w:tbl>
    <w:p w14:paraId="15DD4846" w14:textId="77777777" w:rsidR="00D061AA" w:rsidRPr="00C52C4C" w:rsidRDefault="00D061AA" w:rsidP="00D061AA">
      <w:pPr>
        <w:rPr>
          <w:sz w:val="22"/>
          <w:szCs w:val="22"/>
          <w:lang w:val="es-ES_tradnl"/>
        </w:rPr>
      </w:pPr>
      <w:r w:rsidRPr="00C52C4C">
        <w:rPr>
          <w:sz w:val="22"/>
          <w:szCs w:val="22"/>
          <w:lang w:val="es-ES_tradnl"/>
        </w:rPr>
        <w:t>*</w:t>
      </w:r>
      <w:r w:rsidR="00467F71" w:rsidRPr="00C52C4C">
        <w:rPr>
          <w:sz w:val="22"/>
          <w:szCs w:val="22"/>
          <w:lang w:val="es-ES_tradnl"/>
        </w:rPr>
        <w:t>También se aplica</w:t>
      </w:r>
      <w:r w:rsidRPr="00C52C4C">
        <w:rPr>
          <w:sz w:val="22"/>
          <w:szCs w:val="22"/>
          <w:lang w:val="es-ES_tradnl"/>
        </w:rPr>
        <w:t xml:space="preserve"> a pacientes con una edad de15 años o superior.</w:t>
      </w:r>
    </w:p>
    <w:p w14:paraId="652A6617" w14:textId="77777777" w:rsidR="00D061AA" w:rsidRPr="00C52C4C" w:rsidRDefault="00D061AA" w:rsidP="00D061AA">
      <w:pPr>
        <w:pStyle w:val="Descripcin"/>
        <w:rPr>
          <w:b w:val="0"/>
          <w:i/>
          <w:szCs w:val="22"/>
          <w:u w:val="single"/>
          <w:lang w:val="es-ES_tradnl"/>
        </w:rPr>
      </w:pPr>
    </w:p>
    <w:p w14:paraId="269B7732" w14:textId="77777777" w:rsidR="00467F71" w:rsidRPr="00C52C4C" w:rsidRDefault="00467F71" w:rsidP="00467F71">
      <w:pPr>
        <w:pStyle w:val="Descripcin"/>
        <w:rPr>
          <w:b w:val="0"/>
          <w:i/>
          <w:szCs w:val="22"/>
          <w:u w:val="single"/>
          <w:lang w:val="es-ES_tradnl"/>
        </w:rPr>
      </w:pPr>
      <w:r w:rsidRPr="00C52C4C">
        <w:rPr>
          <w:b w:val="0"/>
          <w:i/>
          <w:szCs w:val="22"/>
          <w:u w:val="single"/>
          <w:lang w:val="es-ES_tradnl"/>
        </w:rPr>
        <w:t>Duración del tratamiento</w:t>
      </w:r>
    </w:p>
    <w:p w14:paraId="35386FCA" w14:textId="77777777" w:rsidR="00467F71" w:rsidRPr="00C52C4C" w:rsidRDefault="00467F71" w:rsidP="00467F71">
      <w:pPr>
        <w:tabs>
          <w:tab w:val="left" w:pos="567"/>
        </w:tabs>
        <w:rPr>
          <w:sz w:val="22"/>
          <w:szCs w:val="22"/>
          <w:lang w:val="es-ES_tradnl" w:eastAsia="en-US"/>
        </w:rPr>
      </w:pPr>
      <w:r w:rsidRPr="00C52C4C">
        <w:rPr>
          <w:sz w:val="22"/>
          <w:szCs w:val="22"/>
          <w:lang w:val="es-ES_tradnl"/>
        </w:rPr>
        <w:t>La duración del tratamiento debe ser la más corta posible en función de la respuesta clínica y micológica del paciente. En caso de tratamientos prolongados con voriconazol que superen los 180 días (6 meses) es necesario realizar una cuidadosa evaluación del balance beneficio-riesgo (ver secciones 4.4 y 5.1).</w:t>
      </w:r>
    </w:p>
    <w:p w14:paraId="51255BD1" w14:textId="77777777" w:rsidR="00467F71" w:rsidRPr="00C52C4C" w:rsidRDefault="00467F71" w:rsidP="00467F71">
      <w:pPr>
        <w:rPr>
          <w:sz w:val="22"/>
          <w:szCs w:val="22"/>
          <w:lang w:val="es-ES_tradnl" w:eastAsia="en-US"/>
        </w:rPr>
      </w:pPr>
    </w:p>
    <w:p w14:paraId="21404D0D" w14:textId="77777777" w:rsidR="00D061AA" w:rsidRPr="001A4823" w:rsidRDefault="00D061AA" w:rsidP="00D061AA">
      <w:pPr>
        <w:pStyle w:val="Descripcin"/>
        <w:rPr>
          <w:b w:val="0"/>
          <w:i/>
          <w:szCs w:val="22"/>
          <w:u w:val="single"/>
          <w:lang w:val="es-ES_tradnl"/>
        </w:rPr>
      </w:pPr>
      <w:r w:rsidRPr="001A4823">
        <w:rPr>
          <w:b w:val="0"/>
          <w:i/>
          <w:szCs w:val="22"/>
          <w:u w:val="single"/>
          <w:lang w:val="es-ES_tradnl"/>
        </w:rPr>
        <w:t>Ajuste de dosis</w:t>
      </w:r>
      <w:r w:rsidR="00467F71" w:rsidRPr="001A4823">
        <w:rPr>
          <w:b w:val="0"/>
          <w:i/>
          <w:szCs w:val="22"/>
          <w:u w:val="single"/>
          <w:lang w:val="es-ES_tradnl"/>
        </w:rPr>
        <w:t xml:space="preserve"> (adultos)</w:t>
      </w:r>
    </w:p>
    <w:p w14:paraId="3AD8A352"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Si la respuesta del paciente </w:t>
      </w:r>
      <w:r w:rsidR="00021DD6" w:rsidRPr="00C52C4C">
        <w:rPr>
          <w:sz w:val="22"/>
          <w:szCs w:val="22"/>
          <w:lang w:val="es-ES_tradnl"/>
        </w:rPr>
        <w:t xml:space="preserve">al tratamiento </w:t>
      </w:r>
      <w:r w:rsidRPr="00C52C4C">
        <w:rPr>
          <w:sz w:val="22"/>
          <w:szCs w:val="22"/>
          <w:lang w:val="es-ES_tradnl"/>
        </w:rPr>
        <w:t xml:space="preserve">es insuficiente, la dosis de mantenimiento puede aumentarse a 300 mg dos veces al día por vía oral. En los pacientes con un peso inferior a </w:t>
      </w:r>
      <w:smartTag w:uri="urn:schemas-microsoft-com:office:smarttags" w:element="metricconverter">
        <w:smartTagPr>
          <w:attr w:name="ProductID" w:val="40 kg"/>
        </w:smartTagPr>
        <w:r w:rsidRPr="00C52C4C">
          <w:rPr>
            <w:sz w:val="22"/>
            <w:szCs w:val="22"/>
            <w:lang w:val="es-ES_tradnl"/>
          </w:rPr>
          <w:t>40 kg</w:t>
        </w:r>
      </w:smartTag>
      <w:r w:rsidRPr="00C52C4C">
        <w:rPr>
          <w:sz w:val="22"/>
          <w:szCs w:val="22"/>
          <w:lang w:val="es-ES_tradnl"/>
        </w:rPr>
        <w:t>, la dosis oral puede aumentarse a 150 mg dos veces al día.</w:t>
      </w:r>
    </w:p>
    <w:p w14:paraId="23FE5217" w14:textId="77777777" w:rsidR="00D061AA" w:rsidRPr="00C52C4C" w:rsidRDefault="00D061AA" w:rsidP="00D061AA">
      <w:pPr>
        <w:tabs>
          <w:tab w:val="left" w:pos="567"/>
        </w:tabs>
        <w:rPr>
          <w:sz w:val="22"/>
          <w:szCs w:val="22"/>
          <w:lang w:val="es-ES_tradnl"/>
        </w:rPr>
      </w:pPr>
    </w:p>
    <w:p w14:paraId="6E9FF2E7" w14:textId="77777777" w:rsidR="00D061AA" w:rsidRPr="00C52C4C" w:rsidRDefault="00021DD6" w:rsidP="00D061AA">
      <w:pPr>
        <w:tabs>
          <w:tab w:val="left" w:pos="567"/>
        </w:tabs>
        <w:rPr>
          <w:sz w:val="22"/>
          <w:szCs w:val="22"/>
          <w:lang w:val="es-ES_tradnl"/>
        </w:rPr>
      </w:pPr>
      <w:r w:rsidRPr="00C52C4C">
        <w:rPr>
          <w:sz w:val="22"/>
          <w:szCs w:val="22"/>
          <w:lang w:val="es-ES_tradnl"/>
        </w:rPr>
        <w:t>Si el paciente no puede tolerar el tratamiento con una dosis más alta</w:t>
      </w:r>
      <w:r w:rsidR="00D061AA" w:rsidRPr="00C52C4C">
        <w:rPr>
          <w:sz w:val="22"/>
          <w:szCs w:val="22"/>
          <w:lang w:val="es-ES_tradnl"/>
        </w:rPr>
        <w:t xml:space="preserve">, se reducirá la dosis oral en pasos de 50 mg hasta alcanzar la dosis de 200 mg dos veces al día (o 100 mg dos veces al día en pacientes con un peso inferior a </w:t>
      </w:r>
      <w:smartTag w:uri="urn:schemas-microsoft-com:office:smarttags" w:element="metricconverter">
        <w:smartTagPr>
          <w:attr w:name="ProductID" w:val="40 kg"/>
        </w:smartTagPr>
        <w:r w:rsidR="00D061AA" w:rsidRPr="00C52C4C">
          <w:rPr>
            <w:sz w:val="22"/>
            <w:szCs w:val="22"/>
            <w:lang w:val="es-ES_tradnl"/>
          </w:rPr>
          <w:t>40 kg</w:t>
        </w:r>
      </w:smartTag>
      <w:r w:rsidR="00D061AA" w:rsidRPr="00C52C4C">
        <w:rPr>
          <w:sz w:val="22"/>
          <w:szCs w:val="22"/>
          <w:lang w:val="es-ES_tradnl"/>
        </w:rPr>
        <w:t>) como dosis de mantenimiento.</w:t>
      </w:r>
    </w:p>
    <w:p w14:paraId="09366AC1" w14:textId="77777777" w:rsidR="00D061AA" w:rsidRPr="00C52C4C" w:rsidRDefault="00D061AA" w:rsidP="00D061AA">
      <w:pPr>
        <w:tabs>
          <w:tab w:val="left" w:pos="567"/>
        </w:tabs>
        <w:rPr>
          <w:sz w:val="22"/>
          <w:szCs w:val="22"/>
          <w:lang w:val="es-ES_tradnl"/>
        </w:rPr>
      </w:pPr>
    </w:p>
    <w:p w14:paraId="07AA11B5" w14:textId="77777777" w:rsidR="00021DD6" w:rsidRPr="00C52C4C" w:rsidRDefault="00021DD6" w:rsidP="00021DD6">
      <w:pPr>
        <w:tabs>
          <w:tab w:val="left" w:pos="567"/>
        </w:tabs>
        <w:rPr>
          <w:sz w:val="22"/>
          <w:szCs w:val="22"/>
          <w:lang w:val="es-ES_tradnl"/>
        </w:rPr>
      </w:pPr>
      <w:r w:rsidRPr="00C52C4C">
        <w:rPr>
          <w:sz w:val="22"/>
          <w:szCs w:val="22"/>
          <w:lang w:val="es-ES_tradnl"/>
        </w:rPr>
        <w:t>En caso de uso como profilaxis, consulte la información que figura más adelante.</w:t>
      </w:r>
    </w:p>
    <w:p w14:paraId="22760AF2" w14:textId="77777777" w:rsidR="00021DD6" w:rsidRPr="00C52C4C" w:rsidRDefault="00021DD6" w:rsidP="00021DD6">
      <w:pPr>
        <w:tabs>
          <w:tab w:val="left" w:pos="567"/>
        </w:tabs>
        <w:rPr>
          <w:i/>
          <w:sz w:val="22"/>
          <w:szCs w:val="22"/>
          <w:lang w:val="es-ES_tradnl"/>
        </w:rPr>
      </w:pPr>
    </w:p>
    <w:p w14:paraId="258EB69D" w14:textId="77777777" w:rsidR="00021DD6" w:rsidRPr="00C52C4C" w:rsidRDefault="00021DD6" w:rsidP="00021DD6">
      <w:pPr>
        <w:tabs>
          <w:tab w:val="left" w:pos="567"/>
        </w:tabs>
        <w:rPr>
          <w:i/>
          <w:sz w:val="22"/>
          <w:szCs w:val="22"/>
          <w:lang w:val="es-ES_tradnl"/>
        </w:rPr>
      </w:pPr>
      <w:r w:rsidRPr="00C52C4C">
        <w:rPr>
          <w:i/>
          <w:sz w:val="22"/>
          <w:szCs w:val="22"/>
          <w:lang w:val="es-ES_tradnl"/>
        </w:rPr>
        <w:t xml:space="preserve">Niños (de </w:t>
      </w:r>
      <w:smartTag w:uri="urn:schemas-microsoft-com:office:smarttags" w:element="metricconverter">
        <w:smartTagPr>
          <w:attr w:name="ProductID" w:val="2 a"/>
        </w:smartTagPr>
        <w:r w:rsidRPr="00C52C4C">
          <w:rPr>
            <w:i/>
            <w:sz w:val="22"/>
            <w:szCs w:val="22"/>
            <w:lang w:val="es-ES_tradnl"/>
          </w:rPr>
          <w:t>2 a</w:t>
        </w:r>
      </w:smartTag>
      <w:r w:rsidRPr="00C52C4C">
        <w:rPr>
          <w:i/>
          <w:sz w:val="22"/>
          <w:szCs w:val="22"/>
          <w:lang w:val="es-ES_tradnl"/>
        </w:rPr>
        <w:t xml:space="preserve"> &lt;12 años) y adolescentes jóvenes con un peso corporal bajo (de </w:t>
      </w:r>
      <w:smartTag w:uri="urn:schemas-microsoft-com:office:smarttags" w:element="metricconverter">
        <w:smartTagPr>
          <w:attr w:name="ProductID" w:val="12 a"/>
        </w:smartTagPr>
        <w:r w:rsidRPr="00C52C4C">
          <w:rPr>
            <w:i/>
            <w:sz w:val="22"/>
            <w:szCs w:val="22"/>
            <w:lang w:val="es-ES_tradnl"/>
          </w:rPr>
          <w:t>12 a</w:t>
        </w:r>
      </w:smartTag>
      <w:r w:rsidRPr="00C52C4C">
        <w:rPr>
          <w:i/>
          <w:sz w:val="22"/>
          <w:szCs w:val="22"/>
          <w:lang w:val="es-ES_tradnl"/>
        </w:rPr>
        <w:t xml:space="preserve"> 14 años y &lt; </w:t>
      </w:r>
      <w:smartTag w:uri="urn:schemas-microsoft-com:office:smarttags" w:element="metricconverter">
        <w:smartTagPr>
          <w:attr w:name="ProductID" w:val="50 kg"/>
        </w:smartTagPr>
        <w:r w:rsidRPr="00C52C4C">
          <w:rPr>
            <w:i/>
            <w:sz w:val="22"/>
            <w:szCs w:val="22"/>
            <w:lang w:val="es-ES_tradnl"/>
          </w:rPr>
          <w:t>50 kg</w:t>
        </w:r>
      </w:smartTag>
      <w:r w:rsidRPr="00C52C4C">
        <w:rPr>
          <w:i/>
          <w:sz w:val="22"/>
          <w:szCs w:val="22"/>
          <w:lang w:val="es-ES_tradnl"/>
        </w:rPr>
        <w:t>)</w:t>
      </w:r>
    </w:p>
    <w:p w14:paraId="6F00708F" w14:textId="77777777" w:rsidR="00021DD6" w:rsidRPr="00C52C4C" w:rsidRDefault="00021DD6" w:rsidP="00021DD6">
      <w:pPr>
        <w:tabs>
          <w:tab w:val="left" w:pos="567"/>
        </w:tabs>
        <w:rPr>
          <w:sz w:val="22"/>
          <w:szCs w:val="22"/>
          <w:lang w:val="es-ES_tradnl"/>
        </w:rPr>
      </w:pPr>
      <w:r w:rsidRPr="00C52C4C">
        <w:rPr>
          <w:sz w:val="22"/>
          <w:szCs w:val="22"/>
          <w:lang w:val="es-ES_tradnl"/>
        </w:rPr>
        <w:t>Voriconazol debe dosificarse como en los niños ya que en dichos adolescentes jóvenes, el metabolismo de voriconazol puede ser mas similar al de niños que al de adultos.</w:t>
      </w:r>
    </w:p>
    <w:p w14:paraId="7EEB21BF" w14:textId="77777777" w:rsidR="00021DD6" w:rsidRPr="00C52C4C" w:rsidRDefault="00021DD6" w:rsidP="00021DD6">
      <w:pPr>
        <w:tabs>
          <w:tab w:val="left" w:pos="567"/>
        </w:tabs>
        <w:rPr>
          <w:sz w:val="22"/>
          <w:szCs w:val="22"/>
          <w:lang w:val="es-ES_tradnl"/>
        </w:rPr>
      </w:pPr>
    </w:p>
    <w:p w14:paraId="1D7A89B6" w14:textId="77777777" w:rsidR="00021DD6" w:rsidRPr="00C52C4C" w:rsidRDefault="00021DD6" w:rsidP="00021DD6">
      <w:pPr>
        <w:tabs>
          <w:tab w:val="left" w:pos="567"/>
        </w:tabs>
        <w:rPr>
          <w:sz w:val="22"/>
          <w:szCs w:val="22"/>
          <w:lang w:val="es-ES_tradnl"/>
        </w:rPr>
      </w:pPr>
      <w:r w:rsidRPr="00C52C4C">
        <w:rPr>
          <w:sz w:val="22"/>
          <w:szCs w:val="22"/>
          <w:lang w:val="es-ES_tradnl"/>
        </w:rPr>
        <w:t>El régimen de dosis recomendado es el siguiente:</w:t>
      </w:r>
    </w:p>
    <w:p w14:paraId="0101BF32" w14:textId="77777777" w:rsidR="00021DD6" w:rsidRPr="00C52C4C" w:rsidRDefault="00021DD6" w:rsidP="00021DD6">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021DD6" w:rsidRPr="00C52C4C" w14:paraId="3C2E97F5" w14:textId="77777777" w:rsidTr="00520830">
        <w:tc>
          <w:tcPr>
            <w:tcW w:w="3070" w:type="dxa"/>
            <w:tcBorders>
              <w:top w:val="single" w:sz="4" w:space="0" w:color="auto"/>
              <w:left w:val="single" w:sz="4" w:space="0" w:color="auto"/>
              <w:bottom w:val="single" w:sz="4" w:space="0" w:color="auto"/>
              <w:right w:val="single" w:sz="4" w:space="0" w:color="auto"/>
            </w:tcBorders>
          </w:tcPr>
          <w:p w14:paraId="3B109DDB" w14:textId="77777777" w:rsidR="00021DD6" w:rsidRPr="00C52C4C" w:rsidRDefault="00021DD6" w:rsidP="00520830">
            <w:pPr>
              <w:tabs>
                <w:tab w:val="left" w:pos="567"/>
              </w:tabs>
              <w:rPr>
                <w:sz w:val="22"/>
                <w:szCs w:val="22"/>
                <w:lang w:val="es-ES_tradnl"/>
              </w:rPr>
            </w:pPr>
          </w:p>
        </w:tc>
        <w:tc>
          <w:tcPr>
            <w:tcW w:w="3070" w:type="dxa"/>
            <w:tcBorders>
              <w:top w:val="single" w:sz="4" w:space="0" w:color="auto"/>
              <w:left w:val="single" w:sz="4" w:space="0" w:color="auto"/>
              <w:bottom w:val="single" w:sz="4" w:space="0" w:color="auto"/>
              <w:right w:val="single" w:sz="4" w:space="0" w:color="auto"/>
            </w:tcBorders>
          </w:tcPr>
          <w:p w14:paraId="0784B959" w14:textId="77777777" w:rsidR="00021DD6" w:rsidRPr="00C52C4C" w:rsidRDefault="00021DD6" w:rsidP="00520830">
            <w:pPr>
              <w:tabs>
                <w:tab w:val="left" w:pos="567"/>
              </w:tabs>
              <w:rPr>
                <w:b/>
                <w:sz w:val="22"/>
                <w:szCs w:val="22"/>
                <w:lang w:val="es-ES_tradnl"/>
              </w:rPr>
            </w:pPr>
            <w:r w:rsidRPr="00C52C4C">
              <w:rPr>
                <w:b/>
                <w:sz w:val="22"/>
                <w:szCs w:val="22"/>
                <w:lang w:val="es-ES_tradnl"/>
              </w:rPr>
              <w:t xml:space="preserve">Vía intravenosa </w:t>
            </w:r>
          </w:p>
        </w:tc>
        <w:tc>
          <w:tcPr>
            <w:tcW w:w="3070" w:type="dxa"/>
            <w:tcBorders>
              <w:top w:val="single" w:sz="4" w:space="0" w:color="auto"/>
              <w:left w:val="single" w:sz="4" w:space="0" w:color="auto"/>
              <w:bottom w:val="single" w:sz="4" w:space="0" w:color="auto"/>
              <w:right w:val="single" w:sz="4" w:space="0" w:color="auto"/>
            </w:tcBorders>
          </w:tcPr>
          <w:p w14:paraId="09C741A9" w14:textId="77777777" w:rsidR="00021DD6" w:rsidRPr="00C52C4C" w:rsidRDefault="00021DD6" w:rsidP="00520830">
            <w:pPr>
              <w:tabs>
                <w:tab w:val="left" w:pos="567"/>
              </w:tabs>
              <w:rPr>
                <w:b/>
                <w:sz w:val="22"/>
                <w:szCs w:val="22"/>
                <w:lang w:val="es-ES_tradnl"/>
              </w:rPr>
            </w:pPr>
            <w:r w:rsidRPr="00C52C4C">
              <w:rPr>
                <w:b/>
                <w:sz w:val="22"/>
                <w:szCs w:val="22"/>
                <w:lang w:val="es-ES_tradnl"/>
              </w:rPr>
              <w:t>Vía oral</w:t>
            </w:r>
          </w:p>
        </w:tc>
      </w:tr>
      <w:tr w:rsidR="00021DD6" w:rsidRPr="00C52C4C" w14:paraId="5DEFE054" w14:textId="77777777" w:rsidTr="00520830">
        <w:tc>
          <w:tcPr>
            <w:tcW w:w="3070" w:type="dxa"/>
            <w:tcBorders>
              <w:top w:val="single" w:sz="4" w:space="0" w:color="auto"/>
              <w:left w:val="single" w:sz="4" w:space="0" w:color="auto"/>
              <w:bottom w:val="single" w:sz="4" w:space="0" w:color="auto"/>
              <w:right w:val="single" w:sz="4" w:space="0" w:color="auto"/>
            </w:tcBorders>
          </w:tcPr>
          <w:p w14:paraId="6288683F" w14:textId="77777777" w:rsidR="00021DD6" w:rsidRPr="00C52C4C" w:rsidRDefault="00021DD6" w:rsidP="00520830">
            <w:pPr>
              <w:tabs>
                <w:tab w:val="left" w:pos="567"/>
              </w:tabs>
              <w:rPr>
                <w:b/>
                <w:sz w:val="22"/>
                <w:szCs w:val="22"/>
                <w:lang w:val="es-ES_tradnl"/>
              </w:rPr>
            </w:pPr>
            <w:r w:rsidRPr="00C52C4C">
              <w:rPr>
                <w:b/>
                <w:sz w:val="22"/>
                <w:szCs w:val="22"/>
                <w:lang w:val="es-ES_tradnl"/>
              </w:rPr>
              <w:t>Dosis de carga</w:t>
            </w:r>
          </w:p>
          <w:p w14:paraId="2614155A" w14:textId="77777777" w:rsidR="00021DD6" w:rsidRPr="00C52C4C" w:rsidRDefault="00021DD6" w:rsidP="00520830">
            <w:pPr>
              <w:tabs>
                <w:tab w:val="left" w:pos="567"/>
              </w:tabs>
              <w:rPr>
                <w:b/>
                <w:sz w:val="22"/>
                <w:szCs w:val="22"/>
                <w:lang w:val="es-ES_tradnl"/>
              </w:rPr>
            </w:pPr>
            <w:r w:rsidRPr="00C52C4C">
              <w:rPr>
                <w:b/>
                <w:sz w:val="22"/>
                <w:szCs w:val="22"/>
                <w:lang w:val="es-ES_tradnl"/>
              </w:rPr>
              <w:t xml:space="preserve">(primeras 24 horas) </w:t>
            </w:r>
          </w:p>
        </w:tc>
        <w:tc>
          <w:tcPr>
            <w:tcW w:w="3070" w:type="dxa"/>
            <w:tcBorders>
              <w:top w:val="single" w:sz="4" w:space="0" w:color="auto"/>
              <w:left w:val="single" w:sz="4" w:space="0" w:color="auto"/>
              <w:bottom w:val="single" w:sz="4" w:space="0" w:color="auto"/>
              <w:right w:val="single" w:sz="4" w:space="0" w:color="auto"/>
            </w:tcBorders>
          </w:tcPr>
          <w:p w14:paraId="6B83D6B7" w14:textId="77777777" w:rsidR="00021DD6" w:rsidRPr="00C52C4C" w:rsidRDefault="00021DD6" w:rsidP="00520830">
            <w:pPr>
              <w:tabs>
                <w:tab w:val="left" w:pos="567"/>
              </w:tabs>
              <w:rPr>
                <w:sz w:val="22"/>
                <w:szCs w:val="22"/>
                <w:lang w:val="es-ES_tradnl"/>
              </w:rPr>
            </w:pPr>
            <w:r w:rsidRPr="00C52C4C">
              <w:rPr>
                <w:sz w:val="22"/>
                <w:szCs w:val="22"/>
                <w:lang w:val="es-ES_tradnl"/>
              </w:rPr>
              <w:t>9 mg/kg cada 12 horas</w:t>
            </w:r>
          </w:p>
        </w:tc>
        <w:tc>
          <w:tcPr>
            <w:tcW w:w="3070" w:type="dxa"/>
            <w:tcBorders>
              <w:top w:val="single" w:sz="4" w:space="0" w:color="auto"/>
              <w:left w:val="single" w:sz="4" w:space="0" w:color="auto"/>
              <w:bottom w:val="single" w:sz="4" w:space="0" w:color="auto"/>
              <w:right w:val="single" w:sz="4" w:space="0" w:color="auto"/>
            </w:tcBorders>
          </w:tcPr>
          <w:p w14:paraId="3BD10D16" w14:textId="77777777" w:rsidR="00021DD6" w:rsidRPr="00C52C4C" w:rsidRDefault="00021DD6" w:rsidP="00520830">
            <w:pPr>
              <w:tabs>
                <w:tab w:val="left" w:pos="567"/>
              </w:tabs>
              <w:rPr>
                <w:sz w:val="22"/>
                <w:szCs w:val="22"/>
                <w:lang w:val="es-ES_tradnl"/>
              </w:rPr>
            </w:pPr>
            <w:r w:rsidRPr="00C52C4C">
              <w:rPr>
                <w:sz w:val="22"/>
                <w:szCs w:val="22"/>
                <w:lang w:val="es-ES_tradnl"/>
              </w:rPr>
              <w:t>No se recomienda</w:t>
            </w:r>
          </w:p>
        </w:tc>
      </w:tr>
      <w:tr w:rsidR="00021DD6" w:rsidRPr="00C52C4C" w14:paraId="2DD4E667" w14:textId="77777777" w:rsidTr="00520830">
        <w:tc>
          <w:tcPr>
            <w:tcW w:w="3070" w:type="dxa"/>
            <w:tcBorders>
              <w:top w:val="single" w:sz="4" w:space="0" w:color="auto"/>
              <w:left w:val="single" w:sz="4" w:space="0" w:color="auto"/>
              <w:bottom w:val="single" w:sz="4" w:space="0" w:color="auto"/>
              <w:right w:val="single" w:sz="4" w:space="0" w:color="auto"/>
            </w:tcBorders>
          </w:tcPr>
          <w:p w14:paraId="567DE077" w14:textId="77777777" w:rsidR="00021DD6" w:rsidRPr="00C52C4C" w:rsidRDefault="00021DD6" w:rsidP="00520830">
            <w:pPr>
              <w:tabs>
                <w:tab w:val="left" w:pos="567"/>
              </w:tabs>
              <w:rPr>
                <w:b/>
                <w:sz w:val="22"/>
                <w:szCs w:val="22"/>
                <w:lang w:val="es-ES_tradnl"/>
              </w:rPr>
            </w:pPr>
            <w:r w:rsidRPr="00C52C4C">
              <w:rPr>
                <w:b/>
                <w:sz w:val="22"/>
                <w:szCs w:val="22"/>
                <w:lang w:val="es-ES_tradnl"/>
              </w:rPr>
              <w:t xml:space="preserve">Dosis de mantenimiento </w:t>
            </w:r>
          </w:p>
          <w:p w14:paraId="361908ED" w14:textId="77777777" w:rsidR="00021DD6" w:rsidRPr="00C52C4C" w:rsidRDefault="00021DD6" w:rsidP="00520830">
            <w:pPr>
              <w:tabs>
                <w:tab w:val="left" w:pos="567"/>
              </w:tabs>
              <w:rPr>
                <w:b/>
                <w:sz w:val="22"/>
                <w:szCs w:val="22"/>
                <w:lang w:val="es-ES_tradnl"/>
              </w:rPr>
            </w:pPr>
            <w:r w:rsidRPr="00C52C4C">
              <w:rPr>
                <w:b/>
                <w:sz w:val="22"/>
                <w:szCs w:val="22"/>
                <w:lang w:val="es-ES_tradnl"/>
              </w:rPr>
              <w:t>(después de las primeras 24 horas)</w:t>
            </w:r>
          </w:p>
        </w:tc>
        <w:tc>
          <w:tcPr>
            <w:tcW w:w="3070" w:type="dxa"/>
            <w:tcBorders>
              <w:top w:val="single" w:sz="4" w:space="0" w:color="auto"/>
              <w:left w:val="single" w:sz="4" w:space="0" w:color="auto"/>
              <w:bottom w:val="single" w:sz="4" w:space="0" w:color="auto"/>
              <w:right w:val="single" w:sz="4" w:space="0" w:color="auto"/>
            </w:tcBorders>
          </w:tcPr>
          <w:p w14:paraId="797841D0" w14:textId="77777777" w:rsidR="00021DD6" w:rsidRPr="00C52C4C" w:rsidRDefault="00021DD6" w:rsidP="00520830">
            <w:pPr>
              <w:tabs>
                <w:tab w:val="left" w:pos="567"/>
              </w:tabs>
              <w:rPr>
                <w:sz w:val="22"/>
                <w:szCs w:val="22"/>
                <w:lang w:val="es-ES_tradnl"/>
              </w:rPr>
            </w:pPr>
            <w:r w:rsidRPr="00C52C4C">
              <w:rPr>
                <w:sz w:val="22"/>
                <w:szCs w:val="22"/>
                <w:lang w:val="es-ES_tradnl"/>
              </w:rPr>
              <w:t>8 mg/kg dos veces al día</w:t>
            </w:r>
          </w:p>
        </w:tc>
        <w:tc>
          <w:tcPr>
            <w:tcW w:w="3070" w:type="dxa"/>
            <w:tcBorders>
              <w:top w:val="single" w:sz="4" w:space="0" w:color="auto"/>
              <w:left w:val="single" w:sz="4" w:space="0" w:color="auto"/>
              <w:bottom w:val="single" w:sz="4" w:space="0" w:color="auto"/>
              <w:right w:val="single" w:sz="4" w:space="0" w:color="auto"/>
            </w:tcBorders>
          </w:tcPr>
          <w:p w14:paraId="1581C0FA" w14:textId="77777777" w:rsidR="00021DD6" w:rsidRPr="00C52C4C" w:rsidRDefault="00021DD6" w:rsidP="00520830">
            <w:pPr>
              <w:tabs>
                <w:tab w:val="left" w:pos="567"/>
              </w:tabs>
              <w:rPr>
                <w:sz w:val="22"/>
                <w:szCs w:val="22"/>
                <w:lang w:val="es-ES_tradnl"/>
              </w:rPr>
            </w:pPr>
            <w:r w:rsidRPr="00C52C4C">
              <w:rPr>
                <w:sz w:val="22"/>
                <w:szCs w:val="22"/>
                <w:lang w:val="es-ES_tradnl"/>
              </w:rPr>
              <w:t>9 mg/kg dos veces al día (una dosis máxima de 350 mg dos veces al día)</w:t>
            </w:r>
          </w:p>
        </w:tc>
      </w:tr>
    </w:tbl>
    <w:p w14:paraId="5B97BE01" w14:textId="77777777" w:rsidR="00021DD6" w:rsidRPr="00C52C4C" w:rsidRDefault="00021DD6" w:rsidP="00021DD6">
      <w:pPr>
        <w:tabs>
          <w:tab w:val="left" w:pos="567"/>
        </w:tabs>
        <w:ind w:left="567" w:hanging="567"/>
        <w:rPr>
          <w:sz w:val="22"/>
          <w:szCs w:val="22"/>
          <w:lang w:val="es-ES_tradnl"/>
        </w:rPr>
      </w:pPr>
      <w:r w:rsidRPr="00C52C4C">
        <w:rPr>
          <w:sz w:val="22"/>
          <w:szCs w:val="22"/>
          <w:lang w:val="es-ES_tradnl"/>
        </w:rPr>
        <w:t xml:space="preserve">Nota: Basado en un análisis farmacocinético poblacional en 112 pacientes inmunocomprometidos de </w:t>
      </w:r>
      <w:smartTag w:uri="urn:schemas-microsoft-com:office:smarttags" w:element="metricconverter">
        <w:smartTagPr>
          <w:attr w:name="ProductID" w:val="2 a"/>
        </w:smartTagPr>
        <w:r w:rsidRPr="00C52C4C">
          <w:rPr>
            <w:sz w:val="22"/>
            <w:szCs w:val="22"/>
            <w:lang w:val="es-ES_tradnl"/>
          </w:rPr>
          <w:t>2 a</w:t>
        </w:r>
      </w:smartTag>
      <w:r w:rsidRPr="00C52C4C">
        <w:rPr>
          <w:sz w:val="22"/>
          <w:szCs w:val="22"/>
          <w:lang w:val="es-ES_tradnl"/>
        </w:rPr>
        <w:t xml:space="preserve"> &lt; 12 años de edad y 26 pacientes adolescentes inmunocomprometidos de </w:t>
      </w:r>
      <w:smartTag w:uri="urn:schemas-microsoft-com:office:smarttags" w:element="metricconverter">
        <w:smartTagPr>
          <w:attr w:name="ProductID" w:val="12 a"/>
        </w:smartTagPr>
        <w:r w:rsidRPr="00C52C4C">
          <w:rPr>
            <w:sz w:val="22"/>
            <w:szCs w:val="22"/>
            <w:lang w:val="es-ES_tradnl"/>
          </w:rPr>
          <w:t>12 a</w:t>
        </w:r>
      </w:smartTag>
      <w:r w:rsidRPr="00C52C4C">
        <w:rPr>
          <w:sz w:val="22"/>
          <w:szCs w:val="22"/>
          <w:lang w:val="es-ES_tradnl"/>
        </w:rPr>
        <w:t xml:space="preserve"> &lt; 17 años de edad.</w:t>
      </w:r>
    </w:p>
    <w:p w14:paraId="67611C3B" w14:textId="77777777" w:rsidR="00021DD6" w:rsidRPr="00C52C4C" w:rsidRDefault="00021DD6" w:rsidP="00021DD6">
      <w:pPr>
        <w:tabs>
          <w:tab w:val="left" w:pos="567"/>
        </w:tabs>
        <w:ind w:left="567" w:hanging="567"/>
        <w:rPr>
          <w:sz w:val="22"/>
          <w:szCs w:val="22"/>
          <w:lang w:val="es-ES_tradnl"/>
        </w:rPr>
      </w:pPr>
    </w:p>
    <w:p w14:paraId="1384E48B" w14:textId="77777777" w:rsidR="00021DD6" w:rsidRPr="00C52C4C" w:rsidRDefault="00021DD6" w:rsidP="00021DD6">
      <w:pPr>
        <w:tabs>
          <w:tab w:val="left" w:pos="567"/>
        </w:tabs>
        <w:rPr>
          <w:sz w:val="22"/>
          <w:szCs w:val="22"/>
          <w:lang w:val="es-ES_tradnl"/>
        </w:rPr>
      </w:pPr>
      <w:r w:rsidRPr="00C52C4C">
        <w:rPr>
          <w:sz w:val="22"/>
          <w:szCs w:val="22"/>
          <w:lang w:val="es-ES_tradnl"/>
        </w:rPr>
        <w:t>Se recomienda iniciar el tratamiento con el régimen intravenoso y solo debe considerarse el régimen oral tras una mejoría clínica significativa. Se debe tener en cuenta que una dosis intravenosa de 8 mg/kg  de voriconazol proporcionará una exposición dos veces mayor que una dosis oral de 9 mg/kg.</w:t>
      </w:r>
    </w:p>
    <w:p w14:paraId="6C406B8E" w14:textId="77777777" w:rsidR="00021DD6" w:rsidRPr="00C52C4C" w:rsidRDefault="00021DD6" w:rsidP="00021DD6">
      <w:pPr>
        <w:tabs>
          <w:tab w:val="left" w:pos="567"/>
        </w:tabs>
        <w:rPr>
          <w:sz w:val="22"/>
          <w:szCs w:val="22"/>
          <w:lang w:val="es-ES_tradnl"/>
        </w:rPr>
      </w:pPr>
    </w:p>
    <w:p w14:paraId="7E6B163A" w14:textId="77777777" w:rsidR="00021DD6" w:rsidRPr="00C52C4C" w:rsidRDefault="00021DD6" w:rsidP="00021DD6">
      <w:pPr>
        <w:tabs>
          <w:tab w:val="left" w:pos="567"/>
        </w:tabs>
        <w:rPr>
          <w:sz w:val="22"/>
          <w:szCs w:val="22"/>
          <w:lang w:val="es-ES_tradnl"/>
        </w:rPr>
      </w:pPr>
      <w:r w:rsidRPr="00C52C4C">
        <w:rPr>
          <w:sz w:val="22"/>
          <w:szCs w:val="22"/>
          <w:lang w:val="es-ES_tradnl"/>
        </w:rPr>
        <w:t xml:space="preserve">Estas recomendaciones posológicas orales para niños están basadas en ensayos clínicos en los que se administró voriconazol en forma de polvo para suspensión oral. La bioequivalencia entre el polvo para suspensión oral y los comprimidos no se ha investigado en la población pediátrica. La absorción de los comprimidos podría ser diferente en los pacientes pediátricos en comparación con los adultos debido a que el tiempo de tránsito gastrointestinal es más corto en la población pediátrica. Por tanto, en niños de </w:t>
      </w:r>
      <w:smartTag w:uri="urn:schemas-microsoft-com:office:smarttags" w:element="metricconverter">
        <w:smartTagPr>
          <w:attr w:name="ProductID" w:val="2 a"/>
        </w:smartTagPr>
        <w:r w:rsidRPr="00C52C4C">
          <w:rPr>
            <w:sz w:val="22"/>
            <w:szCs w:val="22"/>
            <w:lang w:val="es-ES_tradnl"/>
          </w:rPr>
          <w:t>2 a</w:t>
        </w:r>
      </w:smartTag>
      <w:r w:rsidRPr="00C52C4C">
        <w:rPr>
          <w:sz w:val="22"/>
          <w:szCs w:val="22"/>
          <w:lang w:val="es-ES_tradnl"/>
        </w:rPr>
        <w:t xml:space="preserve"> &lt;12 años de edad, se recomienda usar la suspensión oral.</w:t>
      </w:r>
    </w:p>
    <w:p w14:paraId="6D40A1C8" w14:textId="77777777" w:rsidR="00021DD6" w:rsidRPr="00C52C4C" w:rsidRDefault="00021DD6" w:rsidP="00021DD6">
      <w:pPr>
        <w:tabs>
          <w:tab w:val="left" w:pos="567"/>
        </w:tabs>
        <w:rPr>
          <w:sz w:val="22"/>
          <w:szCs w:val="22"/>
          <w:lang w:val="es-ES_tradnl"/>
        </w:rPr>
      </w:pPr>
    </w:p>
    <w:p w14:paraId="638B7974" w14:textId="77777777" w:rsidR="00021DD6" w:rsidRPr="00C52C4C" w:rsidRDefault="00021DD6" w:rsidP="00021DD6">
      <w:pPr>
        <w:tabs>
          <w:tab w:val="left" w:pos="567"/>
        </w:tabs>
        <w:rPr>
          <w:i/>
          <w:sz w:val="22"/>
          <w:szCs w:val="22"/>
          <w:lang w:val="es-ES_tradnl"/>
        </w:rPr>
      </w:pPr>
      <w:r w:rsidRPr="00C52C4C">
        <w:rPr>
          <w:i/>
          <w:sz w:val="22"/>
          <w:szCs w:val="22"/>
          <w:lang w:val="es-ES_tradnl"/>
        </w:rPr>
        <w:t>Todos los adolescentes (</w:t>
      </w:r>
      <w:smartTag w:uri="urn:schemas-microsoft-com:office:smarttags" w:element="metricconverter">
        <w:smartTagPr>
          <w:attr w:name="ProductID" w:val="12 a"/>
        </w:smartTagPr>
        <w:r w:rsidRPr="00C52C4C">
          <w:rPr>
            <w:i/>
            <w:sz w:val="22"/>
            <w:szCs w:val="22"/>
            <w:lang w:val="es-ES_tradnl"/>
          </w:rPr>
          <w:t>12 a</w:t>
        </w:r>
      </w:smartTag>
      <w:r w:rsidRPr="00C52C4C">
        <w:rPr>
          <w:i/>
          <w:sz w:val="22"/>
          <w:szCs w:val="22"/>
          <w:lang w:val="es-ES_tradnl"/>
        </w:rPr>
        <w:t xml:space="preserve"> 14 años de edad con un peso corporal ≥ </w:t>
      </w:r>
      <w:smartTag w:uri="urn:schemas-microsoft-com:office:smarttags" w:element="metricconverter">
        <w:smartTagPr>
          <w:attr w:name="ProductID" w:val="50 kg"/>
        </w:smartTagPr>
        <w:r w:rsidRPr="00C52C4C">
          <w:rPr>
            <w:i/>
            <w:sz w:val="22"/>
            <w:szCs w:val="22"/>
            <w:lang w:val="es-ES_tradnl"/>
          </w:rPr>
          <w:t>50 kg</w:t>
        </w:r>
      </w:smartTag>
      <w:r w:rsidRPr="00C52C4C">
        <w:rPr>
          <w:i/>
          <w:sz w:val="22"/>
          <w:szCs w:val="22"/>
          <w:lang w:val="es-ES_tradnl"/>
        </w:rPr>
        <w:t xml:space="preserve"> y de </w:t>
      </w:r>
      <w:smartTag w:uri="urn:schemas-microsoft-com:office:smarttags" w:element="metricconverter">
        <w:smartTagPr>
          <w:attr w:name="ProductID" w:val="15 a"/>
        </w:smartTagPr>
        <w:r w:rsidRPr="00C52C4C">
          <w:rPr>
            <w:i/>
            <w:sz w:val="22"/>
            <w:szCs w:val="22"/>
            <w:lang w:val="es-ES_tradnl"/>
          </w:rPr>
          <w:t>15 a</w:t>
        </w:r>
      </w:smartTag>
      <w:r w:rsidRPr="00C52C4C">
        <w:rPr>
          <w:i/>
          <w:sz w:val="22"/>
          <w:szCs w:val="22"/>
          <w:lang w:val="es-ES_tradnl"/>
        </w:rPr>
        <w:t xml:space="preserve"> 17 años de edad con independencia del peso corporal)</w:t>
      </w:r>
    </w:p>
    <w:p w14:paraId="78BF4475" w14:textId="77777777" w:rsidR="00021DD6" w:rsidRPr="00C52C4C" w:rsidRDefault="00021DD6" w:rsidP="00021DD6">
      <w:pPr>
        <w:tabs>
          <w:tab w:val="left" w:pos="567"/>
        </w:tabs>
        <w:rPr>
          <w:sz w:val="22"/>
          <w:szCs w:val="22"/>
          <w:lang w:val="es-ES_tradnl"/>
        </w:rPr>
      </w:pPr>
      <w:r w:rsidRPr="00C52C4C">
        <w:rPr>
          <w:sz w:val="22"/>
          <w:szCs w:val="22"/>
          <w:lang w:val="es-ES_tradnl"/>
        </w:rPr>
        <w:t>Voriconazol debe dosificarse como en los adultos.</w:t>
      </w:r>
    </w:p>
    <w:p w14:paraId="5CB23D3B" w14:textId="77777777" w:rsidR="00021DD6" w:rsidRPr="00C52C4C" w:rsidRDefault="00021DD6" w:rsidP="00021DD6">
      <w:pPr>
        <w:pStyle w:val="Default"/>
        <w:rPr>
          <w:sz w:val="22"/>
          <w:szCs w:val="22"/>
          <w:lang w:val="es-ES_tradnl"/>
        </w:rPr>
      </w:pPr>
    </w:p>
    <w:p w14:paraId="3CE3DCAC" w14:textId="77777777" w:rsidR="00021DD6" w:rsidRPr="00C52C4C" w:rsidRDefault="00021DD6" w:rsidP="00021DD6">
      <w:pPr>
        <w:tabs>
          <w:tab w:val="left" w:pos="567"/>
        </w:tabs>
        <w:rPr>
          <w:i/>
          <w:sz w:val="22"/>
          <w:szCs w:val="22"/>
          <w:lang w:val="es-ES_tradnl"/>
        </w:rPr>
      </w:pPr>
      <w:r w:rsidRPr="00C52C4C">
        <w:rPr>
          <w:i/>
          <w:sz w:val="22"/>
          <w:szCs w:val="22"/>
          <w:u w:val="single"/>
          <w:lang w:val="es-ES_tradnl"/>
        </w:rPr>
        <w:t xml:space="preserve">Ajuste de la dosis (niños [de </w:t>
      </w:r>
      <w:smartTag w:uri="urn:schemas-microsoft-com:office:smarttags" w:element="metricconverter">
        <w:smartTagPr>
          <w:attr w:name="ProductID" w:val="2 a"/>
        </w:smartTagPr>
        <w:r w:rsidRPr="00C52C4C">
          <w:rPr>
            <w:i/>
            <w:sz w:val="22"/>
            <w:szCs w:val="22"/>
            <w:u w:val="single"/>
            <w:lang w:val="es-ES_tradnl"/>
          </w:rPr>
          <w:t>2 a</w:t>
        </w:r>
      </w:smartTag>
      <w:r w:rsidRPr="00C52C4C">
        <w:rPr>
          <w:i/>
          <w:sz w:val="22"/>
          <w:szCs w:val="22"/>
          <w:u w:val="single"/>
          <w:lang w:val="es-ES_tradnl"/>
        </w:rPr>
        <w:t xml:space="preserve"> &lt; 12 años] y adolescentes jóvenes con un peso corporal bajo [de </w:t>
      </w:r>
      <w:smartTag w:uri="urn:schemas-microsoft-com:office:smarttags" w:element="metricconverter">
        <w:smartTagPr>
          <w:attr w:name="ProductID" w:val="12 a"/>
        </w:smartTagPr>
        <w:r w:rsidRPr="00C52C4C">
          <w:rPr>
            <w:i/>
            <w:sz w:val="22"/>
            <w:szCs w:val="22"/>
            <w:u w:val="single"/>
            <w:lang w:val="es-ES_tradnl"/>
          </w:rPr>
          <w:t>12 a</w:t>
        </w:r>
      </w:smartTag>
      <w:r w:rsidRPr="00C52C4C">
        <w:rPr>
          <w:i/>
          <w:sz w:val="22"/>
          <w:szCs w:val="22"/>
          <w:u w:val="single"/>
          <w:lang w:val="es-ES_tradnl"/>
        </w:rPr>
        <w:t xml:space="preserve"> 14 años y &lt; 50 kg])</w:t>
      </w:r>
    </w:p>
    <w:p w14:paraId="0C957CF7" w14:textId="77777777" w:rsidR="00021DD6" w:rsidRPr="00C52C4C" w:rsidRDefault="00021DD6" w:rsidP="00021DD6">
      <w:pPr>
        <w:tabs>
          <w:tab w:val="left" w:pos="567"/>
        </w:tabs>
        <w:rPr>
          <w:sz w:val="22"/>
          <w:szCs w:val="22"/>
          <w:lang w:val="es-ES_tradnl"/>
        </w:rPr>
      </w:pPr>
      <w:r w:rsidRPr="00C52C4C">
        <w:rPr>
          <w:sz w:val="22"/>
          <w:szCs w:val="22"/>
          <w:lang w:val="es-ES_tradnl"/>
        </w:rPr>
        <w:t>Si la repuesta del paciente al tratamiento es inadecuada, debería incrementarse la dosis en pasos de 1 mg/kg (o en pasos de 50 mg si inicialmente se utilizó la dosis oral máxima de 350 mg). Si el paciente es incapaz de tolerar el tratamiento, reducir la dosis en pasos de 1 mg/kg (o en pasos de 50 mg si inicialmente se utilizó la dosis oral máxima de 350 mg).</w:t>
      </w:r>
    </w:p>
    <w:p w14:paraId="5DE7D856" w14:textId="77777777" w:rsidR="00021DD6" w:rsidRPr="00C52C4C" w:rsidRDefault="00021DD6" w:rsidP="00021DD6">
      <w:pPr>
        <w:tabs>
          <w:tab w:val="left" w:pos="567"/>
        </w:tabs>
        <w:rPr>
          <w:sz w:val="22"/>
          <w:szCs w:val="22"/>
          <w:u w:val="single"/>
          <w:lang w:val="es-ES_tradnl"/>
        </w:rPr>
      </w:pPr>
    </w:p>
    <w:p w14:paraId="22633575" w14:textId="77777777" w:rsidR="00021DD6" w:rsidRPr="00C52C4C" w:rsidRDefault="00021DD6" w:rsidP="00021DD6">
      <w:pPr>
        <w:pStyle w:val="Default"/>
        <w:rPr>
          <w:i/>
          <w:sz w:val="22"/>
          <w:szCs w:val="22"/>
          <w:lang w:val="es-ES_tradnl"/>
        </w:rPr>
      </w:pPr>
      <w:r w:rsidRPr="00C52C4C">
        <w:rPr>
          <w:sz w:val="22"/>
          <w:szCs w:val="22"/>
          <w:lang w:val="es-ES_tradnl"/>
        </w:rPr>
        <w:t xml:space="preserve">No se ha estudiado el uso en pacientes pediátricos de </w:t>
      </w:r>
      <w:smartTag w:uri="urn:schemas-microsoft-com:office:smarttags" w:element="metricconverter">
        <w:smartTagPr>
          <w:attr w:name="ProductID" w:val="2 a"/>
        </w:smartTagPr>
        <w:r w:rsidRPr="00C52C4C">
          <w:rPr>
            <w:sz w:val="22"/>
            <w:szCs w:val="22"/>
            <w:lang w:val="es-ES_tradnl"/>
          </w:rPr>
          <w:t>2 a</w:t>
        </w:r>
      </w:smartTag>
      <w:r w:rsidRPr="00C52C4C">
        <w:rPr>
          <w:sz w:val="22"/>
          <w:szCs w:val="22"/>
          <w:lang w:val="es-ES_tradnl"/>
        </w:rPr>
        <w:t xml:space="preserve"> &lt; 12 años de edad con insuficiencia hepática o renal (ver secciones 4.8 y 5.2).</w:t>
      </w:r>
    </w:p>
    <w:p w14:paraId="530697A7" w14:textId="77777777" w:rsidR="00021DD6" w:rsidRPr="00C52C4C" w:rsidRDefault="00021DD6" w:rsidP="00021DD6">
      <w:pPr>
        <w:tabs>
          <w:tab w:val="left" w:pos="567"/>
        </w:tabs>
        <w:rPr>
          <w:sz w:val="22"/>
          <w:szCs w:val="22"/>
          <w:lang w:val="es-ES_tradnl"/>
        </w:rPr>
      </w:pPr>
    </w:p>
    <w:p w14:paraId="3EF4CCD1" w14:textId="77777777" w:rsidR="00021DD6" w:rsidRPr="00C52C4C" w:rsidRDefault="00021DD6" w:rsidP="00021DD6">
      <w:pPr>
        <w:tabs>
          <w:tab w:val="left" w:pos="567"/>
        </w:tabs>
        <w:rPr>
          <w:sz w:val="22"/>
          <w:szCs w:val="22"/>
          <w:lang w:val="es-ES_tradnl"/>
        </w:rPr>
      </w:pPr>
      <w:r w:rsidRPr="00C52C4C">
        <w:rPr>
          <w:sz w:val="22"/>
          <w:szCs w:val="22"/>
          <w:u w:val="single"/>
          <w:lang w:val="es-ES_tradnl"/>
        </w:rPr>
        <w:t>Profilaxis en adultos y niños</w:t>
      </w:r>
    </w:p>
    <w:p w14:paraId="50623E06" w14:textId="77777777" w:rsidR="00021DD6" w:rsidRPr="00C52C4C" w:rsidRDefault="00021DD6" w:rsidP="00021DD6">
      <w:pPr>
        <w:tabs>
          <w:tab w:val="left" w:pos="567"/>
        </w:tabs>
        <w:rPr>
          <w:sz w:val="22"/>
          <w:szCs w:val="22"/>
          <w:lang w:val="es-ES_tradnl"/>
        </w:rPr>
      </w:pPr>
      <w:r w:rsidRPr="00C52C4C">
        <w:rPr>
          <w:sz w:val="22"/>
          <w:szCs w:val="22"/>
          <w:lang w:val="es-ES_tradnl"/>
        </w:rPr>
        <w:t>La profilaxis se debe iniciar el día del trasplante y puede durar</w:t>
      </w:r>
      <w:r w:rsidR="00BF36BB" w:rsidRPr="00C52C4C">
        <w:rPr>
          <w:sz w:val="22"/>
          <w:szCs w:val="22"/>
          <w:lang w:val="es-ES_tradnl"/>
        </w:rPr>
        <w:t xml:space="preserve"> </w:t>
      </w:r>
      <w:r w:rsidRPr="00C52C4C">
        <w:rPr>
          <w:sz w:val="22"/>
          <w:szCs w:val="22"/>
          <w:lang w:val="es-ES_tradnl"/>
        </w:rPr>
        <w:t>hasta 100 días. Debe ser lo más corta posible en función del riesgo de presentar infección fúngica invasiva (IFI) determinada por neutropenia o inmunosupresión. Únicamente puede prolongarse hasta 180 días tras el trasplante en caso de inmunosupresión persistente o enfermedad de injerto contra huésped (EIcH) (ver sección 5.1).</w:t>
      </w:r>
    </w:p>
    <w:p w14:paraId="63F24CAF" w14:textId="77777777" w:rsidR="00021DD6" w:rsidRPr="00C52C4C" w:rsidRDefault="00021DD6" w:rsidP="00021DD6">
      <w:pPr>
        <w:tabs>
          <w:tab w:val="left" w:pos="567"/>
        </w:tabs>
        <w:rPr>
          <w:sz w:val="22"/>
          <w:szCs w:val="22"/>
          <w:lang w:val="es-ES_tradnl"/>
        </w:rPr>
      </w:pPr>
    </w:p>
    <w:p w14:paraId="6174D3FA" w14:textId="77777777" w:rsidR="00021DD6" w:rsidRPr="00C52C4C" w:rsidRDefault="00021DD6" w:rsidP="00021DD6">
      <w:pPr>
        <w:tabs>
          <w:tab w:val="left" w:pos="567"/>
        </w:tabs>
        <w:rPr>
          <w:i/>
          <w:sz w:val="22"/>
          <w:szCs w:val="22"/>
          <w:lang w:val="es-ES_tradnl"/>
        </w:rPr>
      </w:pPr>
      <w:r w:rsidRPr="00C52C4C">
        <w:rPr>
          <w:i/>
          <w:sz w:val="22"/>
          <w:szCs w:val="22"/>
          <w:lang w:val="es-ES_tradnl"/>
        </w:rPr>
        <w:t>Dosis</w:t>
      </w:r>
    </w:p>
    <w:p w14:paraId="59F50811" w14:textId="77777777" w:rsidR="00021DD6" w:rsidRPr="00C52C4C" w:rsidRDefault="00021DD6" w:rsidP="00021DD6">
      <w:pPr>
        <w:tabs>
          <w:tab w:val="left" w:pos="567"/>
        </w:tabs>
        <w:rPr>
          <w:sz w:val="22"/>
          <w:szCs w:val="22"/>
          <w:lang w:val="es-ES_tradnl"/>
        </w:rPr>
      </w:pPr>
      <w:r w:rsidRPr="00C52C4C">
        <w:rPr>
          <w:sz w:val="22"/>
          <w:szCs w:val="22"/>
          <w:lang w:val="es-ES_tradnl"/>
        </w:rPr>
        <w:t>El régimen posológico recomendado para la profilaxis es el mismo que para el tratamiento en los respectivos grupos de edad. Consulte las tablas de tratamiento anteriores.</w:t>
      </w:r>
    </w:p>
    <w:p w14:paraId="284363BF" w14:textId="77777777" w:rsidR="00021DD6" w:rsidRPr="00C52C4C" w:rsidRDefault="00021DD6" w:rsidP="00021DD6">
      <w:pPr>
        <w:tabs>
          <w:tab w:val="left" w:pos="567"/>
        </w:tabs>
        <w:rPr>
          <w:sz w:val="22"/>
          <w:szCs w:val="22"/>
          <w:lang w:val="es-ES_tradnl"/>
        </w:rPr>
      </w:pPr>
    </w:p>
    <w:p w14:paraId="3C565B9F" w14:textId="77777777" w:rsidR="00021DD6" w:rsidRPr="00C52C4C" w:rsidRDefault="00021DD6" w:rsidP="00021DD6">
      <w:pPr>
        <w:tabs>
          <w:tab w:val="left" w:pos="567"/>
        </w:tabs>
        <w:rPr>
          <w:i/>
          <w:sz w:val="22"/>
          <w:szCs w:val="22"/>
          <w:lang w:val="es-ES_tradnl"/>
        </w:rPr>
      </w:pPr>
      <w:r w:rsidRPr="00C52C4C">
        <w:rPr>
          <w:i/>
          <w:sz w:val="22"/>
          <w:szCs w:val="22"/>
          <w:lang w:val="es-ES_tradnl"/>
        </w:rPr>
        <w:t>Duración de la profilaxis</w:t>
      </w:r>
    </w:p>
    <w:p w14:paraId="5805B64E" w14:textId="77777777" w:rsidR="00021DD6" w:rsidRPr="00C52C4C" w:rsidRDefault="00021DD6" w:rsidP="00021DD6">
      <w:pPr>
        <w:tabs>
          <w:tab w:val="left" w:pos="567"/>
        </w:tabs>
        <w:rPr>
          <w:sz w:val="22"/>
          <w:szCs w:val="22"/>
          <w:lang w:val="es-ES_tradnl"/>
        </w:rPr>
      </w:pPr>
      <w:r w:rsidRPr="00C52C4C">
        <w:rPr>
          <w:sz w:val="22"/>
          <w:szCs w:val="22"/>
          <w:lang w:val="es-ES_tradnl"/>
        </w:rPr>
        <w:t>No se han estudiado adecuadamente en los ensayos clínicos la seguridad y la eficacia del uso de voriconazol durante periodos superiores a 180 días.</w:t>
      </w:r>
    </w:p>
    <w:p w14:paraId="6E2FBC7A" w14:textId="77777777" w:rsidR="00021DD6" w:rsidRPr="00C52C4C" w:rsidRDefault="00021DD6" w:rsidP="00021DD6">
      <w:pPr>
        <w:tabs>
          <w:tab w:val="left" w:pos="567"/>
        </w:tabs>
        <w:rPr>
          <w:sz w:val="22"/>
          <w:szCs w:val="22"/>
          <w:lang w:val="es-ES_tradnl"/>
        </w:rPr>
      </w:pPr>
    </w:p>
    <w:p w14:paraId="385E94F9" w14:textId="77777777" w:rsidR="00021DD6" w:rsidRPr="00C52C4C" w:rsidRDefault="00021DD6" w:rsidP="00021DD6">
      <w:pPr>
        <w:tabs>
          <w:tab w:val="left" w:pos="567"/>
        </w:tabs>
        <w:rPr>
          <w:sz w:val="22"/>
          <w:szCs w:val="22"/>
          <w:lang w:val="es-ES_tradnl"/>
        </w:rPr>
      </w:pPr>
      <w:r w:rsidRPr="00C52C4C">
        <w:rPr>
          <w:sz w:val="22"/>
          <w:szCs w:val="22"/>
          <w:lang w:val="es-ES_tradnl"/>
        </w:rPr>
        <w:t>El uso de voriconazol en la profilaxis durante más de 180 días (6 meses) requiere una cuidadosa evaluación del balance beneficio-riesgo (ver secciones 4.4 y 5.1).</w:t>
      </w:r>
    </w:p>
    <w:p w14:paraId="1F85E9A7" w14:textId="77777777" w:rsidR="00021DD6" w:rsidRPr="00C52C4C" w:rsidRDefault="00021DD6" w:rsidP="00021DD6">
      <w:pPr>
        <w:tabs>
          <w:tab w:val="left" w:pos="567"/>
        </w:tabs>
        <w:rPr>
          <w:sz w:val="22"/>
          <w:szCs w:val="22"/>
          <w:lang w:val="es-ES_tradnl"/>
        </w:rPr>
      </w:pPr>
    </w:p>
    <w:p w14:paraId="6F61734C" w14:textId="77777777" w:rsidR="00021DD6" w:rsidRPr="00C52C4C" w:rsidRDefault="00021DD6" w:rsidP="00021DD6">
      <w:pPr>
        <w:tabs>
          <w:tab w:val="left" w:pos="567"/>
        </w:tabs>
        <w:rPr>
          <w:sz w:val="22"/>
          <w:szCs w:val="22"/>
          <w:u w:val="single"/>
          <w:lang w:val="es-ES_tradnl"/>
        </w:rPr>
      </w:pPr>
      <w:r w:rsidRPr="00C52C4C">
        <w:rPr>
          <w:sz w:val="22"/>
          <w:szCs w:val="22"/>
          <w:u w:val="single"/>
          <w:lang w:val="es-ES_tradnl"/>
        </w:rPr>
        <w:t>Las siguientes instrucciones son aplicables tanto al tratamiento como a la profilaxis.</w:t>
      </w:r>
    </w:p>
    <w:p w14:paraId="08911D54" w14:textId="77777777" w:rsidR="00021DD6" w:rsidRPr="00C52C4C" w:rsidRDefault="00021DD6" w:rsidP="00021DD6">
      <w:pPr>
        <w:tabs>
          <w:tab w:val="left" w:pos="567"/>
        </w:tabs>
        <w:rPr>
          <w:sz w:val="22"/>
          <w:szCs w:val="22"/>
          <w:lang w:val="es-ES_tradnl"/>
        </w:rPr>
      </w:pPr>
    </w:p>
    <w:p w14:paraId="421ED697" w14:textId="77777777" w:rsidR="00021DD6" w:rsidRPr="00C52C4C" w:rsidRDefault="00021DD6" w:rsidP="00021DD6">
      <w:pPr>
        <w:tabs>
          <w:tab w:val="left" w:pos="567"/>
        </w:tabs>
        <w:rPr>
          <w:i/>
          <w:sz w:val="22"/>
          <w:szCs w:val="22"/>
          <w:lang w:val="es-ES_tradnl"/>
        </w:rPr>
      </w:pPr>
      <w:r w:rsidRPr="00C52C4C">
        <w:rPr>
          <w:i/>
          <w:sz w:val="22"/>
          <w:szCs w:val="22"/>
          <w:lang w:val="es-ES_tradnl"/>
        </w:rPr>
        <w:t>Ajuste de la dosis</w:t>
      </w:r>
    </w:p>
    <w:p w14:paraId="341B25BD" w14:textId="129EF3E1" w:rsidR="00021DD6" w:rsidRPr="00C52C4C" w:rsidRDefault="00021DD6" w:rsidP="00021DD6">
      <w:pPr>
        <w:tabs>
          <w:tab w:val="left" w:pos="567"/>
        </w:tabs>
        <w:rPr>
          <w:i/>
          <w:sz w:val="22"/>
          <w:szCs w:val="22"/>
          <w:lang w:val="es-ES_tradnl"/>
        </w:rPr>
      </w:pPr>
      <w:r w:rsidRPr="00C52C4C">
        <w:rPr>
          <w:sz w:val="22"/>
          <w:szCs w:val="22"/>
          <w:lang w:val="es-ES_tradnl"/>
        </w:rPr>
        <w:t xml:space="preserve">Durante el uso como profilaxis, no se recomienda realizar ajustes de la dosis en caso de ausencia de eficacia o aparición de </w:t>
      </w:r>
      <w:r w:rsidR="00F87819">
        <w:rPr>
          <w:sz w:val="22"/>
          <w:szCs w:val="22"/>
          <w:lang w:val="es-ES_tradnl"/>
        </w:rPr>
        <w:t>efectos</w:t>
      </w:r>
      <w:r w:rsidR="00F87819" w:rsidRPr="00C52C4C">
        <w:rPr>
          <w:sz w:val="22"/>
          <w:szCs w:val="22"/>
          <w:lang w:val="es-ES_tradnl"/>
        </w:rPr>
        <w:t xml:space="preserve"> </w:t>
      </w:r>
      <w:r w:rsidRPr="00C52C4C">
        <w:rPr>
          <w:sz w:val="22"/>
          <w:szCs w:val="22"/>
          <w:lang w:val="es-ES_tradnl"/>
        </w:rPr>
        <w:t xml:space="preserve">adversos relacionados con el tratamiento. Si aparecen </w:t>
      </w:r>
      <w:r w:rsidR="00F87819">
        <w:rPr>
          <w:sz w:val="22"/>
          <w:szCs w:val="22"/>
          <w:lang w:val="es-ES_tradnl"/>
        </w:rPr>
        <w:t>efectos</w:t>
      </w:r>
      <w:r w:rsidR="00F87819" w:rsidRPr="00C52C4C">
        <w:rPr>
          <w:sz w:val="22"/>
          <w:szCs w:val="22"/>
          <w:lang w:val="es-ES_tradnl"/>
        </w:rPr>
        <w:t xml:space="preserve"> </w:t>
      </w:r>
      <w:r w:rsidRPr="00C52C4C">
        <w:rPr>
          <w:sz w:val="22"/>
          <w:szCs w:val="22"/>
          <w:lang w:val="es-ES_tradnl"/>
        </w:rPr>
        <w:t xml:space="preserve">adversos </w:t>
      </w:r>
      <w:r w:rsidRPr="00C52C4C">
        <w:rPr>
          <w:sz w:val="22"/>
          <w:szCs w:val="22"/>
          <w:lang w:val="es-ES_tradnl"/>
        </w:rPr>
        <w:lastRenderedPageBreak/>
        <w:t>relacionados con el tratamiento, se debe considerar la suspensión del tratamiento con voriconazol y el empleo de fármacos antifúngicos alternativos (ver secciones 4.4 y 4.8).</w:t>
      </w:r>
    </w:p>
    <w:p w14:paraId="1083970F" w14:textId="77777777" w:rsidR="005915E9" w:rsidRPr="00C52C4C" w:rsidRDefault="005915E9" w:rsidP="00021DD6">
      <w:pPr>
        <w:tabs>
          <w:tab w:val="left" w:pos="567"/>
        </w:tabs>
        <w:rPr>
          <w:sz w:val="22"/>
          <w:szCs w:val="22"/>
          <w:lang w:val="es-ES_tradnl"/>
        </w:rPr>
      </w:pPr>
    </w:p>
    <w:p w14:paraId="2346D44C" w14:textId="77777777" w:rsidR="00021DD6" w:rsidRPr="00C52C4C" w:rsidRDefault="00021DD6" w:rsidP="00021DD6">
      <w:pPr>
        <w:tabs>
          <w:tab w:val="left" w:pos="567"/>
        </w:tabs>
        <w:rPr>
          <w:i/>
          <w:sz w:val="22"/>
          <w:szCs w:val="22"/>
          <w:u w:val="single"/>
          <w:lang w:val="es-ES_tradnl"/>
        </w:rPr>
      </w:pPr>
      <w:r w:rsidRPr="00C52C4C">
        <w:rPr>
          <w:i/>
          <w:sz w:val="22"/>
          <w:szCs w:val="22"/>
          <w:u w:val="single"/>
          <w:lang w:val="es-ES_tradnl"/>
        </w:rPr>
        <w:t>Ajustes de la dosis en caso de administración concomitante</w:t>
      </w:r>
    </w:p>
    <w:p w14:paraId="6F4B23C6" w14:textId="77777777" w:rsidR="00D061AA" w:rsidRPr="00C52C4C" w:rsidRDefault="00D061AA" w:rsidP="00D061AA">
      <w:pPr>
        <w:tabs>
          <w:tab w:val="left" w:pos="567"/>
        </w:tabs>
        <w:rPr>
          <w:sz w:val="22"/>
          <w:szCs w:val="22"/>
          <w:lang w:val="es-ES_tradnl"/>
        </w:rPr>
      </w:pPr>
      <w:r w:rsidRPr="00C52C4C">
        <w:rPr>
          <w:sz w:val="22"/>
          <w:szCs w:val="22"/>
          <w:lang w:val="es-ES_tradnl"/>
        </w:rPr>
        <w:t>Se puede administrar concomitantemente fenitoína con voriconazol si la dosis de mantenimiento de voriconazol se incrementa de 200</w:t>
      </w:r>
      <w:r w:rsidR="0092031D" w:rsidRPr="00C52C4C">
        <w:rPr>
          <w:sz w:val="22"/>
          <w:szCs w:val="22"/>
          <w:lang w:val="es-ES_tradnl"/>
        </w:rPr>
        <w:t xml:space="preserve"> </w:t>
      </w:r>
      <w:r w:rsidRPr="00C52C4C">
        <w:rPr>
          <w:sz w:val="22"/>
          <w:szCs w:val="22"/>
          <w:lang w:val="es-ES_tradnl"/>
        </w:rPr>
        <w:t xml:space="preserve">mg a 400 mg por vía oral, dos veces al día (de 100 mg a 200 mg por vía oral dos veces al día en pacientes con un peso inferior a </w:t>
      </w:r>
      <w:smartTag w:uri="urn:schemas-microsoft-com:office:smarttags" w:element="metricconverter">
        <w:smartTagPr>
          <w:attr w:name="ProductID" w:val="40 kg"/>
        </w:smartTagPr>
        <w:r w:rsidRPr="00C52C4C">
          <w:rPr>
            <w:sz w:val="22"/>
            <w:szCs w:val="22"/>
            <w:lang w:val="es-ES_tradnl"/>
          </w:rPr>
          <w:t>40 kg</w:t>
        </w:r>
      </w:smartTag>
      <w:r w:rsidRPr="00C52C4C">
        <w:rPr>
          <w:sz w:val="22"/>
          <w:szCs w:val="22"/>
          <w:lang w:val="es-ES_tradnl"/>
        </w:rPr>
        <w:t>), ver secciones 4.4 y 4.5.</w:t>
      </w:r>
    </w:p>
    <w:p w14:paraId="30A85DAA" w14:textId="77777777" w:rsidR="00D061AA" w:rsidRPr="00C52C4C" w:rsidRDefault="00D061AA" w:rsidP="00D061AA">
      <w:pPr>
        <w:tabs>
          <w:tab w:val="left" w:pos="567"/>
        </w:tabs>
        <w:rPr>
          <w:sz w:val="22"/>
          <w:szCs w:val="22"/>
          <w:lang w:val="es-ES_tradnl"/>
        </w:rPr>
      </w:pPr>
    </w:p>
    <w:p w14:paraId="461E0A9D"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Siempre que sea posible se debe evitar la combinación de voriconazol con rifabutina. Sin embargo, si la combinación es estrictamente necesaria, la dosis de mantenimiento de voriconazol podría aumentarse de 200  a 350 mg por vía oral, dos veces al día (de 100 mg a 200 mg por vía oral dos veces al día en pacientes con un peso inferior a </w:t>
      </w:r>
      <w:smartTag w:uri="urn:schemas-microsoft-com:office:smarttags" w:element="metricconverter">
        <w:smartTagPr>
          <w:attr w:name="ProductID" w:val="40 kg"/>
        </w:smartTagPr>
        <w:r w:rsidRPr="00C52C4C">
          <w:rPr>
            <w:sz w:val="22"/>
            <w:szCs w:val="22"/>
            <w:lang w:val="es-ES_tradnl"/>
          </w:rPr>
          <w:t>40 kg</w:t>
        </w:r>
      </w:smartTag>
      <w:r w:rsidRPr="00C52C4C">
        <w:rPr>
          <w:sz w:val="22"/>
          <w:szCs w:val="22"/>
          <w:lang w:val="es-ES_tradnl"/>
        </w:rPr>
        <w:t>), ver secciones 4.4 y 4.5.</w:t>
      </w:r>
    </w:p>
    <w:p w14:paraId="098A0A4C" w14:textId="77777777" w:rsidR="00D061AA" w:rsidRPr="00C52C4C" w:rsidRDefault="00D061AA" w:rsidP="00D061AA">
      <w:pPr>
        <w:tabs>
          <w:tab w:val="left" w:pos="567"/>
        </w:tabs>
        <w:rPr>
          <w:sz w:val="22"/>
          <w:szCs w:val="22"/>
          <w:lang w:val="es-ES_tradnl"/>
        </w:rPr>
      </w:pPr>
    </w:p>
    <w:p w14:paraId="0FB9B03F" w14:textId="77777777" w:rsidR="00D061AA" w:rsidRPr="00C52C4C" w:rsidRDefault="00D061AA" w:rsidP="00D061AA">
      <w:pPr>
        <w:tabs>
          <w:tab w:val="left" w:pos="567"/>
        </w:tabs>
        <w:rPr>
          <w:sz w:val="22"/>
          <w:szCs w:val="22"/>
          <w:lang w:val="es-ES_tradnl"/>
        </w:rPr>
      </w:pPr>
      <w:r w:rsidRPr="00C52C4C">
        <w:rPr>
          <w:sz w:val="22"/>
          <w:szCs w:val="22"/>
          <w:lang w:val="es-ES_tradnl"/>
        </w:rPr>
        <w:t>Se puede administrar efavirenz con voriconazol si la dosis de mantenimiento de voriconazol se aumenta a 400 mg cada 12 horas y la dosis de efavirenz se reduce al 50</w:t>
      </w:r>
      <w:r w:rsidR="00D14B8A" w:rsidRPr="00C52C4C">
        <w:rPr>
          <w:sz w:val="22"/>
          <w:szCs w:val="22"/>
          <w:lang w:val="es-ES_tradnl"/>
        </w:rPr>
        <w:t xml:space="preserve"> </w:t>
      </w:r>
      <w:r w:rsidRPr="00C52C4C">
        <w:rPr>
          <w:sz w:val="22"/>
          <w:szCs w:val="22"/>
          <w:lang w:val="es-ES_tradnl"/>
        </w:rPr>
        <w:t>%, es decir, a 300 mg una vez al día. Cuando el tratamiento con voriconazol se interrumpa, debe restablecerse la dosis inicial de efavirenz (ver secciones 4.4 y 4.5).</w:t>
      </w:r>
    </w:p>
    <w:p w14:paraId="61AB21EC" w14:textId="77777777" w:rsidR="00D061AA" w:rsidRPr="00C52C4C" w:rsidRDefault="00D061AA" w:rsidP="00D061AA">
      <w:pPr>
        <w:tabs>
          <w:tab w:val="left" w:pos="567"/>
        </w:tabs>
        <w:rPr>
          <w:sz w:val="22"/>
          <w:szCs w:val="22"/>
          <w:lang w:val="es-ES_tradnl"/>
        </w:rPr>
      </w:pPr>
    </w:p>
    <w:p w14:paraId="7D414E0C" w14:textId="77777777" w:rsidR="00D061AA" w:rsidRPr="00C52C4C" w:rsidRDefault="00195285" w:rsidP="00D061AA">
      <w:pPr>
        <w:tabs>
          <w:tab w:val="left" w:pos="567"/>
        </w:tabs>
        <w:rPr>
          <w:sz w:val="22"/>
          <w:szCs w:val="22"/>
          <w:u w:val="single"/>
          <w:lang w:val="es-ES_tradnl"/>
        </w:rPr>
      </w:pPr>
      <w:r w:rsidRPr="00C52C4C">
        <w:rPr>
          <w:i/>
          <w:sz w:val="22"/>
          <w:szCs w:val="22"/>
          <w:u w:val="single"/>
          <w:lang w:val="es-ES_tradnl"/>
        </w:rPr>
        <w:t>E</w:t>
      </w:r>
      <w:r w:rsidR="00D061AA" w:rsidRPr="00C52C4C">
        <w:rPr>
          <w:i/>
          <w:sz w:val="22"/>
          <w:szCs w:val="22"/>
          <w:u w:val="single"/>
          <w:lang w:val="es-ES_tradnl"/>
        </w:rPr>
        <w:t>dad avanzada</w:t>
      </w:r>
    </w:p>
    <w:p w14:paraId="4D5C111A" w14:textId="77777777" w:rsidR="00D061AA" w:rsidRPr="00C52C4C" w:rsidRDefault="00D061AA" w:rsidP="00D061AA">
      <w:pPr>
        <w:tabs>
          <w:tab w:val="left" w:pos="567"/>
        </w:tabs>
        <w:rPr>
          <w:sz w:val="22"/>
          <w:szCs w:val="22"/>
          <w:lang w:val="es-ES_tradnl"/>
        </w:rPr>
      </w:pPr>
      <w:r w:rsidRPr="00C52C4C">
        <w:rPr>
          <w:sz w:val="22"/>
          <w:szCs w:val="22"/>
          <w:lang w:val="es-ES_tradnl"/>
        </w:rPr>
        <w:t>No es necesario el ajuste de dosis en los pacientes de edad avanzada (ver sección 5.2).</w:t>
      </w:r>
    </w:p>
    <w:p w14:paraId="6008FE44" w14:textId="77777777" w:rsidR="00D061AA" w:rsidRPr="00C52C4C" w:rsidRDefault="00D061AA" w:rsidP="00D061AA">
      <w:pPr>
        <w:tabs>
          <w:tab w:val="left" w:pos="567"/>
        </w:tabs>
        <w:rPr>
          <w:sz w:val="22"/>
          <w:szCs w:val="22"/>
          <w:lang w:val="es-ES_tradnl"/>
        </w:rPr>
      </w:pPr>
    </w:p>
    <w:p w14:paraId="540F5F27" w14:textId="77777777" w:rsidR="00D061AA" w:rsidRPr="00C52C4C" w:rsidRDefault="00195285" w:rsidP="00D061AA">
      <w:pPr>
        <w:tabs>
          <w:tab w:val="left" w:pos="567"/>
        </w:tabs>
        <w:rPr>
          <w:sz w:val="22"/>
          <w:szCs w:val="22"/>
          <w:u w:val="single"/>
          <w:lang w:val="es-ES_tradnl"/>
        </w:rPr>
      </w:pPr>
      <w:r w:rsidRPr="00C52C4C">
        <w:rPr>
          <w:i/>
          <w:sz w:val="22"/>
          <w:szCs w:val="22"/>
          <w:lang w:val="es-ES_tradnl"/>
        </w:rPr>
        <w:t>I</w:t>
      </w:r>
      <w:r w:rsidR="00D061AA" w:rsidRPr="00C52C4C">
        <w:rPr>
          <w:i/>
          <w:sz w:val="22"/>
          <w:szCs w:val="22"/>
          <w:lang w:val="es-ES_tradnl"/>
        </w:rPr>
        <w:t xml:space="preserve">nsuficiencia renal </w:t>
      </w:r>
    </w:p>
    <w:p w14:paraId="6CC23CF2" w14:textId="77777777" w:rsidR="00D061AA" w:rsidRPr="00C52C4C" w:rsidRDefault="00D061AA" w:rsidP="00D061AA">
      <w:pPr>
        <w:tabs>
          <w:tab w:val="left" w:pos="567"/>
        </w:tabs>
        <w:rPr>
          <w:sz w:val="22"/>
          <w:szCs w:val="22"/>
          <w:lang w:val="es-ES_tradnl"/>
        </w:rPr>
      </w:pPr>
      <w:r w:rsidRPr="00C52C4C">
        <w:rPr>
          <w:sz w:val="22"/>
          <w:szCs w:val="22"/>
          <w:lang w:val="es-ES_tradnl"/>
        </w:rPr>
        <w:t>La insuficiencia renal no influye en la farmacocinética de voriconazol administrado por vía oral. Por lo tanto, no es necesario ajustar la dosis oral en pacientes con insuficiencia renal leve a grave (ver sección 5.2).</w:t>
      </w:r>
    </w:p>
    <w:p w14:paraId="72A911B0" w14:textId="77777777" w:rsidR="00D061AA" w:rsidRPr="00C52C4C" w:rsidRDefault="00D061AA" w:rsidP="00D061AA">
      <w:pPr>
        <w:tabs>
          <w:tab w:val="left" w:pos="567"/>
        </w:tabs>
        <w:rPr>
          <w:sz w:val="22"/>
          <w:szCs w:val="22"/>
          <w:lang w:val="es-ES_tradnl"/>
        </w:rPr>
      </w:pPr>
    </w:p>
    <w:p w14:paraId="5B187DDA"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Voriconazol es hemodializado con un aclaramiento de 121 ml/min. Una sesión de hemodiálisis de </w:t>
      </w:r>
      <w:r w:rsidR="00021DD6" w:rsidRPr="00C52C4C">
        <w:rPr>
          <w:sz w:val="22"/>
          <w:szCs w:val="22"/>
          <w:lang w:val="es-ES_tradnl"/>
        </w:rPr>
        <w:t xml:space="preserve">4 </w:t>
      </w:r>
      <w:r w:rsidRPr="00C52C4C">
        <w:rPr>
          <w:sz w:val="22"/>
          <w:szCs w:val="22"/>
          <w:lang w:val="es-ES_tradnl"/>
        </w:rPr>
        <w:t>horas no elimina una cantidad suficiente de voriconazol como para justificar un ajuste de la dosis.</w:t>
      </w:r>
    </w:p>
    <w:p w14:paraId="55A10A35" w14:textId="77777777" w:rsidR="00D061AA" w:rsidRPr="00C52C4C" w:rsidRDefault="00D061AA" w:rsidP="00D061AA">
      <w:pPr>
        <w:tabs>
          <w:tab w:val="left" w:pos="567"/>
        </w:tabs>
        <w:rPr>
          <w:sz w:val="22"/>
          <w:szCs w:val="22"/>
          <w:lang w:val="es-ES_tradnl"/>
        </w:rPr>
      </w:pPr>
    </w:p>
    <w:p w14:paraId="1E117051" w14:textId="77777777" w:rsidR="00D061AA" w:rsidRPr="00C52C4C" w:rsidRDefault="00195285" w:rsidP="00D061AA">
      <w:pPr>
        <w:keepNext/>
        <w:tabs>
          <w:tab w:val="left" w:pos="567"/>
        </w:tabs>
        <w:rPr>
          <w:sz w:val="22"/>
          <w:szCs w:val="22"/>
          <w:u w:val="single"/>
          <w:lang w:val="es-ES_tradnl"/>
        </w:rPr>
      </w:pPr>
      <w:r w:rsidRPr="00C52C4C">
        <w:rPr>
          <w:i/>
          <w:sz w:val="22"/>
          <w:szCs w:val="22"/>
          <w:u w:val="single"/>
          <w:lang w:val="es-ES_tradnl"/>
        </w:rPr>
        <w:t>I</w:t>
      </w:r>
      <w:r w:rsidR="00D061AA" w:rsidRPr="00C52C4C">
        <w:rPr>
          <w:i/>
          <w:sz w:val="22"/>
          <w:szCs w:val="22"/>
          <w:u w:val="single"/>
          <w:lang w:val="es-ES_tradnl"/>
        </w:rPr>
        <w:t>nsuficiencia hepática</w:t>
      </w:r>
    </w:p>
    <w:p w14:paraId="1E0E9DD5" w14:textId="77777777" w:rsidR="00D061AA" w:rsidRPr="00C52C4C" w:rsidRDefault="00D061AA" w:rsidP="00D061AA">
      <w:pPr>
        <w:tabs>
          <w:tab w:val="left" w:pos="567"/>
        </w:tabs>
        <w:rPr>
          <w:sz w:val="22"/>
          <w:szCs w:val="22"/>
          <w:lang w:val="es-ES_tradnl"/>
        </w:rPr>
      </w:pPr>
      <w:r w:rsidRPr="00C52C4C">
        <w:rPr>
          <w:sz w:val="22"/>
          <w:szCs w:val="22"/>
          <w:lang w:val="es-ES_tradnl"/>
        </w:rPr>
        <w:t>Se recomienda utilizar las pautas normales de dosis de carga, pero reducir a la mitad la dosis de mantenimiento en los pacientes con cirrosis hepática leve a moderada (Child Pugh A y B) en tratamiento con voriconazol (ver sección 5.2).</w:t>
      </w:r>
    </w:p>
    <w:p w14:paraId="31C9B604" w14:textId="77777777" w:rsidR="00D061AA" w:rsidRPr="00C52C4C" w:rsidRDefault="00D061AA" w:rsidP="00D061AA">
      <w:pPr>
        <w:tabs>
          <w:tab w:val="left" w:pos="567"/>
        </w:tabs>
        <w:rPr>
          <w:snapToGrid w:val="0"/>
          <w:sz w:val="22"/>
          <w:szCs w:val="22"/>
          <w:lang w:val="es-ES_tradnl"/>
        </w:rPr>
      </w:pPr>
    </w:p>
    <w:p w14:paraId="225895CA" w14:textId="77777777" w:rsidR="00D061AA" w:rsidRPr="00C52C4C" w:rsidRDefault="00D14B8A" w:rsidP="00D061AA">
      <w:pPr>
        <w:tabs>
          <w:tab w:val="left" w:pos="567"/>
        </w:tabs>
        <w:rPr>
          <w:snapToGrid w:val="0"/>
          <w:sz w:val="22"/>
          <w:szCs w:val="22"/>
          <w:lang w:val="es-ES_tradnl"/>
        </w:rPr>
      </w:pPr>
      <w:r w:rsidRPr="00C52C4C">
        <w:rPr>
          <w:sz w:val="22"/>
          <w:szCs w:val="22"/>
          <w:lang w:val="es-ES_tradnl"/>
        </w:rPr>
        <w:t xml:space="preserve">Voriconazol </w:t>
      </w:r>
      <w:r w:rsidR="00D061AA" w:rsidRPr="00C52C4C">
        <w:rPr>
          <w:snapToGrid w:val="0"/>
          <w:sz w:val="22"/>
          <w:szCs w:val="22"/>
          <w:lang w:val="es-ES_tradnl"/>
        </w:rPr>
        <w:t>no se ha estudiado en pacientes con cirrosis hepática crónica grave (Child-Pugh C).</w:t>
      </w:r>
    </w:p>
    <w:p w14:paraId="3B773429" w14:textId="77777777" w:rsidR="00D061AA" w:rsidRPr="00C52C4C" w:rsidRDefault="00D061AA" w:rsidP="00D061AA">
      <w:pPr>
        <w:tabs>
          <w:tab w:val="left" w:pos="567"/>
        </w:tabs>
        <w:rPr>
          <w:snapToGrid w:val="0"/>
          <w:sz w:val="22"/>
          <w:szCs w:val="22"/>
          <w:lang w:val="es-ES_tradnl"/>
        </w:rPr>
      </w:pPr>
    </w:p>
    <w:p w14:paraId="6718D133" w14:textId="77777777" w:rsidR="00AF2CDA" w:rsidRPr="00C52C4C" w:rsidRDefault="00AF2CDA" w:rsidP="00AF2CDA">
      <w:pPr>
        <w:tabs>
          <w:tab w:val="left" w:pos="567"/>
        </w:tabs>
        <w:rPr>
          <w:snapToGrid w:val="0"/>
          <w:sz w:val="22"/>
          <w:szCs w:val="22"/>
          <w:lang w:val="es-ES_tradnl"/>
        </w:rPr>
      </w:pPr>
      <w:r w:rsidRPr="00C52C4C">
        <w:rPr>
          <w:snapToGrid w:val="0"/>
          <w:sz w:val="22"/>
          <w:szCs w:val="22"/>
          <w:lang w:val="es-ES_tradnl"/>
        </w:rPr>
        <w:t xml:space="preserve">Los datos sobre la seguridad de </w:t>
      </w:r>
      <w:r w:rsidR="005A4057" w:rsidRPr="00C52C4C">
        <w:rPr>
          <w:snapToGrid w:val="0"/>
          <w:sz w:val="22"/>
          <w:szCs w:val="22"/>
          <w:lang w:val="es-ES_tradnl"/>
        </w:rPr>
        <w:t>voriconazol</w:t>
      </w:r>
      <w:r w:rsidRPr="00C52C4C">
        <w:rPr>
          <w:snapToGrid w:val="0"/>
          <w:sz w:val="22"/>
          <w:szCs w:val="22"/>
          <w:lang w:val="es-ES_tradnl"/>
        </w:rPr>
        <w:t xml:space="preserve"> en pacientes con pruebas de función hepática anormales (aspartato transaminasa [AST], alanino transaminasa [ALT], fosfatasa alcalina [FA] o bilirrubina total &gt; 5 veces el límite superior de la normalidad) son limitados.</w:t>
      </w:r>
    </w:p>
    <w:p w14:paraId="3E1E763B" w14:textId="77777777" w:rsidR="00AF2CDA" w:rsidRPr="00C52C4C" w:rsidRDefault="00AF2CDA" w:rsidP="00D061AA">
      <w:pPr>
        <w:tabs>
          <w:tab w:val="left" w:pos="567"/>
        </w:tabs>
        <w:rPr>
          <w:snapToGrid w:val="0"/>
          <w:sz w:val="22"/>
          <w:szCs w:val="22"/>
          <w:lang w:val="es-ES_tradnl"/>
        </w:rPr>
      </w:pPr>
    </w:p>
    <w:p w14:paraId="31AA9412" w14:textId="77777777" w:rsidR="00D061AA" w:rsidRPr="00C52C4C" w:rsidRDefault="00D061AA" w:rsidP="00D061AA">
      <w:pPr>
        <w:tabs>
          <w:tab w:val="left" w:pos="567"/>
        </w:tabs>
        <w:rPr>
          <w:snapToGrid w:val="0"/>
          <w:sz w:val="22"/>
          <w:szCs w:val="22"/>
          <w:lang w:val="es-ES_tradnl"/>
        </w:rPr>
      </w:pPr>
      <w:r w:rsidRPr="00C52C4C">
        <w:rPr>
          <w:snapToGrid w:val="0"/>
          <w:sz w:val="22"/>
          <w:szCs w:val="22"/>
          <w:lang w:val="es-ES_tradnl"/>
        </w:rPr>
        <w:t xml:space="preserve">Se ha asociado </w:t>
      </w:r>
      <w:r w:rsidR="00D14B8A" w:rsidRPr="00C52C4C">
        <w:rPr>
          <w:sz w:val="22"/>
          <w:szCs w:val="22"/>
          <w:lang w:val="es-ES_tradnl"/>
        </w:rPr>
        <w:t xml:space="preserve">Voriconazol </w:t>
      </w:r>
      <w:r w:rsidRPr="00C52C4C">
        <w:rPr>
          <w:snapToGrid w:val="0"/>
          <w:sz w:val="22"/>
          <w:szCs w:val="22"/>
          <w:lang w:val="es-ES_tradnl"/>
        </w:rPr>
        <w:t xml:space="preserve">con elevaciones de los valores de las pruebas de función hepática y signos clínicos de daño hepático, como ictericia, y sólo debe usarse en pacientes con insuficiencia hepática grave si el beneficio es superior al riesgo potencial. Los pacientes con insuficiencia hepática </w:t>
      </w:r>
      <w:r w:rsidR="00AF2CDA" w:rsidRPr="00C52C4C">
        <w:rPr>
          <w:snapToGrid w:val="0"/>
          <w:sz w:val="22"/>
          <w:szCs w:val="22"/>
          <w:lang w:val="es-ES_tradnl"/>
        </w:rPr>
        <w:t xml:space="preserve">grave </w:t>
      </w:r>
      <w:r w:rsidRPr="00C52C4C">
        <w:rPr>
          <w:snapToGrid w:val="0"/>
          <w:sz w:val="22"/>
          <w:szCs w:val="22"/>
          <w:lang w:val="es-ES_tradnl"/>
        </w:rPr>
        <w:t>deben ser controlados cuidadosamente por si hubiese toxicidad farmacológica (ver la sección 4.8).</w:t>
      </w:r>
    </w:p>
    <w:p w14:paraId="77FF39D2" w14:textId="77777777" w:rsidR="00D061AA" w:rsidRPr="00C52C4C" w:rsidRDefault="00D061AA" w:rsidP="00D061AA">
      <w:pPr>
        <w:tabs>
          <w:tab w:val="left" w:pos="567"/>
        </w:tabs>
        <w:rPr>
          <w:sz w:val="22"/>
          <w:szCs w:val="22"/>
          <w:lang w:val="es-ES_tradnl"/>
        </w:rPr>
      </w:pPr>
    </w:p>
    <w:p w14:paraId="155A31D7" w14:textId="77777777" w:rsidR="00D061AA" w:rsidRPr="00C52C4C" w:rsidRDefault="00D061AA" w:rsidP="00D061AA">
      <w:pPr>
        <w:tabs>
          <w:tab w:val="left" w:pos="567"/>
        </w:tabs>
        <w:rPr>
          <w:i/>
          <w:sz w:val="22"/>
          <w:szCs w:val="22"/>
          <w:lang w:val="es-ES_tradnl"/>
        </w:rPr>
      </w:pPr>
      <w:r w:rsidRPr="00C52C4C">
        <w:rPr>
          <w:i/>
          <w:sz w:val="22"/>
          <w:szCs w:val="22"/>
          <w:lang w:val="es-ES_tradnl"/>
        </w:rPr>
        <w:t>Población pediátrica</w:t>
      </w:r>
    </w:p>
    <w:p w14:paraId="4036C505" w14:textId="77777777" w:rsidR="00D061AA" w:rsidRPr="00C52C4C" w:rsidRDefault="00D061AA" w:rsidP="00D061AA">
      <w:pPr>
        <w:tabs>
          <w:tab w:val="left" w:pos="567"/>
        </w:tabs>
        <w:rPr>
          <w:sz w:val="22"/>
          <w:szCs w:val="22"/>
          <w:u w:val="single"/>
          <w:lang w:val="es-ES_tradnl"/>
        </w:rPr>
      </w:pPr>
      <w:r w:rsidRPr="00C52C4C">
        <w:rPr>
          <w:sz w:val="22"/>
          <w:szCs w:val="22"/>
          <w:lang w:val="es-ES_tradnl"/>
        </w:rPr>
        <w:t xml:space="preserve">No se ha establecido la seguridad y la eficacia de </w:t>
      </w:r>
      <w:r w:rsidR="00D14B8A" w:rsidRPr="00C52C4C">
        <w:rPr>
          <w:sz w:val="22"/>
          <w:szCs w:val="22"/>
          <w:lang w:val="es-ES_tradnl"/>
        </w:rPr>
        <w:t xml:space="preserve">voriconazol </w:t>
      </w:r>
      <w:r w:rsidRPr="00C52C4C">
        <w:rPr>
          <w:sz w:val="22"/>
          <w:szCs w:val="22"/>
          <w:lang w:val="es-ES_tradnl"/>
        </w:rPr>
        <w:t>en niños menores de 2 años de edad. Los datos actualmente disponibles están descritos en las secciones 4.8 y 5.1; sin embargo, no se puede hacer una recomendación posológica.</w:t>
      </w:r>
    </w:p>
    <w:p w14:paraId="10312856" w14:textId="77777777" w:rsidR="00D061AA" w:rsidRPr="00C52C4C" w:rsidRDefault="00D061AA" w:rsidP="00D061AA">
      <w:pPr>
        <w:tabs>
          <w:tab w:val="left" w:pos="567"/>
        </w:tabs>
        <w:rPr>
          <w:sz w:val="22"/>
          <w:szCs w:val="22"/>
          <w:u w:val="single"/>
          <w:lang w:val="es-ES_tradnl"/>
        </w:rPr>
      </w:pPr>
    </w:p>
    <w:p w14:paraId="48E524B6" w14:textId="77777777" w:rsidR="00D061AA" w:rsidRPr="00C52C4C" w:rsidRDefault="00D061AA" w:rsidP="00D061AA">
      <w:pPr>
        <w:tabs>
          <w:tab w:val="left" w:pos="567"/>
        </w:tabs>
        <w:rPr>
          <w:sz w:val="22"/>
          <w:szCs w:val="22"/>
          <w:u w:val="single"/>
          <w:lang w:val="es-ES_tradnl"/>
        </w:rPr>
      </w:pPr>
      <w:r w:rsidRPr="00C52C4C">
        <w:rPr>
          <w:sz w:val="22"/>
          <w:szCs w:val="22"/>
          <w:u w:val="single"/>
          <w:lang w:val="es-ES_tradnl"/>
        </w:rPr>
        <w:t>Forma de administración</w:t>
      </w:r>
    </w:p>
    <w:p w14:paraId="19BE402C"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Los comprimidos recubiertos con película de </w:t>
      </w:r>
      <w:r w:rsidR="008D11BB" w:rsidRPr="00C52C4C">
        <w:rPr>
          <w:sz w:val="22"/>
          <w:szCs w:val="22"/>
        </w:rPr>
        <w:t>Voriconazol</w:t>
      </w:r>
      <w:r w:rsidR="00D14B8A" w:rsidRPr="00C52C4C">
        <w:rPr>
          <w:sz w:val="22"/>
          <w:szCs w:val="22"/>
        </w:rPr>
        <w:t xml:space="preserve"> Accord</w:t>
      </w:r>
      <w:r w:rsidR="002A519C">
        <w:rPr>
          <w:sz w:val="22"/>
          <w:szCs w:val="22"/>
        </w:rPr>
        <w:t xml:space="preserve"> </w:t>
      </w:r>
      <w:r w:rsidR="002A519C" w:rsidRPr="00C52C4C">
        <w:rPr>
          <w:sz w:val="22"/>
          <w:szCs w:val="22"/>
          <w:lang w:val="es-ES_tradnl"/>
        </w:rPr>
        <w:t>se</w:t>
      </w:r>
      <w:r w:rsidR="00D14B8A" w:rsidRPr="00C52C4C">
        <w:rPr>
          <w:sz w:val="22"/>
          <w:szCs w:val="22"/>
        </w:rPr>
        <w:t xml:space="preserve"> </w:t>
      </w:r>
      <w:r w:rsidRPr="00C52C4C">
        <w:rPr>
          <w:sz w:val="22"/>
          <w:szCs w:val="22"/>
          <w:lang w:val="es-ES_tradnl"/>
        </w:rPr>
        <w:t>deben tomaral menos una hora antes o una hora después de las comidas.</w:t>
      </w:r>
    </w:p>
    <w:p w14:paraId="32B09A99" w14:textId="77777777" w:rsidR="00D061AA" w:rsidRPr="00C52C4C" w:rsidRDefault="00D061AA" w:rsidP="00D061AA">
      <w:pPr>
        <w:tabs>
          <w:tab w:val="left" w:pos="567"/>
        </w:tabs>
        <w:rPr>
          <w:sz w:val="22"/>
          <w:szCs w:val="22"/>
          <w:lang w:val="es-ES_tradnl"/>
        </w:rPr>
      </w:pPr>
    </w:p>
    <w:p w14:paraId="3C27A56A" w14:textId="77777777" w:rsidR="00D061AA" w:rsidRPr="00C52C4C" w:rsidRDefault="00D061AA" w:rsidP="006235A5">
      <w:pPr>
        <w:keepNext/>
        <w:tabs>
          <w:tab w:val="left" w:pos="567"/>
        </w:tabs>
        <w:ind w:left="567" w:hanging="567"/>
        <w:rPr>
          <w:sz w:val="22"/>
          <w:szCs w:val="22"/>
          <w:lang w:val="es-ES_tradnl"/>
        </w:rPr>
      </w:pPr>
      <w:r w:rsidRPr="00C52C4C">
        <w:rPr>
          <w:b/>
          <w:sz w:val="22"/>
          <w:szCs w:val="22"/>
          <w:lang w:val="es-ES_tradnl"/>
        </w:rPr>
        <w:lastRenderedPageBreak/>
        <w:t>4.3</w:t>
      </w:r>
      <w:r w:rsidRPr="00C52C4C">
        <w:rPr>
          <w:b/>
          <w:sz w:val="22"/>
          <w:szCs w:val="22"/>
          <w:lang w:val="es-ES_tradnl"/>
        </w:rPr>
        <w:tab/>
        <w:t>Contraindicaciones</w:t>
      </w:r>
    </w:p>
    <w:p w14:paraId="5801B86F" w14:textId="77777777" w:rsidR="00D061AA" w:rsidRPr="00C52C4C" w:rsidRDefault="00D061AA" w:rsidP="006235A5">
      <w:pPr>
        <w:pStyle w:val="Textonotaalfinal"/>
        <w:keepNext/>
        <w:rPr>
          <w:szCs w:val="22"/>
          <w:lang w:val="es-ES_tradnl"/>
        </w:rPr>
      </w:pPr>
    </w:p>
    <w:p w14:paraId="550D6DDD" w14:textId="77777777" w:rsidR="00D061AA" w:rsidRPr="00C52C4C" w:rsidRDefault="00D061AA" w:rsidP="006235A5">
      <w:pPr>
        <w:keepNext/>
        <w:tabs>
          <w:tab w:val="left" w:pos="567"/>
        </w:tabs>
        <w:rPr>
          <w:sz w:val="22"/>
          <w:szCs w:val="22"/>
          <w:lang w:val="es-ES_tradnl"/>
        </w:rPr>
      </w:pPr>
      <w:r w:rsidRPr="00C52C4C">
        <w:rPr>
          <w:sz w:val="22"/>
          <w:szCs w:val="22"/>
          <w:lang w:val="es-ES_tradnl"/>
        </w:rPr>
        <w:t>Hipersensibilidad al principio activo o a alguno de los excipientes incluidos en la sección 6.1.</w:t>
      </w:r>
    </w:p>
    <w:p w14:paraId="7F3C9491" w14:textId="77777777" w:rsidR="00D061AA" w:rsidRPr="00C52C4C" w:rsidRDefault="00D061AA" w:rsidP="006235A5">
      <w:pPr>
        <w:pStyle w:val="Piedepgina"/>
        <w:keepNext/>
        <w:tabs>
          <w:tab w:val="clear" w:pos="4536"/>
          <w:tab w:val="clear" w:pos="8930"/>
        </w:tabs>
        <w:rPr>
          <w:rFonts w:ascii="Times New Roman" w:hAnsi="Times New Roman"/>
          <w:sz w:val="22"/>
          <w:szCs w:val="22"/>
          <w:lang w:val="es-ES_tradnl"/>
        </w:rPr>
      </w:pPr>
    </w:p>
    <w:p w14:paraId="521C8459" w14:textId="77777777" w:rsidR="00D061AA" w:rsidRPr="00C52C4C" w:rsidRDefault="00D061AA" w:rsidP="00D061AA">
      <w:pPr>
        <w:pStyle w:val="Textonotaalfinal"/>
        <w:rPr>
          <w:szCs w:val="22"/>
          <w:lang w:val="es-ES_tradnl"/>
        </w:rPr>
      </w:pPr>
      <w:r w:rsidRPr="00C52C4C">
        <w:rPr>
          <w:szCs w:val="22"/>
          <w:lang w:val="es-ES_tradnl"/>
        </w:rPr>
        <w:t xml:space="preserve">La administración concomitante con sustratos del </w:t>
      </w:r>
      <w:smartTag w:uri="urn:schemas-microsoft-com:office:smarttags" w:element="PersonName">
        <w:r w:rsidRPr="00C52C4C">
          <w:rPr>
            <w:szCs w:val="22"/>
            <w:lang w:val="es-ES_tradnl"/>
          </w:rPr>
          <w:t>CY</w:t>
        </w:r>
      </w:smartTag>
      <w:r w:rsidRPr="00C52C4C">
        <w:rPr>
          <w:szCs w:val="22"/>
          <w:lang w:val="es-ES_tradnl"/>
        </w:rPr>
        <w:t>P3A4, terfenadina, astemizol, cisaprida, pimozida</w:t>
      </w:r>
      <w:r w:rsidR="0035052D">
        <w:rPr>
          <w:szCs w:val="22"/>
          <w:lang w:val="es-ES_tradnl"/>
        </w:rPr>
        <w:t>,</w:t>
      </w:r>
      <w:r w:rsidRPr="00C52C4C">
        <w:rPr>
          <w:szCs w:val="22"/>
          <w:lang w:val="es-ES_tradnl"/>
        </w:rPr>
        <w:t xml:space="preserve"> quinidina</w:t>
      </w:r>
      <w:r w:rsidR="0035052D">
        <w:rPr>
          <w:szCs w:val="22"/>
          <w:lang w:val="es-ES_tradnl"/>
        </w:rPr>
        <w:t xml:space="preserve"> o ivabradina</w:t>
      </w:r>
      <w:r w:rsidRPr="00C52C4C">
        <w:rPr>
          <w:szCs w:val="22"/>
          <w:lang w:val="es-ES_tradnl"/>
        </w:rPr>
        <w:t xml:space="preserve">, ya que el incremento de las concentraciones plasmáticas de estos fármacos puede conducir a la prolongación del intervalo QTc y casos poco frecuentes de </w:t>
      </w:r>
      <w:r w:rsidRPr="00C52C4C">
        <w:rPr>
          <w:i/>
          <w:szCs w:val="22"/>
          <w:lang w:val="es-ES_tradnl"/>
        </w:rPr>
        <w:t>torsades de pointes</w:t>
      </w:r>
      <w:r w:rsidRPr="00C52C4C">
        <w:rPr>
          <w:szCs w:val="22"/>
          <w:lang w:val="es-ES_tradnl"/>
        </w:rPr>
        <w:t xml:space="preserve"> (ver sección 4.5).</w:t>
      </w:r>
    </w:p>
    <w:p w14:paraId="2B0E25F9" w14:textId="77777777" w:rsidR="00D061AA" w:rsidRPr="00C52C4C" w:rsidRDefault="00D061AA" w:rsidP="00D061AA">
      <w:pPr>
        <w:pStyle w:val="Textonotaalfinal"/>
        <w:rPr>
          <w:szCs w:val="22"/>
          <w:lang w:val="es-ES_tradnl"/>
        </w:rPr>
      </w:pPr>
    </w:p>
    <w:p w14:paraId="58D37A8D" w14:textId="77777777" w:rsidR="00D061AA" w:rsidRPr="00C52C4C" w:rsidRDefault="00D061AA" w:rsidP="00D061AA">
      <w:pPr>
        <w:pStyle w:val="Textonotaalfinal"/>
        <w:rPr>
          <w:szCs w:val="22"/>
          <w:lang w:val="es-ES_tradnl"/>
        </w:rPr>
      </w:pPr>
      <w:r w:rsidRPr="00C52C4C">
        <w:rPr>
          <w:szCs w:val="22"/>
          <w:lang w:val="es-ES_tradnl"/>
        </w:rPr>
        <w:t>La administración concomitante con rifampicina, carbamazepina</w:t>
      </w:r>
      <w:r w:rsidR="00537D6E">
        <w:rPr>
          <w:szCs w:val="22"/>
          <w:lang w:val="es-ES_tradnl"/>
        </w:rPr>
        <w:t>,</w:t>
      </w:r>
      <w:r w:rsidRPr="00C52C4C">
        <w:rPr>
          <w:szCs w:val="22"/>
          <w:lang w:val="es-ES_tradnl"/>
        </w:rPr>
        <w:t xml:space="preserve"> fenobarbital</w:t>
      </w:r>
      <w:r w:rsidR="00537D6E">
        <w:rPr>
          <w:szCs w:val="22"/>
          <w:lang w:val="es-ES_tradnl"/>
        </w:rPr>
        <w:t xml:space="preserve"> y hierba de San Juan</w:t>
      </w:r>
      <w:r w:rsidRPr="00C52C4C">
        <w:rPr>
          <w:szCs w:val="22"/>
          <w:lang w:val="es-ES_tradnl"/>
        </w:rPr>
        <w:t>, ya que es probable que estos fármacos reduzcan las concentraciones plasmáticas de voriconazol de forma significativa (ver sección 4.5).</w:t>
      </w:r>
    </w:p>
    <w:p w14:paraId="44115CCC" w14:textId="77777777" w:rsidR="00D061AA" w:rsidRPr="00C52C4C" w:rsidRDefault="00D061AA" w:rsidP="00D061AA">
      <w:pPr>
        <w:pStyle w:val="Textonotaalfinal"/>
        <w:rPr>
          <w:szCs w:val="22"/>
          <w:lang w:val="es-ES_tradnl"/>
        </w:rPr>
      </w:pPr>
    </w:p>
    <w:p w14:paraId="6921D553" w14:textId="77777777" w:rsidR="00637D5D" w:rsidRPr="00C52C4C" w:rsidRDefault="00637D5D" w:rsidP="00637D5D">
      <w:pPr>
        <w:pStyle w:val="Textonotaalfinal"/>
        <w:rPr>
          <w:szCs w:val="22"/>
          <w:lang w:val="es-ES_tradnl"/>
        </w:rPr>
      </w:pPr>
      <w:r w:rsidRPr="00C52C4C">
        <w:rPr>
          <w:szCs w:val="22"/>
          <w:lang w:val="es-ES_tradnl"/>
        </w:rPr>
        <w:t>La administración concomitante de dosis estándar de voriconazol con dosis de 400 mg una vez al día de efavirenz o superiores está contraindicada, ya que efavirenz disminuye de forma significativa las concentraciones plasmáticas de voriconazol en voluntarios sanos en este rango de dosis. Voriconazol también incrementa significativamente las concentraciones plasmáticas de efavirenz (ver sección 4.5, para dosis inferiores ver sección 4.4).</w:t>
      </w:r>
    </w:p>
    <w:p w14:paraId="5201BB7A" w14:textId="77777777" w:rsidR="00D061AA" w:rsidRPr="00C52C4C" w:rsidRDefault="00D061AA" w:rsidP="00D061AA">
      <w:pPr>
        <w:pStyle w:val="Textonotaalfinal"/>
        <w:rPr>
          <w:szCs w:val="22"/>
          <w:lang w:val="es-ES_tradnl"/>
        </w:rPr>
      </w:pPr>
    </w:p>
    <w:p w14:paraId="2782077F" w14:textId="77777777" w:rsidR="00D061AA" w:rsidRPr="00C52C4C" w:rsidRDefault="00D061AA" w:rsidP="00D061AA">
      <w:pPr>
        <w:pStyle w:val="Textonotaalfinal"/>
        <w:rPr>
          <w:szCs w:val="22"/>
          <w:lang w:val="es-ES_tradnl"/>
        </w:rPr>
      </w:pPr>
      <w:r w:rsidRPr="00C52C4C">
        <w:rPr>
          <w:szCs w:val="22"/>
          <w:lang w:val="es-ES_tradnl"/>
        </w:rPr>
        <w:t>La administración concomitante con dosis altas de ritonavir (dosis de 400 mg y superiores, dos veces al día), ya que ritonavir disminuye de forma significativa la concentración plasmática de voriconazol en sujetos sanos a esta dosis (ver sección 4.5, para dosis más bajas ver sección 4.4).</w:t>
      </w:r>
    </w:p>
    <w:p w14:paraId="42665440" w14:textId="77777777" w:rsidR="00D061AA" w:rsidRPr="00C52C4C" w:rsidRDefault="00D061AA" w:rsidP="00D061AA">
      <w:pPr>
        <w:pStyle w:val="Textonotaalfinal"/>
        <w:rPr>
          <w:szCs w:val="22"/>
          <w:lang w:val="es-ES_tradnl"/>
        </w:rPr>
      </w:pPr>
    </w:p>
    <w:p w14:paraId="6ABAEF2B" w14:textId="77777777" w:rsidR="00D061AA" w:rsidRPr="00C52C4C" w:rsidRDefault="00D061AA" w:rsidP="00D061AA">
      <w:pPr>
        <w:pStyle w:val="Textonotaalfinal"/>
        <w:rPr>
          <w:szCs w:val="22"/>
          <w:lang w:val="es-ES_tradnl"/>
        </w:rPr>
      </w:pPr>
      <w:r w:rsidRPr="00C52C4C">
        <w:rPr>
          <w:szCs w:val="22"/>
          <w:lang w:val="es-ES_tradnl"/>
        </w:rPr>
        <w:t xml:space="preserve">La administración concomitante con alcaloides ergotamínicos (ergotamina, dihidroergotamina), los cuales son sustratos del </w:t>
      </w:r>
      <w:smartTag w:uri="urn:schemas-microsoft-com:office:smarttags" w:element="PersonName">
        <w:r w:rsidRPr="00C52C4C">
          <w:rPr>
            <w:szCs w:val="22"/>
            <w:lang w:val="es-ES_tradnl"/>
          </w:rPr>
          <w:t>CY</w:t>
        </w:r>
      </w:smartTag>
      <w:r w:rsidRPr="00C52C4C">
        <w:rPr>
          <w:szCs w:val="22"/>
          <w:lang w:val="es-ES_tradnl"/>
        </w:rPr>
        <w:t>P3A4, ya que el incremento de las concentraciones plasmáticas de estos fármacos puede provocar ergotismo (ver sección 4.5).</w:t>
      </w:r>
    </w:p>
    <w:p w14:paraId="20762F3F" w14:textId="77777777" w:rsidR="00D061AA" w:rsidRPr="00C52C4C" w:rsidRDefault="00D061AA" w:rsidP="00D061AA">
      <w:pPr>
        <w:pStyle w:val="Textonotaalfinal"/>
        <w:rPr>
          <w:szCs w:val="22"/>
          <w:lang w:val="es-ES_tradnl"/>
        </w:rPr>
      </w:pPr>
    </w:p>
    <w:p w14:paraId="70FF4991" w14:textId="77777777" w:rsidR="00D061AA" w:rsidRPr="00C52C4C" w:rsidRDefault="00D061AA" w:rsidP="00D061AA">
      <w:pPr>
        <w:pStyle w:val="Textonotaalfinal"/>
        <w:rPr>
          <w:szCs w:val="22"/>
          <w:lang w:val="es-ES_tradnl"/>
        </w:rPr>
      </w:pPr>
      <w:r w:rsidRPr="00C52C4C">
        <w:rPr>
          <w:szCs w:val="22"/>
          <w:lang w:val="es-ES_tradnl"/>
        </w:rPr>
        <w:t>La administración concomitante con sirolimus, ya que es probable que voriconazol incremente las concentraciones plasmáticas de sirolimus de forma significativa (ver sección 4.5).</w:t>
      </w:r>
    </w:p>
    <w:p w14:paraId="0CB63D09" w14:textId="77777777" w:rsidR="00D061AA" w:rsidRPr="00C52C4C" w:rsidRDefault="00D061AA" w:rsidP="00D061AA">
      <w:pPr>
        <w:pStyle w:val="Textonotaalfinal"/>
        <w:rPr>
          <w:szCs w:val="22"/>
          <w:lang w:val="es-ES_tradnl"/>
        </w:rPr>
      </w:pPr>
    </w:p>
    <w:p w14:paraId="46503166" w14:textId="77777777" w:rsidR="00537D6E" w:rsidRPr="00537D6E" w:rsidRDefault="00537D6E" w:rsidP="00537D6E">
      <w:pPr>
        <w:pStyle w:val="Textonotaalfinal"/>
        <w:rPr>
          <w:szCs w:val="22"/>
          <w:lang w:val="es-ES_tradnl"/>
        </w:rPr>
      </w:pPr>
      <w:r w:rsidRPr="00537D6E">
        <w:rPr>
          <w:szCs w:val="22"/>
          <w:lang w:val="es-ES_tradnl"/>
        </w:rPr>
        <w:t xml:space="preserve">La administración concomitante de voriconazol con naloxegol, un sustrato del CYP3A4, ya que el </w:t>
      </w:r>
    </w:p>
    <w:p w14:paraId="0D83F990" w14:textId="77777777" w:rsidR="00537D6E" w:rsidRPr="00537D6E" w:rsidRDefault="00537D6E" w:rsidP="00537D6E">
      <w:pPr>
        <w:pStyle w:val="Textonotaalfinal"/>
        <w:rPr>
          <w:szCs w:val="22"/>
          <w:lang w:val="es-ES_tradnl"/>
        </w:rPr>
      </w:pPr>
      <w:r w:rsidRPr="00537D6E">
        <w:rPr>
          <w:szCs w:val="22"/>
          <w:lang w:val="es-ES_tradnl"/>
        </w:rPr>
        <w:t xml:space="preserve">aumento de las concentraciones plasmáticas de naloxegol puede provocar síntomas de abstinencia de </w:t>
      </w:r>
    </w:p>
    <w:p w14:paraId="1B09C52F" w14:textId="77777777" w:rsidR="00537D6E" w:rsidRPr="00537D6E" w:rsidRDefault="00537D6E" w:rsidP="00537D6E">
      <w:pPr>
        <w:pStyle w:val="Textonotaalfinal"/>
        <w:rPr>
          <w:szCs w:val="22"/>
          <w:lang w:val="es-ES_tradnl"/>
        </w:rPr>
      </w:pPr>
      <w:r w:rsidRPr="00537D6E">
        <w:rPr>
          <w:szCs w:val="22"/>
          <w:lang w:val="es-ES_tradnl"/>
        </w:rPr>
        <w:t>opioides (ver sección 4.5).</w:t>
      </w:r>
    </w:p>
    <w:p w14:paraId="60DE5492" w14:textId="77777777" w:rsidR="00537D6E" w:rsidRPr="00537D6E" w:rsidRDefault="00537D6E" w:rsidP="00537D6E">
      <w:pPr>
        <w:pStyle w:val="Textonotaalfinal"/>
        <w:rPr>
          <w:szCs w:val="22"/>
          <w:lang w:val="es-ES_tradnl"/>
        </w:rPr>
      </w:pPr>
    </w:p>
    <w:p w14:paraId="4C5F3D3B" w14:textId="77777777" w:rsidR="00537D6E" w:rsidRPr="00537D6E" w:rsidRDefault="00537D6E" w:rsidP="00537D6E">
      <w:pPr>
        <w:pStyle w:val="Textonotaalfinal"/>
        <w:rPr>
          <w:szCs w:val="22"/>
          <w:lang w:val="es-ES_tradnl"/>
        </w:rPr>
      </w:pPr>
      <w:r w:rsidRPr="00537D6E">
        <w:rPr>
          <w:szCs w:val="22"/>
          <w:lang w:val="es-ES_tradnl"/>
        </w:rPr>
        <w:t xml:space="preserve">La administración concomitante de voriconazol con tolvaptán, ya que los inhibidores potentes del </w:t>
      </w:r>
    </w:p>
    <w:p w14:paraId="7CBCD240" w14:textId="77777777" w:rsidR="00537D6E" w:rsidRPr="00537D6E" w:rsidRDefault="00537D6E" w:rsidP="00537D6E">
      <w:pPr>
        <w:pStyle w:val="Textonotaalfinal"/>
        <w:rPr>
          <w:szCs w:val="22"/>
          <w:lang w:val="es-ES_tradnl"/>
        </w:rPr>
      </w:pPr>
      <w:r w:rsidRPr="00537D6E">
        <w:rPr>
          <w:szCs w:val="22"/>
          <w:lang w:val="es-ES_tradnl"/>
        </w:rPr>
        <w:t xml:space="preserve">CYP3A4, como el voriconazol, aumentan significativamente las concentraciones plasmáticas de </w:t>
      </w:r>
    </w:p>
    <w:p w14:paraId="72DAEEF0" w14:textId="77777777" w:rsidR="00537D6E" w:rsidRPr="00537D6E" w:rsidRDefault="00537D6E" w:rsidP="00537D6E">
      <w:pPr>
        <w:pStyle w:val="Textonotaalfinal"/>
        <w:rPr>
          <w:szCs w:val="22"/>
          <w:lang w:val="es-ES_tradnl"/>
        </w:rPr>
      </w:pPr>
      <w:r w:rsidRPr="00537D6E">
        <w:rPr>
          <w:szCs w:val="22"/>
          <w:lang w:val="es-ES_tradnl"/>
        </w:rPr>
        <w:t>tolvaptán (ver sección 4.5).</w:t>
      </w:r>
    </w:p>
    <w:p w14:paraId="540D599C" w14:textId="77777777" w:rsidR="00537D6E" w:rsidRPr="00537D6E" w:rsidRDefault="00537D6E" w:rsidP="00537D6E">
      <w:pPr>
        <w:pStyle w:val="Textonotaalfinal"/>
        <w:rPr>
          <w:szCs w:val="22"/>
          <w:lang w:val="es-ES_tradnl"/>
        </w:rPr>
      </w:pPr>
    </w:p>
    <w:p w14:paraId="1F338938" w14:textId="77777777" w:rsidR="00537D6E" w:rsidRPr="00537D6E" w:rsidRDefault="00537D6E" w:rsidP="00537D6E">
      <w:pPr>
        <w:pStyle w:val="Textonotaalfinal"/>
        <w:rPr>
          <w:szCs w:val="22"/>
          <w:lang w:val="es-ES_tradnl"/>
        </w:rPr>
      </w:pPr>
      <w:r w:rsidRPr="00537D6E">
        <w:rPr>
          <w:szCs w:val="22"/>
          <w:lang w:val="es-ES_tradnl"/>
        </w:rPr>
        <w:t xml:space="preserve">La administración concomitante de voriconazol con lurasidona, ya que los aumentos significativos en </w:t>
      </w:r>
    </w:p>
    <w:p w14:paraId="1723F121" w14:textId="77777777" w:rsidR="00537D6E" w:rsidRPr="00537D6E" w:rsidRDefault="00537D6E" w:rsidP="00537D6E">
      <w:pPr>
        <w:pStyle w:val="Textonotaalfinal"/>
        <w:rPr>
          <w:szCs w:val="22"/>
          <w:lang w:val="es-ES_tradnl"/>
        </w:rPr>
      </w:pPr>
      <w:r w:rsidRPr="00537D6E">
        <w:rPr>
          <w:szCs w:val="22"/>
          <w:lang w:val="es-ES_tradnl"/>
        </w:rPr>
        <w:t>la exposición a lurasidona pueden provocar reacciones adversas graves (ver sección 4.5).</w:t>
      </w:r>
    </w:p>
    <w:p w14:paraId="58E632EA" w14:textId="77777777" w:rsidR="0035052D" w:rsidRDefault="0035052D" w:rsidP="00D061AA">
      <w:pPr>
        <w:pStyle w:val="Textonotaalfinal"/>
        <w:rPr>
          <w:szCs w:val="22"/>
          <w:lang w:val="es-ES_tradnl"/>
        </w:rPr>
      </w:pPr>
    </w:p>
    <w:p w14:paraId="123C1021" w14:textId="77777777" w:rsidR="0035052D" w:rsidRPr="0035052D" w:rsidRDefault="0035052D" w:rsidP="0035052D">
      <w:pPr>
        <w:pStyle w:val="Textonotaalfinal"/>
        <w:rPr>
          <w:szCs w:val="22"/>
          <w:lang w:val="es-ES_tradnl"/>
        </w:rPr>
      </w:pPr>
      <w:r w:rsidRPr="0035052D">
        <w:rPr>
          <w:szCs w:val="22"/>
          <w:lang w:val="es-ES_tradnl"/>
        </w:rPr>
        <w:t xml:space="preserve">La administración concomitante con venetoclax al inicio y durante la fase de ajuste de dosis, ya que es </w:t>
      </w:r>
    </w:p>
    <w:p w14:paraId="254382A7" w14:textId="77777777" w:rsidR="0035052D" w:rsidRPr="0035052D" w:rsidRDefault="0035052D" w:rsidP="0035052D">
      <w:pPr>
        <w:pStyle w:val="Textonotaalfinal"/>
        <w:rPr>
          <w:szCs w:val="22"/>
          <w:lang w:val="es-ES_tradnl"/>
        </w:rPr>
      </w:pPr>
      <w:r w:rsidRPr="0035052D">
        <w:rPr>
          <w:szCs w:val="22"/>
          <w:lang w:val="es-ES_tradnl"/>
        </w:rPr>
        <w:t xml:space="preserve">probable que voriconazol aumente significativamente las concentraciones plasmáticas de venetoclax e </w:t>
      </w:r>
    </w:p>
    <w:p w14:paraId="29F81125" w14:textId="77777777" w:rsidR="0035052D" w:rsidRPr="00C52C4C" w:rsidRDefault="0035052D" w:rsidP="0035052D">
      <w:pPr>
        <w:pStyle w:val="Textonotaalfinal"/>
        <w:rPr>
          <w:szCs w:val="22"/>
          <w:lang w:val="es-ES_tradnl"/>
        </w:rPr>
      </w:pPr>
      <w:r w:rsidRPr="0035052D">
        <w:rPr>
          <w:szCs w:val="22"/>
          <w:lang w:val="es-ES_tradnl"/>
        </w:rPr>
        <w:t>incremente el riesgo del síndrome de lisis tumoral (ver sección 4.5).</w:t>
      </w:r>
      <w:r w:rsidRPr="0035052D">
        <w:rPr>
          <w:szCs w:val="22"/>
          <w:lang w:val="es-ES_tradnl"/>
        </w:rPr>
        <w:cr/>
      </w:r>
    </w:p>
    <w:p w14:paraId="2CB66F11" w14:textId="77777777" w:rsidR="00D061AA" w:rsidRPr="00C52C4C" w:rsidRDefault="00D061AA" w:rsidP="00D061AA">
      <w:pPr>
        <w:pStyle w:val="Textonotaalfinal"/>
        <w:rPr>
          <w:szCs w:val="22"/>
          <w:lang w:val="es-ES_tradnl"/>
        </w:rPr>
      </w:pPr>
    </w:p>
    <w:p w14:paraId="6DCFA29C" w14:textId="77777777" w:rsidR="00D061AA" w:rsidRPr="00C52C4C" w:rsidRDefault="00D061AA" w:rsidP="00D061AA">
      <w:pPr>
        <w:tabs>
          <w:tab w:val="left" w:pos="567"/>
        </w:tabs>
        <w:rPr>
          <w:b/>
          <w:sz w:val="22"/>
          <w:szCs w:val="22"/>
          <w:lang w:val="es-ES_tradnl"/>
        </w:rPr>
      </w:pPr>
      <w:r w:rsidRPr="00C52C4C">
        <w:rPr>
          <w:b/>
          <w:sz w:val="22"/>
          <w:szCs w:val="22"/>
          <w:lang w:val="es-ES_tradnl"/>
        </w:rPr>
        <w:t>4.4</w:t>
      </w:r>
      <w:r w:rsidRPr="00C52C4C">
        <w:rPr>
          <w:b/>
          <w:sz w:val="22"/>
          <w:szCs w:val="22"/>
          <w:lang w:val="es-ES_tradnl"/>
        </w:rPr>
        <w:tab/>
        <w:t>Advertencias y precauciones especiales de empleo</w:t>
      </w:r>
    </w:p>
    <w:p w14:paraId="519E26CB" w14:textId="77777777" w:rsidR="00D061AA" w:rsidRPr="00C52C4C" w:rsidRDefault="00D061AA" w:rsidP="00D061AA">
      <w:pPr>
        <w:pStyle w:val="Textonotaalfinal"/>
        <w:rPr>
          <w:szCs w:val="22"/>
          <w:lang w:val="es-ES_tradnl"/>
        </w:rPr>
      </w:pPr>
    </w:p>
    <w:p w14:paraId="3B4317C8" w14:textId="77777777" w:rsidR="00D061AA" w:rsidRPr="00C52C4C" w:rsidRDefault="00D061AA" w:rsidP="00D061AA">
      <w:pPr>
        <w:tabs>
          <w:tab w:val="left" w:pos="567"/>
        </w:tabs>
        <w:rPr>
          <w:sz w:val="22"/>
          <w:szCs w:val="22"/>
          <w:lang w:val="es-ES_tradnl"/>
        </w:rPr>
      </w:pPr>
      <w:r w:rsidRPr="00C52C4C">
        <w:rPr>
          <w:sz w:val="22"/>
          <w:szCs w:val="22"/>
          <w:u w:val="single"/>
          <w:lang w:val="es-ES_tradnl"/>
        </w:rPr>
        <w:t>Hipersensibilidad</w:t>
      </w:r>
    </w:p>
    <w:p w14:paraId="17F42BED"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Se recomienda tener precaución al prescribir </w:t>
      </w:r>
      <w:r w:rsidR="008D11BB" w:rsidRPr="00C52C4C">
        <w:rPr>
          <w:sz w:val="22"/>
          <w:szCs w:val="22"/>
        </w:rPr>
        <w:t>Voriconazol</w:t>
      </w:r>
      <w:r w:rsidR="00591702" w:rsidRPr="00C52C4C">
        <w:rPr>
          <w:sz w:val="22"/>
          <w:szCs w:val="22"/>
        </w:rPr>
        <w:t xml:space="preserve"> Accord </w:t>
      </w:r>
      <w:r w:rsidRPr="00C52C4C">
        <w:rPr>
          <w:sz w:val="22"/>
          <w:szCs w:val="22"/>
          <w:lang w:val="es-ES_tradnl"/>
        </w:rPr>
        <w:t>a pacientes que hayan presentado reacciones de hipersensibilidad a otros compuestos azólicos (ver también la sección 4.8).</w:t>
      </w:r>
    </w:p>
    <w:p w14:paraId="0D45D587" w14:textId="77777777" w:rsidR="00D061AA" w:rsidRPr="00C52C4C" w:rsidRDefault="00D061AA" w:rsidP="00D061AA">
      <w:pPr>
        <w:tabs>
          <w:tab w:val="left" w:pos="567"/>
        </w:tabs>
        <w:rPr>
          <w:sz w:val="22"/>
          <w:szCs w:val="22"/>
          <w:lang w:val="es-ES_tradnl"/>
        </w:rPr>
      </w:pPr>
    </w:p>
    <w:p w14:paraId="4B1D58E2" w14:textId="77777777" w:rsidR="00D061AA" w:rsidRPr="00C52C4C" w:rsidRDefault="00D061AA" w:rsidP="00D061AA">
      <w:pPr>
        <w:tabs>
          <w:tab w:val="left" w:pos="567"/>
        </w:tabs>
        <w:rPr>
          <w:sz w:val="22"/>
          <w:szCs w:val="22"/>
          <w:lang w:val="es-ES_tradnl"/>
        </w:rPr>
      </w:pPr>
      <w:r w:rsidRPr="00C52C4C">
        <w:rPr>
          <w:sz w:val="22"/>
          <w:szCs w:val="22"/>
          <w:u w:val="single"/>
          <w:lang w:val="es-ES_tradnl"/>
        </w:rPr>
        <w:t>Cardiovascular</w:t>
      </w:r>
    </w:p>
    <w:p w14:paraId="3FE7C2D3" w14:textId="77777777" w:rsidR="00D061AA" w:rsidRPr="00C52C4C" w:rsidRDefault="00D061AA" w:rsidP="00D061AA">
      <w:pPr>
        <w:tabs>
          <w:tab w:val="left" w:pos="567"/>
        </w:tabs>
        <w:rPr>
          <w:sz w:val="22"/>
          <w:szCs w:val="22"/>
          <w:lang w:val="es-ES_tradnl"/>
        </w:rPr>
      </w:pPr>
      <w:r w:rsidRPr="00C52C4C">
        <w:rPr>
          <w:sz w:val="22"/>
          <w:szCs w:val="22"/>
          <w:lang w:val="es-ES_tradnl"/>
        </w:rPr>
        <w:t>Se ha asociado prolongación del intervalo QT</w:t>
      </w:r>
      <w:r w:rsidR="00637D5D" w:rsidRPr="00C52C4C">
        <w:rPr>
          <w:sz w:val="22"/>
          <w:szCs w:val="22"/>
          <w:lang w:val="es-ES_tradnl"/>
        </w:rPr>
        <w:t>c</w:t>
      </w:r>
      <w:r w:rsidRPr="00C52C4C">
        <w:rPr>
          <w:sz w:val="22"/>
          <w:szCs w:val="22"/>
          <w:lang w:val="es-ES_tradnl"/>
        </w:rPr>
        <w:t xml:space="preserve"> con voriconazol. Raramente se han comunicado casos de </w:t>
      </w:r>
      <w:r w:rsidRPr="00C52C4C">
        <w:rPr>
          <w:i/>
          <w:sz w:val="22"/>
          <w:szCs w:val="22"/>
          <w:lang w:val="es-ES_tradnl"/>
        </w:rPr>
        <w:t>torsades de pointes</w:t>
      </w:r>
      <w:r w:rsidRPr="00C52C4C">
        <w:rPr>
          <w:sz w:val="22"/>
          <w:szCs w:val="22"/>
          <w:lang w:val="es-ES_tradnl"/>
        </w:rPr>
        <w:t xml:space="preserve"> en </w:t>
      </w:r>
      <w:smartTag w:uri="urn:schemas-microsoft-com:office:smarttags" w:element="PersonName">
        <w:r w:rsidRPr="00C52C4C">
          <w:rPr>
            <w:sz w:val="22"/>
            <w:szCs w:val="22"/>
            <w:lang w:val="es-ES_tradnl"/>
          </w:rPr>
          <w:t>pa</w:t>
        </w:r>
      </w:smartTag>
      <w:r w:rsidRPr="00C52C4C">
        <w:rPr>
          <w:sz w:val="22"/>
          <w:szCs w:val="22"/>
          <w:lang w:val="es-ES_tradnl"/>
        </w:rPr>
        <w:t>cientes que recibían voriconazol y que presentaban factores de riesgo, tales como antecedentes de haber sido tratados con quimioterapia cardiotóxica, cardiomio</w:t>
      </w:r>
      <w:smartTag w:uri="urn:schemas-microsoft-com:office:smarttags" w:element="PersonName">
        <w:r w:rsidRPr="00C52C4C">
          <w:rPr>
            <w:sz w:val="22"/>
            <w:szCs w:val="22"/>
            <w:lang w:val="es-ES_tradnl"/>
          </w:rPr>
          <w:t>pa</w:t>
        </w:r>
      </w:smartTag>
      <w:r w:rsidRPr="00C52C4C">
        <w:rPr>
          <w:sz w:val="22"/>
          <w:szCs w:val="22"/>
          <w:lang w:val="es-ES_tradnl"/>
        </w:rPr>
        <w:t>tía, hipocaliemia y medicaciones concomitantes, que pueden haber contribuido a la a</w:t>
      </w:r>
      <w:smartTag w:uri="urn:schemas-microsoft-com:office:smarttags" w:element="PersonName">
        <w:r w:rsidRPr="00C52C4C">
          <w:rPr>
            <w:sz w:val="22"/>
            <w:szCs w:val="22"/>
            <w:lang w:val="es-ES_tradnl"/>
          </w:rPr>
          <w:t>pa</w:t>
        </w:r>
      </w:smartTag>
      <w:r w:rsidRPr="00C52C4C">
        <w:rPr>
          <w:sz w:val="22"/>
          <w:szCs w:val="22"/>
          <w:lang w:val="es-ES_tradnl"/>
        </w:rPr>
        <w:t>rición de</w:t>
      </w:r>
      <w:r w:rsidRPr="00C52C4C">
        <w:rPr>
          <w:i/>
          <w:sz w:val="22"/>
          <w:szCs w:val="22"/>
          <w:lang w:val="es-ES_tradnl"/>
        </w:rPr>
        <w:t xml:space="preserve"> </w:t>
      </w:r>
      <w:r w:rsidRPr="00C52C4C">
        <w:rPr>
          <w:sz w:val="22"/>
          <w:szCs w:val="22"/>
          <w:lang w:val="es-ES_tradnl"/>
        </w:rPr>
        <w:t xml:space="preserve">estos </w:t>
      </w:r>
      <w:r w:rsidRPr="00C52C4C">
        <w:rPr>
          <w:sz w:val="22"/>
          <w:szCs w:val="22"/>
          <w:lang w:val="es-ES_tradnl"/>
        </w:rPr>
        <w:lastRenderedPageBreak/>
        <w:t xml:space="preserve">casos. Voriconazol deberá ser administrado con precaución a </w:t>
      </w:r>
      <w:smartTag w:uri="urn:schemas-microsoft-com:office:smarttags" w:element="PersonName">
        <w:r w:rsidRPr="00C52C4C">
          <w:rPr>
            <w:sz w:val="22"/>
            <w:szCs w:val="22"/>
            <w:lang w:val="es-ES_tradnl"/>
          </w:rPr>
          <w:t>pa</w:t>
        </w:r>
      </w:smartTag>
      <w:r w:rsidRPr="00C52C4C">
        <w:rPr>
          <w:sz w:val="22"/>
          <w:szCs w:val="22"/>
          <w:lang w:val="es-ES_tradnl"/>
        </w:rPr>
        <w:t>cientes en situaciones potencialmente proarrítmicas tales como</w:t>
      </w:r>
    </w:p>
    <w:p w14:paraId="3929E1A2" w14:textId="77777777" w:rsidR="00D061AA" w:rsidRPr="00C52C4C" w:rsidRDefault="00D061AA" w:rsidP="00D061AA">
      <w:pPr>
        <w:tabs>
          <w:tab w:val="left" w:pos="567"/>
        </w:tabs>
        <w:rPr>
          <w:sz w:val="22"/>
          <w:szCs w:val="22"/>
          <w:lang w:val="es-ES_tradnl"/>
        </w:rPr>
      </w:pPr>
    </w:p>
    <w:p w14:paraId="16C1DA8C" w14:textId="77777777" w:rsidR="00D061AA" w:rsidRPr="00C52C4C" w:rsidRDefault="00D061AA" w:rsidP="00623360">
      <w:pPr>
        <w:numPr>
          <w:ilvl w:val="0"/>
          <w:numId w:val="2"/>
        </w:numPr>
        <w:tabs>
          <w:tab w:val="clear" w:pos="360"/>
          <w:tab w:val="left" w:pos="567"/>
        </w:tabs>
        <w:rPr>
          <w:sz w:val="22"/>
          <w:szCs w:val="22"/>
          <w:lang w:val="es-ES_tradnl"/>
        </w:rPr>
      </w:pPr>
      <w:r w:rsidRPr="00C52C4C">
        <w:rPr>
          <w:sz w:val="22"/>
          <w:szCs w:val="22"/>
          <w:lang w:val="es-ES_tradnl"/>
        </w:rPr>
        <w:t>Prolongación del intervalo QT</w:t>
      </w:r>
      <w:r w:rsidR="00637D5D" w:rsidRPr="00C52C4C">
        <w:rPr>
          <w:sz w:val="22"/>
          <w:szCs w:val="22"/>
          <w:lang w:val="es-ES_tradnl"/>
        </w:rPr>
        <w:t>c</w:t>
      </w:r>
      <w:r w:rsidRPr="00C52C4C">
        <w:rPr>
          <w:sz w:val="22"/>
          <w:szCs w:val="22"/>
          <w:lang w:val="es-ES_tradnl"/>
        </w:rPr>
        <w:t xml:space="preserve"> adquirida o congénita</w:t>
      </w:r>
    </w:p>
    <w:p w14:paraId="25E9E668" w14:textId="77777777" w:rsidR="00D061AA" w:rsidRPr="00C52C4C" w:rsidRDefault="00D061AA" w:rsidP="00623360">
      <w:pPr>
        <w:numPr>
          <w:ilvl w:val="0"/>
          <w:numId w:val="2"/>
        </w:numPr>
        <w:tabs>
          <w:tab w:val="clear" w:pos="360"/>
          <w:tab w:val="left" w:pos="567"/>
        </w:tabs>
        <w:rPr>
          <w:sz w:val="22"/>
          <w:szCs w:val="22"/>
          <w:lang w:val="es-ES_tradnl"/>
        </w:rPr>
      </w:pPr>
      <w:r w:rsidRPr="00C52C4C">
        <w:rPr>
          <w:sz w:val="22"/>
          <w:szCs w:val="22"/>
          <w:lang w:val="es-ES_tradnl"/>
        </w:rPr>
        <w:t>Cardiomiopatía, en particular con insuficiencia cardíaca asociada</w:t>
      </w:r>
    </w:p>
    <w:p w14:paraId="1938EA71" w14:textId="77777777" w:rsidR="00D061AA" w:rsidRPr="00C52C4C" w:rsidRDefault="00D061AA" w:rsidP="00623360">
      <w:pPr>
        <w:numPr>
          <w:ilvl w:val="0"/>
          <w:numId w:val="2"/>
        </w:numPr>
        <w:tabs>
          <w:tab w:val="clear" w:pos="360"/>
          <w:tab w:val="left" w:pos="567"/>
        </w:tabs>
        <w:rPr>
          <w:sz w:val="22"/>
          <w:szCs w:val="22"/>
          <w:lang w:val="es-ES_tradnl"/>
        </w:rPr>
      </w:pPr>
      <w:r w:rsidRPr="00C52C4C">
        <w:rPr>
          <w:sz w:val="22"/>
          <w:szCs w:val="22"/>
          <w:lang w:val="es-ES_tradnl"/>
        </w:rPr>
        <w:t>Bradicardia sinusal</w:t>
      </w:r>
    </w:p>
    <w:p w14:paraId="3786AF8B" w14:textId="77777777" w:rsidR="00D061AA" w:rsidRPr="00C52C4C" w:rsidRDefault="00D061AA" w:rsidP="00623360">
      <w:pPr>
        <w:numPr>
          <w:ilvl w:val="0"/>
          <w:numId w:val="2"/>
        </w:numPr>
        <w:tabs>
          <w:tab w:val="clear" w:pos="360"/>
          <w:tab w:val="left" w:pos="567"/>
        </w:tabs>
        <w:rPr>
          <w:sz w:val="22"/>
          <w:szCs w:val="22"/>
          <w:lang w:val="es-ES_tradnl"/>
        </w:rPr>
      </w:pPr>
      <w:r w:rsidRPr="00C52C4C">
        <w:rPr>
          <w:sz w:val="22"/>
          <w:szCs w:val="22"/>
          <w:lang w:val="es-ES_tradnl"/>
        </w:rPr>
        <w:t>Arritmias sintomáticas</w:t>
      </w:r>
    </w:p>
    <w:p w14:paraId="45092DB4" w14:textId="77777777" w:rsidR="00D061AA" w:rsidRPr="00C52C4C" w:rsidRDefault="00D061AA" w:rsidP="00623360">
      <w:pPr>
        <w:numPr>
          <w:ilvl w:val="0"/>
          <w:numId w:val="2"/>
        </w:numPr>
        <w:tabs>
          <w:tab w:val="clear" w:pos="360"/>
          <w:tab w:val="left" w:pos="567"/>
        </w:tabs>
        <w:ind w:left="600" w:hanging="600"/>
        <w:rPr>
          <w:sz w:val="22"/>
          <w:szCs w:val="22"/>
          <w:lang w:val="es-ES_tradnl"/>
        </w:rPr>
      </w:pPr>
      <w:r w:rsidRPr="00C52C4C">
        <w:rPr>
          <w:sz w:val="22"/>
          <w:szCs w:val="22"/>
          <w:lang w:val="es-ES_tradnl"/>
        </w:rPr>
        <w:t>Medicación concomitante de la que se conoce que prolongue el intervalo QT</w:t>
      </w:r>
      <w:r w:rsidR="00637D5D" w:rsidRPr="00C52C4C">
        <w:rPr>
          <w:sz w:val="22"/>
          <w:szCs w:val="22"/>
          <w:lang w:val="es-ES_tradnl"/>
        </w:rPr>
        <w:t>c</w:t>
      </w:r>
      <w:r w:rsidRPr="00C52C4C">
        <w:rPr>
          <w:sz w:val="22"/>
          <w:szCs w:val="22"/>
          <w:lang w:val="es-ES_tradnl"/>
        </w:rPr>
        <w:t>. Antes del inicio y durante el tratamiento con voriconazol se deben monitorizar y corregir, siempre que sea necesario, las alteraciones electrolíticas, tales como hipopotasemia, hipomagnesemia e hipocalcemia (ver sección 4.2). Se ha llevado a cabo un ensayo en voluntarios sanos, en el que se examinó el efecto sobre el intervalo QT</w:t>
      </w:r>
      <w:r w:rsidR="00637D5D" w:rsidRPr="00C52C4C">
        <w:rPr>
          <w:sz w:val="22"/>
          <w:szCs w:val="22"/>
          <w:lang w:val="es-ES_tradnl"/>
        </w:rPr>
        <w:t>c</w:t>
      </w:r>
      <w:r w:rsidRPr="00C52C4C">
        <w:rPr>
          <w:sz w:val="22"/>
          <w:szCs w:val="22"/>
          <w:lang w:val="es-ES_tradnl"/>
        </w:rPr>
        <w:t xml:space="preserve"> del tratamiento con voriconazol a dosis únicas hasta cuatro veces la dosis diaria habitual. Ningún individuo experimentó un intervalo que excediese el umbral de 500 mseg, considerado como de potencial relevancia clínica (ver sección 5.1).</w:t>
      </w:r>
    </w:p>
    <w:p w14:paraId="0C2B33CD" w14:textId="77777777" w:rsidR="00D061AA" w:rsidRPr="00C52C4C" w:rsidRDefault="00D061AA" w:rsidP="00D061AA">
      <w:pPr>
        <w:tabs>
          <w:tab w:val="left" w:pos="567"/>
        </w:tabs>
        <w:rPr>
          <w:sz w:val="22"/>
          <w:szCs w:val="22"/>
          <w:u w:val="single"/>
          <w:lang w:val="es-ES_tradnl"/>
        </w:rPr>
      </w:pPr>
    </w:p>
    <w:p w14:paraId="706EF80A" w14:textId="77777777" w:rsidR="00D061AA" w:rsidRPr="00C52C4C" w:rsidRDefault="00D061AA" w:rsidP="006235A5">
      <w:pPr>
        <w:keepNext/>
        <w:tabs>
          <w:tab w:val="left" w:pos="567"/>
        </w:tabs>
        <w:rPr>
          <w:sz w:val="22"/>
          <w:szCs w:val="22"/>
          <w:lang w:val="es-ES_tradnl"/>
        </w:rPr>
      </w:pPr>
      <w:r w:rsidRPr="00C52C4C">
        <w:rPr>
          <w:sz w:val="22"/>
          <w:szCs w:val="22"/>
          <w:u w:val="single"/>
          <w:lang w:val="es-ES_tradnl"/>
        </w:rPr>
        <w:t>Toxicidad hepática</w:t>
      </w:r>
    </w:p>
    <w:p w14:paraId="6C2E9D27" w14:textId="77777777" w:rsidR="00D061AA" w:rsidRPr="00C52C4C" w:rsidRDefault="00D061AA" w:rsidP="006235A5">
      <w:pPr>
        <w:keepNext/>
        <w:tabs>
          <w:tab w:val="left" w:pos="567"/>
        </w:tabs>
        <w:rPr>
          <w:sz w:val="22"/>
          <w:szCs w:val="22"/>
          <w:lang w:val="es-ES_tradnl"/>
        </w:rPr>
      </w:pPr>
      <w:r w:rsidRPr="00C52C4C">
        <w:rPr>
          <w:sz w:val="22"/>
          <w:szCs w:val="22"/>
          <w:lang w:val="es-ES_tradnl"/>
        </w:rPr>
        <w:t>En los ensayos clínicos se han notificado casos de reacciones hepáticas graves durante el tratamiento con voriconazol (incluyendo hepatitis clínica, colestasis y fallo hepático fulminante, incluso letalidad). Los casos de reacciones hepáticas tuvieron lugar principalmente en pacientes con patologías graves subyacentes (predominantemente neoplasias hematológicas). Ha habido reacciones hepáticas transitorias, incluyendo hepatitis e ictericia, en pacientes sin ningún otro factor de riesgo identificable. La insuficiencia hepática generalmente era reversible tras la suspensión del tratamiento (ver sección 4.8).</w:t>
      </w:r>
    </w:p>
    <w:p w14:paraId="534FD562" w14:textId="77777777" w:rsidR="00D061AA" w:rsidRPr="00C52C4C" w:rsidRDefault="00D061AA" w:rsidP="00D061AA">
      <w:pPr>
        <w:tabs>
          <w:tab w:val="left" w:pos="567"/>
        </w:tabs>
        <w:rPr>
          <w:sz w:val="22"/>
          <w:szCs w:val="22"/>
          <w:lang w:val="es-ES_tradnl"/>
        </w:rPr>
      </w:pPr>
    </w:p>
    <w:p w14:paraId="38B9DFF4" w14:textId="77777777" w:rsidR="00D061AA" w:rsidRPr="00C52C4C" w:rsidRDefault="00D061AA" w:rsidP="00D061AA">
      <w:pPr>
        <w:tabs>
          <w:tab w:val="left" w:pos="567"/>
        </w:tabs>
        <w:rPr>
          <w:sz w:val="22"/>
          <w:szCs w:val="22"/>
          <w:lang w:val="es-ES_tradnl"/>
        </w:rPr>
      </w:pPr>
      <w:r w:rsidRPr="00C52C4C">
        <w:rPr>
          <w:sz w:val="22"/>
          <w:szCs w:val="22"/>
          <w:u w:val="single"/>
          <w:lang w:val="es-ES_tradnl"/>
        </w:rPr>
        <w:t>Monitorización de la función hepática</w:t>
      </w:r>
    </w:p>
    <w:p w14:paraId="4DD154D4" w14:textId="77777777" w:rsidR="00637D5D" w:rsidRPr="00C52C4C" w:rsidRDefault="00637D5D" w:rsidP="00637D5D">
      <w:pPr>
        <w:tabs>
          <w:tab w:val="left" w:pos="567"/>
        </w:tabs>
        <w:rPr>
          <w:sz w:val="22"/>
          <w:szCs w:val="22"/>
          <w:lang w:val="es-ES_tradnl"/>
        </w:rPr>
      </w:pPr>
      <w:r w:rsidRPr="00C52C4C">
        <w:rPr>
          <w:sz w:val="22"/>
          <w:szCs w:val="22"/>
          <w:lang w:val="es-ES_tradnl"/>
        </w:rPr>
        <w:t xml:space="preserve">Se debe controlar cuidadosamente a los pacientes que estén recibiendo </w:t>
      </w:r>
      <w:r w:rsidR="005A4057" w:rsidRPr="00C52C4C">
        <w:rPr>
          <w:sz w:val="22"/>
          <w:szCs w:val="22"/>
          <w:lang w:val="es-ES_tradnl"/>
        </w:rPr>
        <w:t>Voraconizol</w:t>
      </w:r>
      <w:r w:rsidRPr="00C52C4C">
        <w:rPr>
          <w:sz w:val="22"/>
          <w:szCs w:val="22"/>
          <w:lang w:val="es-ES_tradnl"/>
        </w:rPr>
        <w:t xml:space="preserve"> </w:t>
      </w:r>
      <w:r w:rsidR="005A4057" w:rsidRPr="00C52C4C">
        <w:rPr>
          <w:sz w:val="22"/>
          <w:szCs w:val="22"/>
          <w:lang w:val="es-ES_tradnl"/>
        </w:rPr>
        <w:t xml:space="preserve">Accord </w:t>
      </w:r>
      <w:r w:rsidRPr="00C52C4C">
        <w:rPr>
          <w:sz w:val="22"/>
          <w:szCs w:val="22"/>
          <w:lang w:val="es-ES_tradnl"/>
        </w:rPr>
        <w:t xml:space="preserve">por si se produjera toxicidad hepática. El control clínico deberá incluir la evaluación analítica de la función hepática (en concreto de AST y ALT) al inicio del tratamiento con </w:t>
      </w:r>
      <w:r w:rsidR="005A4057" w:rsidRPr="00C52C4C">
        <w:rPr>
          <w:sz w:val="22"/>
          <w:szCs w:val="22"/>
          <w:lang w:val="es-ES_tradnl"/>
        </w:rPr>
        <w:t xml:space="preserve">Voraconizol Accord </w:t>
      </w:r>
      <w:r w:rsidRPr="00C52C4C">
        <w:rPr>
          <w:sz w:val="22"/>
          <w:szCs w:val="22"/>
          <w:lang w:val="es-ES_tradnl"/>
        </w:rPr>
        <w:t>y, al menos, una vez a la semana durante el primer mes de tratamiento. La duración del tratamiento deberá ser lo más breve posible; no obstante, si basándose en la evaluación del balance beneficio-riesgo, el tratamiento se prolongase (ver sección 4.2), la frecuencia del control clínico puede reducirse a 1 vez al mes siempre que no se produzcan cambios en las pruebas de función hepática.</w:t>
      </w:r>
    </w:p>
    <w:p w14:paraId="72B023E7" w14:textId="77777777" w:rsidR="00637D5D" w:rsidRPr="00C52C4C" w:rsidRDefault="00637D5D" w:rsidP="00637D5D">
      <w:pPr>
        <w:tabs>
          <w:tab w:val="left" w:pos="567"/>
        </w:tabs>
        <w:rPr>
          <w:sz w:val="22"/>
          <w:szCs w:val="22"/>
          <w:lang w:val="es-ES_tradnl"/>
        </w:rPr>
      </w:pPr>
    </w:p>
    <w:p w14:paraId="6A5E3B6B" w14:textId="77777777" w:rsidR="00637D5D" w:rsidRPr="00C52C4C" w:rsidRDefault="00637D5D" w:rsidP="00637D5D">
      <w:pPr>
        <w:tabs>
          <w:tab w:val="left" w:pos="567"/>
        </w:tabs>
        <w:rPr>
          <w:sz w:val="22"/>
          <w:szCs w:val="22"/>
          <w:lang w:val="es-ES_tradnl"/>
        </w:rPr>
      </w:pPr>
      <w:r w:rsidRPr="00C52C4C">
        <w:rPr>
          <w:sz w:val="22"/>
          <w:szCs w:val="22"/>
          <w:lang w:val="es-ES_tradnl"/>
        </w:rPr>
        <w:t>Si se produjera una elevación considerable en las pruebas de función hepática, deberá suspenderse el tratamiento con Voriconazol Accord, a menos que la valoración médica del balance beneficio-riesgo del tratamiento para el paciente justifique la prolongación de su uso.</w:t>
      </w:r>
    </w:p>
    <w:p w14:paraId="3C1A644B" w14:textId="77777777" w:rsidR="00BF36BB" w:rsidRPr="00C52C4C" w:rsidRDefault="00BF36BB" w:rsidP="00D061AA">
      <w:pPr>
        <w:tabs>
          <w:tab w:val="left" w:pos="567"/>
        </w:tabs>
        <w:rPr>
          <w:caps/>
          <w:sz w:val="22"/>
          <w:szCs w:val="22"/>
          <w:lang w:val="es-ES_tradnl"/>
        </w:rPr>
      </w:pPr>
    </w:p>
    <w:p w14:paraId="5B8664B7" w14:textId="77777777" w:rsidR="00BF36BB" w:rsidRPr="00C52C4C" w:rsidRDefault="00BF36BB" w:rsidP="00BF36BB">
      <w:pPr>
        <w:tabs>
          <w:tab w:val="left" w:pos="567"/>
        </w:tabs>
        <w:rPr>
          <w:sz w:val="22"/>
          <w:szCs w:val="22"/>
          <w:lang w:val="es-ES_tradnl"/>
        </w:rPr>
      </w:pPr>
      <w:r w:rsidRPr="00C52C4C">
        <w:rPr>
          <w:sz w:val="22"/>
          <w:szCs w:val="22"/>
          <w:lang w:val="es-ES_tradnl"/>
        </w:rPr>
        <w:t>La monitorización de la función hepática se debe realizar tanto en adultos como en niños.</w:t>
      </w:r>
    </w:p>
    <w:p w14:paraId="4DD2A7A8" w14:textId="77777777" w:rsidR="00D061AA" w:rsidRDefault="00D061AA" w:rsidP="00D061AA">
      <w:pPr>
        <w:tabs>
          <w:tab w:val="left" w:pos="567"/>
        </w:tabs>
        <w:rPr>
          <w:sz w:val="22"/>
          <w:szCs w:val="22"/>
          <w:lang w:val="es-ES_tradnl"/>
        </w:rPr>
      </w:pPr>
    </w:p>
    <w:p w14:paraId="2576B671" w14:textId="77777777" w:rsidR="006432E3" w:rsidRDefault="006432E3" w:rsidP="006432E3">
      <w:pPr>
        <w:tabs>
          <w:tab w:val="left" w:pos="567"/>
        </w:tabs>
        <w:rPr>
          <w:sz w:val="22"/>
          <w:szCs w:val="22"/>
          <w:u w:val="single"/>
          <w:lang w:val="es-ES_tradnl"/>
        </w:rPr>
      </w:pPr>
      <w:r w:rsidRPr="006432E3">
        <w:rPr>
          <w:sz w:val="22"/>
          <w:szCs w:val="22"/>
          <w:u w:val="single"/>
          <w:lang w:val="es-ES_tradnl"/>
        </w:rPr>
        <w:t>Reacciones adversas dermatológicas graves</w:t>
      </w:r>
    </w:p>
    <w:p w14:paraId="1C2A2B32" w14:textId="77777777" w:rsidR="00F87819" w:rsidRPr="006432E3" w:rsidRDefault="00F87819" w:rsidP="006432E3">
      <w:pPr>
        <w:tabs>
          <w:tab w:val="left" w:pos="567"/>
        </w:tabs>
        <w:rPr>
          <w:sz w:val="22"/>
          <w:szCs w:val="22"/>
          <w:lang w:val="es-ES_tradnl"/>
        </w:rPr>
      </w:pPr>
    </w:p>
    <w:p w14:paraId="5641E1CB" w14:textId="77777777" w:rsidR="006432E3" w:rsidRPr="00F65F25" w:rsidRDefault="006432E3" w:rsidP="006432E3">
      <w:pPr>
        <w:numPr>
          <w:ilvl w:val="0"/>
          <w:numId w:val="26"/>
        </w:numPr>
        <w:tabs>
          <w:tab w:val="left" w:pos="567"/>
        </w:tabs>
        <w:rPr>
          <w:i/>
          <w:sz w:val="22"/>
          <w:szCs w:val="22"/>
          <w:lang w:val="es-ES_tradnl"/>
        </w:rPr>
      </w:pPr>
      <w:r w:rsidRPr="00F65F25">
        <w:rPr>
          <w:i/>
          <w:sz w:val="22"/>
          <w:szCs w:val="22"/>
          <w:lang w:val="es-ES_tradnl"/>
        </w:rPr>
        <w:t>Fototoxicidad</w:t>
      </w:r>
    </w:p>
    <w:p w14:paraId="3880134B" w14:textId="2561CCA8" w:rsidR="006432E3" w:rsidRPr="006432E3" w:rsidRDefault="006432E3" w:rsidP="006432E3">
      <w:pPr>
        <w:tabs>
          <w:tab w:val="left" w:pos="567"/>
        </w:tabs>
        <w:rPr>
          <w:sz w:val="22"/>
          <w:szCs w:val="22"/>
          <w:lang w:val="es-ES_tradnl"/>
        </w:rPr>
      </w:pPr>
      <w:r w:rsidRPr="006432E3">
        <w:rPr>
          <w:sz w:val="22"/>
          <w:szCs w:val="22"/>
          <w:lang w:val="es-ES_tradnl"/>
        </w:rPr>
        <w:t xml:space="preserve">Además, se ha asociado el uso de </w:t>
      </w:r>
      <w:r w:rsidR="00885A50" w:rsidRPr="00C52C4C">
        <w:rPr>
          <w:sz w:val="22"/>
          <w:szCs w:val="22"/>
        </w:rPr>
        <w:t>Voriconazol Accord</w:t>
      </w:r>
      <w:r w:rsidRPr="006432E3">
        <w:rPr>
          <w:sz w:val="22"/>
          <w:szCs w:val="22"/>
          <w:lang w:val="es-ES_tradnl"/>
        </w:rPr>
        <w:t xml:space="preserve"> con fototoxicidad, incluidas reacciones tales como efélides, lentigo y</w:t>
      </w:r>
      <w:r w:rsidRPr="006432E3">
        <w:rPr>
          <w:sz w:val="22"/>
          <w:szCs w:val="22"/>
        </w:rPr>
        <w:t xml:space="preserve"> queratosis actínica,</w:t>
      </w:r>
      <w:r w:rsidRPr="006432E3">
        <w:rPr>
          <w:sz w:val="22"/>
          <w:szCs w:val="22"/>
          <w:lang w:val="es-ES_tradnl"/>
        </w:rPr>
        <w:t xml:space="preserve"> y pseudoporfiria. </w:t>
      </w:r>
      <w:r w:rsidR="00F87819" w:rsidRPr="00F87819">
        <w:rPr>
          <w:sz w:val="22"/>
          <w:szCs w:val="22"/>
          <w:lang w:val="es-ES_tradnl"/>
        </w:rPr>
        <w:t>Existe un aumento potencial del riesgo de reacciones cutáneas/toxicidad con el uso concomitante de agentes fotosensibilizantes (p.ej. metotrexato, etc).</w:t>
      </w:r>
      <w:r w:rsidR="00F87819">
        <w:rPr>
          <w:sz w:val="22"/>
          <w:szCs w:val="22"/>
          <w:lang w:val="es-ES_tradnl"/>
        </w:rPr>
        <w:t xml:space="preserve"> </w:t>
      </w:r>
      <w:r w:rsidRPr="006432E3">
        <w:rPr>
          <w:sz w:val="22"/>
          <w:szCs w:val="22"/>
          <w:lang w:val="es-ES_tradnl"/>
        </w:rPr>
        <w:t>Se recomienda que todos los pacientes, niños incluidos, eviten la exposición directa a la luz solar durante el tratamiento y que utilicen medidas tales como ropa protectora y pantallas solares con un elevado factor de protección solar (FPS).</w:t>
      </w:r>
    </w:p>
    <w:p w14:paraId="24710954" w14:textId="77777777" w:rsidR="006432E3" w:rsidRPr="006432E3" w:rsidRDefault="006432E3" w:rsidP="006432E3">
      <w:pPr>
        <w:tabs>
          <w:tab w:val="left" w:pos="567"/>
        </w:tabs>
        <w:rPr>
          <w:sz w:val="22"/>
          <w:szCs w:val="22"/>
          <w:lang w:val="es-ES_tradnl"/>
        </w:rPr>
      </w:pPr>
    </w:p>
    <w:p w14:paraId="1F7F9044" w14:textId="77777777" w:rsidR="006432E3" w:rsidRPr="00F65F25" w:rsidRDefault="006432E3" w:rsidP="006432E3">
      <w:pPr>
        <w:numPr>
          <w:ilvl w:val="0"/>
          <w:numId w:val="26"/>
        </w:numPr>
        <w:tabs>
          <w:tab w:val="left" w:pos="567"/>
        </w:tabs>
        <w:rPr>
          <w:i/>
          <w:sz w:val="22"/>
          <w:szCs w:val="22"/>
          <w:lang w:val="es-ES_tradnl"/>
        </w:rPr>
      </w:pPr>
      <w:r w:rsidRPr="00F65F25">
        <w:rPr>
          <w:i/>
          <w:sz w:val="22"/>
          <w:szCs w:val="22"/>
          <w:lang w:val="es-ES_tradnl"/>
        </w:rPr>
        <w:t>Carcinoma de células escamosas de la piel (CCE)</w:t>
      </w:r>
    </w:p>
    <w:p w14:paraId="7BCE55BE" w14:textId="46FEC14A" w:rsidR="006432E3" w:rsidRPr="006432E3" w:rsidRDefault="006432E3" w:rsidP="009A6F05">
      <w:pPr>
        <w:tabs>
          <w:tab w:val="left" w:pos="567"/>
        </w:tabs>
        <w:rPr>
          <w:sz w:val="22"/>
          <w:szCs w:val="22"/>
          <w:lang w:val="es-ES_tradnl"/>
        </w:rPr>
      </w:pPr>
      <w:r w:rsidRPr="006432E3">
        <w:rPr>
          <w:sz w:val="22"/>
          <w:szCs w:val="22"/>
          <w:lang w:val="es-ES_tradnl"/>
        </w:rPr>
        <w:t xml:space="preserve">Se han notificado casos de carcinoma de células escamosas (CCE) de la piel </w:t>
      </w:r>
      <w:r w:rsidR="009A6F05" w:rsidRPr="009A6F05">
        <w:rPr>
          <w:sz w:val="22"/>
          <w:szCs w:val="22"/>
          <w:lang w:val="es-ES_tradnl"/>
        </w:rPr>
        <w:t>(incluido el CCE</w:t>
      </w:r>
      <w:r w:rsidR="009A6F05">
        <w:rPr>
          <w:sz w:val="22"/>
          <w:szCs w:val="22"/>
          <w:lang w:val="es-ES_tradnl"/>
        </w:rPr>
        <w:t xml:space="preserve"> </w:t>
      </w:r>
      <w:r w:rsidR="009A6F05" w:rsidRPr="009A6F05">
        <w:rPr>
          <w:sz w:val="22"/>
          <w:szCs w:val="22"/>
          <w:lang w:val="es-ES_tradnl"/>
        </w:rPr>
        <w:t>cutáneo</w:t>
      </w:r>
      <w:r w:rsidR="009A6F05">
        <w:rPr>
          <w:sz w:val="22"/>
          <w:szCs w:val="22"/>
          <w:lang w:val="es-ES_tradnl"/>
        </w:rPr>
        <w:t xml:space="preserve"> </w:t>
      </w:r>
      <w:r w:rsidR="009A6F05" w:rsidRPr="00F82335">
        <w:rPr>
          <w:i/>
          <w:iCs/>
          <w:sz w:val="22"/>
          <w:szCs w:val="22"/>
          <w:lang w:val="es-ES_tradnl"/>
        </w:rPr>
        <w:t>in situ</w:t>
      </w:r>
      <w:r w:rsidR="009A6F05" w:rsidRPr="009A6F05">
        <w:rPr>
          <w:sz w:val="22"/>
          <w:szCs w:val="22"/>
          <w:lang w:val="es-ES_tradnl"/>
        </w:rPr>
        <w:t xml:space="preserve"> o enfermedad de Bowen)</w:t>
      </w:r>
      <w:r w:rsidR="009A6F05">
        <w:rPr>
          <w:sz w:val="22"/>
          <w:szCs w:val="22"/>
          <w:lang w:val="es-ES_tradnl"/>
        </w:rPr>
        <w:t xml:space="preserve"> </w:t>
      </w:r>
      <w:r w:rsidRPr="006432E3">
        <w:rPr>
          <w:sz w:val="22"/>
          <w:szCs w:val="22"/>
          <w:lang w:val="es-ES_tradnl"/>
        </w:rPr>
        <w:t>en pacientes, algunos de los cuales habían notificado reacciones fototóxicas previas. Si se producen reacciones fototóxicas, se debe solicitar una consulta multidisciplinar, considerar la interr</w:t>
      </w:r>
      <w:r w:rsidR="00885A50">
        <w:rPr>
          <w:sz w:val="22"/>
          <w:szCs w:val="22"/>
          <w:lang w:val="es-ES_tradnl"/>
        </w:rPr>
        <w:t xml:space="preserve">upción del tratamiento con </w:t>
      </w:r>
      <w:r w:rsidR="00885A50" w:rsidRPr="00C52C4C">
        <w:rPr>
          <w:sz w:val="22"/>
          <w:szCs w:val="22"/>
        </w:rPr>
        <w:t>Voriconazol Accord</w:t>
      </w:r>
      <w:r w:rsidRPr="006432E3">
        <w:rPr>
          <w:sz w:val="22"/>
          <w:szCs w:val="22"/>
          <w:lang w:val="es-ES_tradnl"/>
        </w:rPr>
        <w:t xml:space="preserve"> y el uso de agentes antifúngicos alternativos y remitir al paciente a un dermatólogo. Si se c</w:t>
      </w:r>
      <w:r w:rsidR="00885A50">
        <w:rPr>
          <w:sz w:val="22"/>
          <w:szCs w:val="22"/>
          <w:lang w:val="es-ES_tradnl"/>
        </w:rPr>
        <w:t xml:space="preserve">ontinúa el tratamiento con </w:t>
      </w:r>
      <w:r w:rsidR="00885A50" w:rsidRPr="00C52C4C">
        <w:rPr>
          <w:sz w:val="22"/>
          <w:szCs w:val="22"/>
        </w:rPr>
        <w:t>Voriconazol Accord</w:t>
      </w:r>
      <w:r w:rsidRPr="006432E3">
        <w:rPr>
          <w:sz w:val="22"/>
          <w:szCs w:val="22"/>
          <w:lang w:val="es-ES_tradnl"/>
        </w:rPr>
        <w:t xml:space="preserve">, aún así, se debe realizar una evaluación dermatológica de manera sistemática y regular, para permitir la detección y manejo temprano de las lesiones precancerosas. Se debe </w:t>
      </w:r>
      <w:r w:rsidRPr="006432E3">
        <w:rPr>
          <w:sz w:val="22"/>
          <w:szCs w:val="22"/>
          <w:lang w:val="es-ES_tradnl"/>
        </w:rPr>
        <w:lastRenderedPageBreak/>
        <w:t>inte</w:t>
      </w:r>
      <w:r w:rsidR="00885A50">
        <w:rPr>
          <w:sz w:val="22"/>
          <w:szCs w:val="22"/>
          <w:lang w:val="es-ES_tradnl"/>
        </w:rPr>
        <w:t xml:space="preserve">rrumpir el tratamiento con </w:t>
      </w:r>
      <w:r w:rsidR="00885A50" w:rsidRPr="00C52C4C">
        <w:rPr>
          <w:sz w:val="22"/>
          <w:szCs w:val="22"/>
        </w:rPr>
        <w:t>Voriconazol Accord</w:t>
      </w:r>
      <w:r w:rsidRPr="006432E3">
        <w:rPr>
          <w:sz w:val="22"/>
          <w:szCs w:val="22"/>
          <w:lang w:val="es-ES_tradnl"/>
        </w:rPr>
        <w:t xml:space="preserve"> si se identifican lesiones cutáneas precanserosas o carcinoma de células escamosas (ver más abajo la sección Tratamiento a largo plazo).</w:t>
      </w:r>
      <w:r w:rsidR="00885A50">
        <w:rPr>
          <w:sz w:val="22"/>
          <w:szCs w:val="22"/>
          <w:lang w:val="es-ES_tradnl"/>
        </w:rPr>
        <w:t xml:space="preserve"> </w:t>
      </w:r>
    </w:p>
    <w:p w14:paraId="35BC6072" w14:textId="77777777" w:rsidR="006432E3" w:rsidRPr="006432E3" w:rsidRDefault="006432E3" w:rsidP="006432E3">
      <w:pPr>
        <w:tabs>
          <w:tab w:val="left" w:pos="567"/>
        </w:tabs>
        <w:rPr>
          <w:sz w:val="22"/>
          <w:szCs w:val="22"/>
          <w:lang w:val="es-ES_tradnl"/>
        </w:rPr>
      </w:pPr>
    </w:p>
    <w:p w14:paraId="16CCCA29" w14:textId="77777777" w:rsidR="006432E3" w:rsidRPr="00F65F25" w:rsidRDefault="006432E3" w:rsidP="006432E3">
      <w:pPr>
        <w:numPr>
          <w:ilvl w:val="0"/>
          <w:numId w:val="26"/>
        </w:numPr>
        <w:tabs>
          <w:tab w:val="left" w:pos="567"/>
        </w:tabs>
        <w:rPr>
          <w:i/>
          <w:sz w:val="22"/>
          <w:szCs w:val="22"/>
          <w:lang w:val="es-ES_tradnl"/>
        </w:rPr>
      </w:pPr>
      <w:r w:rsidRPr="00F65F25">
        <w:rPr>
          <w:i/>
          <w:sz w:val="22"/>
          <w:szCs w:val="22"/>
          <w:lang w:val="es-ES_tradnl"/>
        </w:rPr>
        <w:t xml:space="preserve">Reacciones </w:t>
      </w:r>
      <w:r w:rsidR="0035052D">
        <w:rPr>
          <w:i/>
          <w:sz w:val="22"/>
          <w:szCs w:val="22"/>
          <w:lang w:val="es-ES_tradnl"/>
        </w:rPr>
        <w:t xml:space="preserve">adversas </w:t>
      </w:r>
      <w:r w:rsidRPr="00F65F25">
        <w:rPr>
          <w:i/>
          <w:sz w:val="22"/>
          <w:szCs w:val="22"/>
          <w:lang w:val="es-ES_tradnl"/>
        </w:rPr>
        <w:t xml:space="preserve">cutáneas </w:t>
      </w:r>
      <w:r w:rsidR="0035052D">
        <w:rPr>
          <w:i/>
          <w:sz w:val="22"/>
          <w:szCs w:val="22"/>
          <w:lang w:val="es-ES_tradnl"/>
        </w:rPr>
        <w:t>graves</w:t>
      </w:r>
    </w:p>
    <w:p w14:paraId="49744B14" w14:textId="24F36F0D" w:rsidR="006432E3" w:rsidRPr="006432E3" w:rsidRDefault="00866C73" w:rsidP="00824411">
      <w:pPr>
        <w:autoSpaceDE w:val="0"/>
        <w:autoSpaceDN w:val="0"/>
        <w:adjustRightInd w:val="0"/>
        <w:rPr>
          <w:sz w:val="22"/>
          <w:szCs w:val="22"/>
          <w:lang w:val="es-ES_tradnl"/>
        </w:rPr>
      </w:pPr>
      <w:r w:rsidRPr="00824411">
        <w:rPr>
          <w:rFonts w:ascii="TimesNewRoman,Bold" w:hAnsi="TimesNewRoman,Bold" w:cs="TimesNewRoman,Bold"/>
          <w:bCs/>
          <w:sz w:val="22"/>
          <w:szCs w:val="22"/>
        </w:rPr>
        <w:t>Se han notificado reacciones adversas cutáneas graves (SCARs, por sus siglas en ingl</w:t>
      </w:r>
      <w:r>
        <w:rPr>
          <w:rFonts w:ascii="TimesNewRoman,Bold" w:hAnsi="TimesNewRoman,Bold" w:cs="TimesNewRoman,Bold"/>
          <w:bCs/>
          <w:sz w:val="22"/>
          <w:szCs w:val="22"/>
        </w:rPr>
        <w:t>é</w:t>
      </w:r>
      <w:r w:rsidRPr="00824411">
        <w:rPr>
          <w:rFonts w:ascii="TimesNewRoman,Bold" w:hAnsi="TimesNewRoman,Bold" w:cs="TimesNewRoman,Bold"/>
          <w:bCs/>
          <w:sz w:val="22"/>
          <w:szCs w:val="22"/>
        </w:rPr>
        <w:t>s) incluyendo síndrome de Stevens-Johnson (SJS, por sus siglas en ingl</w:t>
      </w:r>
      <w:r>
        <w:rPr>
          <w:rFonts w:ascii="TimesNewRoman,Bold" w:hAnsi="TimesNewRoman,Bold" w:cs="TimesNewRoman,Bold"/>
          <w:bCs/>
          <w:sz w:val="22"/>
          <w:szCs w:val="22"/>
        </w:rPr>
        <w:t>é</w:t>
      </w:r>
      <w:r w:rsidRPr="00824411">
        <w:rPr>
          <w:rFonts w:ascii="TimesNewRoman,Bold" w:hAnsi="TimesNewRoman,Bold" w:cs="TimesNewRoman,Bold"/>
          <w:bCs/>
          <w:sz w:val="22"/>
          <w:szCs w:val="22"/>
        </w:rPr>
        <w:t>s), necrólisis epidérmica tóxica (TEN, por sus siglas en ingl</w:t>
      </w:r>
      <w:r w:rsidR="00F87819">
        <w:rPr>
          <w:rFonts w:ascii="TimesNewRoman,Bold" w:hAnsi="TimesNewRoman,Bold" w:cs="TimesNewRoman,Bold"/>
          <w:bCs/>
          <w:sz w:val="22"/>
          <w:szCs w:val="22"/>
        </w:rPr>
        <w:t>é</w:t>
      </w:r>
      <w:r w:rsidRPr="00824411">
        <w:rPr>
          <w:rFonts w:ascii="TimesNewRoman,Bold" w:hAnsi="TimesNewRoman,Bold" w:cs="TimesNewRoman,Bold"/>
          <w:bCs/>
          <w:sz w:val="22"/>
          <w:szCs w:val="22"/>
        </w:rPr>
        <w:t>s) y reacción al fármaco con eosinofilia y síntomas sistémicos (DRESS, por sus siglas en ingl</w:t>
      </w:r>
      <w:r w:rsidR="00F87819">
        <w:rPr>
          <w:rFonts w:ascii="TimesNewRoman,Bold" w:hAnsi="TimesNewRoman,Bold" w:cs="TimesNewRoman,Bold"/>
          <w:bCs/>
          <w:sz w:val="22"/>
          <w:szCs w:val="22"/>
        </w:rPr>
        <w:t>é</w:t>
      </w:r>
      <w:r w:rsidRPr="00824411">
        <w:rPr>
          <w:rFonts w:ascii="TimesNewRoman,Bold" w:hAnsi="TimesNewRoman,Bold" w:cs="TimesNewRoman,Bold"/>
          <w:bCs/>
          <w:sz w:val="22"/>
          <w:szCs w:val="22"/>
        </w:rPr>
        <w:t>s), que pueden ser potencialmente mortales o mortales con el uso de voriconazol</w:t>
      </w:r>
      <w:r w:rsidR="006432E3" w:rsidRPr="006432E3">
        <w:rPr>
          <w:sz w:val="22"/>
          <w:szCs w:val="22"/>
          <w:lang w:val="es-ES_tradnl"/>
        </w:rPr>
        <w:t>. Si un paciente presenta una erupción cutánea, se debe controlar estrechamente e interrumpir el tratamiento c</w:t>
      </w:r>
      <w:r w:rsidR="00885A50">
        <w:rPr>
          <w:sz w:val="22"/>
          <w:szCs w:val="22"/>
          <w:lang w:val="es-ES_tradnl"/>
        </w:rPr>
        <w:t xml:space="preserve">on </w:t>
      </w:r>
      <w:r w:rsidR="00885A50" w:rsidRPr="00C52C4C">
        <w:rPr>
          <w:sz w:val="22"/>
          <w:szCs w:val="22"/>
        </w:rPr>
        <w:t>Voriconazol Accord</w:t>
      </w:r>
      <w:r w:rsidR="006432E3" w:rsidRPr="006432E3">
        <w:rPr>
          <w:sz w:val="22"/>
          <w:szCs w:val="22"/>
          <w:lang w:val="es-ES_tradnl"/>
        </w:rPr>
        <w:t xml:space="preserve"> si las lesiones progresan.</w:t>
      </w:r>
    </w:p>
    <w:p w14:paraId="0D712359" w14:textId="77777777" w:rsidR="006432E3" w:rsidRPr="006432E3" w:rsidRDefault="006432E3" w:rsidP="006432E3">
      <w:pPr>
        <w:tabs>
          <w:tab w:val="left" w:pos="567"/>
        </w:tabs>
        <w:rPr>
          <w:sz w:val="22"/>
          <w:szCs w:val="22"/>
          <w:u w:val="single"/>
          <w:lang w:val="es-ES_tradnl"/>
        </w:rPr>
      </w:pPr>
    </w:p>
    <w:p w14:paraId="4865C215" w14:textId="77777777" w:rsidR="0035052D" w:rsidRDefault="0035052D" w:rsidP="006432E3">
      <w:pPr>
        <w:tabs>
          <w:tab w:val="left" w:pos="567"/>
        </w:tabs>
        <w:rPr>
          <w:sz w:val="22"/>
          <w:szCs w:val="22"/>
          <w:u w:val="single"/>
          <w:lang w:val="es-ES_tradnl"/>
        </w:rPr>
      </w:pPr>
      <w:r w:rsidRPr="0035052D">
        <w:rPr>
          <w:sz w:val="22"/>
          <w:szCs w:val="22"/>
          <w:u w:val="single"/>
          <w:lang w:val="es-ES_tradnl"/>
        </w:rPr>
        <w:t>Acontecimientos suprarrenales</w:t>
      </w:r>
    </w:p>
    <w:p w14:paraId="02D374AD" w14:textId="77777777" w:rsidR="0035052D" w:rsidRDefault="0035052D" w:rsidP="006432E3">
      <w:pPr>
        <w:tabs>
          <w:tab w:val="left" w:pos="567"/>
        </w:tabs>
        <w:rPr>
          <w:sz w:val="22"/>
          <w:szCs w:val="22"/>
          <w:lang w:val="es-ES_tradnl"/>
        </w:rPr>
      </w:pPr>
    </w:p>
    <w:p w14:paraId="052FCA8C" w14:textId="77777777" w:rsidR="0035052D" w:rsidRDefault="0035052D" w:rsidP="0035052D">
      <w:pPr>
        <w:tabs>
          <w:tab w:val="left" w:pos="567"/>
        </w:tabs>
        <w:rPr>
          <w:sz w:val="22"/>
          <w:szCs w:val="22"/>
          <w:lang w:val="es-ES_tradnl"/>
        </w:rPr>
      </w:pPr>
      <w:r w:rsidRPr="0035052D">
        <w:rPr>
          <w:sz w:val="22"/>
          <w:szCs w:val="22"/>
          <w:lang w:val="es-ES_tradnl"/>
        </w:rPr>
        <w:t>Se han notificado casos reversibles de insuficiencia suprarrenal en pacientes que reciben voriconazol.</w:t>
      </w:r>
      <w:r w:rsidR="00537D6E" w:rsidRPr="00537D6E">
        <w:t xml:space="preserve"> </w:t>
      </w:r>
      <w:r w:rsidR="00537D6E" w:rsidRPr="00537D6E">
        <w:rPr>
          <w:sz w:val="22"/>
          <w:szCs w:val="22"/>
          <w:lang w:val="es-ES_tradnl"/>
        </w:rPr>
        <w:t>Se ha notificado insuficiencia suprarrenal en pacientes que reciben azoles con o sin la administración concomitante de corticosteroides. En pacientes que reciben azoles sin corticosteroides, la insuficiencia suprarrenal está relacionada con la inhibición directa de la esteroidogénesis por los azoles. En pacientes que toman corticosteroides, la inhibición del CYP3A4 asociado al metabolismo de voriconazol puede conducir a un exceso de corticosteroides e inhibición suprarrenal (ver sección 4.5). También se ha notificado síndrome de Cushing con y sin insuficiencia suprarrenal posterior en pacientes que reciben voriconazol de forma concomitante con corticosteroides.</w:t>
      </w:r>
    </w:p>
    <w:p w14:paraId="157A0B18" w14:textId="77777777" w:rsidR="0035052D" w:rsidRDefault="0035052D" w:rsidP="0035052D">
      <w:pPr>
        <w:tabs>
          <w:tab w:val="left" w:pos="567"/>
        </w:tabs>
        <w:rPr>
          <w:sz w:val="22"/>
          <w:szCs w:val="22"/>
          <w:lang w:val="es-ES_tradnl"/>
        </w:rPr>
      </w:pPr>
    </w:p>
    <w:p w14:paraId="060864F7" w14:textId="77777777" w:rsidR="0035052D" w:rsidRPr="0035052D" w:rsidRDefault="0035052D" w:rsidP="0035052D">
      <w:pPr>
        <w:tabs>
          <w:tab w:val="left" w:pos="567"/>
        </w:tabs>
        <w:rPr>
          <w:sz w:val="22"/>
          <w:szCs w:val="22"/>
          <w:lang w:val="es-ES_tradnl"/>
        </w:rPr>
      </w:pPr>
      <w:r w:rsidRPr="0035052D">
        <w:rPr>
          <w:sz w:val="22"/>
          <w:szCs w:val="22"/>
          <w:lang w:val="es-ES_tradnl"/>
        </w:rPr>
        <w:t xml:space="preserve">Los pacientes en tratamiento a largo plazo con voriconazol y corticosteroides (incluidos los </w:t>
      </w:r>
    </w:p>
    <w:p w14:paraId="0B160660" w14:textId="77777777" w:rsidR="0035052D" w:rsidRPr="0035052D" w:rsidRDefault="0035052D" w:rsidP="0035052D">
      <w:pPr>
        <w:tabs>
          <w:tab w:val="left" w:pos="567"/>
        </w:tabs>
        <w:rPr>
          <w:sz w:val="22"/>
          <w:szCs w:val="22"/>
          <w:lang w:val="es-ES_tradnl"/>
        </w:rPr>
      </w:pPr>
      <w:r w:rsidRPr="0035052D">
        <w:rPr>
          <w:sz w:val="22"/>
          <w:szCs w:val="22"/>
          <w:lang w:val="es-ES_tradnl"/>
        </w:rPr>
        <w:t xml:space="preserve">corticosteroides inhalados, por ejemplo, budesonida y los corticosteroides intranasales) se deben </w:t>
      </w:r>
    </w:p>
    <w:p w14:paraId="66FF5A44" w14:textId="77777777" w:rsidR="0035052D" w:rsidRPr="0035052D" w:rsidRDefault="0035052D" w:rsidP="0035052D">
      <w:pPr>
        <w:tabs>
          <w:tab w:val="left" w:pos="567"/>
        </w:tabs>
        <w:rPr>
          <w:sz w:val="22"/>
          <w:szCs w:val="22"/>
          <w:lang w:val="es-ES_tradnl"/>
        </w:rPr>
      </w:pPr>
      <w:r w:rsidRPr="0035052D">
        <w:rPr>
          <w:sz w:val="22"/>
          <w:szCs w:val="22"/>
          <w:lang w:val="es-ES_tradnl"/>
        </w:rPr>
        <w:t xml:space="preserve">monitorizar estrechamente para detectar insuficiencia de la corteza suprarrenal tanto durante como </w:t>
      </w:r>
    </w:p>
    <w:p w14:paraId="6D36CC89" w14:textId="77777777" w:rsidR="00537D6E" w:rsidRPr="00537D6E" w:rsidRDefault="0035052D" w:rsidP="00537D6E">
      <w:pPr>
        <w:tabs>
          <w:tab w:val="left" w:pos="567"/>
        </w:tabs>
        <w:rPr>
          <w:sz w:val="22"/>
          <w:szCs w:val="22"/>
          <w:lang w:val="es-ES_tradnl"/>
        </w:rPr>
      </w:pPr>
      <w:r w:rsidRPr="0035052D">
        <w:rPr>
          <w:sz w:val="22"/>
          <w:szCs w:val="22"/>
          <w:lang w:val="es-ES_tradnl"/>
        </w:rPr>
        <w:t>cuando se suspende el tratamiento convoriconazol (ver sección 4.5).</w:t>
      </w:r>
      <w:r w:rsidR="00537D6E" w:rsidRPr="00537D6E">
        <w:t xml:space="preserve"> </w:t>
      </w:r>
      <w:r w:rsidR="00537D6E" w:rsidRPr="00537D6E">
        <w:rPr>
          <w:sz w:val="22"/>
          <w:szCs w:val="22"/>
          <w:lang w:val="es-ES_tradnl"/>
        </w:rPr>
        <w:t xml:space="preserve">Se debe indicar a los pacientes </w:t>
      </w:r>
    </w:p>
    <w:p w14:paraId="6A51A698" w14:textId="77777777" w:rsidR="00537D6E" w:rsidRPr="00537D6E" w:rsidRDefault="00537D6E" w:rsidP="00537D6E">
      <w:pPr>
        <w:tabs>
          <w:tab w:val="left" w:pos="567"/>
        </w:tabs>
        <w:rPr>
          <w:sz w:val="22"/>
          <w:szCs w:val="22"/>
          <w:lang w:val="es-ES_tradnl"/>
        </w:rPr>
      </w:pPr>
      <w:r w:rsidRPr="00537D6E">
        <w:rPr>
          <w:sz w:val="22"/>
          <w:szCs w:val="22"/>
          <w:lang w:val="es-ES_tradnl"/>
        </w:rPr>
        <w:t xml:space="preserve">que soliciten atención médica inmediata si presentan signos y síntomas del síndrome de Cushing o </w:t>
      </w:r>
    </w:p>
    <w:p w14:paraId="5970F4C0" w14:textId="77777777" w:rsidR="0035052D" w:rsidRPr="00537D6E" w:rsidRDefault="00537D6E" w:rsidP="00537D6E">
      <w:pPr>
        <w:tabs>
          <w:tab w:val="left" w:pos="567"/>
        </w:tabs>
        <w:rPr>
          <w:sz w:val="22"/>
          <w:szCs w:val="22"/>
          <w:lang w:val="es-ES_tradnl"/>
        </w:rPr>
      </w:pPr>
      <w:r w:rsidRPr="00537D6E">
        <w:rPr>
          <w:sz w:val="22"/>
          <w:szCs w:val="22"/>
          <w:lang w:val="es-ES_tradnl"/>
        </w:rPr>
        <w:t>insuficiencia suprarrenal.</w:t>
      </w:r>
    </w:p>
    <w:p w14:paraId="5D6A5A4A" w14:textId="77777777" w:rsidR="0035052D" w:rsidRDefault="0035052D" w:rsidP="006432E3">
      <w:pPr>
        <w:tabs>
          <w:tab w:val="left" w:pos="567"/>
        </w:tabs>
        <w:rPr>
          <w:sz w:val="22"/>
          <w:szCs w:val="22"/>
          <w:u w:val="single"/>
          <w:lang w:val="es-ES_tradnl"/>
        </w:rPr>
      </w:pPr>
    </w:p>
    <w:p w14:paraId="5416C257" w14:textId="77777777" w:rsidR="006432E3" w:rsidRDefault="006432E3" w:rsidP="006432E3">
      <w:pPr>
        <w:tabs>
          <w:tab w:val="left" w:pos="567"/>
        </w:tabs>
        <w:rPr>
          <w:sz w:val="22"/>
          <w:szCs w:val="22"/>
          <w:u w:val="single"/>
          <w:lang w:val="es-ES_tradnl"/>
        </w:rPr>
      </w:pPr>
      <w:r w:rsidRPr="006432E3">
        <w:rPr>
          <w:sz w:val="22"/>
          <w:szCs w:val="22"/>
          <w:u w:val="single"/>
          <w:lang w:val="es-ES_tradnl"/>
        </w:rPr>
        <w:t>Tratamiento a largo plazo</w:t>
      </w:r>
    </w:p>
    <w:p w14:paraId="082A6E4F" w14:textId="77777777" w:rsidR="000F0386" w:rsidRPr="006432E3" w:rsidRDefault="000F0386" w:rsidP="006432E3">
      <w:pPr>
        <w:tabs>
          <w:tab w:val="left" w:pos="567"/>
        </w:tabs>
        <w:rPr>
          <w:sz w:val="22"/>
          <w:szCs w:val="22"/>
          <w:u w:val="single"/>
          <w:lang w:val="es-ES_tradnl"/>
        </w:rPr>
      </w:pPr>
    </w:p>
    <w:p w14:paraId="5ED672FC" w14:textId="77777777" w:rsidR="006432E3" w:rsidRPr="006432E3" w:rsidRDefault="006432E3" w:rsidP="006432E3">
      <w:pPr>
        <w:tabs>
          <w:tab w:val="left" w:pos="567"/>
        </w:tabs>
        <w:rPr>
          <w:sz w:val="22"/>
          <w:szCs w:val="22"/>
          <w:lang w:val="es-ES_tradnl"/>
        </w:rPr>
      </w:pPr>
      <w:r w:rsidRPr="006432E3">
        <w:rPr>
          <w:sz w:val="22"/>
          <w:szCs w:val="22"/>
          <w:lang w:val="es-ES_tradnl"/>
        </w:rPr>
        <w:t xml:space="preserve">La exposición prolongada (ya sea terapéutica o profiláctica) durante más de 180 días (6 meses) requiere una cuidadosa evaluación del balance beneficio-riesgo y, por lo tanto, los médicos deben considerar la necesidad </w:t>
      </w:r>
      <w:r w:rsidR="00885A50">
        <w:rPr>
          <w:sz w:val="22"/>
          <w:szCs w:val="22"/>
          <w:lang w:val="es-ES_tradnl"/>
        </w:rPr>
        <w:t xml:space="preserve">de limitar la exposición a </w:t>
      </w:r>
      <w:r w:rsidR="00885A50" w:rsidRPr="00C52C4C">
        <w:rPr>
          <w:sz w:val="22"/>
          <w:szCs w:val="22"/>
        </w:rPr>
        <w:t>Voriconazol Accord</w:t>
      </w:r>
      <w:r w:rsidRPr="006432E3">
        <w:rPr>
          <w:sz w:val="22"/>
          <w:szCs w:val="22"/>
          <w:lang w:val="es-ES_tradnl"/>
        </w:rPr>
        <w:t xml:space="preserve"> (ver las secciones 4.2 y 5.1).</w:t>
      </w:r>
    </w:p>
    <w:p w14:paraId="640626C7" w14:textId="77777777" w:rsidR="006432E3" w:rsidRPr="006432E3" w:rsidRDefault="006432E3" w:rsidP="006432E3">
      <w:pPr>
        <w:tabs>
          <w:tab w:val="left" w:pos="567"/>
        </w:tabs>
        <w:rPr>
          <w:sz w:val="22"/>
          <w:szCs w:val="22"/>
          <w:lang w:val="es-ES_tradnl"/>
        </w:rPr>
      </w:pPr>
    </w:p>
    <w:p w14:paraId="5B0A9C73" w14:textId="259DA458" w:rsidR="006432E3" w:rsidRPr="006432E3" w:rsidRDefault="006432E3" w:rsidP="009A6F05">
      <w:pPr>
        <w:tabs>
          <w:tab w:val="left" w:pos="567"/>
        </w:tabs>
        <w:rPr>
          <w:sz w:val="22"/>
          <w:szCs w:val="22"/>
          <w:lang w:val="es-ES_tradnl"/>
        </w:rPr>
      </w:pPr>
      <w:r w:rsidRPr="006432E3">
        <w:rPr>
          <w:sz w:val="22"/>
          <w:szCs w:val="22"/>
          <w:lang w:val="es-ES_tradnl"/>
        </w:rPr>
        <w:t xml:space="preserve">Se ha notificado casos de carcinoma de células escamosas de la piel (CCE) </w:t>
      </w:r>
      <w:r w:rsidR="009A6F05" w:rsidRPr="009A6F05">
        <w:rPr>
          <w:sz w:val="22"/>
          <w:szCs w:val="22"/>
          <w:lang w:val="es-ES_tradnl"/>
        </w:rPr>
        <w:t>(incluido el CCE cutáneo</w:t>
      </w:r>
      <w:r w:rsidR="009A6F05">
        <w:rPr>
          <w:sz w:val="22"/>
          <w:szCs w:val="22"/>
          <w:lang w:val="es-ES_tradnl"/>
        </w:rPr>
        <w:t xml:space="preserve"> </w:t>
      </w:r>
      <w:r w:rsidR="009A6F05" w:rsidRPr="00F82335">
        <w:rPr>
          <w:i/>
          <w:iCs/>
          <w:sz w:val="22"/>
          <w:szCs w:val="22"/>
          <w:lang w:val="es-ES_tradnl"/>
        </w:rPr>
        <w:t>in situ</w:t>
      </w:r>
      <w:r w:rsidR="009A6F05" w:rsidRPr="009A6F05">
        <w:rPr>
          <w:sz w:val="22"/>
          <w:szCs w:val="22"/>
          <w:lang w:val="es-ES_tradnl"/>
        </w:rPr>
        <w:t xml:space="preserve"> o enfermedad de Bowen)</w:t>
      </w:r>
      <w:r w:rsidR="009A6F05">
        <w:rPr>
          <w:sz w:val="22"/>
          <w:szCs w:val="22"/>
          <w:lang w:val="es-ES_tradnl"/>
        </w:rPr>
        <w:t xml:space="preserve"> </w:t>
      </w:r>
      <w:r w:rsidRPr="006432E3">
        <w:rPr>
          <w:sz w:val="22"/>
          <w:szCs w:val="22"/>
          <w:lang w:val="es-ES_tradnl"/>
        </w:rPr>
        <w:t>relaciona</w:t>
      </w:r>
      <w:r w:rsidR="00885A50">
        <w:rPr>
          <w:sz w:val="22"/>
          <w:szCs w:val="22"/>
          <w:lang w:val="es-ES_tradnl"/>
        </w:rPr>
        <w:t xml:space="preserve">dos con el tratamiento con </w:t>
      </w:r>
      <w:r w:rsidR="00885A50" w:rsidRPr="00C52C4C">
        <w:rPr>
          <w:sz w:val="22"/>
          <w:szCs w:val="22"/>
        </w:rPr>
        <w:t>Voriconazol Accord</w:t>
      </w:r>
      <w:r w:rsidRPr="006432E3">
        <w:rPr>
          <w:sz w:val="22"/>
          <w:szCs w:val="22"/>
          <w:lang w:val="es-ES_tradnl"/>
        </w:rPr>
        <w:t xml:space="preserve"> a largo plazo</w:t>
      </w:r>
      <w:r w:rsidR="00F87819">
        <w:rPr>
          <w:sz w:val="22"/>
          <w:szCs w:val="22"/>
          <w:lang w:val="es-ES_tradnl"/>
        </w:rPr>
        <w:t xml:space="preserve"> </w:t>
      </w:r>
      <w:r w:rsidR="00F87819" w:rsidRPr="00F87819">
        <w:rPr>
          <w:sz w:val="22"/>
          <w:szCs w:val="22"/>
          <w:lang w:val="es-ES_tradnl"/>
        </w:rPr>
        <w:t>(ver sección 4.8)</w:t>
      </w:r>
      <w:r w:rsidRPr="006432E3">
        <w:rPr>
          <w:sz w:val="22"/>
          <w:szCs w:val="22"/>
          <w:lang w:val="es-ES_tradnl"/>
        </w:rPr>
        <w:t>.</w:t>
      </w:r>
    </w:p>
    <w:p w14:paraId="4120C0CB" w14:textId="77777777" w:rsidR="006432E3" w:rsidRPr="006432E3" w:rsidRDefault="006432E3" w:rsidP="006432E3">
      <w:pPr>
        <w:tabs>
          <w:tab w:val="left" w:pos="567"/>
        </w:tabs>
        <w:rPr>
          <w:sz w:val="22"/>
          <w:szCs w:val="22"/>
          <w:lang w:val="es-ES_tradnl"/>
        </w:rPr>
      </w:pPr>
    </w:p>
    <w:p w14:paraId="2090FD7F" w14:textId="41624E50" w:rsidR="006432E3" w:rsidRPr="006432E3" w:rsidRDefault="006432E3" w:rsidP="006432E3">
      <w:pPr>
        <w:tabs>
          <w:tab w:val="left" w:pos="567"/>
        </w:tabs>
        <w:rPr>
          <w:sz w:val="22"/>
          <w:szCs w:val="22"/>
          <w:lang w:val="es-ES_tradnl"/>
        </w:rPr>
      </w:pPr>
      <w:r w:rsidRPr="001A4823">
        <w:rPr>
          <w:sz w:val="22"/>
          <w:szCs w:val="22"/>
          <w:lang w:val="es-ES_tradnl"/>
        </w:rPr>
        <w:t>En pacientes trasplantados, se han notificado casos de periostitis no infecciosa con niveles elevados de fluoruro y fosfatasa alcalina. Si un paciente desarrolla dolor óseo y existen hallazgos radiológicos compatibles con periostitis, la interr</w:t>
      </w:r>
      <w:r w:rsidR="00885A50" w:rsidRPr="001A4823">
        <w:rPr>
          <w:sz w:val="22"/>
          <w:szCs w:val="22"/>
          <w:lang w:val="es-ES_tradnl"/>
        </w:rPr>
        <w:t xml:space="preserve">upción del tratamiento con </w:t>
      </w:r>
      <w:r w:rsidR="00885A50" w:rsidRPr="001A4823">
        <w:rPr>
          <w:sz w:val="22"/>
          <w:szCs w:val="22"/>
        </w:rPr>
        <w:t>Voriconazol Accord</w:t>
      </w:r>
      <w:r w:rsidRPr="001A4823">
        <w:rPr>
          <w:sz w:val="22"/>
          <w:szCs w:val="22"/>
          <w:lang w:val="es-ES_tradnl"/>
        </w:rPr>
        <w:t xml:space="preserve"> se debe considerar</w:t>
      </w:r>
      <w:r w:rsidRPr="006432E3">
        <w:rPr>
          <w:sz w:val="22"/>
          <w:szCs w:val="22"/>
          <w:lang w:val="es-ES_tradnl"/>
        </w:rPr>
        <w:t xml:space="preserve"> tras la consulta multidisciplinar</w:t>
      </w:r>
      <w:r w:rsidR="00F87819">
        <w:rPr>
          <w:sz w:val="22"/>
          <w:szCs w:val="22"/>
          <w:lang w:val="es-ES_tradnl"/>
        </w:rPr>
        <w:t xml:space="preserve"> </w:t>
      </w:r>
      <w:r w:rsidR="00F87819" w:rsidRPr="00F87819">
        <w:rPr>
          <w:sz w:val="22"/>
          <w:szCs w:val="22"/>
          <w:lang w:val="es-ES_tradnl"/>
        </w:rPr>
        <w:t>(ver sección 4.8)</w:t>
      </w:r>
      <w:r w:rsidRPr="006432E3">
        <w:rPr>
          <w:sz w:val="22"/>
          <w:szCs w:val="22"/>
          <w:lang w:val="es-ES_tradnl"/>
        </w:rPr>
        <w:t>.</w:t>
      </w:r>
    </w:p>
    <w:p w14:paraId="7559AB21" w14:textId="77777777" w:rsidR="006432E3" w:rsidRPr="00C52C4C" w:rsidRDefault="006432E3" w:rsidP="00D061AA">
      <w:pPr>
        <w:tabs>
          <w:tab w:val="left" w:pos="567"/>
        </w:tabs>
        <w:rPr>
          <w:sz w:val="22"/>
          <w:szCs w:val="22"/>
          <w:lang w:val="es-ES_tradnl"/>
        </w:rPr>
      </w:pPr>
    </w:p>
    <w:p w14:paraId="0C070176" w14:textId="77777777" w:rsidR="00D061AA" w:rsidRPr="00C52C4C" w:rsidRDefault="00D061AA" w:rsidP="00D061AA">
      <w:pPr>
        <w:tabs>
          <w:tab w:val="left" w:pos="567"/>
        </w:tabs>
        <w:rPr>
          <w:sz w:val="22"/>
          <w:szCs w:val="22"/>
          <w:lang w:val="es-ES_tradnl"/>
        </w:rPr>
      </w:pPr>
      <w:r w:rsidRPr="00C52C4C">
        <w:rPr>
          <w:sz w:val="22"/>
          <w:szCs w:val="22"/>
          <w:u w:val="single"/>
          <w:lang w:val="es-ES_tradnl"/>
        </w:rPr>
        <w:t>Reacciones adversas visuales</w:t>
      </w:r>
    </w:p>
    <w:p w14:paraId="03CFB1B6" w14:textId="77777777" w:rsidR="00D061AA" w:rsidRPr="00C52C4C" w:rsidRDefault="00D061AA" w:rsidP="00D061AA">
      <w:pPr>
        <w:tabs>
          <w:tab w:val="left" w:pos="567"/>
        </w:tabs>
        <w:rPr>
          <w:sz w:val="22"/>
          <w:szCs w:val="22"/>
          <w:lang w:val="es-ES_tradnl"/>
        </w:rPr>
      </w:pPr>
      <w:r w:rsidRPr="00C52C4C">
        <w:rPr>
          <w:sz w:val="22"/>
          <w:szCs w:val="22"/>
          <w:lang w:val="es-ES_tradnl"/>
        </w:rPr>
        <w:t>Se han notificado casos de reacciones adversas visuales prolongados, incluida visión borrosa, neuritis óptica y papiledema (ver sección 4.8).</w:t>
      </w:r>
    </w:p>
    <w:p w14:paraId="51E13C2D" w14:textId="77777777" w:rsidR="00D061AA" w:rsidRPr="00C52C4C" w:rsidRDefault="00D061AA" w:rsidP="00D061AA">
      <w:pPr>
        <w:pStyle w:val="Textonotaalfinal"/>
        <w:spacing w:line="260" w:lineRule="exact"/>
        <w:rPr>
          <w:snapToGrid w:val="0"/>
          <w:szCs w:val="22"/>
          <w:u w:val="single"/>
          <w:lang w:val="es-ES_tradnl"/>
        </w:rPr>
      </w:pPr>
    </w:p>
    <w:p w14:paraId="48CE78DE" w14:textId="77777777" w:rsidR="00D061AA" w:rsidRPr="00C52C4C" w:rsidRDefault="00D061AA" w:rsidP="00D061AA">
      <w:pPr>
        <w:pStyle w:val="Textonotaalfinal"/>
        <w:spacing w:line="260" w:lineRule="exact"/>
        <w:rPr>
          <w:snapToGrid w:val="0"/>
          <w:szCs w:val="22"/>
          <w:lang w:val="es-ES"/>
        </w:rPr>
      </w:pPr>
      <w:r w:rsidRPr="00C52C4C">
        <w:rPr>
          <w:snapToGrid w:val="0"/>
          <w:szCs w:val="22"/>
          <w:u w:val="single"/>
          <w:lang w:val="es-ES"/>
        </w:rPr>
        <w:t>Reacciones adversas renales</w:t>
      </w:r>
    </w:p>
    <w:p w14:paraId="33FFB36B" w14:textId="77777777" w:rsidR="00D061AA" w:rsidRPr="00C52C4C" w:rsidRDefault="00D061AA" w:rsidP="00D061AA">
      <w:pPr>
        <w:pStyle w:val="Textonotaalfinal"/>
        <w:spacing w:line="260" w:lineRule="exact"/>
        <w:rPr>
          <w:szCs w:val="22"/>
          <w:lang w:val="es-ES_tradnl"/>
        </w:rPr>
      </w:pPr>
      <w:r w:rsidRPr="00C52C4C">
        <w:rPr>
          <w:snapToGrid w:val="0"/>
          <w:szCs w:val="22"/>
          <w:lang w:val="es-ES"/>
        </w:rPr>
        <w:t xml:space="preserve">Se ha observado insuficiencia renal aguda en pacientes gravemente enfermos en tratamiento con </w:t>
      </w:r>
      <w:r w:rsidR="00591702" w:rsidRPr="00C52C4C">
        <w:rPr>
          <w:snapToGrid w:val="0"/>
          <w:szCs w:val="22"/>
          <w:lang w:val="es-ES"/>
        </w:rPr>
        <w:t>voriconazol</w:t>
      </w:r>
      <w:r w:rsidRPr="00C52C4C">
        <w:rPr>
          <w:snapToGrid w:val="0"/>
          <w:szCs w:val="22"/>
          <w:lang w:val="es-ES"/>
        </w:rPr>
        <w:t>. Es probable que los pacientes tratados con voriconazol estén recibiendo al mismo tiempo otros medicamentos nefrotóxicos y tengan patologías concurrentes que puedan ocasionar insuficiencia renal (ver sección 4.8).</w:t>
      </w:r>
    </w:p>
    <w:p w14:paraId="7392D062" w14:textId="77777777" w:rsidR="00D061AA" w:rsidRPr="00C52C4C" w:rsidRDefault="00D061AA" w:rsidP="00D061AA">
      <w:pPr>
        <w:tabs>
          <w:tab w:val="left" w:pos="567"/>
        </w:tabs>
        <w:rPr>
          <w:snapToGrid w:val="0"/>
          <w:sz w:val="22"/>
          <w:szCs w:val="22"/>
          <w:lang w:val="es-ES_tradnl"/>
        </w:rPr>
      </w:pPr>
    </w:p>
    <w:p w14:paraId="62512880" w14:textId="77777777" w:rsidR="00D061AA" w:rsidRPr="00C52C4C" w:rsidRDefault="00D061AA" w:rsidP="00D061AA">
      <w:pPr>
        <w:tabs>
          <w:tab w:val="left" w:pos="567"/>
        </w:tabs>
        <w:rPr>
          <w:snapToGrid w:val="0"/>
          <w:sz w:val="22"/>
          <w:szCs w:val="22"/>
          <w:lang w:val="es-ES_tradnl"/>
        </w:rPr>
      </w:pPr>
      <w:r w:rsidRPr="00C52C4C">
        <w:rPr>
          <w:snapToGrid w:val="0"/>
          <w:sz w:val="22"/>
          <w:szCs w:val="22"/>
          <w:u w:val="single"/>
          <w:lang w:val="es-ES_tradnl"/>
        </w:rPr>
        <w:t>Monitorización de la función renal</w:t>
      </w:r>
    </w:p>
    <w:p w14:paraId="5E8B9BBA" w14:textId="77777777" w:rsidR="00D061AA" w:rsidRPr="00C52C4C" w:rsidRDefault="00D061AA" w:rsidP="00D061AA">
      <w:pPr>
        <w:tabs>
          <w:tab w:val="left" w:pos="567"/>
        </w:tabs>
        <w:rPr>
          <w:snapToGrid w:val="0"/>
          <w:sz w:val="22"/>
          <w:szCs w:val="22"/>
          <w:lang w:val="es-ES_tradnl"/>
        </w:rPr>
      </w:pPr>
      <w:r w:rsidRPr="00C52C4C">
        <w:rPr>
          <w:snapToGrid w:val="0"/>
          <w:sz w:val="22"/>
          <w:szCs w:val="22"/>
          <w:lang w:val="es-ES_tradnl"/>
        </w:rPr>
        <w:t>Los pacientes deben ser monitorizados por si se produjese una insuficiencia renal, lo que debe incluir una evaluación analítica, especialmente de la creatinina sérica.</w:t>
      </w:r>
    </w:p>
    <w:p w14:paraId="2CE2179F" w14:textId="77777777" w:rsidR="00D061AA" w:rsidRPr="00C52C4C" w:rsidRDefault="00D061AA" w:rsidP="00D061AA">
      <w:pPr>
        <w:tabs>
          <w:tab w:val="left" w:pos="567"/>
        </w:tabs>
        <w:rPr>
          <w:snapToGrid w:val="0"/>
          <w:sz w:val="22"/>
          <w:szCs w:val="22"/>
          <w:lang w:val="es-ES_tradnl"/>
        </w:rPr>
      </w:pPr>
    </w:p>
    <w:p w14:paraId="78B0FB8F" w14:textId="77777777" w:rsidR="00D061AA" w:rsidRPr="00C52C4C" w:rsidRDefault="00D061AA" w:rsidP="00D061AA">
      <w:pPr>
        <w:tabs>
          <w:tab w:val="left" w:pos="567"/>
        </w:tabs>
        <w:rPr>
          <w:sz w:val="22"/>
          <w:szCs w:val="22"/>
          <w:lang w:val="es-ES_tradnl"/>
        </w:rPr>
      </w:pPr>
      <w:r w:rsidRPr="00C52C4C">
        <w:rPr>
          <w:sz w:val="22"/>
          <w:szCs w:val="22"/>
          <w:u w:val="single"/>
          <w:lang w:val="es-ES_tradnl"/>
        </w:rPr>
        <w:t>Monitorización de la función pancreática</w:t>
      </w:r>
    </w:p>
    <w:p w14:paraId="38AFA41F"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Debe monitorizarse cuidadosamente la función pancreática durante el tratamiento con </w:t>
      </w:r>
      <w:r w:rsidR="008D11BB" w:rsidRPr="00C52C4C">
        <w:rPr>
          <w:sz w:val="22"/>
          <w:szCs w:val="22"/>
        </w:rPr>
        <w:t>Voriconazol</w:t>
      </w:r>
      <w:r w:rsidR="00591702" w:rsidRPr="00C52C4C">
        <w:rPr>
          <w:sz w:val="22"/>
          <w:szCs w:val="22"/>
        </w:rPr>
        <w:t xml:space="preserve"> Accord </w:t>
      </w:r>
      <w:r w:rsidRPr="00C52C4C">
        <w:rPr>
          <w:sz w:val="22"/>
          <w:szCs w:val="22"/>
          <w:lang w:val="es-ES_tradnl"/>
        </w:rPr>
        <w:t xml:space="preserve">en los pacientes, especialmente niños, con factores de riesgo de pancreatitis aguda (por ejemplo, quimioterapia reciente, trasplante de células madre hematopoyéticas </w:t>
      </w:r>
      <w:r w:rsidR="00637D5D" w:rsidRPr="00C52C4C">
        <w:rPr>
          <w:sz w:val="22"/>
          <w:szCs w:val="22"/>
          <w:lang w:val="es-ES_tradnl"/>
        </w:rPr>
        <w:t>[</w:t>
      </w:r>
      <w:r w:rsidRPr="00C52C4C">
        <w:rPr>
          <w:sz w:val="22"/>
          <w:szCs w:val="22"/>
          <w:lang w:val="es-ES_tradnl"/>
        </w:rPr>
        <w:t>HSCT</w:t>
      </w:r>
      <w:r w:rsidR="00637D5D" w:rsidRPr="00C52C4C">
        <w:rPr>
          <w:sz w:val="22"/>
          <w:szCs w:val="22"/>
          <w:lang w:val="es-ES_tradnl"/>
        </w:rPr>
        <w:t>)</w:t>
      </w:r>
      <w:r w:rsidRPr="00C52C4C">
        <w:rPr>
          <w:sz w:val="22"/>
          <w:szCs w:val="22"/>
          <w:lang w:val="es-ES_tradnl"/>
        </w:rPr>
        <w:t xml:space="preserve">). En estos casos, puede considerarse la monitorización de la amilasa sérica o de la lipasa. </w:t>
      </w:r>
    </w:p>
    <w:p w14:paraId="453806D0" w14:textId="77777777" w:rsidR="00D061AA" w:rsidRPr="00C52C4C" w:rsidRDefault="00D061AA" w:rsidP="00D061AA">
      <w:pPr>
        <w:tabs>
          <w:tab w:val="left" w:pos="567"/>
        </w:tabs>
        <w:rPr>
          <w:sz w:val="22"/>
          <w:szCs w:val="22"/>
          <w:lang w:val="es-ES_tradnl"/>
        </w:rPr>
      </w:pPr>
    </w:p>
    <w:p w14:paraId="116A3354" w14:textId="77777777" w:rsidR="00D061AA" w:rsidRPr="00C52C4C" w:rsidRDefault="00D061AA" w:rsidP="00D061AA">
      <w:pPr>
        <w:tabs>
          <w:tab w:val="left" w:pos="567"/>
        </w:tabs>
        <w:rPr>
          <w:sz w:val="22"/>
          <w:szCs w:val="22"/>
          <w:lang w:val="es-ES_tradnl"/>
        </w:rPr>
      </w:pPr>
    </w:p>
    <w:p w14:paraId="323FE838" w14:textId="77777777" w:rsidR="00D061AA" w:rsidRPr="00C52C4C" w:rsidRDefault="00D061AA" w:rsidP="00D061AA">
      <w:pPr>
        <w:pStyle w:val="Textoindependiente3"/>
        <w:tabs>
          <w:tab w:val="left" w:pos="567"/>
        </w:tabs>
        <w:rPr>
          <w:color w:val="auto"/>
          <w:sz w:val="22"/>
          <w:szCs w:val="22"/>
          <w:u w:val="none"/>
          <w:lang w:val="es-ES_tradnl"/>
        </w:rPr>
      </w:pPr>
      <w:r w:rsidRPr="00C52C4C">
        <w:rPr>
          <w:color w:val="auto"/>
          <w:sz w:val="22"/>
          <w:szCs w:val="22"/>
          <w:lang w:val="es-ES_tradnl"/>
        </w:rPr>
        <w:t>Población pediátrica</w:t>
      </w:r>
    </w:p>
    <w:p w14:paraId="58BC89DA" w14:textId="77777777" w:rsidR="00D061AA" w:rsidRPr="00C52C4C" w:rsidRDefault="00D061AA" w:rsidP="00D061AA">
      <w:pPr>
        <w:pStyle w:val="Textoindependiente3"/>
        <w:tabs>
          <w:tab w:val="left" w:pos="567"/>
        </w:tabs>
        <w:rPr>
          <w:snapToGrid w:val="0"/>
          <w:color w:val="auto"/>
          <w:sz w:val="22"/>
          <w:szCs w:val="22"/>
          <w:u w:val="none"/>
          <w:lang w:val="es-ES_tradnl"/>
        </w:rPr>
      </w:pPr>
      <w:r w:rsidRPr="00C52C4C">
        <w:rPr>
          <w:snapToGrid w:val="0"/>
          <w:color w:val="auto"/>
          <w:sz w:val="22"/>
          <w:szCs w:val="22"/>
          <w:u w:val="none"/>
          <w:lang w:val="es-ES_tradnl"/>
        </w:rPr>
        <w:t xml:space="preserve">No se ha establecido la eficacia y la seguridad en niños menores de dos años (ver también secciones 4.8 y 5.1). Voriconazol está indicado en pacientes pediátricos de dos años de edad o mayores. </w:t>
      </w:r>
      <w:r w:rsidR="00195285" w:rsidRPr="00C52C4C">
        <w:rPr>
          <w:snapToGrid w:val="0"/>
          <w:color w:val="auto"/>
          <w:sz w:val="22"/>
          <w:szCs w:val="22"/>
          <w:u w:val="none"/>
          <w:lang w:val="es-ES_tradnl"/>
        </w:rPr>
        <w:t xml:space="preserve">En la población pediátrica se observó una mayor frecuencia de elevacioens de enzimas hepáticas (ver sección 4.8). </w:t>
      </w:r>
      <w:r w:rsidRPr="00C52C4C">
        <w:rPr>
          <w:snapToGrid w:val="0"/>
          <w:color w:val="auto"/>
          <w:sz w:val="22"/>
          <w:szCs w:val="22"/>
          <w:u w:val="none"/>
          <w:lang w:val="es-ES_tradnl"/>
        </w:rPr>
        <w:t xml:space="preserve">Debe monitorizarse la función hepática tanto en niños como en adultos. La biodisponibilidad oral puede estar limitada en pacientes pediátricos de </w:t>
      </w:r>
      <w:smartTag w:uri="urn:schemas-microsoft-com:office:smarttags" w:element="metricconverter">
        <w:smartTagPr>
          <w:attr w:name="ProductID" w:val="2 a"/>
        </w:smartTagPr>
        <w:r w:rsidRPr="00C52C4C">
          <w:rPr>
            <w:snapToGrid w:val="0"/>
            <w:color w:val="auto"/>
            <w:sz w:val="22"/>
            <w:szCs w:val="22"/>
            <w:u w:val="none"/>
            <w:lang w:val="es-ES_tradnl"/>
          </w:rPr>
          <w:t>2 a</w:t>
        </w:r>
      </w:smartTag>
      <w:r w:rsidRPr="00C52C4C">
        <w:rPr>
          <w:snapToGrid w:val="0"/>
          <w:color w:val="auto"/>
          <w:sz w:val="22"/>
          <w:szCs w:val="22"/>
          <w:u w:val="none"/>
          <w:lang w:val="es-ES_tradnl"/>
        </w:rPr>
        <w:t xml:space="preserve"> &lt;12 años de edad con malabsorción y con peso corporal muy bajo para su edad. En ese caso, se recomienda la administración de voriconazol intravenoso.</w:t>
      </w:r>
    </w:p>
    <w:p w14:paraId="54016468" w14:textId="77777777" w:rsidR="00D061AA" w:rsidRDefault="00D061AA" w:rsidP="00D061AA">
      <w:pPr>
        <w:pStyle w:val="Textoindependiente3"/>
        <w:tabs>
          <w:tab w:val="left" w:pos="567"/>
        </w:tabs>
        <w:rPr>
          <w:color w:val="auto"/>
          <w:sz w:val="22"/>
          <w:szCs w:val="22"/>
          <w:lang w:val="es-ES"/>
        </w:rPr>
      </w:pPr>
    </w:p>
    <w:p w14:paraId="5475DF6B" w14:textId="77777777" w:rsidR="006432E3" w:rsidRPr="00C52C4C" w:rsidRDefault="006432E3" w:rsidP="006432E3">
      <w:pPr>
        <w:pStyle w:val="Textoindependiente3"/>
        <w:tabs>
          <w:tab w:val="left" w:pos="567"/>
        </w:tabs>
        <w:rPr>
          <w:color w:val="auto"/>
          <w:sz w:val="22"/>
          <w:szCs w:val="22"/>
          <w:lang w:val="es-ES"/>
        </w:rPr>
      </w:pPr>
      <w:r w:rsidRPr="006432E3">
        <w:rPr>
          <w:color w:val="auto"/>
          <w:sz w:val="22"/>
          <w:szCs w:val="22"/>
          <w:lang w:val="es-ES_tradnl"/>
        </w:rPr>
        <w:t>Reacciones adversas dermatológicas graves (incluyendo CCE).</w:t>
      </w:r>
    </w:p>
    <w:p w14:paraId="4908EC74" w14:textId="77777777" w:rsidR="00270DDF" w:rsidRPr="00C52C4C" w:rsidRDefault="00270DDF" w:rsidP="00270DDF">
      <w:pPr>
        <w:pStyle w:val="Textoindependiente3"/>
        <w:tabs>
          <w:tab w:val="left" w:pos="567"/>
        </w:tabs>
        <w:rPr>
          <w:snapToGrid w:val="0"/>
          <w:color w:val="auto"/>
          <w:sz w:val="22"/>
          <w:szCs w:val="22"/>
          <w:u w:val="none"/>
          <w:lang w:val="es-ES_tradnl"/>
        </w:rPr>
      </w:pPr>
      <w:r w:rsidRPr="00C52C4C">
        <w:rPr>
          <w:snapToGrid w:val="0"/>
          <w:color w:val="auto"/>
          <w:sz w:val="22"/>
          <w:szCs w:val="22"/>
          <w:u w:val="none"/>
          <w:lang w:val="es-ES_tradnl"/>
        </w:rPr>
        <w:t>La frecuencia de las reacciones de fototoxicidad es mayor en la población pediátrica. Se ha notificado una evolución hacia el CCE, por lo que la adopción de medidas rigurosas en relación con la fotoprotección está justificada en esta población de pacientes. En los niños que presenten lesiones de fotoenvejecimiento, como lentigos y efélides, se recomienda evitar el sol y realizar un seguimiento dermatológico, incluso tras la suspensión del tratamiento.</w:t>
      </w:r>
    </w:p>
    <w:p w14:paraId="7663FD26" w14:textId="77777777" w:rsidR="00270DDF" w:rsidRPr="00C52C4C" w:rsidRDefault="00270DDF" w:rsidP="00270DDF">
      <w:pPr>
        <w:pStyle w:val="Textoindependiente3"/>
        <w:tabs>
          <w:tab w:val="left" w:pos="567"/>
        </w:tabs>
        <w:rPr>
          <w:snapToGrid w:val="0"/>
          <w:color w:val="auto"/>
          <w:sz w:val="22"/>
          <w:szCs w:val="22"/>
          <w:u w:val="none"/>
          <w:lang w:val="es-ES_tradnl"/>
        </w:rPr>
      </w:pPr>
    </w:p>
    <w:p w14:paraId="74F380EE" w14:textId="77777777" w:rsidR="00270DDF" w:rsidRPr="00C52C4C" w:rsidRDefault="00270DDF" w:rsidP="00270DDF">
      <w:pPr>
        <w:pStyle w:val="Textoindependiente3"/>
        <w:tabs>
          <w:tab w:val="left" w:pos="567"/>
        </w:tabs>
        <w:rPr>
          <w:snapToGrid w:val="0"/>
          <w:color w:val="auto"/>
          <w:sz w:val="22"/>
          <w:szCs w:val="22"/>
          <w:lang w:val="es-ES_tradnl"/>
        </w:rPr>
      </w:pPr>
      <w:r w:rsidRPr="00C52C4C">
        <w:rPr>
          <w:snapToGrid w:val="0"/>
          <w:color w:val="auto"/>
          <w:sz w:val="22"/>
          <w:szCs w:val="22"/>
          <w:lang w:val="es-ES_tradnl"/>
        </w:rPr>
        <w:t>Profilaxis</w:t>
      </w:r>
    </w:p>
    <w:p w14:paraId="3CA61A7B" w14:textId="77777777" w:rsidR="00270DDF" w:rsidRPr="00C52C4C" w:rsidRDefault="00270DDF" w:rsidP="00270DDF">
      <w:pPr>
        <w:pStyle w:val="Textoindependiente3"/>
        <w:tabs>
          <w:tab w:val="left" w:pos="567"/>
        </w:tabs>
        <w:rPr>
          <w:snapToGrid w:val="0"/>
          <w:color w:val="auto"/>
          <w:sz w:val="22"/>
          <w:szCs w:val="22"/>
          <w:u w:val="none"/>
          <w:lang w:val="es-ES_tradnl"/>
        </w:rPr>
      </w:pPr>
      <w:r w:rsidRPr="00C52C4C">
        <w:rPr>
          <w:snapToGrid w:val="0"/>
          <w:color w:val="auto"/>
          <w:sz w:val="22"/>
          <w:szCs w:val="22"/>
          <w:u w:val="none"/>
          <w:lang w:val="es-ES_tradnl"/>
        </w:rPr>
        <w:t>En caso de aparición de acontecimientos adversos relacionados con el tratamiento (hepatotoxicidad, reacciones cutáneas graves, como fototoxicidad y CCE, trastornos visuales graves o prolongados y periostitis), se debe</w:t>
      </w:r>
      <w:r w:rsidRPr="00C52C4C">
        <w:rPr>
          <w:color w:val="auto"/>
          <w:sz w:val="22"/>
          <w:szCs w:val="22"/>
          <w:u w:val="none"/>
          <w:lang w:val="es-ES_tradnl"/>
        </w:rPr>
        <w:t xml:space="preserve"> considerar la suspensión del tratamiento con voriconazol y el empleo de fármacos antifúngicos alternativos.</w:t>
      </w:r>
    </w:p>
    <w:p w14:paraId="4B52A970" w14:textId="77777777" w:rsidR="00270DDF" w:rsidRPr="00C52C4C" w:rsidRDefault="00270DDF" w:rsidP="00D061AA">
      <w:pPr>
        <w:pStyle w:val="Textoindependiente3"/>
        <w:tabs>
          <w:tab w:val="left" w:pos="567"/>
        </w:tabs>
        <w:rPr>
          <w:color w:val="auto"/>
          <w:sz w:val="22"/>
          <w:szCs w:val="22"/>
          <w:lang w:val="es-ES_tradnl"/>
        </w:rPr>
      </w:pPr>
    </w:p>
    <w:p w14:paraId="3D3B15D7" w14:textId="77777777" w:rsidR="00D061AA" w:rsidRPr="00C52C4C" w:rsidRDefault="00D061AA" w:rsidP="00D061AA">
      <w:pPr>
        <w:tabs>
          <w:tab w:val="left" w:pos="567"/>
        </w:tabs>
        <w:rPr>
          <w:sz w:val="22"/>
          <w:szCs w:val="22"/>
          <w:lang w:val="es-ES_tradnl"/>
        </w:rPr>
      </w:pPr>
      <w:r w:rsidRPr="00C52C4C">
        <w:rPr>
          <w:sz w:val="22"/>
          <w:szCs w:val="22"/>
          <w:u w:val="single"/>
          <w:lang w:val="es-ES_tradnl"/>
        </w:rPr>
        <w:t xml:space="preserve">Fenitoína (sustrato del </w:t>
      </w:r>
      <w:smartTag w:uri="urn:schemas-microsoft-com:office:smarttags" w:element="PersonName">
        <w:r w:rsidRPr="00C52C4C">
          <w:rPr>
            <w:sz w:val="22"/>
            <w:szCs w:val="22"/>
            <w:u w:val="single"/>
            <w:lang w:val="es-ES_tradnl"/>
          </w:rPr>
          <w:t>CY</w:t>
        </w:r>
      </w:smartTag>
      <w:r w:rsidRPr="00C52C4C">
        <w:rPr>
          <w:sz w:val="22"/>
          <w:szCs w:val="22"/>
          <w:u w:val="single"/>
          <w:lang w:val="es-ES_tradnl"/>
        </w:rPr>
        <w:t xml:space="preserve">P2C9 y potente inductor del </w:t>
      </w:r>
      <w:smartTag w:uri="urn:schemas-microsoft-com:office:smarttags" w:element="PersonName">
        <w:r w:rsidRPr="00C52C4C">
          <w:rPr>
            <w:sz w:val="22"/>
            <w:szCs w:val="22"/>
            <w:u w:val="single"/>
            <w:lang w:val="es-ES_tradnl"/>
          </w:rPr>
          <w:t>CY</w:t>
        </w:r>
      </w:smartTag>
      <w:r w:rsidRPr="00C52C4C">
        <w:rPr>
          <w:sz w:val="22"/>
          <w:szCs w:val="22"/>
          <w:u w:val="single"/>
          <w:lang w:val="es-ES_tradnl"/>
        </w:rPr>
        <w:t>P450)</w:t>
      </w:r>
    </w:p>
    <w:p w14:paraId="1EC19F04" w14:textId="77777777" w:rsidR="00D061AA" w:rsidRPr="00C52C4C" w:rsidRDefault="00D061AA" w:rsidP="00D061AA">
      <w:pPr>
        <w:tabs>
          <w:tab w:val="left" w:pos="567"/>
        </w:tabs>
        <w:rPr>
          <w:sz w:val="22"/>
          <w:szCs w:val="22"/>
          <w:lang w:val="es-ES_tradnl"/>
        </w:rPr>
      </w:pPr>
      <w:r w:rsidRPr="00C52C4C">
        <w:rPr>
          <w:sz w:val="22"/>
          <w:szCs w:val="22"/>
          <w:lang w:val="es-ES_tradnl"/>
        </w:rPr>
        <w:t>Se recomienda monitorizar cuidadosamente las concentraciones de fenitoína cuando se administra de forma concomitante con voriconazol. Debe evitarse el uso concomitante de voriconazol y fenitoína a menos que el beneficio sea superior al riesgo (ver sección 4.5).</w:t>
      </w:r>
    </w:p>
    <w:p w14:paraId="04FE21FE" w14:textId="77777777" w:rsidR="00D061AA" w:rsidRPr="00C52C4C" w:rsidRDefault="00D061AA" w:rsidP="00D061AA">
      <w:pPr>
        <w:tabs>
          <w:tab w:val="left" w:pos="567"/>
        </w:tabs>
        <w:rPr>
          <w:sz w:val="22"/>
          <w:szCs w:val="22"/>
          <w:u w:val="single"/>
        </w:rPr>
      </w:pPr>
    </w:p>
    <w:p w14:paraId="246AAFF8" w14:textId="77777777" w:rsidR="00D061AA" w:rsidRPr="00C52C4C" w:rsidRDefault="00D061AA" w:rsidP="00D061AA">
      <w:pPr>
        <w:tabs>
          <w:tab w:val="left" w:pos="567"/>
        </w:tabs>
        <w:rPr>
          <w:sz w:val="22"/>
          <w:szCs w:val="22"/>
          <w:u w:val="single"/>
        </w:rPr>
      </w:pPr>
      <w:r w:rsidRPr="00C52C4C">
        <w:rPr>
          <w:sz w:val="22"/>
          <w:szCs w:val="22"/>
          <w:u w:val="single"/>
        </w:rPr>
        <w:t xml:space="preserve">Efavirenz (inductor del </w:t>
      </w:r>
      <w:smartTag w:uri="urn:schemas-microsoft-com:office:smarttags" w:element="PersonName">
        <w:r w:rsidRPr="00C52C4C">
          <w:rPr>
            <w:sz w:val="22"/>
            <w:szCs w:val="22"/>
            <w:u w:val="single"/>
          </w:rPr>
          <w:t>CY</w:t>
        </w:r>
      </w:smartTag>
      <w:r w:rsidRPr="00C52C4C">
        <w:rPr>
          <w:sz w:val="22"/>
          <w:szCs w:val="22"/>
          <w:u w:val="single"/>
        </w:rPr>
        <w:t xml:space="preserve">P450; inhibidor y sustrato del </w:t>
      </w:r>
      <w:smartTag w:uri="urn:schemas-microsoft-com:office:smarttags" w:element="PersonName">
        <w:r w:rsidRPr="00C52C4C">
          <w:rPr>
            <w:sz w:val="22"/>
            <w:szCs w:val="22"/>
            <w:u w:val="single"/>
          </w:rPr>
          <w:t>CY</w:t>
        </w:r>
      </w:smartTag>
      <w:r w:rsidRPr="00C52C4C">
        <w:rPr>
          <w:sz w:val="22"/>
          <w:szCs w:val="22"/>
          <w:u w:val="single"/>
        </w:rPr>
        <w:t>P3A4):</w:t>
      </w:r>
    </w:p>
    <w:p w14:paraId="2BED7464" w14:textId="77777777" w:rsidR="00D061AA" w:rsidRPr="00C52C4C" w:rsidRDefault="00D061AA" w:rsidP="00D061AA">
      <w:pPr>
        <w:tabs>
          <w:tab w:val="left" w:pos="567"/>
        </w:tabs>
        <w:rPr>
          <w:sz w:val="22"/>
          <w:szCs w:val="22"/>
        </w:rPr>
      </w:pPr>
      <w:r w:rsidRPr="00C52C4C">
        <w:rPr>
          <w:sz w:val="22"/>
          <w:szCs w:val="22"/>
        </w:rPr>
        <w:t xml:space="preserve">Cuando se administra voriconazol concomitantemente con efavirenz, la dosis de voriconazol se debe aumentar a 400 mg cada 12 horas y la </w:t>
      </w:r>
      <w:r w:rsidR="00270DDF" w:rsidRPr="00C52C4C">
        <w:rPr>
          <w:sz w:val="22"/>
          <w:szCs w:val="22"/>
        </w:rPr>
        <w:t xml:space="preserve">dosis </w:t>
      </w:r>
      <w:r w:rsidRPr="00C52C4C">
        <w:rPr>
          <w:sz w:val="22"/>
          <w:szCs w:val="22"/>
        </w:rPr>
        <w:t>de efavirenz se debe reducir a 300 mg cada 24 horas (ver secciones 4.2, 4.3 y 4.5).</w:t>
      </w:r>
    </w:p>
    <w:p w14:paraId="4F96FC1D" w14:textId="77777777" w:rsidR="00537D6E" w:rsidRDefault="00537D6E" w:rsidP="00537D6E">
      <w:pPr>
        <w:tabs>
          <w:tab w:val="left" w:pos="567"/>
        </w:tabs>
        <w:rPr>
          <w:sz w:val="22"/>
          <w:szCs w:val="22"/>
        </w:rPr>
      </w:pPr>
    </w:p>
    <w:p w14:paraId="6E52D1EE" w14:textId="77777777" w:rsidR="00537D6E" w:rsidRPr="00041B44" w:rsidRDefault="00537D6E" w:rsidP="00537D6E">
      <w:pPr>
        <w:tabs>
          <w:tab w:val="left" w:pos="567"/>
        </w:tabs>
        <w:rPr>
          <w:sz w:val="22"/>
          <w:szCs w:val="22"/>
          <w:u w:val="single"/>
        </w:rPr>
      </w:pPr>
      <w:r w:rsidRPr="00041B44">
        <w:rPr>
          <w:sz w:val="22"/>
          <w:szCs w:val="22"/>
          <w:u w:val="single"/>
        </w:rPr>
        <w:t>Glasdegib (sustrato del CYP3A4)</w:t>
      </w:r>
    </w:p>
    <w:p w14:paraId="7A4C78CA" w14:textId="77777777" w:rsidR="00537D6E" w:rsidRPr="00537D6E" w:rsidRDefault="00537D6E" w:rsidP="00537D6E">
      <w:pPr>
        <w:tabs>
          <w:tab w:val="left" w:pos="567"/>
        </w:tabs>
        <w:rPr>
          <w:sz w:val="22"/>
          <w:szCs w:val="22"/>
        </w:rPr>
      </w:pPr>
      <w:r w:rsidRPr="00537D6E">
        <w:rPr>
          <w:sz w:val="22"/>
          <w:szCs w:val="22"/>
        </w:rPr>
        <w:t xml:space="preserve">Se espera que la administración concomitante de voriconazol incremente las concentraciones </w:t>
      </w:r>
    </w:p>
    <w:p w14:paraId="62C2DBC9" w14:textId="77777777" w:rsidR="00537D6E" w:rsidRPr="00537D6E" w:rsidRDefault="00537D6E" w:rsidP="00537D6E">
      <w:pPr>
        <w:tabs>
          <w:tab w:val="left" w:pos="567"/>
        </w:tabs>
        <w:rPr>
          <w:sz w:val="22"/>
          <w:szCs w:val="22"/>
        </w:rPr>
      </w:pPr>
      <w:r w:rsidRPr="00537D6E">
        <w:rPr>
          <w:sz w:val="22"/>
          <w:szCs w:val="22"/>
        </w:rPr>
        <w:t xml:space="preserve">plasmáticas de glasdegib y el riesgo de prolongación del intervalo QTc (ver sección 4.5). Si no se </w:t>
      </w:r>
    </w:p>
    <w:p w14:paraId="68769857" w14:textId="77777777" w:rsidR="00537D6E" w:rsidRPr="00537D6E" w:rsidRDefault="00537D6E" w:rsidP="00537D6E">
      <w:pPr>
        <w:tabs>
          <w:tab w:val="left" w:pos="567"/>
        </w:tabs>
        <w:rPr>
          <w:sz w:val="22"/>
          <w:szCs w:val="22"/>
        </w:rPr>
      </w:pPr>
      <w:r w:rsidRPr="00537D6E">
        <w:rPr>
          <w:sz w:val="22"/>
          <w:szCs w:val="22"/>
        </w:rPr>
        <w:t>puede evitar el uso concomitante, se recomienda una monitorización frecuente del electrocardiograma</w:t>
      </w:r>
    </w:p>
    <w:p w14:paraId="28BF3825" w14:textId="77777777" w:rsidR="00537D6E" w:rsidRPr="00537D6E" w:rsidRDefault="00537D6E" w:rsidP="00537D6E">
      <w:pPr>
        <w:tabs>
          <w:tab w:val="left" w:pos="567"/>
        </w:tabs>
        <w:rPr>
          <w:sz w:val="22"/>
          <w:szCs w:val="22"/>
        </w:rPr>
      </w:pPr>
      <w:r w:rsidRPr="00537D6E">
        <w:rPr>
          <w:sz w:val="22"/>
          <w:szCs w:val="22"/>
        </w:rPr>
        <w:t>ECG.</w:t>
      </w:r>
    </w:p>
    <w:p w14:paraId="4AD9A48E" w14:textId="77777777" w:rsidR="00537D6E" w:rsidRPr="00537D6E" w:rsidRDefault="00537D6E" w:rsidP="00537D6E">
      <w:pPr>
        <w:tabs>
          <w:tab w:val="left" w:pos="567"/>
        </w:tabs>
        <w:rPr>
          <w:sz w:val="22"/>
          <w:szCs w:val="22"/>
        </w:rPr>
      </w:pPr>
    </w:p>
    <w:p w14:paraId="1A8AAF82" w14:textId="77777777" w:rsidR="00537D6E" w:rsidRPr="00041B44" w:rsidRDefault="00537D6E" w:rsidP="00537D6E">
      <w:pPr>
        <w:tabs>
          <w:tab w:val="left" w:pos="567"/>
        </w:tabs>
        <w:rPr>
          <w:sz w:val="22"/>
          <w:szCs w:val="22"/>
          <w:u w:val="single"/>
        </w:rPr>
      </w:pPr>
      <w:r w:rsidRPr="00041B44">
        <w:rPr>
          <w:sz w:val="22"/>
          <w:szCs w:val="22"/>
          <w:u w:val="single"/>
        </w:rPr>
        <w:t>Inhibidores de la tirosin quinasa (sustrato del CYP3A4)</w:t>
      </w:r>
    </w:p>
    <w:p w14:paraId="557BD27C" w14:textId="77777777" w:rsidR="00537D6E" w:rsidRPr="00537D6E" w:rsidRDefault="00537D6E" w:rsidP="00537D6E">
      <w:pPr>
        <w:tabs>
          <w:tab w:val="left" w:pos="567"/>
        </w:tabs>
        <w:rPr>
          <w:sz w:val="22"/>
          <w:szCs w:val="22"/>
        </w:rPr>
      </w:pPr>
      <w:r w:rsidRPr="00537D6E">
        <w:rPr>
          <w:sz w:val="22"/>
          <w:szCs w:val="22"/>
        </w:rPr>
        <w:t>Se espera que la administración concomitante de voriconazol con inhibidores de la tirosin quinasa</w:t>
      </w:r>
    </w:p>
    <w:p w14:paraId="0A46CB19" w14:textId="77777777" w:rsidR="00537D6E" w:rsidRPr="00537D6E" w:rsidRDefault="00537D6E" w:rsidP="00537D6E">
      <w:pPr>
        <w:tabs>
          <w:tab w:val="left" w:pos="567"/>
        </w:tabs>
        <w:rPr>
          <w:sz w:val="22"/>
          <w:szCs w:val="22"/>
        </w:rPr>
      </w:pPr>
      <w:r w:rsidRPr="00537D6E">
        <w:rPr>
          <w:sz w:val="22"/>
          <w:szCs w:val="22"/>
        </w:rPr>
        <w:t>metabolizados por el CYP3A4 incremente las concentraciones plasmáticas del inhibidor de la tirosin</w:t>
      </w:r>
    </w:p>
    <w:p w14:paraId="58EA2EB6" w14:textId="77777777" w:rsidR="00537D6E" w:rsidRPr="00537D6E" w:rsidRDefault="00537D6E" w:rsidP="00537D6E">
      <w:pPr>
        <w:tabs>
          <w:tab w:val="left" w:pos="567"/>
        </w:tabs>
        <w:rPr>
          <w:sz w:val="22"/>
          <w:szCs w:val="22"/>
        </w:rPr>
      </w:pPr>
      <w:r w:rsidRPr="00537D6E">
        <w:rPr>
          <w:sz w:val="22"/>
          <w:szCs w:val="22"/>
        </w:rPr>
        <w:t xml:space="preserve">quinasa y el riesgo de reacciones adversas. Si no se puede evitar el uso concomitante, se recomienda </w:t>
      </w:r>
    </w:p>
    <w:p w14:paraId="2B0ED189" w14:textId="77777777" w:rsidR="00537D6E" w:rsidRPr="00537D6E" w:rsidRDefault="00537D6E" w:rsidP="00537D6E">
      <w:pPr>
        <w:tabs>
          <w:tab w:val="left" w:pos="567"/>
        </w:tabs>
        <w:rPr>
          <w:sz w:val="22"/>
          <w:szCs w:val="22"/>
        </w:rPr>
      </w:pPr>
      <w:r w:rsidRPr="00537D6E">
        <w:rPr>
          <w:sz w:val="22"/>
          <w:szCs w:val="22"/>
        </w:rPr>
        <w:t xml:space="preserve">una reducción de la dosis del inhibidor de la tirosin quinasa y una estrecha monitorización clínica (ver </w:t>
      </w:r>
    </w:p>
    <w:p w14:paraId="7289514E" w14:textId="77777777" w:rsidR="00D061AA" w:rsidRDefault="00537D6E" w:rsidP="00537D6E">
      <w:pPr>
        <w:tabs>
          <w:tab w:val="left" w:pos="567"/>
        </w:tabs>
        <w:rPr>
          <w:sz w:val="22"/>
          <w:szCs w:val="22"/>
        </w:rPr>
      </w:pPr>
      <w:r w:rsidRPr="00537D6E">
        <w:rPr>
          <w:sz w:val="22"/>
          <w:szCs w:val="22"/>
        </w:rPr>
        <w:t>sección 4.5).</w:t>
      </w:r>
    </w:p>
    <w:p w14:paraId="190103B1" w14:textId="77777777" w:rsidR="00537D6E" w:rsidRPr="00C52C4C" w:rsidRDefault="00537D6E" w:rsidP="00537D6E">
      <w:pPr>
        <w:tabs>
          <w:tab w:val="left" w:pos="567"/>
        </w:tabs>
        <w:rPr>
          <w:sz w:val="22"/>
          <w:szCs w:val="22"/>
        </w:rPr>
      </w:pPr>
    </w:p>
    <w:p w14:paraId="56F75592" w14:textId="77777777" w:rsidR="00D061AA" w:rsidRPr="00C52C4C" w:rsidRDefault="00D061AA" w:rsidP="00D061AA">
      <w:pPr>
        <w:tabs>
          <w:tab w:val="left" w:pos="567"/>
        </w:tabs>
        <w:rPr>
          <w:sz w:val="22"/>
          <w:szCs w:val="22"/>
          <w:lang w:val="es-ES_tradnl"/>
        </w:rPr>
      </w:pPr>
      <w:r w:rsidRPr="00C52C4C">
        <w:rPr>
          <w:sz w:val="22"/>
          <w:szCs w:val="22"/>
          <w:u w:val="single"/>
          <w:lang w:val="es-ES_tradnl"/>
        </w:rPr>
        <w:t xml:space="preserve">Rifabutina (inductor </w:t>
      </w:r>
      <w:r w:rsidR="00270DDF" w:rsidRPr="00C52C4C">
        <w:rPr>
          <w:sz w:val="22"/>
          <w:szCs w:val="22"/>
          <w:u w:val="single"/>
          <w:lang w:val="es-ES_tradnl"/>
        </w:rPr>
        <w:t xml:space="preserve">potente </w:t>
      </w:r>
      <w:r w:rsidRPr="00C52C4C">
        <w:rPr>
          <w:sz w:val="22"/>
          <w:szCs w:val="22"/>
          <w:u w:val="single"/>
          <w:lang w:val="es-ES_tradnl"/>
        </w:rPr>
        <w:t xml:space="preserve">del </w:t>
      </w:r>
      <w:smartTag w:uri="urn:schemas-microsoft-com:office:smarttags" w:element="PersonName">
        <w:r w:rsidRPr="00C52C4C">
          <w:rPr>
            <w:sz w:val="22"/>
            <w:szCs w:val="22"/>
            <w:u w:val="single"/>
            <w:lang w:val="es-ES_tradnl"/>
          </w:rPr>
          <w:t>CY</w:t>
        </w:r>
      </w:smartTag>
      <w:r w:rsidRPr="00C52C4C">
        <w:rPr>
          <w:sz w:val="22"/>
          <w:szCs w:val="22"/>
          <w:u w:val="single"/>
          <w:lang w:val="es-ES_tradnl"/>
        </w:rPr>
        <w:t>P450)</w:t>
      </w:r>
    </w:p>
    <w:p w14:paraId="699AABB0"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Se recomienda monitorizar cuidadosamente el recuento total de células sanguíneas y las reacciones adversas de la rifabutina (p.ej. uveítis) cuando se administra rifabutina de forma concomitante con </w:t>
      </w:r>
      <w:r w:rsidRPr="00C52C4C">
        <w:rPr>
          <w:sz w:val="22"/>
          <w:szCs w:val="22"/>
          <w:lang w:val="es-ES_tradnl"/>
        </w:rPr>
        <w:lastRenderedPageBreak/>
        <w:t>voriconazol. Debe evitarse el uso concomitante de voriconazol y rifabutina a menos que el beneficio sea superior al riesgo (ver sección 4.5).</w:t>
      </w:r>
    </w:p>
    <w:p w14:paraId="6DB95D1F" w14:textId="77777777" w:rsidR="00D061AA" w:rsidRPr="00C52C4C" w:rsidRDefault="00D061AA" w:rsidP="00D061AA">
      <w:pPr>
        <w:tabs>
          <w:tab w:val="left" w:pos="567"/>
        </w:tabs>
        <w:rPr>
          <w:sz w:val="22"/>
          <w:szCs w:val="22"/>
          <w:u w:val="single"/>
        </w:rPr>
      </w:pPr>
    </w:p>
    <w:p w14:paraId="7B365476" w14:textId="77777777" w:rsidR="00D061AA" w:rsidRPr="00C52C4C" w:rsidRDefault="00D061AA" w:rsidP="00D061AA">
      <w:pPr>
        <w:tabs>
          <w:tab w:val="left" w:pos="567"/>
        </w:tabs>
        <w:rPr>
          <w:sz w:val="22"/>
          <w:szCs w:val="22"/>
          <w:u w:val="single"/>
        </w:rPr>
      </w:pPr>
      <w:r w:rsidRPr="00C52C4C">
        <w:rPr>
          <w:sz w:val="22"/>
          <w:szCs w:val="22"/>
          <w:u w:val="single"/>
        </w:rPr>
        <w:t xml:space="preserve">Ritonavir (inductor potente del </w:t>
      </w:r>
      <w:smartTag w:uri="urn:schemas-microsoft-com:office:smarttags" w:element="PersonName">
        <w:r w:rsidRPr="00C52C4C">
          <w:rPr>
            <w:sz w:val="22"/>
            <w:szCs w:val="22"/>
            <w:u w:val="single"/>
          </w:rPr>
          <w:t>CY</w:t>
        </w:r>
      </w:smartTag>
      <w:r w:rsidRPr="00C52C4C">
        <w:rPr>
          <w:sz w:val="22"/>
          <w:szCs w:val="22"/>
          <w:u w:val="single"/>
        </w:rPr>
        <w:t xml:space="preserve">P450; inhibidor y sustrato del </w:t>
      </w:r>
      <w:smartTag w:uri="urn:schemas-microsoft-com:office:smarttags" w:element="PersonName">
        <w:r w:rsidRPr="00C52C4C">
          <w:rPr>
            <w:sz w:val="22"/>
            <w:szCs w:val="22"/>
            <w:u w:val="single"/>
          </w:rPr>
          <w:t>CY</w:t>
        </w:r>
      </w:smartTag>
      <w:r w:rsidRPr="00C52C4C">
        <w:rPr>
          <w:sz w:val="22"/>
          <w:szCs w:val="22"/>
          <w:u w:val="single"/>
        </w:rPr>
        <w:t>P3A4)</w:t>
      </w:r>
    </w:p>
    <w:p w14:paraId="6E5329C7" w14:textId="77777777" w:rsidR="00D061AA" w:rsidRPr="00C52C4C" w:rsidRDefault="00D061AA" w:rsidP="00D061AA">
      <w:pPr>
        <w:tabs>
          <w:tab w:val="left" w:pos="567"/>
        </w:tabs>
        <w:rPr>
          <w:sz w:val="22"/>
          <w:szCs w:val="22"/>
        </w:rPr>
      </w:pPr>
      <w:r w:rsidRPr="00C52C4C">
        <w:rPr>
          <w:sz w:val="22"/>
          <w:szCs w:val="22"/>
        </w:rPr>
        <w:t xml:space="preserve">Se debe evitar la administración concomitante de voriconazol y dosis bajas de ritonavir (100 mg dos veces al día), a menos que el balance beneficio/riesgo </w:t>
      </w:r>
      <w:r w:rsidR="00270DDF" w:rsidRPr="00C52C4C">
        <w:rPr>
          <w:sz w:val="22"/>
          <w:szCs w:val="22"/>
        </w:rPr>
        <w:t xml:space="preserve">para el paciente </w:t>
      </w:r>
      <w:r w:rsidRPr="00C52C4C">
        <w:rPr>
          <w:sz w:val="22"/>
          <w:szCs w:val="22"/>
        </w:rPr>
        <w:t>justifique el uso de voriconazol (ver secciones 4.</w:t>
      </w:r>
      <w:r w:rsidR="00270DDF" w:rsidRPr="00C52C4C">
        <w:rPr>
          <w:sz w:val="22"/>
          <w:szCs w:val="22"/>
        </w:rPr>
        <w:t>3</w:t>
      </w:r>
      <w:r w:rsidRPr="00C52C4C">
        <w:rPr>
          <w:sz w:val="22"/>
          <w:szCs w:val="22"/>
        </w:rPr>
        <w:t xml:space="preserve"> y 4.</w:t>
      </w:r>
      <w:r w:rsidR="00270DDF" w:rsidRPr="00C52C4C">
        <w:rPr>
          <w:sz w:val="22"/>
          <w:szCs w:val="22"/>
        </w:rPr>
        <w:t>5</w:t>
      </w:r>
      <w:r w:rsidRPr="00C52C4C">
        <w:rPr>
          <w:sz w:val="22"/>
          <w:szCs w:val="22"/>
        </w:rPr>
        <w:t>).</w:t>
      </w:r>
    </w:p>
    <w:p w14:paraId="07769B53" w14:textId="77777777" w:rsidR="00D061AA" w:rsidRPr="00C52C4C" w:rsidRDefault="00D061AA" w:rsidP="00D061AA">
      <w:pPr>
        <w:tabs>
          <w:tab w:val="left" w:pos="567"/>
        </w:tabs>
        <w:rPr>
          <w:sz w:val="22"/>
          <w:szCs w:val="22"/>
        </w:rPr>
      </w:pPr>
    </w:p>
    <w:p w14:paraId="6C318582" w14:textId="77777777" w:rsidR="00D061AA" w:rsidRPr="00C52C4C" w:rsidRDefault="00D061AA" w:rsidP="00D061AA">
      <w:pPr>
        <w:tabs>
          <w:tab w:val="left" w:pos="567"/>
        </w:tabs>
        <w:rPr>
          <w:sz w:val="22"/>
          <w:szCs w:val="22"/>
          <w:lang w:val="es-ES_tradnl"/>
        </w:rPr>
      </w:pPr>
      <w:r w:rsidRPr="00C52C4C">
        <w:rPr>
          <w:sz w:val="22"/>
          <w:szCs w:val="22"/>
          <w:u w:val="single"/>
          <w:lang w:val="es-ES_tradnl"/>
        </w:rPr>
        <w:t xml:space="preserve">Everolimus (sustrato del </w:t>
      </w:r>
      <w:smartTag w:uri="urn:schemas-microsoft-com:office:smarttags" w:element="PersonName">
        <w:r w:rsidRPr="00C52C4C">
          <w:rPr>
            <w:sz w:val="22"/>
            <w:szCs w:val="22"/>
            <w:u w:val="single"/>
            <w:lang w:val="es-ES_tradnl"/>
          </w:rPr>
          <w:t>CY</w:t>
        </w:r>
      </w:smartTag>
      <w:r w:rsidRPr="00C52C4C">
        <w:rPr>
          <w:sz w:val="22"/>
          <w:szCs w:val="22"/>
          <w:u w:val="single"/>
          <w:lang w:val="es-ES_tradnl"/>
        </w:rPr>
        <w:t>P3A4, sustrato de la gp-P)</w:t>
      </w:r>
    </w:p>
    <w:p w14:paraId="42DBBB92" w14:textId="77777777" w:rsidR="00D061AA" w:rsidRPr="00C52C4C" w:rsidRDefault="00D061AA" w:rsidP="00D061AA">
      <w:pPr>
        <w:tabs>
          <w:tab w:val="left" w:pos="567"/>
        </w:tabs>
        <w:rPr>
          <w:sz w:val="22"/>
          <w:szCs w:val="22"/>
          <w:lang w:val="es-ES_tradnl"/>
        </w:rPr>
      </w:pPr>
      <w:r w:rsidRPr="00C52C4C">
        <w:rPr>
          <w:sz w:val="22"/>
          <w:szCs w:val="22"/>
          <w:lang w:val="es-ES_tradnl"/>
        </w:rPr>
        <w:t>No se recomienda la administración concomitante de voriconazol con everolimus, ya que se espera que voriconazol incremente significativamente los niveles de everolimus. Actualmente no hay datos suficientes para realizar recomendaciones de dosis en esta situación (ver sección 4.5).</w:t>
      </w:r>
    </w:p>
    <w:p w14:paraId="02B7A6E3" w14:textId="77777777" w:rsidR="0035052D" w:rsidRPr="00C52C4C" w:rsidRDefault="0035052D" w:rsidP="0035052D">
      <w:pPr>
        <w:tabs>
          <w:tab w:val="left" w:pos="567"/>
        </w:tabs>
        <w:rPr>
          <w:sz w:val="22"/>
          <w:szCs w:val="22"/>
          <w:lang w:val="es-ES_tradnl"/>
        </w:rPr>
      </w:pPr>
    </w:p>
    <w:p w14:paraId="5A89F395" w14:textId="77777777" w:rsidR="00D061AA" w:rsidRPr="00C52C4C" w:rsidRDefault="00D061AA" w:rsidP="00D061AA">
      <w:pPr>
        <w:tabs>
          <w:tab w:val="left" w:pos="567"/>
        </w:tabs>
        <w:rPr>
          <w:sz w:val="22"/>
          <w:szCs w:val="22"/>
        </w:rPr>
      </w:pPr>
      <w:r w:rsidRPr="00C52C4C">
        <w:rPr>
          <w:sz w:val="22"/>
          <w:szCs w:val="22"/>
          <w:u w:val="single"/>
        </w:rPr>
        <w:t xml:space="preserve">Metadona (sustrato del </w:t>
      </w:r>
      <w:smartTag w:uri="urn:schemas-microsoft-com:office:smarttags" w:element="PersonName">
        <w:r w:rsidRPr="00C52C4C">
          <w:rPr>
            <w:sz w:val="22"/>
            <w:szCs w:val="22"/>
            <w:u w:val="single"/>
          </w:rPr>
          <w:t>CY</w:t>
        </w:r>
      </w:smartTag>
      <w:r w:rsidRPr="00C52C4C">
        <w:rPr>
          <w:sz w:val="22"/>
          <w:szCs w:val="22"/>
          <w:u w:val="single"/>
        </w:rPr>
        <w:t>P3A4)</w:t>
      </w:r>
    </w:p>
    <w:p w14:paraId="79527FE8" w14:textId="77777777" w:rsidR="00D061AA" w:rsidRPr="00C52C4C" w:rsidRDefault="00D061AA" w:rsidP="00D061AA">
      <w:pPr>
        <w:tabs>
          <w:tab w:val="left" w:pos="567"/>
        </w:tabs>
        <w:rPr>
          <w:sz w:val="22"/>
          <w:szCs w:val="22"/>
        </w:rPr>
      </w:pPr>
      <w:r w:rsidRPr="00C52C4C">
        <w:rPr>
          <w:sz w:val="22"/>
          <w:szCs w:val="22"/>
        </w:rPr>
        <w:t>Se recomienda una monitorización frecuente de las reacciones adversas y de la toxicidad relacionadas con metadona, incluyendo la prolongación del QTc, cuando se administra concomitantemente con voriconazol, puesto que se incrementan los niveles de metadona tras la coadministraci</w:t>
      </w:r>
      <w:r w:rsidRPr="00C52C4C">
        <w:rPr>
          <w:sz w:val="22"/>
          <w:szCs w:val="22"/>
          <w:lang w:val="es-ES_tradnl"/>
        </w:rPr>
        <w:t>ón</w:t>
      </w:r>
      <w:r w:rsidRPr="00C52C4C">
        <w:rPr>
          <w:sz w:val="22"/>
          <w:szCs w:val="22"/>
        </w:rPr>
        <w:t xml:space="preserve"> de voriconazol. Puede ser necesaria una reducción de la dosis de metadona (ver sección 4.5).</w:t>
      </w:r>
    </w:p>
    <w:p w14:paraId="6D01E3E2" w14:textId="77777777" w:rsidR="00D061AA" w:rsidRPr="00C52C4C" w:rsidRDefault="00D061AA" w:rsidP="00D061AA">
      <w:pPr>
        <w:tabs>
          <w:tab w:val="left" w:pos="567"/>
        </w:tabs>
        <w:rPr>
          <w:sz w:val="22"/>
          <w:szCs w:val="22"/>
        </w:rPr>
      </w:pPr>
    </w:p>
    <w:p w14:paraId="7C9057FF" w14:textId="77777777" w:rsidR="00D061AA" w:rsidRPr="00C52C4C" w:rsidRDefault="00D061AA" w:rsidP="00D061AA">
      <w:pPr>
        <w:tabs>
          <w:tab w:val="left" w:pos="567"/>
        </w:tabs>
        <w:rPr>
          <w:sz w:val="22"/>
          <w:szCs w:val="22"/>
          <w:u w:val="single"/>
        </w:rPr>
      </w:pPr>
      <w:r w:rsidRPr="00C52C4C">
        <w:rPr>
          <w:sz w:val="22"/>
          <w:szCs w:val="22"/>
          <w:u w:val="single"/>
        </w:rPr>
        <w:t xml:space="preserve">Opiáceos de acción corta (sustratos del </w:t>
      </w:r>
      <w:smartTag w:uri="urn:schemas-microsoft-com:office:smarttags" w:element="PersonName">
        <w:r w:rsidRPr="00C52C4C">
          <w:rPr>
            <w:sz w:val="22"/>
            <w:szCs w:val="22"/>
            <w:u w:val="single"/>
          </w:rPr>
          <w:t>CY</w:t>
        </w:r>
      </w:smartTag>
      <w:r w:rsidRPr="00C52C4C">
        <w:rPr>
          <w:sz w:val="22"/>
          <w:szCs w:val="22"/>
          <w:u w:val="single"/>
        </w:rPr>
        <w:t>P3A4)</w:t>
      </w:r>
    </w:p>
    <w:p w14:paraId="488CDE6D" w14:textId="29F80018" w:rsidR="00D061AA" w:rsidRPr="00C52C4C" w:rsidRDefault="00D061AA" w:rsidP="00D061AA">
      <w:pPr>
        <w:tabs>
          <w:tab w:val="left" w:pos="567"/>
        </w:tabs>
        <w:rPr>
          <w:sz w:val="22"/>
          <w:szCs w:val="22"/>
        </w:rPr>
      </w:pPr>
      <w:r w:rsidRPr="00C52C4C">
        <w:rPr>
          <w:sz w:val="22"/>
          <w:szCs w:val="22"/>
        </w:rPr>
        <w:t xml:space="preserve">Se deber valorar la reducción de la dosis de alfentanilo, fentanilo y de otros opiáceos de acción corta con estructura similar a alfentanilo y metabolizados por el </w:t>
      </w:r>
      <w:smartTag w:uri="urn:schemas-microsoft-com:office:smarttags" w:element="PersonName">
        <w:r w:rsidRPr="00C52C4C">
          <w:rPr>
            <w:sz w:val="22"/>
            <w:szCs w:val="22"/>
          </w:rPr>
          <w:t>CY</w:t>
        </w:r>
      </w:smartTag>
      <w:r w:rsidRPr="00C52C4C">
        <w:rPr>
          <w:sz w:val="22"/>
          <w:szCs w:val="22"/>
        </w:rPr>
        <w:t>P3A4 (por ejemplo sufentanilo) cuando se administren de forma concomitante con voriconazol (ver sección 4.5). Dado que la semivida de eliminación de alfentanilo se cuadruplica cuando éste se administra conjuntamente con voriconazol, y que en un estudio independiente publicado se evidenció un incremento de la AUC</w:t>
      </w:r>
      <w:r w:rsidRPr="002869DC">
        <w:rPr>
          <w:sz w:val="22"/>
          <w:szCs w:val="22"/>
          <w:vertAlign w:val="subscript"/>
        </w:rPr>
        <w:t>0-∞</w:t>
      </w:r>
      <w:r w:rsidRPr="00C52C4C">
        <w:rPr>
          <w:sz w:val="22"/>
          <w:szCs w:val="22"/>
        </w:rPr>
        <w:t xml:space="preserve"> de fentanilo, puede ser necesaria una monitorización frecuente de las reacciones adversas asociadas a opiáceos (incluido un período más largo de monitorización de la función respiratoria).</w:t>
      </w:r>
    </w:p>
    <w:p w14:paraId="5F3DE120" w14:textId="77777777" w:rsidR="00D061AA" w:rsidRPr="00C52C4C" w:rsidRDefault="00D061AA" w:rsidP="00D061AA">
      <w:pPr>
        <w:tabs>
          <w:tab w:val="left" w:pos="567"/>
        </w:tabs>
        <w:rPr>
          <w:sz w:val="22"/>
          <w:szCs w:val="22"/>
        </w:rPr>
      </w:pPr>
    </w:p>
    <w:p w14:paraId="63F2672F" w14:textId="77777777" w:rsidR="00D061AA" w:rsidRPr="00C52C4C" w:rsidRDefault="00D061AA" w:rsidP="00D061AA">
      <w:pPr>
        <w:tabs>
          <w:tab w:val="left" w:pos="567"/>
        </w:tabs>
        <w:rPr>
          <w:sz w:val="22"/>
          <w:szCs w:val="22"/>
        </w:rPr>
      </w:pPr>
      <w:r w:rsidRPr="00C52C4C">
        <w:rPr>
          <w:sz w:val="22"/>
          <w:szCs w:val="22"/>
          <w:u w:val="single"/>
        </w:rPr>
        <w:t xml:space="preserve">Opiáceos de acción prolongada (sustratos del </w:t>
      </w:r>
      <w:smartTag w:uri="urn:schemas-microsoft-com:office:smarttags" w:element="PersonName">
        <w:r w:rsidRPr="00C52C4C">
          <w:rPr>
            <w:sz w:val="22"/>
            <w:szCs w:val="22"/>
            <w:u w:val="single"/>
          </w:rPr>
          <w:t>CY</w:t>
        </w:r>
      </w:smartTag>
      <w:r w:rsidRPr="00C52C4C">
        <w:rPr>
          <w:sz w:val="22"/>
          <w:szCs w:val="22"/>
          <w:u w:val="single"/>
        </w:rPr>
        <w:t>P3A4)</w:t>
      </w:r>
    </w:p>
    <w:p w14:paraId="656D58C1" w14:textId="77777777" w:rsidR="00D061AA" w:rsidRPr="00C52C4C" w:rsidRDefault="00D061AA" w:rsidP="00D061AA">
      <w:pPr>
        <w:tabs>
          <w:tab w:val="left" w:pos="567"/>
        </w:tabs>
        <w:rPr>
          <w:sz w:val="22"/>
          <w:szCs w:val="22"/>
        </w:rPr>
      </w:pPr>
      <w:r w:rsidRPr="00C52C4C">
        <w:rPr>
          <w:sz w:val="22"/>
          <w:szCs w:val="22"/>
        </w:rPr>
        <w:t xml:space="preserve">Debería considerarse una reducción de la dosis de oxicodona y de otros opiáceos de acción prolongada que se metabolizan a través del </w:t>
      </w:r>
      <w:smartTag w:uri="urn:schemas-microsoft-com:office:smarttags" w:element="PersonName">
        <w:r w:rsidRPr="00C52C4C">
          <w:rPr>
            <w:sz w:val="22"/>
            <w:szCs w:val="22"/>
          </w:rPr>
          <w:t>CY</w:t>
        </w:r>
      </w:smartTag>
      <w:r w:rsidRPr="00C52C4C">
        <w:rPr>
          <w:sz w:val="22"/>
          <w:szCs w:val="22"/>
        </w:rPr>
        <w:t>P3A4 (por ejemplo hidrocodona) cuando se administran concomitantemente con voriconazol. Puede ser necesaria una monitorización frecuente de las reacciones adversas asociadas a opiáceos (ver sección 4.5).</w:t>
      </w:r>
    </w:p>
    <w:p w14:paraId="2EF2C66C" w14:textId="77777777" w:rsidR="00D061AA" w:rsidRPr="00C52C4C" w:rsidRDefault="00D061AA" w:rsidP="00D061AA">
      <w:pPr>
        <w:tabs>
          <w:tab w:val="left" w:pos="567"/>
        </w:tabs>
        <w:rPr>
          <w:sz w:val="22"/>
          <w:szCs w:val="22"/>
        </w:rPr>
      </w:pPr>
    </w:p>
    <w:p w14:paraId="32B2DCB3" w14:textId="77777777" w:rsidR="00D061AA" w:rsidRPr="00C52C4C" w:rsidRDefault="00D061AA" w:rsidP="00D061AA">
      <w:pPr>
        <w:tabs>
          <w:tab w:val="left" w:pos="567"/>
        </w:tabs>
        <w:rPr>
          <w:sz w:val="22"/>
          <w:szCs w:val="22"/>
          <w:u w:val="single"/>
        </w:rPr>
      </w:pPr>
      <w:r w:rsidRPr="00C52C4C">
        <w:rPr>
          <w:sz w:val="22"/>
          <w:szCs w:val="22"/>
          <w:u w:val="single"/>
        </w:rPr>
        <w:t xml:space="preserve">Fluconazol (inhibidor del </w:t>
      </w:r>
      <w:smartTag w:uri="urn:schemas-microsoft-com:office:smarttags" w:element="PersonName">
        <w:r w:rsidRPr="00C52C4C">
          <w:rPr>
            <w:sz w:val="22"/>
            <w:szCs w:val="22"/>
            <w:u w:val="single"/>
          </w:rPr>
          <w:t>CY</w:t>
        </w:r>
      </w:smartTag>
      <w:r w:rsidRPr="00C52C4C">
        <w:rPr>
          <w:sz w:val="22"/>
          <w:szCs w:val="22"/>
          <w:u w:val="single"/>
        </w:rPr>
        <w:t xml:space="preserve">P2C9, </w:t>
      </w:r>
      <w:smartTag w:uri="urn:schemas-microsoft-com:office:smarttags" w:element="PersonName">
        <w:r w:rsidRPr="00C52C4C">
          <w:rPr>
            <w:sz w:val="22"/>
            <w:szCs w:val="22"/>
            <w:u w:val="single"/>
          </w:rPr>
          <w:t>CY</w:t>
        </w:r>
      </w:smartTag>
      <w:r w:rsidRPr="00C52C4C">
        <w:rPr>
          <w:sz w:val="22"/>
          <w:szCs w:val="22"/>
          <w:u w:val="single"/>
        </w:rPr>
        <w:t xml:space="preserve">P2C19 y </w:t>
      </w:r>
      <w:smartTag w:uri="urn:schemas-microsoft-com:office:smarttags" w:element="PersonName">
        <w:r w:rsidRPr="00C52C4C">
          <w:rPr>
            <w:sz w:val="22"/>
            <w:szCs w:val="22"/>
            <w:u w:val="single"/>
          </w:rPr>
          <w:t>CY</w:t>
        </w:r>
      </w:smartTag>
      <w:r w:rsidRPr="00C52C4C">
        <w:rPr>
          <w:sz w:val="22"/>
          <w:szCs w:val="22"/>
          <w:u w:val="single"/>
        </w:rPr>
        <w:t>P3A4)</w:t>
      </w:r>
    </w:p>
    <w:p w14:paraId="12C9931A" w14:textId="77777777" w:rsidR="00D061AA" w:rsidRPr="00C52C4C" w:rsidRDefault="00D061AA" w:rsidP="00D061AA">
      <w:pPr>
        <w:tabs>
          <w:tab w:val="left" w:pos="567"/>
        </w:tabs>
        <w:rPr>
          <w:sz w:val="22"/>
          <w:szCs w:val="22"/>
        </w:rPr>
      </w:pPr>
      <w:r w:rsidRPr="00C52C4C">
        <w:rPr>
          <w:sz w:val="22"/>
          <w:szCs w:val="22"/>
        </w:rPr>
        <w:t xml:space="preserve">La administración concomitante de voriconazol oral y fluconazol oral puede resultar en un incremento significativo de </w:t>
      </w:r>
      <w:smartTag w:uri="urn:schemas-microsoft-com:office:smarttags" w:element="PersonName">
        <w:smartTagPr>
          <w:attr w:name="ProductID" w:val="la Cmax"/>
        </w:smartTagPr>
        <w:r w:rsidRPr="00C52C4C">
          <w:rPr>
            <w:sz w:val="22"/>
            <w:szCs w:val="22"/>
          </w:rPr>
          <w:t>la Cmax</w:t>
        </w:r>
      </w:smartTag>
      <w:r w:rsidRPr="00C52C4C">
        <w:rPr>
          <w:sz w:val="22"/>
          <w:szCs w:val="22"/>
        </w:rPr>
        <w:t xml:space="preserve"> y del AUC</w:t>
      </w:r>
      <w:r w:rsidRPr="00C52C4C">
        <w:rPr>
          <w:rFonts w:eastAsia="SymbolMT"/>
          <w:sz w:val="22"/>
          <w:szCs w:val="22"/>
        </w:rPr>
        <w:t>τ de voriconazol en sujetos sanos. No se ha establecido qué reducción de dosis y/o frecuencia de voriconazol y fluconazol podría eliminar este efecto. Se recomienda monitorizar las reacciones adversas asociadas a voriconazol cuando se administra voriconazol secuencialmente tras la administración de fluconazol (ver sección 4.5).</w:t>
      </w:r>
    </w:p>
    <w:p w14:paraId="5A1CF847" w14:textId="77777777" w:rsidR="00D061AA" w:rsidRPr="00C52C4C" w:rsidRDefault="00D061AA" w:rsidP="00D061AA">
      <w:pPr>
        <w:tabs>
          <w:tab w:val="left" w:pos="567"/>
        </w:tabs>
        <w:rPr>
          <w:sz w:val="22"/>
          <w:szCs w:val="22"/>
        </w:rPr>
      </w:pPr>
    </w:p>
    <w:p w14:paraId="246D9F99" w14:textId="77777777" w:rsidR="00D061AA" w:rsidRDefault="00D061AA" w:rsidP="00D061AA">
      <w:pPr>
        <w:tabs>
          <w:tab w:val="left" w:pos="567"/>
        </w:tabs>
        <w:rPr>
          <w:sz w:val="22"/>
          <w:szCs w:val="22"/>
          <w:lang w:val="es-ES_tradnl"/>
        </w:rPr>
      </w:pPr>
      <w:r w:rsidRPr="00C52C4C">
        <w:rPr>
          <w:sz w:val="22"/>
          <w:szCs w:val="22"/>
          <w:lang w:val="es-ES_tradnl"/>
        </w:rPr>
        <w:t xml:space="preserve">Los comprimidos de </w:t>
      </w:r>
      <w:r w:rsidR="008D11BB" w:rsidRPr="00C52C4C">
        <w:rPr>
          <w:sz w:val="22"/>
          <w:szCs w:val="22"/>
        </w:rPr>
        <w:t>Voriconazol</w:t>
      </w:r>
      <w:r w:rsidR="00097657" w:rsidRPr="00C52C4C">
        <w:rPr>
          <w:sz w:val="22"/>
          <w:szCs w:val="22"/>
        </w:rPr>
        <w:t xml:space="preserve"> Accord </w:t>
      </w:r>
      <w:r w:rsidRPr="00C52C4C">
        <w:rPr>
          <w:sz w:val="22"/>
          <w:szCs w:val="22"/>
          <w:lang w:val="es-ES_tradnl"/>
        </w:rPr>
        <w:t>contienen lactosa y no deben administrarse a pacientes con problemas hereditarios raros de intolerancia a galactosa, deficiencia de Lapp lactasa o malabsorción de glucosa-galactosa.</w:t>
      </w:r>
    </w:p>
    <w:p w14:paraId="1C908853" w14:textId="77777777" w:rsidR="0035052D" w:rsidRDefault="0035052D" w:rsidP="00D061AA">
      <w:pPr>
        <w:tabs>
          <w:tab w:val="left" w:pos="567"/>
        </w:tabs>
        <w:rPr>
          <w:sz w:val="22"/>
          <w:szCs w:val="22"/>
          <w:lang w:val="es-ES_tradnl"/>
        </w:rPr>
      </w:pPr>
    </w:p>
    <w:p w14:paraId="6FCAA686" w14:textId="77777777" w:rsidR="0035052D" w:rsidRDefault="0035052D" w:rsidP="00D061AA">
      <w:pPr>
        <w:tabs>
          <w:tab w:val="left" w:pos="567"/>
        </w:tabs>
        <w:rPr>
          <w:sz w:val="22"/>
          <w:szCs w:val="22"/>
          <w:u w:val="single"/>
          <w:lang w:val="es-ES_tradnl"/>
        </w:rPr>
      </w:pPr>
      <w:r>
        <w:rPr>
          <w:sz w:val="22"/>
          <w:szCs w:val="22"/>
          <w:u w:val="single"/>
          <w:lang w:val="es-ES_tradnl"/>
        </w:rPr>
        <w:t>Excipientes</w:t>
      </w:r>
    </w:p>
    <w:p w14:paraId="4C6362BB" w14:textId="77777777" w:rsidR="0035052D" w:rsidRDefault="0035052D" w:rsidP="00D061AA">
      <w:pPr>
        <w:tabs>
          <w:tab w:val="left" w:pos="567"/>
        </w:tabs>
        <w:rPr>
          <w:sz w:val="22"/>
          <w:szCs w:val="22"/>
          <w:u w:val="single"/>
          <w:lang w:val="es-ES_tradnl"/>
        </w:rPr>
      </w:pPr>
    </w:p>
    <w:p w14:paraId="1BCF8A1C" w14:textId="77777777" w:rsidR="0035052D" w:rsidRDefault="0035052D" w:rsidP="00D061AA">
      <w:pPr>
        <w:tabs>
          <w:tab w:val="left" w:pos="567"/>
        </w:tabs>
        <w:rPr>
          <w:i/>
          <w:iCs/>
          <w:sz w:val="22"/>
          <w:szCs w:val="22"/>
          <w:u w:val="single"/>
          <w:lang w:val="es-ES_tradnl"/>
        </w:rPr>
      </w:pPr>
      <w:r>
        <w:rPr>
          <w:i/>
          <w:iCs/>
          <w:sz w:val="22"/>
          <w:szCs w:val="22"/>
          <w:u w:val="single"/>
          <w:lang w:val="es-ES_tradnl"/>
        </w:rPr>
        <w:t>Lactosa</w:t>
      </w:r>
    </w:p>
    <w:p w14:paraId="03F2166A" w14:textId="77777777" w:rsidR="0035052D" w:rsidRPr="0035052D" w:rsidRDefault="0035052D" w:rsidP="0035052D">
      <w:pPr>
        <w:tabs>
          <w:tab w:val="left" w:pos="567"/>
        </w:tabs>
        <w:rPr>
          <w:sz w:val="22"/>
          <w:szCs w:val="22"/>
          <w:lang w:val="es-ES_tradnl"/>
        </w:rPr>
      </w:pPr>
      <w:r w:rsidRPr="0035052D">
        <w:rPr>
          <w:sz w:val="22"/>
          <w:szCs w:val="22"/>
          <w:lang w:val="es-ES_tradnl"/>
        </w:rPr>
        <w:t xml:space="preserve">Este medicamento contiene lactosa. Los pacientes con intolerancia hereditaria a galactosa, deficiencia </w:t>
      </w:r>
    </w:p>
    <w:p w14:paraId="7952837F" w14:textId="77777777" w:rsidR="0035052D" w:rsidRDefault="0035052D" w:rsidP="0035052D">
      <w:pPr>
        <w:tabs>
          <w:tab w:val="left" w:pos="567"/>
        </w:tabs>
        <w:rPr>
          <w:sz w:val="22"/>
          <w:szCs w:val="22"/>
          <w:lang w:val="es-ES_tradnl"/>
        </w:rPr>
      </w:pPr>
      <w:r w:rsidRPr="0035052D">
        <w:rPr>
          <w:sz w:val="22"/>
          <w:szCs w:val="22"/>
          <w:lang w:val="es-ES_tradnl"/>
        </w:rPr>
        <w:t>total de lactasa o problemas de absorción de glucosa o galactosa no deben tomar este medicamento.</w:t>
      </w:r>
    </w:p>
    <w:p w14:paraId="6D8B98AB" w14:textId="77777777" w:rsidR="0035052D" w:rsidRDefault="0035052D" w:rsidP="0035052D">
      <w:pPr>
        <w:tabs>
          <w:tab w:val="left" w:pos="567"/>
        </w:tabs>
        <w:rPr>
          <w:sz w:val="22"/>
          <w:szCs w:val="22"/>
          <w:lang w:val="es-ES_tradnl"/>
        </w:rPr>
      </w:pPr>
    </w:p>
    <w:p w14:paraId="1F6CC9F1" w14:textId="77777777" w:rsidR="0035052D" w:rsidRDefault="0035052D" w:rsidP="0035052D">
      <w:pPr>
        <w:tabs>
          <w:tab w:val="left" w:pos="567"/>
        </w:tabs>
        <w:rPr>
          <w:i/>
          <w:iCs/>
          <w:sz w:val="22"/>
          <w:szCs w:val="22"/>
          <w:u w:val="single"/>
          <w:lang w:val="es-ES_tradnl"/>
        </w:rPr>
      </w:pPr>
      <w:r>
        <w:rPr>
          <w:i/>
          <w:iCs/>
          <w:sz w:val="22"/>
          <w:szCs w:val="22"/>
          <w:u w:val="single"/>
          <w:lang w:val="es-ES_tradnl"/>
        </w:rPr>
        <w:t>Sodio</w:t>
      </w:r>
    </w:p>
    <w:p w14:paraId="2B8BD2BB" w14:textId="77777777" w:rsidR="0035052D" w:rsidRPr="0035052D" w:rsidRDefault="0035052D" w:rsidP="0035052D">
      <w:pPr>
        <w:tabs>
          <w:tab w:val="left" w:pos="567"/>
        </w:tabs>
        <w:rPr>
          <w:sz w:val="22"/>
          <w:szCs w:val="22"/>
          <w:lang w:val="es-ES_tradnl"/>
        </w:rPr>
      </w:pPr>
      <w:r w:rsidRPr="0035052D">
        <w:rPr>
          <w:sz w:val="22"/>
          <w:szCs w:val="22"/>
          <w:lang w:val="es-ES_tradnl"/>
        </w:rPr>
        <w:t xml:space="preserve">Este medicamento contiene menos de </w:t>
      </w:r>
      <w:r>
        <w:rPr>
          <w:sz w:val="22"/>
          <w:szCs w:val="22"/>
          <w:lang w:val="es-ES_tradnl"/>
        </w:rPr>
        <w:t>23 mg (</w:t>
      </w:r>
      <w:r w:rsidRPr="0035052D">
        <w:rPr>
          <w:sz w:val="22"/>
          <w:szCs w:val="22"/>
          <w:lang w:val="es-ES_tradnl"/>
        </w:rPr>
        <w:t>1 mmol de sodio</w:t>
      </w:r>
      <w:r>
        <w:rPr>
          <w:sz w:val="22"/>
          <w:szCs w:val="22"/>
          <w:lang w:val="es-ES_tradnl"/>
        </w:rPr>
        <w:t xml:space="preserve">) </w:t>
      </w:r>
      <w:r w:rsidRPr="0035052D">
        <w:rPr>
          <w:sz w:val="22"/>
          <w:szCs w:val="22"/>
          <w:lang w:val="es-ES_tradnl"/>
        </w:rPr>
        <w:t xml:space="preserve">por comprimido. Se debe informar a </w:t>
      </w:r>
    </w:p>
    <w:p w14:paraId="2E2021E8" w14:textId="77777777" w:rsidR="0035052D" w:rsidRPr="0035052D" w:rsidRDefault="0035052D" w:rsidP="0035052D">
      <w:pPr>
        <w:tabs>
          <w:tab w:val="left" w:pos="567"/>
        </w:tabs>
        <w:rPr>
          <w:sz w:val="22"/>
          <w:szCs w:val="22"/>
          <w:lang w:val="es-ES_tradnl"/>
        </w:rPr>
      </w:pPr>
      <w:r w:rsidRPr="0035052D">
        <w:rPr>
          <w:sz w:val="22"/>
          <w:szCs w:val="22"/>
          <w:lang w:val="es-ES_tradnl"/>
        </w:rPr>
        <w:t>los pacientes con dietas bajas en sodio de que este medicamento está esencialmente “exento de sodio”</w:t>
      </w:r>
    </w:p>
    <w:p w14:paraId="21C1902F" w14:textId="77777777" w:rsidR="00D061AA" w:rsidRPr="00C52C4C" w:rsidRDefault="00D061AA" w:rsidP="00D061AA">
      <w:pPr>
        <w:tabs>
          <w:tab w:val="left" w:pos="567"/>
        </w:tabs>
        <w:rPr>
          <w:sz w:val="22"/>
          <w:szCs w:val="22"/>
          <w:u w:val="single"/>
          <w:lang w:val="es-ES_tradnl"/>
        </w:rPr>
      </w:pPr>
    </w:p>
    <w:p w14:paraId="19C518D1" w14:textId="77777777" w:rsidR="00D061AA" w:rsidRPr="00C52C4C" w:rsidRDefault="00D061AA" w:rsidP="00D061AA">
      <w:pPr>
        <w:tabs>
          <w:tab w:val="left" w:pos="567"/>
        </w:tabs>
        <w:rPr>
          <w:b/>
          <w:sz w:val="22"/>
          <w:szCs w:val="22"/>
          <w:lang w:val="es-ES_tradnl"/>
        </w:rPr>
      </w:pPr>
      <w:r w:rsidRPr="00C52C4C">
        <w:rPr>
          <w:b/>
          <w:sz w:val="22"/>
          <w:szCs w:val="22"/>
          <w:lang w:val="es-ES_tradnl"/>
        </w:rPr>
        <w:t>4.5</w:t>
      </w:r>
      <w:r w:rsidRPr="00C52C4C">
        <w:rPr>
          <w:b/>
          <w:sz w:val="22"/>
          <w:szCs w:val="22"/>
          <w:lang w:val="es-ES_tradnl"/>
        </w:rPr>
        <w:tab/>
        <w:t xml:space="preserve">Interacción con otros medicamentos y otras formas de interacción </w:t>
      </w:r>
    </w:p>
    <w:p w14:paraId="3955D72D" w14:textId="77777777" w:rsidR="00D061AA" w:rsidRPr="00C52C4C" w:rsidRDefault="00D061AA" w:rsidP="00D061AA">
      <w:pPr>
        <w:tabs>
          <w:tab w:val="left" w:pos="567"/>
        </w:tabs>
        <w:jc w:val="both"/>
        <w:rPr>
          <w:sz w:val="22"/>
          <w:szCs w:val="22"/>
          <w:lang w:val="es-ES_tradnl"/>
        </w:rPr>
      </w:pPr>
    </w:p>
    <w:p w14:paraId="2D2CBD9A" w14:textId="77777777" w:rsidR="0035052D" w:rsidRPr="0035052D" w:rsidRDefault="00D061AA" w:rsidP="0035052D">
      <w:pPr>
        <w:tabs>
          <w:tab w:val="left" w:pos="567"/>
        </w:tabs>
        <w:rPr>
          <w:sz w:val="22"/>
          <w:szCs w:val="22"/>
          <w:lang w:val="es-ES_tradnl"/>
        </w:rPr>
      </w:pPr>
      <w:r w:rsidRPr="00C52C4C">
        <w:rPr>
          <w:sz w:val="22"/>
          <w:szCs w:val="22"/>
          <w:lang w:val="es-ES_tradnl"/>
        </w:rPr>
        <w:lastRenderedPageBreak/>
        <w:t xml:space="preserve">Voriconazol es metabolizado por, e inhibe, las enzimas del citocromo P450, </w:t>
      </w:r>
      <w:smartTag w:uri="urn:schemas-microsoft-com:office:smarttags" w:element="PersonName">
        <w:r w:rsidRPr="00C52C4C">
          <w:rPr>
            <w:sz w:val="22"/>
            <w:szCs w:val="22"/>
            <w:lang w:val="es-ES_tradnl"/>
          </w:rPr>
          <w:t>CY</w:t>
        </w:r>
      </w:smartTag>
      <w:r w:rsidRPr="00C52C4C">
        <w:rPr>
          <w:sz w:val="22"/>
          <w:szCs w:val="22"/>
          <w:lang w:val="es-ES_tradnl"/>
        </w:rPr>
        <w:t xml:space="preserve">P2C19, </w:t>
      </w:r>
      <w:smartTag w:uri="urn:schemas-microsoft-com:office:smarttags" w:element="PersonName">
        <w:r w:rsidRPr="00C52C4C">
          <w:rPr>
            <w:sz w:val="22"/>
            <w:szCs w:val="22"/>
            <w:lang w:val="es-ES_tradnl"/>
          </w:rPr>
          <w:t>CY</w:t>
        </w:r>
      </w:smartTag>
      <w:r w:rsidRPr="00C52C4C">
        <w:rPr>
          <w:sz w:val="22"/>
          <w:szCs w:val="22"/>
          <w:lang w:val="es-ES_tradnl"/>
        </w:rPr>
        <w:t xml:space="preserve">P2C9 y </w:t>
      </w:r>
      <w:smartTag w:uri="urn:schemas-microsoft-com:office:smarttags" w:element="PersonName">
        <w:r w:rsidRPr="00C52C4C">
          <w:rPr>
            <w:sz w:val="22"/>
            <w:szCs w:val="22"/>
            <w:lang w:val="es-ES_tradnl"/>
          </w:rPr>
          <w:t>CY</w:t>
        </w:r>
      </w:smartTag>
      <w:r w:rsidRPr="00C52C4C">
        <w:rPr>
          <w:sz w:val="22"/>
          <w:szCs w:val="22"/>
          <w:lang w:val="es-ES_tradnl"/>
        </w:rPr>
        <w:t xml:space="preserve">P3A4. Los inhibidores o inductores de estas isoenzimas pueden incrementar o reducir, respectivamente, las concentraciones plasmáticas de voriconazol, y voriconazol tiene el potencial de incrementar las concentraciones plasmáticas de sustancias que se metabolizan a través de estas isoenzimas </w:t>
      </w:r>
      <w:smartTag w:uri="urn:schemas-microsoft-com:office:smarttags" w:element="PersonName">
        <w:r w:rsidRPr="00C52C4C">
          <w:rPr>
            <w:sz w:val="22"/>
            <w:szCs w:val="22"/>
            <w:lang w:val="es-ES_tradnl"/>
          </w:rPr>
          <w:t>CY</w:t>
        </w:r>
      </w:smartTag>
      <w:r w:rsidRPr="00C52C4C">
        <w:rPr>
          <w:sz w:val="22"/>
          <w:szCs w:val="22"/>
          <w:lang w:val="es-ES_tradnl"/>
        </w:rPr>
        <w:t>P450</w:t>
      </w:r>
      <w:r w:rsidR="0035052D" w:rsidRPr="0035052D">
        <w:rPr>
          <w:sz w:val="22"/>
          <w:szCs w:val="22"/>
          <w:lang w:val="es-ES_tradnl"/>
        </w:rPr>
        <w:t xml:space="preserve"> en particular para las sustancias metabolizadas por el CYP3A4 dado que </w:t>
      </w:r>
    </w:p>
    <w:p w14:paraId="28729823" w14:textId="77777777" w:rsidR="0035052D" w:rsidRPr="0035052D" w:rsidRDefault="0035052D" w:rsidP="0035052D">
      <w:pPr>
        <w:tabs>
          <w:tab w:val="left" w:pos="567"/>
        </w:tabs>
        <w:rPr>
          <w:sz w:val="22"/>
          <w:szCs w:val="22"/>
          <w:lang w:val="es-ES_tradnl"/>
        </w:rPr>
      </w:pPr>
      <w:r w:rsidRPr="0035052D">
        <w:rPr>
          <w:sz w:val="22"/>
          <w:szCs w:val="22"/>
          <w:lang w:val="es-ES_tradnl"/>
        </w:rPr>
        <w:t xml:space="preserve">voriconazol es un inhibidor potente del CYP3A4 aunque el incremento en el AUC es dependiente del </w:t>
      </w:r>
    </w:p>
    <w:p w14:paraId="4F432C5D" w14:textId="77777777" w:rsidR="00D061AA" w:rsidRPr="00C52C4C" w:rsidRDefault="0035052D" w:rsidP="0035052D">
      <w:pPr>
        <w:tabs>
          <w:tab w:val="left" w:pos="567"/>
        </w:tabs>
        <w:rPr>
          <w:sz w:val="22"/>
          <w:szCs w:val="22"/>
          <w:lang w:val="es-ES_tradnl"/>
        </w:rPr>
      </w:pPr>
      <w:r w:rsidRPr="0035052D">
        <w:rPr>
          <w:sz w:val="22"/>
          <w:szCs w:val="22"/>
          <w:lang w:val="es-ES_tradnl"/>
        </w:rPr>
        <w:t>sustrato (ver Tabla de interacciones)</w:t>
      </w:r>
      <w:r w:rsidR="00D061AA" w:rsidRPr="00C52C4C">
        <w:rPr>
          <w:sz w:val="22"/>
          <w:szCs w:val="22"/>
          <w:lang w:val="es-ES_tradnl"/>
        </w:rPr>
        <w:t>.</w:t>
      </w:r>
    </w:p>
    <w:p w14:paraId="5F09C7B8" w14:textId="77777777" w:rsidR="00D061AA" w:rsidRPr="00C52C4C" w:rsidRDefault="00D061AA" w:rsidP="00D061AA">
      <w:pPr>
        <w:tabs>
          <w:tab w:val="left" w:pos="567"/>
        </w:tabs>
        <w:rPr>
          <w:sz w:val="22"/>
          <w:szCs w:val="22"/>
          <w:lang w:val="es-ES_tradnl"/>
        </w:rPr>
      </w:pPr>
      <w:r w:rsidRPr="00C52C4C">
        <w:rPr>
          <w:sz w:val="22"/>
          <w:szCs w:val="22"/>
          <w:lang w:val="es-ES_tradnl"/>
        </w:rPr>
        <w:t>A menos que se indique otra cosa, los estudios de interacción han sido realizados en adultos varones sanos utilizando dosis múltiples hasta alcanzar el estado estacionario, con 200 mg de voriconazol por vía oral dos veces al día (BID). Estos resultados son relevantes para otras poblaciones y vías de administración.</w:t>
      </w:r>
    </w:p>
    <w:p w14:paraId="153FD92E" w14:textId="77777777" w:rsidR="00D061AA" w:rsidRPr="00C52C4C" w:rsidRDefault="00D061AA" w:rsidP="00D061AA">
      <w:pPr>
        <w:tabs>
          <w:tab w:val="left" w:pos="567"/>
        </w:tabs>
        <w:rPr>
          <w:sz w:val="22"/>
          <w:szCs w:val="22"/>
          <w:lang w:val="es-ES_tradnl"/>
        </w:rPr>
      </w:pPr>
    </w:p>
    <w:p w14:paraId="4D7B6C70" w14:textId="77777777" w:rsidR="00D061AA" w:rsidRPr="00C52C4C" w:rsidRDefault="00D061AA" w:rsidP="00D061AA">
      <w:pPr>
        <w:tabs>
          <w:tab w:val="left" w:pos="567"/>
        </w:tabs>
        <w:rPr>
          <w:sz w:val="22"/>
          <w:szCs w:val="22"/>
          <w:lang w:val="es-ES_tradnl"/>
        </w:rPr>
      </w:pPr>
      <w:r w:rsidRPr="00C52C4C">
        <w:rPr>
          <w:sz w:val="22"/>
          <w:szCs w:val="22"/>
          <w:lang w:val="es-ES_tradnl"/>
        </w:rPr>
        <w:t>Voriconazol debe administrarse con precaución en pacientes con medicación concomitante que se sabe que prolonga el intervalo QT</w:t>
      </w:r>
      <w:r w:rsidR="00270DDF" w:rsidRPr="00C52C4C">
        <w:rPr>
          <w:sz w:val="22"/>
          <w:szCs w:val="22"/>
          <w:lang w:val="es-ES_tradnl"/>
        </w:rPr>
        <w:t>c</w:t>
      </w:r>
      <w:r w:rsidRPr="00C52C4C">
        <w:rPr>
          <w:sz w:val="22"/>
          <w:szCs w:val="22"/>
          <w:lang w:val="es-ES_tradnl"/>
        </w:rPr>
        <w:t xml:space="preserve">. Cuando además existe la posibilidad de que voriconazol incremente las concentraciones plasmáticas de sustancias metabolizadas por las isoenzimas </w:t>
      </w:r>
      <w:smartTag w:uri="urn:schemas-microsoft-com:office:smarttags" w:element="PersonName">
        <w:r w:rsidRPr="00C52C4C">
          <w:rPr>
            <w:sz w:val="22"/>
            <w:szCs w:val="22"/>
            <w:lang w:val="es-ES_tradnl"/>
          </w:rPr>
          <w:t>CY</w:t>
        </w:r>
      </w:smartTag>
      <w:r w:rsidRPr="00C52C4C">
        <w:rPr>
          <w:sz w:val="22"/>
          <w:szCs w:val="22"/>
          <w:lang w:val="es-ES_tradnl"/>
        </w:rPr>
        <w:t>P3A4 (ciertos antihistamínicos, quinidina, cisaprida, pimozida</w:t>
      </w:r>
      <w:r w:rsidR="0049606F">
        <w:rPr>
          <w:sz w:val="22"/>
          <w:szCs w:val="22"/>
          <w:lang w:val="es-ES_tradnl"/>
        </w:rPr>
        <w:t xml:space="preserve"> e ivabradina</w:t>
      </w:r>
      <w:r w:rsidRPr="00C52C4C">
        <w:rPr>
          <w:sz w:val="22"/>
          <w:szCs w:val="22"/>
          <w:lang w:val="es-ES_tradnl"/>
        </w:rPr>
        <w:t>), está contraindicada la administración concomitante (ver a continuación y la sección 4.3).</w:t>
      </w:r>
    </w:p>
    <w:p w14:paraId="12FBDD68" w14:textId="77777777" w:rsidR="00D061AA" w:rsidRPr="00C52C4C" w:rsidRDefault="00D061AA" w:rsidP="00D061AA">
      <w:pPr>
        <w:tabs>
          <w:tab w:val="left" w:pos="567"/>
        </w:tabs>
        <w:jc w:val="both"/>
        <w:rPr>
          <w:sz w:val="22"/>
          <w:szCs w:val="22"/>
          <w:lang w:val="es-ES_tradnl"/>
        </w:rPr>
      </w:pPr>
    </w:p>
    <w:p w14:paraId="636994A7" w14:textId="77777777" w:rsidR="00D061AA" w:rsidRPr="00C52C4C" w:rsidRDefault="00D061AA" w:rsidP="00D061AA">
      <w:pPr>
        <w:tabs>
          <w:tab w:val="left" w:pos="567"/>
        </w:tabs>
        <w:jc w:val="both"/>
        <w:rPr>
          <w:sz w:val="22"/>
          <w:szCs w:val="22"/>
          <w:u w:val="single"/>
          <w:lang w:val="es-ES_tradnl"/>
        </w:rPr>
      </w:pPr>
      <w:r w:rsidRPr="00C52C4C">
        <w:rPr>
          <w:sz w:val="22"/>
          <w:szCs w:val="22"/>
          <w:u w:val="single"/>
          <w:lang w:val="es-ES_tradnl"/>
        </w:rPr>
        <w:t>Tabla de interacciones</w:t>
      </w:r>
    </w:p>
    <w:p w14:paraId="6478BB82" w14:textId="77777777" w:rsidR="00D061AA" w:rsidRPr="00C52C4C" w:rsidRDefault="00D061AA" w:rsidP="00D061AA">
      <w:pPr>
        <w:tabs>
          <w:tab w:val="left" w:pos="567"/>
        </w:tabs>
        <w:jc w:val="both"/>
        <w:rPr>
          <w:sz w:val="22"/>
          <w:szCs w:val="22"/>
          <w:lang w:val="es-ES_tradnl"/>
        </w:rPr>
      </w:pPr>
    </w:p>
    <w:p w14:paraId="06BE5933" w14:textId="5B2AC440" w:rsidR="00D061AA" w:rsidRPr="00C52C4C" w:rsidRDefault="00D061AA" w:rsidP="00D061AA">
      <w:pPr>
        <w:pStyle w:val="CM56"/>
        <w:spacing w:after="0"/>
        <w:ind w:right="248"/>
        <w:rPr>
          <w:color w:val="000000"/>
          <w:sz w:val="22"/>
          <w:szCs w:val="22"/>
          <w:lang w:val="es-ES"/>
        </w:rPr>
      </w:pPr>
      <w:r w:rsidRPr="00C52C4C">
        <w:rPr>
          <w:sz w:val="22"/>
          <w:szCs w:val="22"/>
          <w:lang w:val="es-ES_tradnl"/>
        </w:rPr>
        <w:t xml:space="preserve">En la siguiente tabla se enumeran las interacciones entre voriconazol y otros medicamentos (“QD” significa una vez al día, “BID” dos veces al día como, “TID” tres veces al día y “ND” no determinado). La dirección de la flecha para cada parámetro farmacocinético se basa en el intervalo de confianza del 90% de la tasa media geométrica, estando dentro </w:t>
      </w:r>
      <w:r w:rsidRPr="00C52C4C">
        <w:rPr>
          <w:color w:val="000000"/>
          <w:sz w:val="22"/>
          <w:szCs w:val="22"/>
          <w:lang w:val="es-ES"/>
        </w:rPr>
        <w:t>(↔), por debajo (↓) o por encima (↑) del rango del 80-125%. El asterisco (*) indica una interacción bidireccional. AUC</w:t>
      </w:r>
      <w:r w:rsidRPr="00C52C4C">
        <w:rPr>
          <w:color w:val="000000"/>
          <w:sz w:val="22"/>
          <w:szCs w:val="22"/>
          <w:vertAlign w:val="subscript"/>
        </w:rPr>
        <w:sym w:font="Symbol" w:char="F074"/>
      </w:r>
      <w:r w:rsidRPr="00C52C4C">
        <w:rPr>
          <w:color w:val="000000"/>
          <w:sz w:val="22"/>
          <w:szCs w:val="22"/>
          <w:lang w:val="es-ES"/>
        </w:rPr>
        <w:t>, AUC</w:t>
      </w:r>
      <w:r w:rsidRPr="00C52C4C">
        <w:rPr>
          <w:color w:val="000000"/>
          <w:sz w:val="22"/>
          <w:szCs w:val="22"/>
          <w:vertAlign w:val="subscript"/>
          <w:lang w:val="es-ES"/>
        </w:rPr>
        <w:t>t</w:t>
      </w:r>
      <w:r w:rsidRPr="00C52C4C">
        <w:rPr>
          <w:color w:val="000000"/>
          <w:sz w:val="22"/>
          <w:szCs w:val="22"/>
          <w:lang w:val="es-ES"/>
        </w:rPr>
        <w:t xml:space="preserve"> </w:t>
      </w:r>
      <w:r w:rsidR="00F87819">
        <w:rPr>
          <w:color w:val="000000"/>
          <w:sz w:val="22"/>
          <w:szCs w:val="22"/>
          <w:lang w:val="es-ES"/>
        </w:rPr>
        <w:t>y</w:t>
      </w:r>
      <w:r w:rsidR="00F87819" w:rsidRPr="00C52C4C">
        <w:rPr>
          <w:color w:val="000000"/>
          <w:sz w:val="22"/>
          <w:szCs w:val="22"/>
          <w:lang w:val="es-ES"/>
        </w:rPr>
        <w:t xml:space="preserve"> </w:t>
      </w:r>
      <w:r w:rsidRPr="00C52C4C">
        <w:rPr>
          <w:color w:val="000000"/>
          <w:sz w:val="22"/>
          <w:szCs w:val="22"/>
          <w:lang w:val="es-ES"/>
        </w:rPr>
        <w:t>AUC</w:t>
      </w:r>
      <w:r w:rsidRPr="00C52C4C">
        <w:rPr>
          <w:color w:val="000000"/>
          <w:sz w:val="22"/>
          <w:szCs w:val="22"/>
          <w:vertAlign w:val="subscript"/>
          <w:lang w:val="es-ES"/>
        </w:rPr>
        <w:t>0-</w:t>
      </w:r>
      <w:r w:rsidRPr="00C52C4C">
        <w:rPr>
          <w:color w:val="000000"/>
          <w:sz w:val="22"/>
          <w:szCs w:val="22"/>
          <w:vertAlign w:val="subscript"/>
        </w:rPr>
        <w:sym w:font="Symbol" w:char="F0A5"/>
      </w:r>
      <w:r w:rsidRPr="00C52C4C">
        <w:rPr>
          <w:color w:val="000000"/>
          <w:sz w:val="22"/>
          <w:szCs w:val="22"/>
          <w:lang w:val="es-ES"/>
        </w:rPr>
        <w:t xml:space="preserve"> representa el área bajo la curva sobre un intervalo de dosis, desde tiempo cero hasta el tiempo con medida detectable, y de tiempo cero hasta el infinito, respectivamente.</w:t>
      </w:r>
    </w:p>
    <w:p w14:paraId="4F70AD61" w14:textId="77777777" w:rsidR="00D061AA" w:rsidRPr="00C52C4C" w:rsidRDefault="00D061AA" w:rsidP="00D061AA">
      <w:pPr>
        <w:tabs>
          <w:tab w:val="left" w:pos="567"/>
        </w:tabs>
        <w:jc w:val="both"/>
        <w:rPr>
          <w:sz w:val="22"/>
          <w:szCs w:val="22"/>
        </w:rPr>
      </w:pPr>
    </w:p>
    <w:p w14:paraId="30B83064" w14:textId="77777777" w:rsidR="00D061AA" w:rsidRPr="00C52C4C" w:rsidRDefault="00D061AA" w:rsidP="00D061AA">
      <w:pPr>
        <w:tabs>
          <w:tab w:val="left" w:pos="567"/>
        </w:tabs>
        <w:jc w:val="both"/>
        <w:rPr>
          <w:sz w:val="22"/>
          <w:szCs w:val="22"/>
        </w:rPr>
      </w:pPr>
      <w:r w:rsidRPr="00C52C4C">
        <w:rPr>
          <w:sz w:val="22"/>
          <w:szCs w:val="22"/>
        </w:rPr>
        <w:t>Las interacciones se presentan en la tabla en el siguiente orden: contraindicaciones, aquellas que requieren ajuste de dosis y monitorización clínica y/o biológica cuidadosa, y finalmente aquellas que no representan interacciones farmacocinéticas significativas pero que pueden ser de interés clínico en este campo terapéutico.</w:t>
      </w:r>
    </w:p>
    <w:p w14:paraId="2525311D" w14:textId="77777777" w:rsidR="00D061AA" w:rsidRPr="00C52C4C" w:rsidRDefault="00D061AA" w:rsidP="00D061AA">
      <w:pPr>
        <w:pStyle w:val="Textonotaalfinal"/>
        <w:spacing w:line="260" w:lineRule="exact"/>
        <w:rPr>
          <w:szCs w:val="22"/>
          <w:lang w:val="es-ES"/>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1E0" w:firstRow="1" w:lastRow="1" w:firstColumn="1" w:lastColumn="1" w:noHBand="0" w:noVBand="0"/>
      </w:tblPr>
      <w:tblGrid>
        <w:gridCol w:w="2696"/>
        <w:gridCol w:w="3685"/>
        <w:gridCol w:w="2835"/>
      </w:tblGrid>
      <w:tr w:rsidR="00D061AA" w:rsidRPr="00C52C4C" w14:paraId="0F517E1E" w14:textId="77777777" w:rsidTr="00AC5BF4">
        <w:trPr>
          <w:jc w:val="center"/>
        </w:trPr>
        <w:tc>
          <w:tcPr>
            <w:tcW w:w="2696" w:type="dxa"/>
            <w:vAlign w:val="center"/>
          </w:tcPr>
          <w:p w14:paraId="1ED9F5A3" w14:textId="77777777" w:rsidR="00D061AA" w:rsidRPr="00C52C4C" w:rsidRDefault="00D061AA" w:rsidP="00EE4A64">
            <w:pPr>
              <w:pStyle w:val="TableText"/>
              <w:keepNext/>
              <w:overflowPunct w:val="0"/>
              <w:autoSpaceDE w:val="0"/>
              <w:autoSpaceDN w:val="0"/>
              <w:adjustRightInd w:val="0"/>
              <w:textAlignment w:val="baseline"/>
              <w:rPr>
                <w:rFonts w:cs="Times New Roman"/>
                <w:b/>
                <w:sz w:val="22"/>
                <w:szCs w:val="22"/>
              </w:rPr>
            </w:pPr>
            <w:r w:rsidRPr="00C52C4C">
              <w:rPr>
                <w:rFonts w:cs="Times New Roman"/>
                <w:sz w:val="22"/>
                <w:szCs w:val="22"/>
                <w:lang w:val="es-ES_tradnl"/>
              </w:rPr>
              <w:br w:type="page"/>
            </w:r>
            <w:r w:rsidRPr="00C52C4C">
              <w:rPr>
                <w:rFonts w:cs="Times New Roman"/>
                <w:b/>
                <w:sz w:val="22"/>
                <w:szCs w:val="22"/>
              </w:rPr>
              <w:t>Medicamento</w:t>
            </w:r>
            <w:r w:rsidRPr="00C52C4C">
              <w:rPr>
                <w:rFonts w:cs="Times New Roman"/>
                <w:b/>
                <w:sz w:val="22"/>
                <w:szCs w:val="22"/>
              </w:rPr>
              <w:br/>
            </w:r>
            <w:r w:rsidRPr="00C52C4C">
              <w:rPr>
                <w:rFonts w:cs="Times New Roman"/>
                <w:b/>
                <w:i/>
                <w:sz w:val="22"/>
                <w:szCs w:val="22"/>
              </w:rPr>
              <w:t xml:space="preserve">[Mecanismo de </w:t>
            </w:r>
            <w:r w:rsidR="00270DDF" w:rsidRPr="00C52C4C">
              <w:rPr>
                <w:rFonts w:cs="Times New Roman"/>
                <w:b/>
                <w:i/>
                <w:sz w:val="22"/>
                <w:szCs w:val="22"/>
              </w:rPr>
              <w:t>i</w:t>
            </w:r>
            <w:r w:rsidRPr="00C52C4C">
              <w:rPr>
                <w:rFonts w:cs="Times New Roman"/>
                <w:b/>
                <w:i/>
                <w:sz w:val="22"/>
                <w:szCs w:val="22"/>
              </w:rPr>
              <w:t>nteracción]</w:t>
            </w:r>
          </w:p>
        </w:tc>
        <w:tc>
          <w:tcPr>
            <w:tcW w:w="3685" w:type="dxa"/>
            <w:vAlign w:val="center"/>
          </w:tcPr>
          <w:p w14:paraId="2AB1285C" w14:textId="77777777" w:rsidR="00D061AA" w:rsidRPr="00C52C4C" w:rsidRDefault="00D061AA" w:rsidP="00EE4A64">
            <w:pPr>
              <w:pStyle w:val="TableText"/>
              <w:keepNext/>
              <w:overflowPunct w:val="0"/>
              <w:autoSpaceDE w:val="0"/>
              <w:autoSpaceDN w:val="0"/>
              <w:adjustRightInd w:val="0"/>
              <w:textAlignment w:val="baseline"/>
              <w:rPr>
                <w:rFonts w:cs="Times New Roman"/>
                <w:b/>
                <w:sz w:val="22"/>
                <w:szCs w:val="22"/>
                <w:lang w:val="es-ES"/>
              </w:rPr>
            </w:pPr>
            <w:r w:rsidRPr="00C52C4C">
              <w:rPr>
                <w:rFonts w:cs="Times New Roman"/>
                <w:b/>
                <w:sz w:val="22"/>
                <w:szCs w:val="22"/>
                <w:lang w:val="es-ES"/>
              </w:rPr>
              <w:t>Interacción</w:t>
            </w:r>
            <w:r w:rsidRPr="00C52C4C">
              <w:rPr>
                <w:rFonts w:cs="Times New Roman"/>
                <w:b/>
                <w:sz w:val="22"/>
                <w:szCs w:val="22"/>
                <w:lang w:val="es-ES"/>
              </w:rPr>
              <w:br/>
              <w:t>cambios en la media Geométrica (%)</w:t>
            </w:r>
          </w:p>
        </w:tc>
        <w:tc>
          <w:tcPr>
            <w:tcW w:w="2835" w:type="dxa"/>
            <w:vAlign w:val="center"/>
          </w:tcPr>
          <w:p w14:paraId="69662976" w14:textId="77777777" w:rsidR="00D061AA" w:rsidRPr="00C52C4C" w:rsidRDefault="00D061AA" w:rsidP="00EE4A64">
            <w:pPr>
              <w:pStyle w:val="TableText"/>
              <w:keepNext/>
              <w:overflowPunct w:val="0"/>
              <w:autoSpaceDE w:val="0"/>
              <w:autoSpaceDN w:val="0"/>
              <w:adjustRightInd w:val="0"/>
              <w:textAlignment w:val="baseline"/>
              <w:rPr>
                <w:rFonts w:cs="Times New Roman"/>
                <w:b/>
                <w:sz w:val="22"/>
                <w:szCs w:val="22"/>
                <w:lang w:val="es-ES"/>
              </w:rPr>
            </w:pPr>
            <w:r w:rsidRPr="00C52C4C">
              <w:rPr>
                <w:rFonts w:cs="Times New Roman"/>
                <w:b/>
                <w:sz w:val="22"/>
                <w:szCs w:val="22"/>
                <w:lang w:val="es-ES"/>
              </w:rPr>
              <w:t>Recomendaciones relativas a la administración concomitante</w:t>
            </w:r>
          </w:p>
        </w:tc>
      </w:tr>
      <w:tr w:rsidR="00D061AA" w:rsidRPr="00C52C4C" w14:paraId="31CFB163" w14:textId="77777777" w:rsidTr="00AC5BF4">
        <w:trPr>
          <w:jc w:val="center"/>
        </w:trPr>
        <w:tc>
          <w:tcPr>
            <w:tcW w:w="2696" w:type="dxa"/>
            <w:vAlign w:val="center"/>
          </w:tcPr>
          <w:p w14:paraId="44600E1A" w14:textId="77777777" w:rsidR="00D061AA" w:rsidRPr="00C52C4C" w:rsidRDefault="00D061AA" w:rsidP="00EE4A64">
            <w:pPr>
              <w:pStyle w:val="TableText"/>
              <w:tabs>
                <w:tab w:val="left" w:pos="360"/>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Astemizol, cisaprida, pimozida, quinidina</w:t>
            </w:r>
            <w:r w:rsidR="0049606F">
              <w:rPr>
                <w:rFonts w:cs="Times New Roman"/>
                <w:sz w:val="22"/>
                <w:szCs w:val="22"/>
                <w:lang w:val="es-ES"/>
              </w:rPr>
              <w:t>,</w:t>
            </w:r>
            <w:r w:rsidRPr="00C52C4C">
              <w:rPr>
                <w:rFonts w:cs="Times New Roman"/>
                <w:sz w:val="22"/>
                <w:szCs w:val="22"/>
                <w:lang w:val="es-ES"/>
              </w:rPr>
              <w:t xml:space="preserve"> terfenadina</w:t>
            </w:r>
            <w:r w:rsidR="0049606F">
              <w:rPr>
                <w:rFonts w:cs="Times New Roman"/>
                <w:sz w:val="22"/>
                <w:szCs w:val="22"/>
                <w:lang w:val="es-ES"/>
              </w:rPr>
              <w:t xml:space="preserve"> e ivabradina</w:t>
            </w:r>
          </w:p>
          <w:p w14:paraId="3409E70B" w14:textId="77777777" w:rsidR="00D061AA" w:rsidRPr="00C52C4C" w:rsidRDefault="00D061AA" w:rsidP="00EE4A64">
            <w:pPr>
              <w:pStyle w:val="TableText"/>
              <w:tabs>
                <w:tab w:val="left" w:pos="360"/>
              </w:tabs>
              <w:overflowPunct w:val="0"/>
              <w:autoSpaceDE w:val="0"/>
              <w:autoSpaceDN w:val="0"/>
              <w:adjustRightInd w:val="0"/>
              <w:textAlignment w:val="baseline"/>
              <w:rPr>
                <w:rFonts w:cs="Times New Roman"/>
                <w:i/>
                <w:sz w:val="22"/>
                <w:szCs w:val="22"/>
                <w:lang w:val="es-ES_tradnl"/>
              </w:rPr>
            </w:pPr>
            <w:r w:rsidRPr="00C52C4C">
              <w:rPr>
                <w:rFonts w:cs="Times New Roman"/>
                <w:i/>
                <w:sz w:val="22"/>
                <w:szCs w:val="22"/>
                <w:lang w:val="es-ES_tradnl"/>
              </w:rPr>
              <w:t xml:space="preserve">[sustratos del </w:t>
            </w:r>
            <w:smartTag w:uri="urn:schemas-microsoft-com:office:smarttags" w:element="PersonName">
              <w:r w:rsidRPr="00C52C4C">
                <w:rPr>
                  <w:rFonts w:cs="Times New Roman"/>
                  <w:i/>
                  <w:sz w:val="22"/>
                  <w:szCs w:val="22"/>
                  <w:lang w:val="es-ES_tradnl"/>
                </w:rPr>
                <w:t>CY</w:t>
              </w:r>
            </w:smartTag>
            <w:r w:rsidRPr="00C52C4C">
              <w:rPr>
                <w:rFonts w:cs="Times New Roman"/>
                <w:i/>
                <w:sz w:val="22"/>
                <w:szCs w:val="22"/>
                <w:lang w:val="es-ES_tradnl"/>
              </w:rPr>
              <w:t>P3A4]</w:t>
            </w:r>
          </w:p>
          <w:p w14:paraId="7AF1648A" w14:textId="77777777" w:rsidR="00AC5BF4" w:rsidRPr="00C52C4C" w:rsidRDefault="00AC5BF4" w:rsidP="00EE4A64">
            <w:pPr>
              <w:pStyle w:val="TableText"/>
              <w:tabs>
                <w:tab w:val="left" w:pos="360"/>
              </w:tabs>
              <w:overflowPunct w:val="0"/>
              <w:autoSpaceDE w:val="0"/>
              <w:autoSpaceDN w:val="0"/>
              <w:adjustRightInd w:val="0"/>
              <w:textAlignment w:val="baseline"/>
              <w:rPr>
                <w:rFonts w:cs="Times New Roman"/>
                <w:i/>
                <w:sz w:val="22"/>
                <w:szCs w:val="22"/>
                <w:lang w:val="es-ES_tradnl"/>
              </w:rPr>
            </w:pPr>
          </w:p>
          <w:p w14:paraId="19AAF048" w14:textId="77777777" w:rsidR="00AC5BF4" w:rsidRPr="00C52C4C" w:rsidRDefault="00AC5BF4" w:rsidP="00EE4A64">
            <w:pPr>
              <w:pStyle w:val="TableText"/>
              <w:tabs>
                <w:tab w:val="left" w:pos="360"/>
              </w:tabs>
              <w:overflowPunct w:val="0"/>
              <w:autoSpaceDE w:val="0"/>
              <w:autoSpaceDN w:val="0"/>
              <w:adjustRightInd w:val="0"/>
              <w:textAlignment w:val="baseline"/>
              <w:rPr>
                <w:rFonts w:cs="Times New Roman"/>
                <w:i/>
                <w:sz w:val="22"/>
                <w:szCs w:val="22"/>
                <w:lang w:val="es-ES_tradnl"/>
              </w:rPr>
            </w:pPr>
          </w:p>
          <w:p w14:paraId="4DD0AE3B" w14:textId="77777777" w:rsidR="00AC5BF4" w:rsidRPr="00C52C4C" w:rsidRDefault="00AC5BF4" w:rsidP="00EE4A64">
            <w:pPr>
              <w:pStyle w:val="TableText"/>
              <w:tabs>
                <w:tab w:val="left" w:pos="360"/>
              </w:tabs>
              <w:overflowPunct w:val="0"/>
              <w:autoSpaceDE w:val="0"/>
              <w:autoSpaceDN w:val="0"/>
              <w:adjustRightInd w:val="0"/>
              <w:textAlignment w:val="baseline"/>
              <w:rPr>
                <w:rFonts w:cs="Times New Roman"/>
                <w:sz w:val="22"/>
                <w:szCs w:val="22"/>
                <w:lang w:val="es-ES_tradnl"/>
              </w:rPr>
            </w:pPr>
          </w:p>
        </w:tc>
        <w:tc>
          <w:tcPr>
            <w:tcW w:w="3685" w:type="dxa"/>
            <w:vAlign w:val="center"/>
          </w:tcPr>
          <w:p w14:paraId="59B8F07D"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Aunque no se ha estudiado, el incremento de las concentraciones plasmáticas de estos medicamentos puede producir prolongación del intervalo QTc y casos raros de torsades de pointes.</w:t>
            </w:r>
          </w:p>
        </w:tc>
        <w:tc>
          <w:tcPr>
            <w:tcW w:w="2835" w:type="dxa"/>
            <w:vAlign w:val="center"/>
          </w:tcPr>
          <w:p w14:paraId="26EECA32"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rPr>
            </w:pPr>
            <w:r w:rsidRPr="00C52C4C">
              <w:rPr>
                <w:rFonts w:cs="Times New Roman"/>
                <w:b/>
                <w:sz w:val="22"/>
                <w:szCs w:val="22"/>
              </w:rPr>
              <w:t>Contraindicado</w:t>
            </w:r>
            <w:r w:rsidRPr="00C52C4C">
              <w:rPr>
                <w:rFonts w:cs="Times New Roman"/>
                <w:sz w:val="22"/>
                <w:szCs w:val="22"/>
              </w:rPr>
              <w:t xml:space="preserve"> (ver sección 4.3)</w:t>
            </w:r>
          </w:p>
        </w:tc>
      </w:tr>
      <w:tr w:rsidR="00D061AA" w:rsidRPr="00C52C4C" w14:paraId="2F01D5B1" w14:textId="77777777" w:rsidTr="00F65F25">
        <w:trPr>
          <w:cantSplit/>
          <w:jc w:val="center"/>
        </w:trPr>
        <w:tc>
          <w:tcPr>
            <w:tcW w:w="2696" w:type="dxa"/>
            <w:vAlign w:val="center"/>
          </w:tcPr>
          <w:p w14:paraId="07D4F8E9" w14:textId="12B7AC49" w:rsidR="00D061AA" w:rsidRPr="00C52C4C" w:rsidRDefault="00D061AA" w:rsidP="00EE4A64">
            <w:pPr>
              <w:pStyle w:val="TableText"/>
              <w:tabs>
                <w:tab w:val="left" w:pos="360"/>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Carbamazepina y barbitúricos de acción prolongada (</w:t>
            </w:r>
            <w:r w:rsidR="00D9439B" w:rsidRPr="00E31D66">
              <w:rPr>
                <w:color w:val="000000"/>
                <w:sz w:val="22"/>
                <w:szCs w:val="22"/>
                <w:lang w:val="es-ES"/>
              </w:rPr>
              <w:t xml:space="preserve"> que incluyen, entre otros</w:t>
            </w:r>
            <w:r w:rsidR="00D9439B">
              <w:rPr>
                <w:color w:val="000000"/>
                <w:sz w:val="22"/>
                <w:szCs w:val="22"/>
                <w:lang w:val="es-ES"/>
              </w:rPr>
              <w:t>:</w:t>
            </w:r>
            <w:r w:rsidRPr="00C52C4C">
              <w:rPr>
                <w:rFonts w:cs="Times New Roman"/>
                <w:sz w:val="22"/>
                <w:szCs w:val="22"/>
                <w:lang w:val="es-ES"/>
              </w:rPr>
              <w:t xml:space="preserve"> fenobarbital, mefobarbital) </w:t>
            </w:r>
          </w:p>
          <w:p w14:paraId="105DC33C" w14:textId="2B59289D" w:rsidR="00D061AA" w:rsidRPr="00C52C4C" w:rsidRDefault="00D061AA" w:rsidP="00EE4A64">
            <w:pPr>
              <w:pStyle w:val="TableText"/>
              <w:tabs>
                <w:tab w:val="left" w:pos="360"/>
              </w:tabs>
              <w:overflowPunct w:val="0"/>
              <w:autoSpaceDE w:val="0"/>
              <w:autoSpaceDN w:val="0"/>
              <w:adjustRightInd w:val="0"/>
              <w:textAlignment w:val="baseline"/>
              <w:rPr>
                <w:rFonts w:cs="Times New Roman"/>
                <w:sz w:val="22"/>
                <w:szCs w:val="22"/>
                <w:lang w:val="it-IT"/>
              </w:rPr>
            </w:pPr>
            <w:r w:rsidRPr="00C52C4C">
              <w:rPr>
                <w:rFonts w:cs="Times New Roman"/>
                <w:i/>
                <w:sz w:val="22"/>
                <w:szCs w:val="22"/>
                <w:lang w:val="es-ES"/>
              </w:rPr>
              <w:t xml:space="preserve">[inductores potentes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P450]</w:t>
            </w:r>
          </w:p>
        </w:tc>
        <w:tc>
          <w:tcPr>
            <w:tcW w:w="3685" w:type="dxa"/>
            <w:vAlign w:val="center"/>
          </w:tcPr>
          <w:p w14:paraId="78179E4C"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Aunque no se ha estudiado,  es probable que carbamazepina y los barbitúricos de acción prolongada reduzcan de forma significativa las concentraciones plasmáticas de voriconazol.</w:t>
            </w:r>
          </w:p>
        </w:tc>
        <w:tc>
          <w:tcPr>
            <w:tcW w:w="2835" w:type="dxa"/>
            <w:vAlign w:val="center"/>
          </w:tcPr>
          <w:p w14:paraId="3D20D115" w14:textId="77777777" w:rsidR="00D061AA" w:rsidRPr="00C52C4C" w:rsidRDefault="00D061AA" w:rsidP="00EE4A64">
            <w:pPr>
              <w:pStyle w:val="TableText"/>
              <w:overflowPunct w:val="0"/>
              <w:autoSpaceDE w:val="0"/>
              <w:autoSpaceDN w:val="0"/>
              <w:adjustRightInd w:val="0"/>
              <w:textAlignment w:val="baseline"/>
              <w:rPr>
                <w:rFonts w:cs="Times New Roman"/>
                <w:b/>
                <w:sz w:val="22"/>
                <w:szCs w:val="22"/>
              </w:rPr>
            </w:pPr>
            <w:r w:rsidRPr="00C52C4C">
              <w:rPr>
                <w:rFonts w:cs="Times New Roman"/>
                <w:b/>
                <w:sz w:val="22"/>
                <w:szCs w:val="22"/>
              </w:rPr>
              <w:t>Contraindicado</w:t>
            </w:r>
            <w:r w:rsidRPr="00C52C4C" w:rsidDel="00D940F8">
              <w:rPr>
                <w:rFonts w:cs="Times New Roman"/>
                <w:sz w:val="22"/>
                <w:szCs w:val="22"/>
              </w:rPr>
              <w:t xml:space="preserve"> </w:t>
            </w:r>
            <w:r w:rsidRPr="00C52C4C">
              <w:rPr>
                <w:rFonts w:cs="Times New Roman"/>
                <w:sz w:val="22"/>
                <w:szCs w:val="22"/>
              </w:rPr>
              <w:t>(ver sección 4.3)</w:t>
            </w:r>
          </w:p>
        </w:tc>
      </w:tr>
      <w:tr w:rsidR="00344F86" w:rsidRPr="00C52C4C" w14:paraId="3937C5A9" w14:textId="77777777" w:rsidTr="00F65F25">
        <w:trPr>
          <w:cantSplit/>
          <w:trHeight w:val="4952"/>
          <w:jc w:val="center"/>
        </w:trPr>
        <w:tc>
          <w:tcPr>
            <w:tcW w:w="2696" w:type="dxa"/>
          </w:tcPr>
          <w:p w14:paraId="746FB094" w14:textId="77777777" w:rsidR="00344F86" w:rsidRPr="00C52C4C" w:rsidRDefault="00344F86" w:rsidP="00EE4A64">
            <w:pPr>
              <w:pStyle w:val="TableText"/>
              <w:tabs>
                <w:tab w:val="left" w:pos="360"/>
              </w:tabs>
              <w:overflowPunct w:val="0"/>
              <w:autoSpaceDE w:val="0"/>
              <w:autoSpaceDN w:val="0"/>
              <w:adjustRightInd w:val="0"/>
              <w:textAlignment w:val="baseline"/>
              <w:rPr>
                <w:rFonts w:cs="Times New Roman"/>
                <w:i/>
                <w:sz w:val="22"/>
                <w:szCs w:val="22"/>
                <w:lang w:val="es-ES"/>
              </w:rPr>
            </w:pPr>
            <w:r w:rsidRPr="00C52C4C">
              <w:rPr>
                <w:rFonts w:cs="Times New Roman"/>
                <w:sz w:val="22"/>
                <w:szCs w:val="22"/>
                <w:lang w:val="es-ES"/>
              </w:rPr>
              <w:lastRenderedPageBreak/>
              <w:t xml:space="preserve">Efavirenz (un inhibidor no nucleósido de la transcriptasa inversa) </w:t>
            </w:r>
            <w:r w:rsidRPr="00C52C4C">
              <w:rPr>
                <w:rFonts w:cs="Times New Roman"/>
                <w:i/>
                <w:sz w:val="22"/>
                <w:szCs w:val="22"/>
                <w:lang w:val="es-ES"/>
              </w:rPr>
              <w:t xml:space="preserve">[inductor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 xml:space="preserve">P450 ; inhibidor y sustrato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P3A4]</w:t>
            </w:r>
          </w:p>
          <w:p w14:paraId="7BD61054" w14:textId="77777777" w:rsidR="00344F86" w:rsidRPr="00C52C4C" w:rsidRDefault="00344F86" w:rsidP="00EE4A64">
            <w:pPr>
              <w:pStyle w:val="TableText"/>
              <w:tabs>
                <w:tab w:val="left" w:pos="360"/>
              </w:tabs>
              <w:overflowPunct w:val="0"/>
              <w:autoSpaceDE w:val="0"/>
              <w:autoSpaceDN w:val="0"/>
              <w:adjustRightInd w:val="0"/>
              <w:textAlignment w:val="baseline"/>
              <w:rPr>
                <w:rFonts w:cs="Times New Roman"/>
                <w:i/>
                <w:sz w:val="22"/>
                <w:szCs w:val="22"/>
                <w:lang w:val="es-ES"/>
              </w:rPr>
            </w:pPr>
          </w:p>
          <w:p w14:paraId="5E3D5C60" w14:textId="77777777" w:rsidR="00344F86" w:rsidRDefault="00344F86" w:rsidP="00270DDF">
            <w:pPr>
              <w:pStyle w:val="TableText"/>
              <w:overflowPunct w:val="0"/>
              <w:autoSpaceDE w:val="0"/>
              <w:autoSpaceDN w:val="0"/>
              <w:adjustRightInd w:val="0"/>
              <w:ind w:left="144" w:right="69"/>
              <w:textAlignment w:val="baseline"/>
              <w:rPr>
                <w:rFonts w:cs="Times New Roman"/>
                <w:sz w:val="22"/>
                <w:szCs w:val="22"/>
                <w:lang w:val="it-IT"/>
              </w:rPr>
            </w:pPr>
          </w:p>
          <w:p w14:paraId="730DC46F" w14:textId="77777777" w:rsidR="00344F86" w:rsidRDefault="00344F86" w:rsidP="00270DDF">
            <w:pPr>
              <w:pStyle w:val="TableText"/>
              <w:overflowPunct w:val="0"/>
              <w:autoSpaceDE w:val="0"/>
              <w:autoSpaceDN w:val="0"/>
              <w:adjustRightInd w:val="0"/>
              <w:ind w:left="144" w:right="69"/>
              <w:textAlignment w:val="baseline"/>
              <w:rPr>
                <w:rFonts w:cs="Times New Roman"/>
                <w:sz w:val="22"/>
                <w:szCs w:val="22"/>
                <w:lang w:val="it-IT"/>
              </w:rPr>
            </w:pPr>
          </w:p>
          <w:p w14:paraId="7235D64D" w14:textId="77777777" w:rsidR="00344F86" w:rsidRPr="00C52C4C" w:rsidRDefault="00344F86" w:rsidP="00270DDF">
            <w:pPr>
              <w:pStyle w:val="TableText"/>
              <w:overflowPunct w:val="0"/>
              <w:autoSpaceDE w:val="0"/>
              <w:autoSpaceDN w:val="0"/>
              <w:adjustRightInd w:val="0"/>
              <w:ind w:left="144" w:right="69"/>
              <w:textAlignment w:val="baseline"/>
              <w:rPr>
                <w:rFonts w:cs="Times New Roman"/>
                <w:sz w:val="22"/>
                <w:szCs w:val="22"/>
                <w:lang w:val="it-IT"/>
              </w:rPr>
            </w:pPr>
            <w:r w:rsidRPr="00C52C4C">
              <w:rPr>
                <w:rFonts w:cs="Times New Roman"/>
                <w:sz w:val="22"/>
                <w:szCs w:val="22"/>
                <w:lang w:val="it-IT"/>
              </w:rPr>
              <w:t>Efavirenz (400 mg QD administrado concomitantemente con voriconazol 200 mg _BID</w:t>
            </w:r>
          </w:p>
          <w:p w14:paraId="166B2B1B" w14:textId="77777777" w:rsidR="00344F86" w:rsidRPr="00C52C4C" w:rsidRDefault="00344F86" w:rsidP="00270DDF">
            <w:pPr>
              <w:pStyle w:val="TableText"/>
              <w:overflowPunct w:val="0"/>
              <w:autoSpaceDE w:val="0"/>
              <w:autoSpaceDN w:val="0"/>
              <w:adjustRightInd w:val="0"/>
              <w:ind w:left="144" w:right="69"/>
              <w:textAlignment w:val="baseline"/>
              <w:rPr>
                <w:rFonts w:cs="Times New Roman"/>
                <w:sz w:val="22"/>
                <w:szCs w:val="22"/>
                <w:lang w:val="it-IT"/>
              </w:rPr>
            </w:pPr>
          </w:p>
          <w:p w14:paraId="28616A46" w14:textId="77777777" w:rsidR="00526830" w:rsidRDefault="00526830" w:rsidP="00F65F25">
            <w:pPr>
              <w:pStyle w:val="TableText"/>
              <w:overflowPunct w:val="0"/>
              <w:autoSpaceDE w:val="0"/>
              <w:autoSpaceDN w:val="0"/>
              <w:adjustRightInd w:val="0"/>
              <w:ind w:left="144" w:right="69"/>
              <w:textAlignment w:val="baseline"/>
              <w:rPr>
                <w:rFonts w:cs="Times New Roman"/>
                <w:sz w:val="22"/>
                <w:szCs w:val="22"/>
                <w:lang w:val="it-IT"/>
              </w:rPr>
            </w:pPr>
          </w:p>
          <w:p w14:paraId="3C36D380" w14:textId="77777777" w:rsidR="00526830" w:rsidRDefault="00526830" w:rsidP="00F65F25">
            <w:pPr>
              <w:pStyle w:val="TableText"/>
              <w:overflowPunct w:val="0"/>
              <w:autoSpaceDE w:val="0"/>
              <w:autoSpaceDN w:val="0"/>
              <w:adjustRightInd w:val="0"/>
              <w:ind w:left="144" w:right="69"/>
              <w:textAlignment w:val="baseline"/>
              <w:rPr>
                <w:rFonts w:cs="Times New Roman"/>
                <w:sz w:val="22"/>
                <w:szCs w:val="22"/>
                <w:lang w:val="it-IT"/>
              </w:rPr>
            </w:pPr>
          </w:p>
          <w:p w14:paraId="1E5CA7B3" w14:textId="77777777" w:rsidR="00526830" w:rsidRDefault="00526830" w:rsidP="00F65F25">
            <w:pPr>
              <w:pStyle w:val="TableText"/>
              <w:overflowPunct w:val="0"/>
              <w:autoSpaceDE w:val="0"/>
              <w:autoSpaceDN w:val="0"/>
              <w:adjustRightInd w:val="0"/>
              <w:ind w:left="144" w:right="69"/>
              <w:textAlignment w:val="baseline"/>
              <w:rPr>
                <w:rFonts w:cs="Times New Roman"/>
                <w:sz w:val="22"/>
                <w:szCs w:val="22"/>
                <w:lang w:val="it-IT"/>
              </w:rPr>
            </w:pPr>
          </w:p>
          <w:p w14:paraId="639A3B77" w14:textId="77777777" w:rsidR="00344F86" w:rsidRPr="00C52C4C" w:rsidRDefault="00344F86" w:rsidP="00F65F25">
            <w:pPr>
              <w:pStyle w:val="TableText"/>
              <w:overflowPunct w:val="0"/>
              <w:autoSpaceDE w:val="0"/>
              <w:autoSpaceDN w:val="0"/>
              <w:adjustRightInd w:val="0"/>
              <w:ind w:left="144" w:right="69"/>
              <w:textAlignment w:val="baseline"/>
              <w:rPr>
                <w:rFonts w:cs="Times New Roman"/>
                <w:sz w:val="22"/>
                <w:szCs w:val="22"/>
                <w:lang w:val="it-IT"/>
              </w:rPr>
            </w:pPr>
            <w:r w:rsidRPr="00C52C4C">
              <w:rPr>
                <w:rFonts w:cs="Times New Roman"/>
                <w:sz w:val="22"/>
                <w:szCs w:val="22"/>
                <w:lang w:val="it-IT"/>
              </w:rPr>
              <w:t>Efavirenz 300 mg QD, administrado concomitantemente con voriconazol 400 mg BID</w:t>
            </w:r>
          </w:p>
        </w:tc>
        <w:tc>
          <w:tcPr>
            <w:tcW w:w="3685" w:type="dxa"/>
          </w:tcPr>
          <w:p w14:paraId="2EE84256" w14:textId="77777777" w:rsidR="00344F86" w:rsidRPr="00C52C4C" w:rsidRDefault="00344F86" w:rsidP="00270DDF">
            <w:pPr>
              <w:pStyle w:val="TableText"/>
              <w:tabs>
                <w:tab w:val="left" w:pos="216"/>
              </w:tabs>
              <w:overflowPunct w:val="0"/>
              <w:autoSpaceDE w:val="0"/>
              <w:autoSpaceDN w:val="0"/>
              <w:adjustRightInd w:val="0"/>
              <w:textAlignment w:val="baseline"/>
              <w:rPr>
                <w:rFonts w:cs="Times New Roman"/>
                <w:sz w:val="22"/>
                <w:szCs w:val="22"/>
                <w:lang w:val="it-IT"/>
              </w:rPr>
            </w:pPr>
            <w:r w:rsidRPr="00C52C4C">
              <w:rPr>
                <w:rFonts w:cs="Times New Roman"/>
                <w:sz w:val="22"/>
                <w:szCs w:val="22"/>
                <w:lang w:val="it-IT"/>
              </w:rPr>
              <w:t>C</w:t>
            </w:r>
            <w:r w:rsidRPr="00C52C4C">
              <w:rPr>
                <w:rFonts w:cs="Times New Roman"/>
                <w:sz w:val="22"/>
                <w:szCs w:val="22"/>
                <w:vertAlign w:val="subscript"/>
                <w:lang w:val="it-IT"/>
              </w:rPr>
              <w:t>max</w:t>
            </w:r>
            <w:r w:rsidRPr="00C52C4C">
              <w:rPr>
                <w:rFonts w:cs="Times New Roman"/>
                <w:sz w:val="22"/>
                <w:szCs w:val="22"/>
                <w:lang w:val="it-IT"/>
              </w:rPr>
              <w:t xml:space="preserve"> efavirenz </w:t>
            </w:r>
            <w:r w:rsidRPr="00C52C4C">
              <w:rPr>
                <w:rFonts w:cs="Times New Roman"/>
                <w:sz w:val="22"/>
                <w:szCs w:val="22"/>
              </w:rPr>
              <w:sym w:font="Symbol" w:char="00AD"/>
            </w:r>
            <w:r w:rsidRPr="00C52C4C">
              <w:rPr>
                <w:rFonts w:cs="Times New Roman"/>
                <w:sz w:val="22"/>
                <w:szCs w:val="22"/>
                <w:lang w:val="it-IT"/>
              </w:rPr>
              <w:t xml:space="preserve"> 38%</w:t>
            </w:r>
            <w:r w:rsidRPr="00C52C4C">
              <w:rPr>
                <w:rFonts w:cs="Times New Roman"/>
                <w:sz w:val="22"/>
                <w:szCs w:val="22"/>
                <w:lang w:val="it-IT"/>
              </w:rPr>
              <w:br/>
              <w:t>AUC</w:t>
            </w:r>
            <w:r w:rsidRPr="00C52C4C">
              <w:rPr>
                <w:rFonts w:cs="Times New Roman"/>
                <w:sz w:val="22"/>
                <w:szCs w:val="22"/>
              </w:rPr>
              <w:sym w:font="Symbol" w:char="0074"/>
            </w:r>
            <w:r w:rsidRPr="00C52C4C">
              <w:rPr>
                <w:rFonts w:cs="Times New Roman"/>
                <w:sz w:val="22"/>
                <w:szCs w:val="22"/>
                <w:lang w:val="it-IT"/>
              </w:rPr>
              <w:t xml:space="preserve"> efavirenz </w:t>
            </w:r>
            <w:r w:rsidRPr="00C52C4C">
              <w:rPr>
                <w:rFonts w:cs="Times New Roman"/>
                <w:sz w:val="22"/>
                <w:szCs w:val="22"/>
              </w:rPr>
              <w:sym w:font="Symbol" w:char="00AD"/>
            </w:r>
            <w:r w:rsidRPr="00C52C4C">
              <w:rPr>
                <w:rFonts w:cs="Times New Roman"/>
                <w:sz w:val="22"/>
                <w:szCs w:val="22"/>
                <w:lang w:val="it-IT"/>
              </w:rPr>
              <w:t xml:space="preserve"> 44%</w:t>
            </w:r>
          </w:p>
          <w:p w14:paraId="1F45AB9F" w14:textId="77777777" w:rsidR="00344F86" w:rsidRDefault="00344F86" w:rsidP="00EE4A64">
            <w:pPr>
              <w:pStyle w:val="TableText"/>
              <w:tabs>
                <w:tab w:val="left" w:pos="216"/>
              </w:tabs>
              <w:overflowPunct w:val="0"/>
              <w:autoSpaceDE w:val="0"/>
              <w:autoSpaceDN w:val="0"/>
              <w:adjustRightInd w:val="0"/>
              <w:textAlignment w:val="baseline"/>
              <w:rPr>
                <w:rFonts w:cs="Times New Roman"/>
                <w:sz w:val="22"/>
                <w:szCs w:val="22"/>
                <w:lang w:val="it-IT"/>
              </w:rPr>
            </w:pPr>
            <w:r w:rsidRPr="00C52C4C">
              <w:rPr>
                <w:rFonts w:cs="Times New Roman"/>
                <w:sz w:val="22"/>
                <w:szCs w:val="22"/>
                <w:lang w:val="it-IT"/>
              </w:rPr>
              <w:t>C</w:t>
            </w:r>
            <w:r w:rsidRPr="00C52C4C">
              <w:rPr>
                <w:rFonts w:cs="Times New Roman"/>
                <w:sz w:val="22"/>
                <w:szCs w:val="22"/>
                <w:vertAlign w:val="subscript"/>
                <w:lang w:val="it-IT"/>
              </w:rPr>
              <w:t>max</w:t>
            </w:r>
            <w:r w:rsidRPr="00C52C4C">
              <w:rPr>
                <w:rFonts w:cs="Times New Roman"/>
                <w:sz w:val="22"/>
                <w:szCs w:val="22"/>
                <w:lang w:val="it-IT"/>
              </w:rPr>
              <w:t xml:space="preserve"> voriconazol </w:t>
            </w:r>
            <w:r w:rsidRPr="00C52C4C">
              <w:rPr>
                <w:rFonts w:cs="Times New Roman"/>
                <w:sz w:val="22"/>
                <w:szCs w:val="22"/>
              </w:rPr>
              <w:sym w:font="Symbol" w:char="00AF"/>
            </w:r>
            <w:r w:rsidRPr="00C52C4C">
              <w:rPr>
                <w:rFonts w:cs="Times New Roman"/>
                <w:sz w:val="22"/>
                <w:szCs w:val="22"/>
                <w:lang w:val="it-IT"/>
              </w:rPr>
              <w:t xml:space="preserve"> 61%</w:t>
            </w:r>
            <w:r w:rsidRPr="00C52C4C">
              <w:rPr>
                <w:rFonts w:cs="Times New Roman"/>
                <w:sz w:val="22"/>
                <w:szCs w:val="22"/>
                <w:lang w:val="it-IT"/>
              </w:rPr>
              <w:br/>
              <w:t>AUC</w:t>
            </w:r>
            <w:r w:rsidRPr="00C52C4C">
              <w:rPr>
                <w:rFonts w:cs="Times New Roman"/>
                <w:sz w:val="22"/>
                <w:szCs w:val="22"/>
              </w:rPr>
              <w:sym w:font="Symbol" w:char="0074"/>
            </w:r>
            <w:r w:rsidRPr="00C52C4C">
              <w:rPr>
                <w:rFonts w:cs="Times New Roman"/>
                <w:sz w:val="22"/>
                <w:szCs w:val="22"/>
                <w:lang w:val="it-IT"/>
              </w:rPr>
              <w:t xml:space="preserve"> voriconazol </w:t>
            </w:r>
            <w:r w:rsidRPr="00C52C4C">
              <w:rPr>
                <w:rFonts w:cs="Times New Roman"/>
                <w:sz w:val="22"/>
                <w:szCs w:val="22"/>
              </w:rPr>
              <w:sym w:font="Symbol" w:char="00AF"/>
            </w:r>
            <w:r w:rsidRPr="00C52C4C">
              <w:rPr>
                <w:rFonts w:cs="Times New Roman"/>
                <w:sz w:val="22"/>
                <w:szCs w:val="22"/>
                <w:lang w:val="it-IT"/>
              </w:rPr>
              <w:t xml:space="preserve"> 77%</w:t>
            </w:r>
          </w:p>
          <w:p w14:paraId="4ED5A616" w14:textId="77777777" w:rsidR="00344F86" w:rsidRPr="00C52C4C" w:rsidRDefault="00344F86" w:rsidP="00EE4A64">
            <w:pPr>
              <w:pStyle w:val="TableText"/>
              <w:tabs>
                <w:tab w:val="left" w:pos="216"/>
              </w:tabs>
              <w:overflowPunct w:val="0"/>
              <w:autoSpaceDE w:val="0"/>
              <w:autoSpaceDN w:val="0"/>
              <w:adjustRightInd w:val="0"/>
              <w:textAlignment w:val="baseline"/>
              <w:rPr>
                <w:rFonts w:cs="Times New Roman"/>
                <w:sz w:val="22"/>
                <w:szCs w:val="22"/>
                <w:lang w:val="it-IT"/>
              </w:rPr>
            </w:pPr>
          </w:p>
          <w:p w14:paraId="75518416" w14:textId="77777777" w:rsidR="00344F86" w:rsidRPr="00C52C4C" w:rsidRDefault="00344F86" w:rsidP="00EE4A64">
            <w:pPr>
              <w:pStyle w:val="TableText"/>
              <w:tabs>
                <w:tab w:val="left" w:pos="216"/>
              </w:tabs>
              <w:overflowPunct w:val="0"/>
              <w:autoSpaceDE w:val="0"/>
              <w:autoSpaceDN w:val="0"/>
              <w:adjustRightInd w:val="0"/>
              <w:textAlignment w:val="baseline"/>
              <w:rPr>
                <w:rFonts w:cs="Times New Roman"/>
                <w:sz w:val="22"/>
                <w:szCs w:val="22"/>
                <w:lang w:val="it-IT"/>
              </w:rPr>
            </w:pPr>
          </w:p>
          <w:p w14:paraId="534547FC" w14:textId="77777777" w:rsidR="00344F86" w:rsidRPr="00824411" w:rsidRDefault="00344F86" w:rsidP="00EE4A64">
            <w:pPr>
              <w:pStyle w:val="TableText"/>
              <w:tabs>
                <w:tab w:val="left" w:pos="216"/>
                <w:tab w:val="left" w:pos="360"/>
              </w:tabs>
              <w:overflowPunct w:val="0"/>
              <w:autoSpaceDE w:val="0"/>
              <w:autoSpaceDN w:val="0"/>
              <w:adjustRightInd w:val="0"/>
              <w:textAlignment w:val="baseline"/>
              <w:rPr>
                <w:rFonts w:cs="Times New Roman"/>
                <w:sz w:val="22"/>
                <w:szCs w:val="22"/>
                <w:lang w:val="it-IT"/>
              </w:rPr>
            </w:pPr>
          </w:p>
          <w:p w14:paraId="23E78277" w14:textId="77777777" w:rsidR="00344F86" w:rsidRPr="00C52C4C" w:rsidRDefault="00344F86" w:rsidP="00EE4A64">
            <w:pPr>
              <w:pStyle w:val="TableText"/>
              <w:tabs>
                <w:tab w:val="left" w:pos="216"/>
                <w:tab w:val="left" w:pos="360"/>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Comparado con efavirenz 600 mg QD,</w:t>
            </w:r>
          </w:p>
          <w:p w14:paraId="0384C2A3" w14:textId="77777777" w:rsidR="00344F86" w:rsidRPr="00C52C4C" w:rsidRDefault="00344F86" w:rsidP="00EE4A64">
            <w:pPr>
              <w:pStyle w:val="TableText"/>
              <w:tabs>
                <w:tab w:val="left" w:pos="216"/>
                <w:tab w:val="left" w:pos="360"/>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w:t>
            </w:r>
            <w:r w:rsidRPr="00C52C4C">
              <w:rPr>
                <w:rFonts w:cs="Times New Roman"/>
                <w:sz w:val="22"/>
                <w:szCs w:val="22"/>
                <w:vertAlign w:val="subscript"/>
                <w:lang w:val="es-ES"/>
              </w:rPr>
              <w:t>max</w:t>
            </w:r>
            <w:r w:rsidRPr="00C52C4C">
              <w:rPr>
                <w:rFonts w:cs="Times New Roman"/>
                <w:sz w:val="22"/>
                <w:szCs w:val="22"/>
                <w:lang w:val="es-ES"/>
              </w:rPr>
              <w:t xml:space="preserve"> efavirenz ↔</w:t>
            </w:r>
            <w:r w:rsidRPr="00C52C4C">
              <w:rPr>
                <w:rFonts w:cs="Times New Roman"/>
                <w:sz w:val="22"/>
                <w:szCs w:val="22"/>
                <w:lang w:val="es-ES"/>
              </w:rPr>
              <w:br/>
              <w:t>AUC</w:t>
            </w:r>
            <w:r w:rsidRPr="00C52C4C">
              <w:rPr>
                <w:rFonts w:cs="Times New Roman"/>
                <w:sz w:val="22"/>
                <w:szCs w:val="22"/>
              </w:rPr>
              <w:sym w:font="Symbol" w:char="F074"/>
            </w:r>
            <w:r w:rsidRPr="00C52C4C">
              <w:rPr>
                <w:rFonts w:cs="Times New Roman"/>
                <w:sz w:val="22"/>
                <w:szCs w:val="22"/>
                <w:lang w:val="es-ES"/>
              </w:rPr>
              <w:t xml:space="preserve"> efavirenz </w:t>
            </w:r>
            <w:r w:rsidRPr="00C52C4C">
              <w:rPr>
                <w:rFonts w:cs="Times New Roman"/>
                <w:sz w:val="22"/>
                <w:szCs w:val="22"/>
              </w:rPr>
              <w:sym w:font="Symbol" w:char="F0AD"/>
            </w:r>
            <w:r w:rsidRPr="00C52C4C">
              <w:rPr>
                <w:rFonts w:cs="Times New Roman"/>
                <w:sz w:val="22"/>
                <w:szCs w:val="22"/>
                <w:lang w:val="es-ES"/>
              </w:rPr>
              <w:t xml:space="preserve"> 17%</w:t>
            </w:r>
            <w:r w:rsidRPr="00C52C4C">
              <w:rPr>
                <w:rFonts w:cs="Times New Roman"/>
                <w:sz w:val="22"/>
                <w:szCs w:val="22"/>
                <w:lang w:val="es-ES"/>
              </w:rPr>
              <w:br/>
            </w:r>
          </w:p>
          <w:p w14:paraId="172B8B8F" w14:textId="77777777" w:rsidR="00344F86" w:rsidRPr="00C52C4C" w:rsidRDefault="00344F86" w:rsidP="00EE4A64">
            <w:pPr>
              <w:pStyle w:val="TableText"/>
              <w:tabs>
                <w:tab w:val="left" w:pos="216"/>
                <w:tab w:val="left" w:pos="360"/>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Comparado con  200 mg de voriconazol BID,</w:t>
            </w:r>
          </w:p>
          <w:p w14:paraId="7C95A418" w14:textId="1677DC70" w:rsidR="00344F86" w:rsidRPr="00C52C4C" w:rsidRDefault="00344F86" w:rsidP="00EE4A64">
            <w:pPr>
              <w:pStyle w:val="TableText"/>
              <w:tabs>
                <w:tab w:val="left" w:pos="216"/>
              </w:tabs>
              <w:overflowPunct w:val="0"/>
              <w:autoSpaceDE w:val="0"/>
              <w:autoSpaceDN w:val="0"/>
              <w:adjustRightInd w:val="0"/>
              <w:textAlignment w:val="baseline"/>
              <w:rPr>
                <w:rFonts w:cs="Times New Roman"/>
                <w:sz w:val="22"/>
                <w:szCs w:val="22"/>
                <w:lang w:val="it-IT"/>
              </w:rPr>
            </w:pPr>
            <w:r w:rsidRPr="00C52C4C">
              <w:rPr>
                <w:rFonts w:cs="Times New Roman"/>
                <w:sz w:val="22"/>
                <w:szCs w:val="22"/>
                <w:lang w:val="es-ES"/>
              </w:rPr>
              <w:t>C</w:t>
            </w:r>
            <w:r w:rsidRPr="00C52C4C">
              <w:rPr>
                <w:rFonts w:cs="Times New Roman"/>
                <w:sz w:val="22"/>
                <w:szCs w:val="22"/>
                <w:vertAlign w:val="subscript"/>
                <w:lang w:val="es-ES"/>
              </w:rPr>
              <w:t>max</w:t>
            </w:r>
            <w:r w:rsidRPr="00C52C4C">
              <w:rPr>
                <w:rFonts w:cs="Times New Roman"/>
                <w:sz w:val="22"/>
                <w:szCs w:val="22"/>
                <w:lang w:val="es-ES"/>
              </w:rPr>
              <w:t xml:space="preserve"> voriconazol </w:t>
            </w:r>
            <w:r w:rsidRPr="00C52C4C">
              <w:rPr>
                <w:rFonts w:cs="Times New Roman"/>
                <w:sz w:val="22"/>
                <w:szCs w:val="22"/>
                <w:lang w:val="en-GB"/>
              </w:rPr>
              <w:sym w:font="Symbol" w:char="F0AD"/>
            </w:r>
            <w:r w:rsidRPr="00C52C4C">
              <w:rPr>
                <w:rFonts w:cs="Times New Roman"/>
                <w:sz w:val="22"/>
                <w:szCs w:val="22"/>
                <w:lang w:val="es-ES"/>
              </w:rPr>
              <w:t xml:space="preserve"> 23%</w:t>
            </w:r>
            <w:r w:rsidRPr="00C52C4C">
              <w:rPr>
                <w:rFonts w:cs="Times New Roman"/>
                <w:sz w:val="22"/>
                <w:szCs w:val="22"/>
                <w:lang w:val="es-ES"/>
              </w:rPr>
              <w:br/>
              <w:t>AUC</w:t>
            </w:r>
            <w:r w:rsidRPr="00C52C4C">
              <w:rPr>
                <w:rFonts w:cs="Times New Roman"/>
                <w:sz w:val="22"/>
                <w:szCs w:val="22"/>
              </w:rPr>
              <w:sym w:font="Symbol" w:char="F074"/>
            </w:r>
            <w:r w:rsidRPr="00C52C4C">
              <w:rPr>
                <w:rFonts w:cs="Times New Roman"/>
                <w:sz w:val="22"/>
                <w:szCs w:val="22"/>
                <w:lang w:val="es-ES"/>
              </w:rPr>
              <w:t xml:space="preserve"> voriconazol</w:t>
            </w:r>
            <w:r w:rsidR="00D9439B">
              <w:rPr>
                <w:rFonts w:cs="Times New Roman"/>
                <w:sz w:val="22"/>
                <w:szCs w:val="22"/>
                <w:lang w:val="es-ES"/>
              </w:rPr>
              <w:t xml:space="preserve"> </w:t>
            </w:r>
            <w:r w:rsidRPr="00C52C4C">
              <w:rPr>
                <w:rFonts w:cs="Times New Roman"/>
                <w:sz w:val="22"/>
                <w:szCs w:val="22"/>
              </w:rPr>
              <w:sym w:font="Symbol" w:char="F0AF"/>
            </w:r>
            <w:r w:rsidRPr="00C52C4C">
              <w:rPr>
                <w:rFonts w:cs="Times New Roman"/>
                <w:sz w:val="22"/>
                <w:szCs w:val="22"/>
                <w:lang w:val="es-ES"/>
              </w:rPr>
              <w:t xml:space="preserve"> 7%</w:t>
            </w:r>
          </w:p>
        </w:tc>
        <w:tc>
          <w:tcPr>
            <w:tcW w:w="2835" w:type="dxa"/>
          </w:tcPr>
          <w:p w14:paraId="13C520F0" w14:textId="77777777" w:rsidR="00344F86" w:rsidRDefault="00344F86" w:rsidP="00344F86">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 xml:space="preserve">Uso de dosis estándar de voriconazol con dosis de efavirenz 400 mg QD o mayores están </w:t>
            </w:r>
            <w:r w:rsidRPr="00C52C4C">
              <w:rPr>
                <w:rFonts w:cs="Times New Roman"/>
                <w:b/>
                <w:sz w:val="22"/>
                <w:szCs w:val="22"/>
                <w:lang w:val="es-ES"/>
              </w:rPr>
              <w:t>contraindicadas</w:t>
            </w:r>
            <w:r w:rsidRPr="00C52C4C">
              <w:rPr>
                <w:rFonts w:cs="Times New Roman"/>
                <w:sz w:val="22"/>
                <w:szCs w:val="22"/>
                <w:lang w:val="es-ES"/>
              </w:rPr>
              <w:t xml:space="preserve"> (ver sección 4.3).</w:t>
            </w:r>
          </w:p>
          <w:p w14:paraId="0C8D402D" w14:textId="77777777" w:rsidR="00344F86" w:rsidRDefault="00344F86" w:rsidP="00344F86">
            <w:pPr>
              <w:pStyle w:val="TableText"/>
              <w:overflowPunct w:val="0"/>
              <w:autoSpaceDE w:val="0"/>
              <w:autoSpaceDN w:val="0"/>
              <w:adjustRightInd w:val="0"/>
              <w:textAlignment w:val="baseline"/>
              <w:rPr>
                <w:rFonts w:cs="Times New Roman"/>
                <w:sz w:val="22"/>
                <w:szCs w:val="22"/>
                <w:lang w:val="es-ES"/>
              </w:rPr>
            </w:pPr>
          </w:p>
          <w:p w14:paraId="21E3BF8A" w14:textId="0F508085" w:rsidR="00344F86" w:rsidRPr="00C52C4C" w:rsidRDefault="00344F86" w:rsidP="00344F86">
            <w:pPr>
              <w:pStyle w:val="TableText"/>
              <w:overflowPunct w:val="0"/>
              <w:autoSpaceDE w:val="0"/>
              <w:autoSpaceDN w:val="0"/>
              <w:adjustRightInd w:val="0"/>
              <w:textAlignment w:val="baseline"/>
              <w:rPr>
                <w:rFonts w:cs="Times New Roman"/>
                <w:b/>
                <w:sz w:val="22"/>
                <w:szCs w:val="22"/>
                <w:lang w:val="es-ES"/>
              </w:rPr>
            </w:pPr>
            <w:r w:rsidRPr="00C52C4C">
              <w:rPr>
                <w:rFonts w:cs="Times New Roman"/>
                <w:sz w:val="22"/>
                <w:szCs w:val="22"/>
                <w:lang w:val="es-ES"/>
              </w:rPr>
              <w:t>Voriconazol puede ser administrado de forma concomitante con efavirenz si la dosis de mantenimiento de voriconazol se incrementa a 400 mg BID y la dosis de efivarenz se reduce a 300 mg QD. Cuando se interrumpe el tratamiento con voriconazol, debe restablecerse la dosis inicial de efavirenz (ver secci</w:t>
            </w:r>
            <w:r w:rsidR="00D9439B">
              <w:rPr>
                <w:rFonts w:cs="Times New Roman"/>
                <w:sz w:val="22"/>
                <w:szCs w:val="22"/>
                <w:lang w:val="es-ES"/>
              </w:rPr>
              <w:t>ones</w:t>
            </w:r>
            <w:r w:rsidRPr="00C52C4C">
              <w:rPr>
                <w:rFonts w:cs="Times New Roman"/>
                <w:sz w:val="22"/>
                <w:szCs w:val="22"/>
                <w:lang w:val="es-ES"/>
              </w:rPr>
              <w:t xml:space="preserve"> 4.2 y 4.4).</w:t>
            </w:r>
          </w:p>
        </w:tc>
      </w:tr>
      <w:tr w:rsidR="00D061AA" w:rsidRPr="00C52C4C" w14:paraId="7DFF321D" w14:textId="77777777" w:rsidTr="00AC5BF4">
        <w:trPr>
          <w:jc w:val="center"/>
        </w:trPr>
        <w:tc>
          <w:tcPr>
            <w:tcW w:w="2696" w:type="dxa"/>
            <w:vAlign w:val="center"/>
          </w:tcPr>
          <w:p w14:paraId="2BA6A489" w14:textId="1E5F1AE7" w:rsidR="00D061AA" w:rsidRPr="00C52C4C" w:rsidRDefault="00D061AA" w:rsidP="00EE4A64">
            <w:pPr>
              <w:pStyle w:val="TableText"/>
              <w:tabs>
                <w:tab w:val="left" w:pos="360"/>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Alcaloides ergotamínicos (</w:t>
            </w:r>
            <w:r w:rsidR="00D9439B" w:rsidRPr="00D9439B">
              <w:rPr>
                <w:rFonts w:cs="Times New Roman"/>
                <w:sz w:val="22"/>
                <w:szCs w:val="22"/>
                <w:lang w:val="es-ES"/>
              </w:rPr>
              <w:t xml:space="preserve">que incluyen, entre otros: </w:t>
            </w:r>
            <w:r w:rsidRPr="00C52C4C">
              <w:rPr>
                <w:rFonts w:cs="Times New Roman"/>
                <w:sz w:val="22"/>
                <w:szCs w:val="22"/>
                <w:lang w:val="es-ES"/>
              </w:rPr>
              <w:t>ergotamina y dihidroergotamina)</w:t>
            </w:r>
          </w:p>
          <w:p w14:paraId="3302E1D4" w14:textId="77777777" w:rsidR="00D061AA" w:rsidRPr="00C52C4C" w:rsidRDefault="00D061AA" w:rsidP="00EE4A64">
            <w:pPr>
              <w:pStyle w:val="TableText"/>
              <w:tabs>
                <w:tab w:val="left" w:pos="360"/>
              </w:tabs>
              <w:overflowPunct w:val="0"/>
              <w:autoSpaceDE w:val="0"/>
              <w:autoSpaceDN w:val="0"/>
              <w:adjustRightInd w:val="0"/>
              <w:textAlignment w:val="baseline"/>
              <w:rPr>
                <w:rFonts w:cs="Times New Roman"/>
                <w:sz w:val="22"/>
                <w:szCs w:val="22"/>
                <w:lang w:val="es-ES"/>
              </w:rPr>
            </w:pPr>
            <w:r w:rsidRPr="00C52C4C">
              <w:rPr>
                <w:rFonts w:cs="Times New Roman"/>
                <w:i/>
                <w:sz w:val="22"/>
                <w:szCs w:val="22"/>
                <w:lang w:val="es-ES"/>
              </w:rPr>
              <w:t xml:space="preserve">[sustratos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P3A4]</w:t>
            </w:r>
          </w:p>
        </w:tc>
        <w:tc>
          <w:tcPr>
            <w:tcW w:w="3685" w:type="dxa"/>
            <w:vAlign w:val="center"/>
          </w:tcPr>
          <w:p w14:paraId="109E557D"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Aunque no se ha estudiado, es probable que voriconazol incremente las concentraciones plasmáticas de los alcaloides ergotamínicos y produzca ergotismo.</w:t>
            </w:r>
          </w:p>
        </w:tc>
        <w:tc>
          <w:tcPr>
            <w:tcW w:w="2835" w:type="dxa"/>
            <w:vAlign w:val="center"/>
          </w:tcPr>
          <w:p w14:paraId="25425D3A"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rPr>
            </w:pPr>
            <w:r w:rsidRPr="00C52C4C">
              <w:rPr>
                <w:rFonts w:cs="Times New Roman"/>
                <w:b/>
                <w:sz w:val="22"/>
                <w:szCs w:val="22"/>
              </w:rPr>
              <w:t>Contraindicado</w:t>
            </w:r>
            <w:r w:rsidRPr="00C52C4C">
              <w:rPr>
                <w:rFonts w:cs="Times New Roman"/>
                <w:sz w:val="22"/>
                <w:szCs w:val="22"/>
              </w:rPr>
              <w:t xml:space="preserve"> (ver sección 4.3)</w:t>
            </w:r>
          </w:p>
        </w:tc>
      </w:tr>
      <w:tr w:rsidR="00537D6E" w:rsidRPr="00C52C4C" w14:paraId="2CDE311C" w14:textId="77777777" w:rsidTr="00041B44">
        <w:trPr>
          <w:jc w:val="center"/>
        </w:trPr>
        <w:tc>
          <w:tcPr>
            <w:tcW w:w="2696" w:type="dxa"/>
          </w:tcPr>
          <w:p w14:paraId="42327DA4" w14:textId="77777777" w:rsidR="00537D6E" w:rsidRPr="00041B44" w:rsidRDefault="00537D6E" w:rsidP="00537D6E">
            <w:pPr>
              <w:adjustRightInd w:val="0"/>
              <w:rPr>
                <w:sz w:val="22"/>
                <w:szCs w:val="22"/>
                <w:lang w:eastAsia="en-US"/>
              </w:rPr>
            </w:pPr>
            <w:r w:rsidRPr="00041B44">
              <w:rPr>
                <w:sz w:val="22"/>
                <w:szCs w:val="22"/>
                <w:lang w:eastAsia="en-US"/>
              </w:rPr>
              <w:t>Lurasidona</w:t>
            </w:r>
          </w:p>
          <w:p w14:paraId="260AE734" w14:textId="77777777" w:rsidR="00537D6E" w:rsidRPr="00C52C4C" w:rsidRDefault="00537D6E" w:rsidP="00537D6E">
            <w:pPr>
              <w:pStyle w:val="TableText"/>
              <w:tabs>
                <w:tab w:val="left" w:pos="360"/>
              </w:tabs>
              <w:overflowPunct w:val="0"/>
              <w:autoSpaceDE w:val="0"/>
              <w:autoSpaceDN w:val="0"/>
              <w:adjustRightInd w:val="0"/>
              <w:textAlignment w:val="baseline"/>
              <w:rPr>
                <w:rFonts w:cs="Times New Roman"/>
                <w:sz w:val="22"/>
                <w:szCs w:val="22"/>
                <w:lang w:val="es-ES"/>
              </w:rPr>
            </w:pPr>
            <w:r w:rsidRPr="00041B44">
              <w:rPr>
                <w:rFonts w:cs="Times New Roman"/>
                <w:i/>
                <w:sz w:val="22"/>
                <w:szCs w:val="22"/>
                <w:lang w:val="es-ES"/>
              </w:rPr>
              <w:t>[Sustrato del CYP3A4]</w:t>
            </w:r>
          </w:p>
        </w:tc>
        <w:tc>
          <w:tcPr>
            <w:tcW w:w="3685" w:type="dxa"/>
          </w:tcPr>
          <w:p w14:paraId="0B547B94" w14:textId="77777777" w:rsidR="00537D6E" w:rsidRPr="00C52C4C" w:rsidRDefault="00537D6E" w:rsidP="00537D6E">
            <w:pPr>
              <w:pStyle w:val="TableText"/>
              <w:tabs>
                <w:tab w:val="left" w:pos="216"/>
              </w:tabs>
              <w:overflowPunct w:val="0"/>
              <w:autoSpaceDE w:val="0"/>
              <w:autoSpaceDN w:val="0"/>
              <w:adjustRightInd w:val="0"/>
              <w:textAlignment w:val="baseline"/>
              <w:rPr>
                <w:rFonts w:cs="Times New Roman"/>
                <w:sz w:val="22"/>
                <w:szCs w:val="22"/>
                <w:lang w:val="es-ES"/>
              </w:rPr>
            </w:pPr>
            <w:r w:rsidRPr="00041B44">
              <w:rPr>
                <w:rFonts w:cs="Times New Roman"/>
                <w:sz w:val="22"/>
                <w:szCs w:val="22"/>
                <w:lang w:val="es-ES"/>
              </w:rPr>
              <w:t>Aunque no se ha estudiado, es probable que voriconazol incremente significativamente las concentraciones plasmáticas de lurasidona.</w:t>
            </w:r>
          </w:p>
        </w:tc>
        <w:tc>
          <w:tcPr>
            <w:tcW w:w="2835" w:type="dxa"/>
          </w:tcPr>
          <w:p w14:paraId="43158D65" w14:textId="77777777" w:rsidR="00537D6E" w:rsidRPr="00C52C4C" w:rsidRDefault="00537D6E" w:rsidP="00537D6E">
            <w:pPr>
              <w:pStyle w:val="TableText"/>
              <w:overflowPunct w:val="0"/>
              <w:autoSpaceDE w:val="0"/>
              <w:autoSpaceDN w:val="0"/>
              <w:adjustRightInd w:val="0"/>
              <w:textAlignment w:val="baseline"/>
              <w:rPr>
                <w:rFonts w:cs="Times New Roman"/>
                <w:b/>
                <w:sz w:val="22"/>
                <w:szCs w:val="22"/>
              </w:rPr>
            </w:pPr>
            <w:r w:rsidRPr="00041B44">
              <w:rPr>
                <w:rFonts w:cs="Times New Roman"/>
                <w:b/>
                <w:sz w:val="22"/>
                <w:szCs w:val="22"/>
              </w:rPr>
              <w:t>Contraindicado</w:t>
            </w:r>
            <w:r w:rsidRPr="00041B44">
              <w:rPr>
                <w:rFonts w:cs="Times New Roman"/>
                <w:bCs/>
                <w:sz w:val="22"/>
                <w:szCs w:val="22"/>
              </w:rPr>
              <w:t xml:space="preserve"> (ver sección 4.3)</w:t>
            </w:r>
          </w:p>
        </w:tc>
      </w:tr>
      <w:tr w:rsidR="00537D6E" w:rsidRPr="00C52C4C" w14:paraId="5141F86E" w14:textId="77777777" w:rsidTr="00041B44">
        <w:trPr>
          <w:jc w:val="center"/>
        </w:trPr>
        <w:tc>
          <w:tcPr>
            <w:tcW w:w="2696" w:type="dxa"/>
          </w:tcPr>
          <w:p w14:paraId="630EDBB5" w14:textId="77777777" w:rsidR="00537D6E" w:rsidRPr="00041B44" w:rsidRDefault="00537D6E" w:rsidP="00537D6E">
            <w:pPr>
              <w:adjustRightInd w:val="0"/>
              <w:rPr>
                <w:i/>
                <w:sz w:val="22"/>
                <w:szCs w:val="22"/>
                <w:lang w:eastAsia="en-US"/>
              </w:rPr>
            </w:pPr>
            <w:r w:rsidRPr="00041B44">
              <w:rPr>
                <w:sz w:val="22"/>
                <w:szCs w:val="22"/>
                <w:lang w:eastAsia="en-US"/>
              </w:rPr>
              <w:t>Naloxegol</w:t>
            </w:r>
          </w:p>
          <w:p w14:paraId="4C0F951B" w14:textId="77777777" w:rsidR="00537D6E" w:rsidRPr="00041B44" w:rsidRDefault="00537D6E" w:rsidP="00537D6E">
            <w:pPr>
              <w:pStyle w:val="TableText"/>
              <w:tabs>
                <w:tab w:val="left" w:pos="360"/>
              </w:tabs>
              <w:overflowPunct w:val="0"/>
              <w:autoSpaceDE w:val="0"/>
              <w:autoSpaceDN w:val="0"/>
              <w:adjustRightInd w:val="0"/>
              <w:textAlignment w:val="baseline"/>
              <w:rPr>
                <w:rFonts w:cs="Times New Roman"/>
                <w:i/>
                <w:sz w:val="22"/>
                <w:szCs w:val="22"/>
                <w:lang w:val="es-ES"/>
              </w:rPr>
            </w:pPr>
            <w:r w:rsidRPr="00041B44">
              <w:rPr>
                <w:rFonts w:cs="Times New Roman"/>
                <w:i/>
                <w:sz w:val="22"/>
                <w:szCs w:val="22"/>
                <w:lang w:val="es-ES"/>
              </w:rPr>
              <w:t>[Sustrato del CYP3A4]</w:t>
            </w:r>
          </w:p>
        </w:tc>
        <w:tc>
          <w:tcPr>
            <w:tcW w:w="3685" w:type="dxa"/>
          </w:tcPr>
          <w:p w14:paraId="0CD80B4C" w14:textId="77777777" w:rsidR="00537D6E" w:rsidRPr="00C52C4C" w:rsidRDefault="00537D6E" w:rsidP="00537D6E">
            <w:pPr>
              <w:pStyle w:val="TableText"/>
              <w:tabs>
                <w:tab w:val="left" w:pos="216"/>
              </w:tabs>
              <w:overflowPunct w:val="0"/>
              <w:autoSpaceDE w:val="0"/>
              <w:autoSpaceDN w:val="0"/>
              <w:adjustRightInd w:val="0"/>
              <w:textAlignment w:val="baseline"/>
              <w:rPr>
                <w:rFonts w:cs="Times New Roman"/>
                <w:sz w:val="22"/>
                <w:szCs w:val="22"/>
                <w:lang w:val="es-ES"/>
              </w:rPr>
            </w:pPr>
            <w:r w:rsidRPr="00041B44">
              <w:rPr>
                <w:rFonts w:cs="Times New Roman"/>
                <w:sz w:val="22"/>
                <w:szCs w:val="22"/>
                <w:lang w:val="es-ES"/>
              </w:rPr>
              <w:t>Aunque no se ha estudiado, es probable que voriconazol incremente significativamente las concentraciones plasmáticas de naloxegol.</w:t>
            </w:r>
          </w:p>
        </w:tc>
        <w:tc>
          <w:tcPr>
            <w:tcW w:w="2835" w:type="dxa"/>
          </w:tcPr>
          <w:p w14:paraId="573617F5" w14:textId="77777777" w:rsidR="00537D6E" w:rsidRPr="00C52C4C" w:rsidRDefault="00537D6E" w:rsidP="00537D6E">
            <w:pPr>
              <w:pStyle w:val="TableText"/>
              <w:overflowPunct w:val="0"/>
              <w:autoSpaceDE w:val="0"/>
              <w:autoSpaceDN w:val="0"/>
              <w:adjustRightInd w:val="0"/>
              <w:textAlignment w:val="baseline"/>
              <w:rPr>
                <w:rFonts w:cs="Times New Roman"/>
                <w:b/>
                <w:sz w:val="22"/>
                <w:szCs w:val="22"/>
              </w:rPr>
            </w:pPr>
            <w:r w:rsidRPr="00041B44">
              <w:rPr>
                <w:rFonts w:cs="Times New Roman"/>
                <w:b/>
                <w:sz w:val="22"/>
                <w:szCs w:val="22"/>
              </w:rPr>
              <w:t>Contraindicado</w:t>
            </w:r>
            <w:r w:rsidRPr="00041B44">
              <w:rPr>
                <w:rFonts w:cs="Times New Roman"/>
                <w:bCs/>
                <w:sz w:val="22"/>
                <w:szCs w:val="22"/>
              </w:rPr>
              <w:t xml:space="preserve"> </w:t>
            </w:r>
            <w:r w:rsidRPr="00041B44">
              <w:rPr>
                <w:rFonts w:cs="Times New Roman"/>
                <w:sz w:val="22"/>
                <w:szCs w:val="22"/>
              </w:rPr>
              <w:t>(ver sección 4.3)</w:t>
            </w:r>
          </w:p>
        </w:tc>
      </w:tr>
      <w:tr w:rsidR="00AC5BF4" w:rsidRPr="00C52C4C" w14:paraId="7E2A3054" w14:textId="77777777" w:rsidTr="00E23FFE">
        <w:trPr>
          <w:trHeight w:val="5806"/>
          <w:jc w:val="center"/>
        </w:trPr>
        <w:tc>
          <w:tcPr>
            <w:tcW w:w="2696" w:type="dxa"/>
          </w:tcPr>
          <w:p w14:paraId="6AE47969" w14:textId="77777777" w:rsidR="00AC5BF4" w:rsidRPr="00C52C4C" w:rsidRDefault="00AC5BF4" w:rsidP="00EE4A64">
            <w:pPr>
              <w:pStyle w:val="TableText"/>
              <w:tabs>
                <w:tab w:val="left" w:pos="360"/>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Rifabutina</w:t>
            </w:r>
          </w:p>
          <w:p w14:paraId="5A12AF19" w14:textId="77777777" w:rsidR="00AC5BF4" w:rsidRPr="00C52C4C" w:rsidRDefault="00AC5BF4" w:rsidP="00EE4A64">
            <w:pPr>
              <w:pStyle w:val="TableText"/>
              <w:tabs>
                <w:tab w:val="left" w:pos="360"/>
              </w:tabs>
              <w:overflowPunct w:val="0"/>
              <w:autoSpaceDE w:val="0"/>
              <w:autoSpaceDN w:val="0"/>
              <w:adjustRightInd w:val="0"/>
              <w:textAlignment w:val="baseline"/>
              <w:rPr>
                <w:rFonts w:cs="Times New Roman"/>
                <w:i/>
                <w:sz w:val="22"/>
                <w:szCs w:val="22"/>
                <w:lang w:val="es-ES"/>
              </w:rPr>
            </w:pPr>
            <w:r w:rsidRPr="00C52C4C">
              <w:rPr>
                <w:rFonts w:cs="Times New Roman"/>
                <w:i/>
                <w:sz w:val="22"/>
                <w:szCs w:val="22"/>
                <w:lang w:val="es-ES"/>
              </w:rPr>
              <w:t xml:space="preserve">[inductor potente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P450]</w:t>
            </w:r>
          </w:p>
          <w:p w14:paraId="19D438F6" w14:textId="77777777" w:rsidR="00AC5BF4" w:rsidRPr="00C52C4C" w:rsidRDefault="00AC5BF4" w:rsidP="00EE4A64">
            <w:pPr>
              <w:pStyle w:val="TableText"/>
              <w:tabs>
                <w:tab w:val="left" w:pos="360"/>
              </w:tabs>
              <w:overflowPunct w:val="0"/>
              <w:autoSpaceDE w:val="0"/>
              <w:autoSpaceDN w:val="0"/>
              <w:adjustRightInd w:val="0"/>
              <w:textAlignment w:val="baseline"/>
              <w:rPr>
                <w:rFonts w:cs="Times New Roman"/>
                <w:i/>
                <w:sz w:val="22"/>
                <w:szCs w:val="22"/>
                <w:lang w:val="es-ES"/>
              </w:rPr>
            </w:pPr>
          </w:p>
          <w:p w14:paraId="7D99F7E6" w14:textId="77777777" w:rsidR="00AC5BF4" w:rsidRPr="00C52C4C" w:rsidRDefault="00AC5BF4" w:rsidP="00EE4A64">
            <w:pPr>
              <w:pStyle w:val="TableText"/>
              <w:tabs>
                <w:tab w:val="left" w:pos="360"/>
              </w:tabs>
              <w:overflowPunct w:val="0"/>
              <w:autoSpaceDE w:val="0"/>
              <w:autoSpaceDN w:val="0"/>
              <w:adjustRightInd w:val="0"/>
              <w:ind w:left="144"/>
              <w:textAlignment w:val="baseline"/>
              <w:rPr>
                <w:rFonts w:cs="Times New Roman"/>
                <w:sz w:val="22"/>
                <w:szCs w:val="22"/>
                <w:lang w:val="es-ES"/>
              </w:rPr>
            </w:pPr>
            <w:r w:rsidRPr="00C52C4C">
              <w:rPr>
                <w:rFonts w:cs="Times New Roman"/>
                <w:sz w:val="22"/>
                <w:szCs w:val="22"/>
                <w:lang w:val="es-ES"/>
              </w:rPr>
              <w:t xml:space="preserve">300 mg QD </w:t>
            </w:r>
          </w:p>
          <w:p w14:paraId="16C83E26" w14:textId="77777777" w:rsidR="00AC5BF4" w:rsidRPr="00C52C4C" w:rsidRDefault="00AC5BF4" w:rsidP="00AC5BF4">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1B04FA92" w14:textId="77777777" w:rsidR="00AC5BF4" w:rsidRPr="00C52C4C" w:rsidRDefault="00AC5BF4" w:rsidP="00AC5BF4">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290D6073" w14:textId="77777777" w:rsidR="00AC5BF4" w:rsidRPr="00C52C4C" w:rsidRDefault="00AC5BF4" w:rsidP="00EE4A64">
            <w:pPr>
              <w:pStyle w:val="TableText"/>
              <w:tabs>
                <w:tab w:val="left" w:pos="360"/>
              </w:tabs>
              <w:overflowPunct w:val="0"/>
              <w:autoSpaceDE w:val="0"/>
              <w:autoSpaceDN w:val="0"/>
              <w:adjustRightInd w:val="0"/>
              <w:ind w:left="144"/>
              <w:textAlignment w:val="baseline"/>
              <w:rPr>
                <w:rFonts w:cs="Times New Roman"/>
                <w:sz w:val="22"/>
                <w:szCs w:val="22"/>
                <w:vertAlign w:val="superscript"/>
                <w:lang w:val="es-ES"/>
              </w:rPr>
            </w:pPr>
            <w:r w:rsidRPr="00C52C4C">
              <w:rPr>
                <w:rFonts w:cs="Times New Roman"/>
                <w:sz w:val="22"/>
                <w:szCs w:val="22"/>
                <w:lang w:val="es-ES"/>
              </w:rPr>
              <w:t>300 mg QD (administrado concomitantemente con 350 mg de voriconazol BID)</w:t>
            </w:r>
            <w:r w:rsidRPr="00C52C4C">
              <w:rPr>
                <w:rFonts w:cs="Times New Roman"/>
                <w:sz w:val="22"/>
                <w:szCs w:val="22"/>
                <w:vertAlign w:val="superscript"/>
                <w:lang w:val="es-ES"/>
              </w:rPr>
              <w:t>*</w:t>
            </w:r>
          </w:p>
          <w:p w14:paraId="0139D21B" w14:textId="77777777" w:rsidR="00AC5BF4" w:rsidRPr="00C52C4C" w:rsidRDefault="00AC5BF4" w:rsidP="00AC5BF4">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223DFD5F" w14:textId="77777777" w:rsidR="00AC5BF4" w:rsidRPr="00C52C4C" w:rsidRDefault="00AC5BF4" w:rsidP="00AC5BF4">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3F2DFBC1" w14:textId="77777777" w:rsidR="00AC5BF4" w:rsidRPr="00C52C4C" w:rsidRDefault="00AC5BF4" w:rsidP="00EE4A64">
            <w:pPr>
              <w:pStyle w:val="TableText"/>
              <w:tabs>
                <w:tab w:val="left" w:pos="360"/>
              </w:tabs>
              <w:overflowPunct w:val="0"/>
              <w:autoSpaceDE w:val="0"/>
              <w:autoSpaceDN w:val="0"/>
              <w:adjustRightInd w:val="0"/>
              <w:ind w:left="144"/>
              <w:textAlignment w:val="baseline"/>
              <w:rPr>
                <w:rFonts w:cs="Times New Roman"/>
                <w:i/>
                <w:sz w:val="22"/>
                <w:szCs w:val="22"/>
                <w:lang w:val="es-ES"/>
              </w:rPr>
            </w:pPr>
            <w:r w:rsidRPr="00C52C4C">
              <w:rPr>
                <w:rFonts w:cs="Times New Roman"/>
                <w:sz w:val="22"/>
                <w:szCs w:val="22"/>
                <w:lang w:val="es-ES"/>
              </w:rPr>
              <w:t>300 mg QD (administrado concomitantemente con 400 mg de voriconazol BID)</w:t>
            </w:r>
            <w:r w:rsidRPr="00C52C4C">
              <w:rPr>
                <w:rFonts w:cs="Times New Roman"/>
                <w:sz w:val="22"/>
                <w:szCs w:val="22"/>
                <w:vertAlign w:val="superscript"/>
                <w:lang w:val="es-ES"/>
              </w:rPr>
              <w:t>*</w:t>
            </w:r>
          </w:p>
        </w:tc>
        <w:tc>
          <w:tcPr>
            <w:tcW w:w="3685" w:type="dxa"/>
          </w:tcPr>
          <w:p w14:paraId="62200313" w14:textId="77777777" w:rsidR="00AC5BF4" w:rsidRPr="00C52C4C" w:rsidRDefault="00AC5BF4" w:rsidP="00AC5BF4">
            <w:pPr>
              <w:pStyle w:val="TableText"/>
              <w:tabs>
                <w:tab w:val="left" w:pos="216"/>
              </w:tabs>
              <w:overflowPunct w:val="0"/>
              <w:autoSpaceDE w:val="0"/>
              <w:autoSpaceDN w:val="0"/>
              <w:adjustRightInd w:val="0"/>
              <w:textAlignment w:val="baseline"/>
              <w:rPr>
                <w:rFonts w:cs="Times New Roman"/>
                <w:sz w:val="22"/>
                <w:szCs w:val="22"/>
                <w:lang w:val="es-ES"/>
              </w:rPr>
            </w:pPr>
          </w:p>
          <w:p w14:paraId="0122DDE7" w14:textId="77777777" w:rsidR="00AC5BF4" w:rsidRPr="00C52C4C" w:rsidRDefault="00AC5BF4" w:rsidP="00AC5BF4">
            <w:pPr>
              <w:pStyle w:val="TableText"/>
              <w:tabs>
                <w:tab w:val="left" w:pos="216"/>
              </w:tabs>
              <w:overflowPunct w:val="0"/>
              <w:autoSpaceDE w:val="0"/>
              <w:autoSpaceDN w:val="0"/>
              <w:adjustRightInd w:val="0"/>
              <w:textAlignment w:val="baseline"/>
              <w:rPr>
                <w:rFonts w:cs="Times New Roman"/>
                <w:sz w:val="22"/>
                <w:szCs w:val="22"/>
                <w:lang w:val="es-ES"/>
              </w:rPr>
            </w:pPr>
          </w:p>
          <w:p w14:paraId="31A78CE8" w14:textId="77777777" w:rsidR="00AC5BF4" w:rsidRPr="00C52C4C" w:rsidRDefault="00AC5BF4" w:rsidP="00AC5BF4">
            <w:pPr>
              <w:pStyle w:val="TableText"/>
              <w:tabs>
                <w:tab w:val="left" w:pos="216"/>
              </w:tabs>
              <w:overflowPunct w:val="0"/>
              <w:autoSpaceDE w:val="0"/>
              <w:autoSpaceDN w:val="0"/>
              <w:adjustRightInd w:val="0"/>
              <w:textAlignment w:val="baseline"/>
              <w:rPr>
                <w:rFonts w:cs="Times New Roman"/>
                <w:sz w:val="22"/>
                <w:szCs w:val="22"/>
                <w:lang w:val="es-ES"/>
              </w:rPr>
            </w:pPr>
          </w:p>
          <w:p w14:paraId="03D57DA6" w14:textId="77777777" w:rsidR="00AC5BF4" w:rsidRPr="00C52C4C" w:rsidRDefault="00AC5BF4" w:rsidP="00AC5BF4">
            <w:pPr>
              <w:pStyle w:val="TableText"/>
              <w:tabs>
                <w:tab w:val="left" w:pos="216"/>
              </w:tabs>
              <w:overflowPunct w:val="0"/>
              <w:autoSpaceDE w:val="0"/>
              <w:autoSpaceDN w:val="0"/>
              <w:adjustRightInd w:val="0"/>
              <w:textAlignment w:val="baseline"/>
              <w:rPr>
                <w:rFonts w:cs="Times New Roman"/>
                <w:sz w:val="22"/>
                <w:szCs w:val="22"/>
                <w:lang w:val="es-ES"/>
              </w:rPr>
            </w:pPr>
          </w:p>
          <w:p w14:paraId="3041EE5C" w14:textId="77777777" w:rsidR="00AC5BF4" w:rsidRPr="00C52C4C" w:rsidRDefault="00AC5BF4"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w:t>
            </w:r>
            <w:r w:rsidRPr="00C52C4C">
              <w:rPr>
                <w:rFonts w:cs="Times New Roman"/>
                <w:sz w:val="22"/>
                <w:szCs w:val="22"/>
                <w:vertAlign w:val="subscript"/>
                <w:lang w:val="es-ES"/>
              </w:rPr>
              <w:t>max</w:t>
            </w:r>
            <w:r w:rsidRPr="00C52C4C">
              <w:rPr>
                <w:rFonts w:cs="Times New Roman"/>
                <w:sz w:val="22"/>
                <w:szCs w:val="22"/>
                <w:lang w:val="es-ES"/>
              </w:rPr>
              <w:t xml:space="preserve"> voriconazol </w:t>
            </w:r>
            <w:r w:rsidR="00270DDF" w:rsidRPr="00C52C4C">
              <w:rPr>
                <w:rFonts w:cs="Times New Roman"/>
                <w:sz w:val="22"/>
                <w:szCs w:val="22"/>
              </w:rPr>
              <w:sym w:font="Symbol" w:char="F0AF"/>
            </w:r>
            <w:r w:rsidR="00270DDF" w:rsidRPr="00C52C4C">
              <w:rPr>
                <w:rFonts w:cs="Times New Roman"/>
                <w:sz w:val="22"/>
                <w:szCs w:val="22"/>
                <w:lang w:val="es-ES"/>
              </w:rPr>
              <w:t xml:space="preserve"> </w:t>
            </w:r>
            <w:r w:rsidRPr="00C52C4C">
              <w:rPr>
                <w:rFonts w:cs="Times New Roman"/>
                <w:sz w:val="22"/>
                <w:szCs w:val="22"/>
                <w:lang w:val="es-ES"/>
              </w:rPr>
              <w:t xml:space="preserve"> 69%</w:t>
            </w:r>
            <w:r w:rsidRPr="00C52C4C">
              <w:rPr>
                <w:rFonts w:cs="Times New Roman"/>
                <w:sz w:val="22"/>
                <w:szCs w:val="22"/>
                <w:lang w:val="es-ES"/>
              </w:rPr>
              <w:br/>
              <w:t>AUC</w:t>
            </w:r>
            <w:r w:rsidRPr="00C52C4C">
              <w:rPr>
                <w:rFonts w:cs="Times New Roman"/>
                <w:sz w:val="22"/>
                <w:szCs w:val="22"/>
              </w:rPr>
              <w:sym w:font="Symbol" w:char="F074"/>
            </w:r>
            <w:r w:rsidRPr="00C52C4C">
              <w:rPr>
                <w:rFonts w:cs="Times New Roman"/>
                <w:sz w:val="22"/>
                <w:szCs w:val="22"/>
                <w:lang w:val="es-ES"/>
              </w:rPr>
              <w:t xml:space="preserve"> voriconazol</w:t>
            </w:r>
            <w:r w:rsidR="00270DDF" w:rsidRPr="00C52C4C">
              <w:rPr>
                <w:rFonts w:cs="Times New Roman"/>
                <w:sz w:val="22"/>
                <w:szCs w:val="22"/>
              </w:rPr>
              <w:sym w:font="Symbol" w:char="F0AF"/>
            </w:r>
            <w:r w:rsidR="00270DDF" w:rsidRPr="00C52C4C">
              <w:rPr>
                <w:rFonts w:cs="Times New Roman"/>
                <w:sz w:val="22"/>
                <w:szCs w:val="22"/>
                <w:lang w:val="es-ES"/>
              </w:rPr>
              <w:t xml:space="preserve"> </w:t>
            </w:r>
            <w:r w:rsidRPr="00C52C4C">
              <w:rPr>
                <w:rFonts w:cs="Times New Roman"/>
                <w:sz w:val="22"/>
                <w:szCs w:val="22"/>
                <w:lang w:val="es-ES"/>
              </w:rPr>
              <w:t>78%</w:t>
            </w:r>
          </w:p>
          <w:p w14:paraId="6C61FF39" w14:textId="77777777" w:rsidR="00AC5BF4" w:rsidRPr="00C52C4C" w:rsidRDefault="00AC5BF4" w:rsidP="00AC5BF4">
            <w:pPr>
              <w:pStyle w:val="TableText"/>
              <w:tabs>
                <w:tab w:val="left" w:pos="216"/>
              </w:tabs>
              <w:overflowPunct w:val="0"/>
              <w:autoSpaceDE w:val="0"/>
              <w:autoSpaceDN w:val="0"/>
              <w:adjustRightInd w:val="0"/>
              <w:textAlignment w:val="baseline"/>
              <w:rPr>
                <w:rFonts w:cs="Times New Roman"/>
                <w:sz w:val="22"/>
                <w:szCs w:val="22"/>
                <w:lang w:val="es-ES"/>
              </w:rPr>
            </w:pPr>
          </w:p>
          <w:p w14:paraId="06890DF5" w14:textId="77777777" w:rsidR="00AC5BF4" w:rsidRPr="00C52C4C" w:rsidRDefault="00AC5BF4"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Comparado con 200 mg BID de voriconazol,</w:t>
            </w:r>
          </w:p>
          <w:p w14:paraId="52E91C96" w14:textId="77777777" w:rsidR="00AC5BF4" w:rsidRPr="00C52C4C" w:rsidRDefault="00AC5BF4"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w:t>
            </w:r>
            <w:r w:rsidRPr="00C52C4C">
              <w:rPr>
                <w:rFonts w:cs="Times New Roman"/>
                <w:sz w:val="22"/>
                <w:szCs w:val="22"/>
                <w:vertAlign w:val="subscript"/>
                <w:lang w:val="es-ES"/>
              </w:rPr>
              <w:t>max</w:t>
            </w:r>
            <w:r w:rsidRPr="00C52C4C">
              <w:rPr>
                <w:rFonts w:cs="Times New Roman"/>
                <w:sz w:val="22"/>
                <w:szCs w:val="22"/>
                <w:lang w:val="es-ES"/>
              </w:rPr>
              <w:t xml:space="preserve"> voriconazol </w:t>
            </w:r>
            <w:r w:rsidR="00270DDF" w:rsidRPr="00C52C4C">
              <w:rPr>
                <w:rFonts w:cs="Times New Roman"/>
                <w:sz w:val="22"/>
                <w:szCs w:val="22"/>
              </w:rPr>
              <w:sym w:font="Symbol" w:char="F0AF"/>
            </w:r>
            <w:r w:rsidR="00270DDF" w:rsidRPr="00C52C4C">
              <w:rPr>
                <w:rFonts w:cs="Times New Roman"/>
                <w:sz w:val="22"/>
                <w:szCs w:val="22"/>
                <w:lang w:val="es-ES"/>
              </w:rPr>
              <w:t xml:space="preserve"> </w:t>
            </w:r>
            <w:r w:rsidRPr="00C52C4C">
              <w:rPr>
                <w:rFonts w:cs="Times New Roman"/>
                <w:sz w:val="22"/>
                <w:szCs w:val="22"/>
                <w:lang w:val="es-ES"/>
              </w:rPr>
              <w:t xml:space="preserve"> 4%</w:t>
            </w:r>
            <w:r w:rsidRPr="00C52C4C">
              <w:rPr>
                <w:rFonts w:cs="Times New Roman"/>
                <w:sz w:val="22"/>
                <w:szCs w:val="22"/>
                <w:lang w:val="es-ES"/>
              </w:rPr>
              <w:br/>
              <w:t>AUC</w:t>
            </w:r>
            <w:r w:rsidRPr="00C52C4C">
              <w:rPr>
                <w:rFonts w:cs="Times New Roman"/>
                <w:sz w:val="22"/>
                <w:szCs w:val="22"/>
              </w:rPr>
              <w:sym w:font="Symbol" w:char="F074"/>
            </w:r>
            <w:r w:rsidRPr="00C52C4C">
              <w:rPr>
                <w:rFonts w:cs="Times New Roman"/>
                <w:sz w:val="22"/>
                <w:szCs w:val="22"/>
                <w:lang w:val="es-ES"/>
              </w:rPr>
              <w:t xml:space="preserve"> voriconazol </w:t>
            </w:r>
            <w:r w:rsidR="00270DDF" w:rsidRPr="00C52C4C">
              <w:rPr>
                <w:rFonts w:cs="Times New Roman"/>
                <w:sz w:val="22"/>
                <w:szCs w:val="22"/>
              </w:rPr>
              <w:sym w:font="Symbol" w:char="F0AF"/>
            </w:r>
            <w:r w:rsidR="00270DDF" w:rsidRPr="00C52C4C">
              <w:rPr>
                <w:rFonts w:cs="Times New Roman"/>
                <w:sz w:val="22"/>
                <w:szCs w:val="22"/>
                <w:lang w:val="es-ES"/>
              </w:rPr>
              <w:t xml:space="preserve"> </w:t>
            </w:r>
            <w:r w:rsidRPr="00C52C4C">
              <w:rPr>
                <w:rFonts w:cs="Times New Roman"/>
                <w:sz w:val="22"/>
                <w:szCs w:val="22"/>
                <w:lang w:val="es-ES"/>
              </w:rPr>
              <w:t xml:space="preserve"> 32%</w:t>
            </w:r>
          </w:p>
          <w:p w14:paraId="53FA8341" w14:textId="77777777" w:rsidR="00AC5BF4" w:rsidRPr="00C52C4C" w:rsidRDefault="00AC5BF4" w:rsidP="00EE4A64">
            <w:pPr>
              <w:pStyle w:val="TableText"/>
              <w:tabs>
                <w:tab w:val="left" w:pos="216"/>
              </w:tabs>
              <w:overflowPunct w:val="0"/>
              <w:autoSpaceDE w:val="0"/>
              <w:autoSpaceDN w:val="0"/>
              <w:adjustRightInd w:val="0"/>
              <w:textAlignment w:val="baseline"/>
              <w:rPr>
                <w:rFonts w:cs="Times New Roman"/>
                <w:sz w:val="22"/>
                <w:szCs w:val="22"/>
                <w:lang w:val="es-ES"/>
              </w:rPr>
            </w:pPr>
          </w:p>
          <w:p w14:paraId="4C8A2982" w14:textId="77777777" w:rsidR="00AC5BF4" w:rsidRPr="00C52C4C" w:rsidRDefault="00AC5BF4" w:rsidP="00EE4A64">
            <w:pPr>
              <w:pStyle w:val="TableText"/>
              <w:tabs>
                <w:tab w:val="left" w:pos="216"/>
              </w:tabs>
              <w:overflowPunct w:val="0"/>
              <w:autoSpaceDE w:val="0"/>
              <w:autoSpaceDN w:val="0"/>
              <w:adjustRightInd w:val="0"/>
              <w:textAlignment w:val="baseline"/>
              <w:rPr>
                <w:rFonts w:cs="Times New Roman"/>
                <w:sz w:val="22"/>
                <w:szCs w:val="22"/>
                <w:lang w:val="es-ES"/>
              </w:rPr>
            </w:pPr>
          </w:p>
          <w:p w14:paraId="6B673258" w14:textId="77777777" w:rsidR="00AC5BF4" w:rsidRPr="00C52C4C" w:rsidRDefault="00AC5BF4"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w:t>
            </w:r>
            <w:r w:rsidRPr="00C52C4C">
              <w:rPr>
                <w:rFonts w:cs="Times New Roman"/>
                <w:sz w:val="22"/>
                <w:szCs w:val="22"/>
                <w:vertAlign w:val="subscript"/>
                <w:lang w:val="es-ES"/>
              </w:rPr>
              <w:t>max</w:t>
            </w:r>
            <w:r w:rsidRPr="00C52C4C">
              <w:rPr>
                <w:rFonts w:cs="Times New Roman"/>
                <w:sz w:val="22"/>
                <w:szCs w:val="22"/>
                <w:lang w:val="es-ES"/>
              </w:rPr>
              <w:t xml:space="preserve"> rifabutina </w:t>
            </w:r>
            <w:r w:rsidR="00270DDF" w:rsidRPr="00C52C4C">
              <w:rPr>
                <w:rFonts w:cs="Times New Roman"/>
                <w:sz w:val="22"/>
                <w:szCs w:val="22"/>
                <w:lang w:val="en-GB"/>
              </w:rPr>
              <w:sym w:font="Symbol" w:char="F0AD"/>
            </w:r>
            <w:r w:rsidRPr="00C52C4C">
              <w:rPr>
                <w:rFonts w:cs="Times New Roman"/>
                <w:sz w:val="22"/>
                <w:szCs w:val="22"/>
                <w:lang w:val="es-ES"/>
              </w:rPr>
              <w:t xml:space="preserve"> 195%</w:t>
            </w:r>
            <w:r w:rsidRPr="00C52C4C">
              <w:rPr>
                <w:rFonts w:cs="Times New Roman"/>
                <w:sz w:val="22"/>
                <w:szCs w:val="22"/>
                <w:lang w:val="es-ES"/>
              </w:rPr>
              <w:br/>
              <w:t>AUC</w:t>
            </w:r>
            <w:r w:rsidRPr="00C52C4C">
              <w:rPr>
                <w:rFonts w:cs="Times New Roman"/>
                <w:sz w:val="22"/>
                <w:szCs w:val="22"/>
              </w:rPr>
              <w:sym w:font="Symbol" w:char="F074"/>
            </w:r>
            <w:r w:rsidRPr="00C52C4C">
              <w:rPr>
                <w:rFonts w:cs="Times New Roman"/>
                <w:sz w:val="22"/>
                <w:szCs w:val="22"/>
                <w:lang w:val="es-ES"/>
              </w:rPr>
              <w:t xml:space="preserve"> rifabutina </w:t>
            </w:r>
            <w:r w:rsidR="00270DDF" w:rsidRPr="00C52C4C">
              <w:rPr>
                <w:rFonts w:cs="Times New Roman"/>
                <w:sz w:val="22"/>
                <w:szCs w:val="22"/>
                <w:lang w:val="en-GB"/>
              </w:rPr>
              <w:sym w:font="Symbol" w:char="F0AD"/>
            </w:r>
            <w:r w:rsidRPr="00C52C4C">
              <w:rPr>
                <w:rFonts w:cs="Times New Roman"/>
                <w:sz w:val="22"/>
                <w:szCs w:val="22"/>
                <w:lang w:val="es-ES"/>
              </w:rPr>
              <w:t xml:space="preserve"> 331%</w:t>
            </w:r>
          </w:p>
          <w:p w14:paraId="71035D2A" w14:textId="77777777" w:rsidR="00AC5BF4" w:rsidRPr="00C52C4C" w:rsidRDefault="00AC5BF4" w:rsidP="00EE4A64">
            <w:pPr>
              <w:pStyle w:val="TableText"/>
              <w:tabs>
                <w:tab w:val="left" w:pos="216"/>
                <w:tab w:val="left" w:pos="360"/>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Comparado con 200 mg de voriconazol BID,</w:t>
            </w:r>
          </w:p>
          <w:p w14:paraId="291A168F" w14:textId="77777777" w:rsidR="00AC5BF4" w:rsidRPr="00C52C4C" w:rsidRDefault="00AC5BF4"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w:t>
            </w:r>
            <w:r w:rsidRPr="00C52C4C">
              <w:rPr>
                <w:rFonts w:cs="Times New Roman"/>
                <w:sz w:val="22"/>
                <w:szCs w:val="22"/>
                <w:vertAlign w:val="subscript"/>
                <w:lang w:val="es-ES"/>
              </w:rPr>
              <w:t>max</w:t>
            </w:r>
            <w:r w:rsidRPr="00C52C4C">
              <w:rPr>
                <w:rFonts w:cs="Times New Roman"/>
                <w:sz w:val="22"/>
                <w:szCs w:val="22"/>
                <w:lang w:val="es-ES"/>
              </w:rPr>
              <w:t xml:space="preserve"> voriconazol </w:t>
            </w:r>
            <w:r w:rsidR="00270DDF" w:rsidRPr="00C52C4C">
              <w:rPr>
                <w:rFonts w:cs="Times New Roman"/>
                <w:sz w:val="22"/>
                <w:szCs w:val="22"/>
                <w:lang w:val="en-GB"/>
              </w:rPr>
              <w:sym w:font="Symbol" w:char="F0AD"/>
            </w:r>
            <w:r w:rsidRPr="00C52C4C">
              <w:rPr>
                <w:rFonts w:cs="Times New Roman"/>
                <w:sz w:val="22"/>
                <w:szCs w:val="22"/>
                <w:lang w:val="es-ES"/>
              </w:rPr>
              <w:t xml:space="preserve"> 104%</w:t>
            </w:r>
            <w:r w:rsidRPr="00C52C4C">
              <w:rPr>
                <w:rFonts w:cs="Times New Roman"/>
                <w:sz w:val="22"/>
                <w:szCs w:val="22"/>
                <w:lang w:val="es-ES"/>
              </w:rPr>
              <w:br/>
              <w:t>AUC</w:t>
            </w:r>
            <w:r w:rsidRPr="00C52C4C">
              <w:rPr>
                <w:rFonts w:cs="Times New Roman"/>
                <w:sz w:val="22"/>
                <w:szCs w:val="22"/>
              </w:rPr>
              <w:sym w:font="Symbol" w:char="F074"/>
            </w:r>
            <w:r w:rsidRPr="00C52C4C">
              <w:rPr>
                <w:rFonts w:cs="Times New Roman"/>
                <w:sz w:val="22"/>
                <w:szCs w:val="22"/>
                <w:lang w:val="es-ES"/>
              </w:rPr>
              <w:t xml:space="preserve"> voriconazol </w:t>
            </w:r>
            <w:r w:rsidR="00270DDF" w:rsidRPr="00C52C4C">
              <w:rPr>
                <w:rFonts w:cs="Times New Roman"/>
                <w:sz w:val="22"/>
                <w:szCs w:val="22"/>
                <w:lang w:val="en-GB"/>
              </w:rPr>
              <w:sym w:font="Symbol" w:char="F0AD"/>
            </w:r>
            <w:r w:rsidRPr="00C52C4C">
              <w:rPr>
                <w:rFonts w:cs="Times New Roman"/>
                <w:sz w:val="22"/>
                <w:szCs w:val="22"/>
                <w:lang w:val="es-ES"/>
              </w:rPr>
              <w:t xml:space="preserve"> 87% </w:t>
            </w:r>
          </w:p>
        </w:tc>
        <w:tc>
          <w:tcPr>
            <w:tcW w:w="2835" w:type="dxa"/>
          </w:tcPr>
          <w:p w14:paraId="68E040FE" w14:textId="77777777" w:rsidR="00AC5BF4" w:rsidRPr="00C52C4C" w:rsidRDefault="00AC5BF4" w:rsidP="00EE4A64">
            <w:pPr>
              <w:pStyle w:val="TableText"/>
              <w:overflowPunct w:val="0"/>
              <w:autoSpaceDE w:val="0"/>
              <w:autoSpaceDN w:val="0"/>
              <w:adjustRightInd w:val="0"/>
              <w:spacing w:before="120"/>
              <w:textAlignment w:val="baseline"/>
              <w:rPr>
                <w:rFonts w:cs="Times New Roman"/>
                <w:sz w:val="22"/>
                <w:szCs w:val="22"/>
                <w:lang w:val="es-ES"/>
              </w:rPr>
            </w:pPr>
            <w:r w:rsidRPr="00C52C4C">
              <w:rPr>
                <w:rFonts w:cs="Times New Roman"/>
                <w:sz w:val="22"/>
                <w:szCs w:val="22"/>
                <w:lang w:val="es-ES"/>
              </w:rPr>
              <w:t xml:space="preserve">Se debe evitar la administración concomitante de voriconazol y rifabutina, a menos que los beneficios superen los riesgos. Se debe incrementar la dosis de mantenimiento de voriconazol a 5 mg/kg BID por vía intravenosa, o de </w:t>
            </w:r>
            <w:smartTag w:uri="urn:schemas-microsoft-com:office:smarttags" w:element="metricconverter">
              <w:smartTagPr>
                <w:attr w:name="ProductID" w:val="200 a"/>
              </w:smartTagPr>
              <w:r w:rsidRPr="00C52C4C">
                <w:rPr>
                  <w:rFonts w:cs="Times New Roman"/>
                  <w:sz w:val="22"/>
                  <w:szCs w:val="22"/>
                  <w:lang w:val="es-ES"/>
                </w:rPr>
                <w:t>200 a</w:t>
              </w:r>
            </w:smartTag>
            <w:r w:rsidRPr="00C52C4C">
              <w:rPr>
                <w:rFonts w:cs="Times New Roman"/>
                <w:sz w:val="22"/>
                <w:szCs w:val="22"/>
                <w:lang w:val="es-ES"/>
              </w:rPr>
              <w:t xml:space="preserve"> 350 mg BID por vía oral (100 mg a 200 mg BID por vía oral en pacientes con un peso inferior a </w:t>
            </w:r>
            <w:smartTag w:uri="urn:schemas-microsoft-com:office:smarttags" w:element="metricconverter">
              <w:smartTagPr>
                <w:attr w:name="ProductID" w:val="40 kg"/>
              </w:smartTagPr>
              <w:r w:rsidRPr="00C52C4C">
                <w:rPr>
                  <w:rFonts w:cs="Times New Roman"/>
                  <w:sz w:val="22"/>
                  <w:szCs w:val="22"/>
                  <w:lang w:val="es-ES"/>
                </w:rPr>
                <w:t>40 kg</w:t>
              </w:r>
            </w:smartTag>
            <w:r w:rsidRPr="00C52C4C">
              <w:rPr>
                <w:rFonts w:cs="Times New Roman"/>
                <w:sz w:val="22"/>
                <w:szCs w:val="22"/>
                <w:lang w:val="es-ES"/>
              </w:rPr>
              <w:t>) (ver sección 4.2). Se recomienda monitorizar estrechamente el recuento total de células sanguíneas y las reacciones adversas de rifabutina (p.ej. uveítis) cuando se administra rifabutina concomitantemente con voriconazol.</w:t>
            </w:r>
          </w:p>
        </w:tc>
      </w:tr>
      <w:tr w:rsidR="00D061AA" w:rsidRPr="00C52C4C" w14:paraId="363E98E4" w14:textId="77777777" w:rsidTr="00AC5BF4">
        <w:trPr>
          <w:jc w:val="center"/>
        </w:trPr>
        <w:tc>
          <w:tcPr>
            <w:tcW w:w="2696" w:type="dxa"/>
            <w:vAlign w:val="center"/>
          </w:tcPr>
          <w:p w14:paraId="338D0179"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lastRenderedPageBreak/>
              <w:t xml:space="preserve">Rifampicina (600 mg QD) </w:t>
            </w:r>
            <w:r w:rsidRPr="00C52C4C">
              <w:rPr>
                <w:rFonts w:cs="Times New Roman"/>
                <w:i/>
                <w:sz w:val="22"/>
                <w:szCs w:val="22"/>
                <w:lang w:val="es-ES"/>
              </w:rPr>
              <w:t xml:space="preserve">[inductor potente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P450]</w:t>
            </w:r>
          </w:p>
        </w:tc>
        <w:tc>
          <w:tcPr>
            <w:tcW w:w="3685" w:type="dxa"/>
            <w:vAlign w:val="center"/>
          </w:tcPr>
          <w:p w14:paraId="437E5BA5"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rPr>
            </w:pPr>
            <w:r w:rsidRPr="00C52C4C">
              <w:rPr>
                <w:rFonts w:cs="Times New Roman"/>
                <w:sz w:val="22"/>
                <w:szCs w:val="22"/>
              </w:rPr>
              <w:t>C</w:t>
            </w:r>
            <w:r w:rsidRPr="00C52C4C">
              <w:rPr>
                <w:rFonts w:cs="Times New Roman"/>
                <w:sz w:val="22"/>
                <w:szCs w:val="22"/>
                <w:vertAlign w:val="subscript"/>
              </w:rPr>
              <w:t>max</w:t>
            </w:r>
            <w:r w:rsidRPr="00C52C4C">
              <w:rPr>
                <w:rFonts w:cs="Times New Roman"/>
                <w:sz w:val="22"/>
                <w:szCs w:val="22"/>
              </w:rPr>
              <w:t xml:space="preserve"> voriconazol </w:t>
            </w:r>
            <w:r w:rsidR="00270DDF" w:rsidRPr="00C52C4C">
              <w:rPr>
                <w:rFonts w:cs="Times New Roman"/>
                <w:sz w:val="22"/>
                <w:szCs w:val="22"/>
              </w:rPr>
              <w:sym w:font="Symbol" w:char="F0AF"/>
            </w:r>
            <w:r w:rsidR="00270DDF" w:rsidRPr="00C52C4C">
              <w:rPr>
                <w:rFonts w:cs="Times New Roman"/>
                <w:sz w:val="22"/>
                <w:szCs w:val="22"/>
              </w:rPr>
              <w:t xml:space="preserve"> </w:t>
            </w:r>
            <w:r w:rsidRPr="00C52C4C">
              <w:rPr>
                <w:rFonts w:cs="Times New Roman"/>
                <w:sz w:val="22"/>
                <w:szCs w:val="22"/>
              </w:rPr>
              <w:t xml:space="preserve"> 93%</w:t>
            </w:r>
            <w:r w:rsidRPr="00C52C4C">
              <w:rPr>
                <w:rFonts w:cs="Times New Roman"/>
                <w:sz w:val="22"/>
                <w:szCs w:val="22"/>
              </w:rPr>
              <w:br/>
              <w:t>AUC</w:t>
            </w:r>
            <w:r w:rsidRPr="00C52C4C">
              <w:rPr>
                <w:rFonts w:cs="Times New Roman"/>
                <w:sz w:val="22"/>
                <w:szCs w:val="22"/>
              </w:rPr>
              <w:sym w:font="Symbol" w:char="F074"/>
            </w:r>
            <w:r w:rsidRPr="00C52C4C">
              <w:rPr>
                <w:rFonts w:cs="Times New Roman"/>
                <w:sz w:val="22"/>
                <w:szCs w:val="22"/>
              </w:rPr>
              <w:t xml:space="preserve"> voriconazol </w:t>
            </w:r>
            <w:r w:rsidR="00270DDF" w:rsidRPr="00C52C4C">
              <w:rPr>
                <w:rFonts w:cs="Times New Roman"/>
                <w:sz w:val="22"/>
                <w:szCs w:val="22"/>
              </w:rPr>
              <w:sym w:font="Symbol" w:char="F0AF"/>
            </w:r>
            <w:r w:rsidR="00270DDF" w:rsidRPr="00C52C4C">
              <w:rPr>
                <w:rFonts w:cs="Times New Roman"/>
                <w:sz w:val="22"/>
                <w:szCs w:val="22"/>
              </w:rPr>
              <w:t xml:space="preserve"> </w:t>
            </w:r>
            <w:r w:rsidRPr="00C52C4C">
              <w:rPr>
                <w:rFonts w:cs="Times New Roman"/>
                <w:sz w:val="22"/>
                <w:szCs w:val="22"/>
              </w:rPr>
              <w:t>96%</w:t>
            </w:r>
          </w:p>
        </w:tc>
        <w:tc>
          <w:tcPr>
            <w:tcW w:w="2835" w:type="dxa"/>
            <w:vAlign w:val="center"/>
          </w:tcPr>
          <w:p w14:paraId="618E96DD"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rPr>
            </w:pPr>
            <w:r w:rsidRPr="00C52C4C">
              <w:rPr>
                <w:rFonts w:cs="Times New Roman"/>
                <w:b/>
                <w:sz w:val="22"/>
                <w:szCs w:val="22"/>
              </w:rPr>
              <w:t>Contraindicado</w:t>
            </w:r>
            <w:r w:rsidRPr="00C52C4C" w:rsidDel="00D940F8">
              <w:rPr>
                <w:rFonts w:cs="Times New Roman"/>
                <w:sz w:val="22"/>
                <w:szCs w:val="22"/>
              </w:rPr>
              <w:t xml:space="preserve"> </w:t>
            </w:r>
            <w:r w:rsidRPr="00C52C4C">
              <w:rPr>
                <w:rFonts w:cs="Times New Roman"/>
                <w:sz w:val="22"/>
                <w:szCs w:val="22"/>
              </w:rPr>
              <w:t>(ver sección 4.3)</w:t>
            </w:r>
          </w:p>
        </w:tc>
      </w:tr>
      <w:tr w:rsidR="00F65F25" w:rsidRPr="00C52C4C" w14:paraId="2423EA0F" w14:textId="77777777" w:rsidTr="001A6310">
        <w:trPr>
          <w:trHeight w:val="4882"/>
          <w:jc w:val="center"/>
        </w:trPr>
        <w:tc>
          <w:tcPr>
            <w:tcW w:w="2696" w:type="dxa"/>
          </w:tcPr>
          <w:p w14:paraId="1A7C3F4B" w14:textId="77777777" w:rsidR="00F65F25" w:rsidRPr="00C52C4C" w:rsidRDefault="00F65F25"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 xml:space="preserve">Ritonavir (inhibidor de la proteasa) </w:t>
            </w:r>
          </w:p>
          <w:p w14:paraId="2B94D945" w14:textId="77777777" w:rsidR="00F65F25" w:rsidRDefault="00F65F25" w:rsidP="00EE4A64">
            <w:pPr>
              <w:pStyle w:val="TableText"/>
              <w:overflowPunct w:val="0"/>
              <w:autoSpaceDE w:val="0"/>
              <w:autoSpaceDN w:val="0"/>
              <w:adjustRightInd w:val="0"/>
              <w:textAlignment w:val="baseline"/>
              <w:rPr>
                <w:rFonts w:cs="Times New Roman"/>
                <w:i/>
                <w:sz w:val="22"/>
                <w:szCs w:val="22"/>
                <w:lang w:val="es-ES"/>
              </w:rPr>
            </w:pPr>
            <w:r w:rsidRPr="00C52C4C">
              <w:rPr>
                <w:rFonts w:cs="Times New Roman"/>
                <w:i/>
                <w:sz w:val="22"/>
                <w:szCs w:val="22"/>
                <w:lang w:val="es-ES"/>
              </w:rPr>
              <w:t xml:space="preserve">[inductor potente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 xml:space="preserve">P450; inhibidor y sustrato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P3A4 ]</w:t>
            </w:r>
          </w:p>
          <w:p w14:paraId="085FE850" w14:textId="77777777" w:rsidR="00F65F25" w:rsidRPr="00C52C4C" w:rsidRDefault="00F65F25" w:rsidP="00EE4A64">
            <w:pPr>
              <w:pStyle w:val="TableText"/>
              <w:overflowPunct w:val="0"/>
              <w:autoSpaceDE w:val="0"/>
              <w:autoSpaceDN w:val="0"/>
              <w:adjustRightInd w:val="0"/>
              <w:textAlignment w:val="baseline"/>
              <w:rPr>
                <w:rFonts w:cs="Times New Roman"/>
                <w:sz w:val="22"/>
                <w:szCs w:val="22"/>
                <w:lang w:val="es-ES_tradnl"/>
              </w:rPr>
            </w:pPr>
          </w:p>
          <w:p w14:paraId="625FFA09" w14:textId="77777777" w:rsidR="00F65F25" w:rsidRPr="00C52C4C" w:rsidRDefault="00F65F25" w:rsidP="00EE4A64">
            <w:pPr>
              <w:pStyle w:val="TableText"/>
              <w:overflowPunct w:val="0"/>
              <w:autoSpaceDE w:val="0"/>
              <w:autoSpaceDN w:val="0"/>
              <w:adjustRightInd w:val="0"/>
              <w:ind w:left="144"/>
              <w:textAlignment w:val="baseline"/>
              <w:rPr>
                <w:rFonts w:cs="Times New Roman"/>
                <w:sz w:val="22"/>
                <w:szCs w:val="22"/>
                <w:lang w:val="es-ES_tradnl"/>
              </w:rPr>
            </w:pPr>
            <w:r w:rsidRPr="00C52C4C">
              <w:rPr>
                <w:rFonts w:cs="Times New Roman"/>
                <w:sz w:val="22"/>
                <w:szCs w:val="22"/>
              </w:rPr>
              <w:t>Dosis alta (400 mg BID)</w:t>
            </w:r>
          </w:p>
          <w:p w14:paraId="17081539" w14:textId="77777777" w:rsidR="00F65F25" w:rsidRDefault="00F65F25" w:rsidP="00EE4A64">
            <w:pPr>
              <w:pStyle w:val="TableText"/>
              <w:overflowPunct w:val="0"/>
              <w:autoSpaceDE w:val="0"/>
              <w:autoSpaceDN w:val="0"/>
              <w:adjustRightInd w:val="0"/>
              <w:ind w:left="144"/>
              <w:textAlignment w:val="baseline"/>
              <w:rPr>
                <w:rFonts w:cs="Times New Roman"/>
                <w:sz w:val="22"/>
                <w:szCs w:val="22"/>
              </w:rPr>
            </w:pPr>
          </w:p>
          <w:p w14:paraId="2C22D90A" w14:textId="77777777" w:rsidR="00F65F25" w:rsidRDefault="00F65F25" w:rsidP="00EE4A64">
            <w:pPr>
              <w:pStyle w:val="TableText"/>
              <w:overflowPunct w:val="0"/>
              <w:autoSpaceDE w:val="0"/>
              <w:autoSpaceDN w:val="0"/>
              <w:adjustRightInd w:val="0"/>
              <w:ind w:left="144"/>
              <w:textAlignment w:val="baseline"/>
              <w:rPr>
                <w:rFonts w:cs="Times New Roman"/>
                <w:sz w:val="22"/>
                <w:szCs w:val="22"/>
              </w:rPr>
            </w:pPr>
          </w:p>
          <w:p w14:paraId="4FED2A5A" w14:textId="77777777" w:rsidR="00F65F25" w:rsidRDefault="00F65F25" w:rsidP="00EE4A64">
            <w:pPr>
              <w:pStyle w:val="TableText"/>
              <w:overflowPunct w:val="0"/>
              <w:autoSpaceDE w:val="0"/>
              <w:autoSpaceDN w:val="0"/>
              <w:adjustRightInd w:val="0"/>
              <w:ind w:left="144"/>
              <w:textAlignment w:val="baseline"/>
              <w:rPr>
                <w:rFonts w:cs="Times New Roman"/>
                <w:sz w:val="22"/>
                <w:szCs w:val="22"/>
              </w:rPr>
            </w:pPr>
          </w:p>
          <w:p w14:paraId="587E90BE" w14:textId="77777777" w:rsidR="00F65F25" w:rsidRDefault="00F65F25" w:rsidP="00EE4A64">
            <w:pPr>
              <w:pStyle w:val="TableText"/>
              <w:overflowPunct w:val="0"/>
              <w:autoSpaceDE w:val="0"/>
              <w:autoSpaceDN w:val="0"/>
              <w:adjustRightInd w:val="0"/>
              <w:ind w:left="144"/>
              <w:textAlignment w:val="baseline"/>
              <w:rPr>
                <w:rFonts w:cs="Times New Roman"/>
                <w:sz w:val="22"/>
                <w:szCs w:val="22"/>
              </w:rPr>
            </w:pPr>
          </w:p>
          <w:p w14:paraId="0A839EE5" w14:textId="77777777" w:rsidR="00F65F25" w:rsidRDefault="00F65F25" w:rsidP="00EE4A64">
            <w:pPr>
              <w:pStyle w:val="TableText"/>
              <w:overflowPunct w:val="0"/>
              <w:autoSpaceDE w:val="0"/>
              <w:autoSpaceDN w:val="0"/>
              <w:adjustRightInd w:val="0"/>
              <w:ind w:left="144"/>
              <w:textAlignment w:val="baseline"/>
              <w:rPr>
                <w:rFonts w:cs="Times New Roman"/>
                <w:sz w:val="22"/>
                <w:szCs w:val="22"/>
              </w:rPr>
            </w:pPr>
          </w:p>
          <w:p w14:paraId="767370CF" w14:textId="77777777" w:rsidR="00F65F25" w:rsidRPr="00C52C4C" w:rsidRDefault="00F65F25" w:rsidP="00EE4A64">
            <w:pPr>
              <w:pStyle w:val="TableText"/>
              <w:overflowPunct w:val="0"/>
              <w:autoSpaceDE w:val="0"/>
              <w:autoSpaceDN w:val="0"/>
              <w:adjustRightInd w:val="0"/>
              <w:ind w:left="144"/>
              <w:textAlignment w:val="baseline"/>
              <w:rPr>
                <w:rFonts w:cs="Times New Roman"/>
                <w:sz w:val="22"/>
                <w:szCs w:val="22"/>
                <w:lang w:val="es-ES_tradnl"/>
              </w:rPr>
            </w:pPr>
            <w:r w:rsidRPr="00C52C4C">
              <w:rPr>
                <w:rFonts w:cs="Times New Roman"/>
                <w:sz w:val="22"/>
                <w:szCs w:val="22"/>
              </w:rPr>
              <w:t>Dosis baja (100 mg BID)</w:t>
            </w:r>
            <w:r w:rsidRPr="00C52C4C">
              <w:rPr>
                <w:rFonts w:cs="Times New Roman"/>
                <w:sz w:val="22"/>
                <w:szCs w:val="22"/>
                <w:vertAlign w:val="superscript"/>
              </w:rPr>
              <w:t>*</w:t>
            </w:r>
          </w:p>
        </w:tc>
        <w:tc>
          <w:tcPr>
            <w:tcW w:w="3685" w:type="dxa"/>
          </w:tcPr>
          <w:p w14:paraId="45BBA930" w14:textId="77777777" w:rsidR="00F65F25" w:rsidRPr="00824411" w:rsidRDefault="00F65F25" w:rsidP="00EE4A64">
            <w:pPr>
              <w:pStyle w:val="TableText"/>
              <w:overflowPunct w:val="0"/>
              <w:autoSpaceDE w:val="0"/>
              <w:autoSpaceDN w:val="0"/>
              <w:adjustRightInd w:val="0"/>
              <w:textAlignment w:val="baseline"/>
              <w:rPr>
                <w:rFonts w:cs="Times New Roman"/>
                <w:sz w:val="22"/>
                <w:szCs w:val="22"/>
                <w:lang w:val="es-ES"/>
              </w:rPr>
            </w:pPr>
          </w:p>
          <w:p w14:paraId="4B56772B" w14:textId="77777777" w:rsidR="00F65F25" w:rsidRPr="00824411" w:rsidRDefault="00F65F25" w:rsidP="00EE4A64">
            <w:pPr>
              <w:pStyle w:val="TableText"/>
              <w:overflowPunct w:val="0"/>
              <w:autoSpaceDE w:val="0"/>
              <w:autoSpaceDN w:val="0"/>
              <w:adjustRightInd w:val="0"/>
              <w:textAlignment w:val="baseline"/>
              <w:rPr>
                <w:rFonts w:cs="Times New Roman"/>
                <w:sz w:val="22"/>
                <w:szCs w:val="22"/>
                <w:lang w:val="es-ES"/>
              </w:rPr>
            </w:pPr>
          </w:p>
          <w:p w14:paraId="4F269991" w14:textId="77777777" w:rsidR="00F65F25" w:rsidRPr="00824411" w:rsidRDefault="00F65F25" w:rsidP="00EE4A64">
            <w:pPr>
              <w:pStyle w:val="TableText"/>
              <w:overflowPunct w:val="0"/>
              <w:autoSpaceDE w:val="0"/>
              <w:autoSpaceDN w:val="0"/>
              <w:adjustRightInd w:val="0"/>
              <w:textAlignment w:val="baseline"/>
              <w:rPr>
                <w:rFonts w:cs="Times New Roman"/>
                <w:sz w:val="22"/>
                <w:szCs w:val="22"/>
                <w:lang w:val="es-ES"/>
              </w:rPr>
            </w:pPr>
          </w:p>
          <w:p w14:paraId="16DE2D90" w14:textId="77777777" w:rsidR="00F65F25" w:rsidRPr="00824411" w:rsidRDefault="00F65F25" w:rsidP="00EE4A64">
            <w:pPr>
              <w:pStyle w:val="TableText"/>
              <w:overflowPunct w:val="0"/>
              <w:autoSpaceDE w:val="0"/>
              <w:autoSpaceDN w:val="0"/>
              <w:adjustRightInd w:val="0"/>
              <w:textAlignment w:val="baseline"/>
              <w:rPr>
                <w:rFonts w:cs="Times New Roman"/>
                <w:sz w:val="22"/>
                <w:szCs w:val="22"/>
                <w:lang w:val="es-ES"/>
              </w:rPr>
            </w:pPr>
          </w:p>
          <w:p w14:paraId="6486B7A4" w14:textId="77777777" w:rsidR="00F65F25" w:rsidRPr="00824411" w:rsidRDefault="00F65F25" w:rsidP="00EE4A64">
            <w:pPr>
              <w:pStyle w:val="TableText"/>
              <w:overflowPunct w:val="0"/>
              <w:autoSpaceDE w:val="0"/>
              <w:autoSpaceDN w:val="0"/>
              <w:adjustRightInd w:val="0"/>
              <w:textAlignment w:val="baseline"/>
              <w:rPr>
                <w:rFonts w:cs="Times New Roman"/>
                <w:sz w:val="22"/>
                <w:szCs w:val="22"/>
                <w:lang w:val="es-ES"/>
              </w:rPr>
            </w:pPr>
          </w:p>
          <w:p w14:paraId="1F3FEF9D" w14:textId="77777777" w:rsidR="00F65F25" w:rsidRPr="00824411" w:rsidRDefault="00F65F25" w:rsidP="00EE4A64">
            <w:pPr>
              <w:pStyle w:val="TableText"/>
              <w:overflowPunct w:val="0"/>
              <w:autoSpaceDE w:val="0"/>
              <w:autoSpaceDN w:val="0"/>
              <w:adjustRightInd w:val="0"/>
              <w:textAlignment w:val="baseline"/>
              <w:rPr>
                <w:rFonts w:cs="Times New Roman"/>
                <w:sz w:val="22"/>
                <w:szCs w:val="22"/>
                <w:lang w:val="es-ES"/>
              </w:rPr>
            </w:pPr>
          </w:p>
          <w:p w14:paraId="72D81620" w14:textId="77777777" w:rsidR="00F65F25" w:rsidRPr="00C52C4C" w:rsidRDefault="00F65F25" w:rsidP="00EE4A64">
            <w:pPr>
              <w:pStyle w:val="TableText"/>
              <w:overflowPunct w:val="0"/>
              <w:autoSpaceDE w:val="0"/>
              <w:autoSpaceDN w:val="0"/>
              <w:adjustRightInd w:val="0"/>
              <w:textAlignment w:val="baseline"/>
              <w:rPr>
                <w:rFonts w:cs="Times New Roman"/>
                <w:sz w:val="22"/>
                <w:szCs w:val="22"/>
                <w:lang w:val="es-ES"/>
              </w:rPr>
            </w:pPr>
            <w:r w:rsidRPr="00824411">
              <w:rPr>
                <w:rFonts w:cs="Times New Roman"/>
                <w:sz w:val="22"/>
                <w:szCs w:val="22"/>
                <w:lang w:val="es-ES"/>
              </w:rPr>
              <w:t>C</w:t>
            </w:r>
            <w:r w:rsidRPr="00824411">
              <w:rPr>
                <w:rFonts w:cs="Times New Roman"/>
                <w:sz w:val="22"/>
                <w:szCs w:val="22"/>
                <w:vertAlign w:val="subscript"/>
                <w:lang w:val="es-ES"/>
              </w:rPr>
              <w:t>max</w:t>
            </w:r>
            <w:r w:rsidRPr="00824411">
              <w:rPr>
                <w:rFonts w:cs="Times New Roman"/>
                <w:sz w:val="22"/>
                <w:szCs w:val="22"/>
                <w:lang w:val="es-ES"/>
              </w:rPr>
              <w:t xml:space="preserve"> y AUC</w:t>
            </w:r>
            <w:r w:rsidRPr="00C52C4C">
              <w:rPr>
                <w:rFonts w:cs="Times New Roman"/>
                <w:sz w:val="22"/>
                <w:szCs w:val="22"/>
              </w:rPr>
              <w:sym w:font="Symbol" w:char="F074"/>
            </w:r>
            <w:r w:rsidRPr="00824411">
              <w:rPr>
                <w:rFonts w:cs="Times New Roman"/>
                <w:sz w:val="22"/>
                <w:szCs w:val="22"/>
                <w:lang w:val="es-ES"/>
              </w:rPr>
              <w:t xml:space="preserve"> ritonavir ↔</w:t>
            </w:r>
            <w:r w:rsidRPr="00824411">
              <w:rPr>
                <w:rFonts w:cs="Times New Roman"/>
                <w:sz w:val="22"/>
                <w:szCs w:val="22"/>
                <w:lang w:val="es-ES"/>
              </w:rPr>
              <w:br/>
              <w:t>C</w:t>
            </w:r>
            <w:r w:rsidRPr="00824411">
              <w:rPr>
                <w:rFonts w:cs="Times New Roman"/>
                <w:sz w:val="22"/>
                <w:szCs w:val="22"/>
                <w:vertAlign w:val="subscript"/>
                <w:lang w:val="es-ES"/>
              </w:rPr>
              <w:t>max</w:t>
            </w:r>
            <w:r w:rsidRPr="00824411">
              <w:rPr>
                <w:rFonts w:cs="Times New Roman"/>
                <w:sz w:val="22"/>
                <w:szCs w:val="22"/>
                <w:lang w:val="es-ES"/>
              </w:rPr>
              <w:t xml:space="preserve"> voriconazol </w:t>
            </w:r>
            <w:r w:rsidRPr="00C52C4C">
              <w:rPr>
                <w:rFonts w:cs="Times New Roman"/>
                <w:sz w:val="22"/>
                <w:szCs w:val="22"/>
              </w:rPr>
              <w:sym w:font="Symbol" w:char="F0AF"/>
            </w:r>
            <w:r w:rsidRPr="00824411">
              <w:rPr>
                <w:rFonts w:cs="Times New Roman"/>
                <w:sz w:val="22"/>
                <w:szCs w:val="22"/>
                <w:lang w:val="es-ES"/>
              </w:rPr>
              <w:t xml:space="preserve"> 66%</w:t>
            </w:r>
            <w:r w:rsidRPr="00824411">
              <w:rPr>
                <w:rFonts w:cs="Times New Roman"/>
                <w:sz w:val="22"/>
                <w:szCs w:val="22"/>
                <w:lang w:val="es-ES"/>
              </w:rPr>
              <w:br/>
              <w:t>AUC</w:t>
            </w:r>
            <w:r w:rsidRPr="00C52C4C">
              <w:rPr>
                <w:rFonts w:cs="Times New Roman"/>
                <w:sz w:val="22"/>
                <w:szCs w:val="22"/>
              </w:rPr>
              <w:sym w:font="Symbol" w:char="F074"/>
            </w:r>
            <w:r w:rsidRPr="00824411">
              <w:rPr>
                <w:rFonts w:cs="Times New Roman"/>
                <w:sz w:val="22"/>
                <w:szCs w:val="22"/>
                <w:lang w:val="es-ES"/>
              </w:rPr>
              <w:t xml:space="preserve"> voriconazol </w:t>
            </w:r>
            <w:r w:rsidRPr="00C52C4C">
              <w:rPr>
                <w:rFonts w:cs="Times New Roman"/>
                <w:sz w:val="22"/>
                <w:szCs w:val="22"/>
              </w:rPr>
              <w:sym w:font="Symbol" w:char="F0AF"/>
            </w:r>
            <w:r w:rsidRPr="00824411">
              <w:rPr>
                <w:rFonts w:cs="Times New Roman"/>
                <w:sz w:val="22"/>
                <w:szCs w:val="22"/>
                <w:lang w:val="es-ES"/>
              </w:rPr>
              <w:t xml:space="preserve"> 82%</w:t>
            </w:r>
          </w:p>
          <w:p w14:paraId="66D5BD63" w14:textId="77777777" w:rsidR="00F65F25" w:rsidRPr="00824411" w:rsidRDefault="00F65F25" w:rsidP="00EE4A64">
            <w:pPr>
              <w:pStyle w:val="TableText"/>
              <w:overflowPunct w:val="0"/>
              <w:autoSpaceDE w:val="0"/>
              <w:autoSpaceDN w:val="0"/>
              <w:adjustRightInd w:val="0"/>
              <w:textAlignment w:val="baseline"/>
              <w:rPr>
                <w:rFonts w:cs="Times New Roman"/>
                <w:sz w:val="22"/>
                <w:szCs w:val="22"/>
                <w:lang w:val="es-ES"/>
              </w:rPr>
            </w:pPr>
          </w:p>
          <w:p w14:paraId="30CF713B" w14:textId="77777777" w:rsidR="00F65F25" w:rsidRPr="00824411" w:rsidRDefault="00F65F25" w:rsidP="00EE4A64">
            <w:pPr>
              <w:pStyle w:val="TableText"/>
              <w:overflowPunct w:val="0"/>
              <w:autoSpaceDE w:val="0"/>
              <w:autoSpaceDN w:val="0"/>
              <w:adjustRightInd w:val="0"/>
              <w:textAlignment w:val="baseline"/>
              <w:rPr>
                <w:rFonts w:cs="Times New Roman"/>
                <w:sz w:val="22"/>
                <w:szCs w:val="22"/>
                <w:lang w:val="es-ES"/>
              </w:rPr>
            </w:pPr>
          </w:p>
          <w:p w14:paraId="2137BE5A" w14:textId="77777777" w:rsidR="00F65F25" w:rsidRPr="00C52C4C" w:rsidRDefault="00F65F25" w:rsidP="00526830">
            <w:pPr>
              <w:pStyle w:val="TableText"/>
              <w:overflowPunct w:val="0"/>
              <w:autoSpaceDE w:val="0"/>
              <w:autoSpaceDN w:val="0"/>
              <w:adjustRightInd w:val="0"/>
              <w:textAlignment w:val="baseline"/>
              <w:rPr>
                <w:rFonts w:cs="Times New Roman"/>
                <w:sz w:val="22"/>
                <w:szCs w:val="22"/>
                <w:lang w:val="es-ES"/>
              </w:rPr>
            </w:pPr>
            <w:r w:rsidRPr="00824411">
              <w:rPr>
                <w:rFonts w:cs="Times New Roman"/>
                <w:sz w:val="22"/>
                <w:szCs w:val="22"/>
                <w:lang w:val="es-ES"/>
              </w:rPr>
              <w:t>C</w:t>
            </w:r>
            <w:r w:rsidRPr="00824411">
              <w:rPr>
                <w:rFonts w:cs="Times New Roman"/>
                <w:sz w:val="22"/>
                <w:szCs w:val="22"/>
                <w:vertAlign w:val="subscript"/>
                <w:lang w:val="es-ES"/>
              </w:rPr>
              <w:t>max</w:t>
            </w:r>
            <w:r w:rsidRPr="00824411">
              <w:rPr>
                <w:rFonts w:cs="Times New Roman"/>
                <w:sz w:val="22"/>
                <w:szCs w:val="22"/>
                <w:lang w:val="es-ES"/>
              </w:rPr>
              <w:t xml:space="preserve"> ritonavir </w:t>
            </w:r>
            <w:r w:rsidRPr="00C52C4C">
              <w:rPr>
                <w:rFonts w:cs="Times New Roman"/>
                <w:sz w:val="22"/>
                <w:szCs w:val="22"/>
              </w:rPr>
              <w:sym w:font="Symbol" w:char="F0AF"/>
            </w:r>
            <w:r w:rsidRPr="00824411">
              <w:rPr>
                <w:rFonts w:cs="Times New Roman"/>
                <w:sz w:val="22"/>
                <w:szCs w:val="22"/>
                <w:lang w:val="es-ES"/>
              </w:rPr>
              <w:t xml:space="preserve"> 25%</w:t>
            </w:r>
            <w:r w:rsidRPr="00824411">
              <w:rPr>
                <w:rFonts w:cs="Times New Roman"/>
                <w:sz w:val="22"/>
                <w:szCs w:val="22"/>
                <w:lang w:val="es-ES"/>
              </w:rPr>
              <w:br/>
              <w:t>AUC</w:t>
            </w:r>
            <w:r w:rsidRPr="00C52C4C">
              <w:rPr>
                <w:rFonts w:cs="Times New Roman"/>
                <w:sz w:val="22"/>
                <w:szCs w:val="22"/>
              </w:rPr>
              <w:sym w:font="Symbol" w:char="F074"/>
            </w:r>
            <w:r w:rsidRPr="00824411">
              <w:rPr>
                <w:rFonts w:cs="Times New Roman"/>
                <w:sz w:val="22"/>
                <w:szCs w:val="22"/>
                <w:lang w:val="es-ES"/>
              </w:rPr>
              <w:t xml:space="preserve"> ritonavir </w:t>
            </w:r>
            <w:r w:rsidRPr="00C52C4C">
              <w:rPr>
                <w:rFonts w:cs="Times New Roman"/>
                <w:sz w:val="22"/>
                <w:szCs w:val="22"/>
              </w:rPr>
              <w:sym w:font="Symbol" w:char="F0AF"/>
            </w:r>
            <w:r w:rsidRPr="00824411">
              <w:rPr>
                <w:rFonts w:cs="Times New Roman"/>
                <w:sz w:val="22"/>
                <w:szCs w:val="22"/>
                <w:lang w:val="es-ES"/>
              </w:rPr>
              <w:t xml:space="preserve"> 13%</w:t>
            </w:r>
            <w:r w:rsidRPr="00824411">
              <w:rPr>
                <w:rFonts w:cs="Times New Roman"/>
                <w:sz w:val="22"/>
                <w:szCs w:val="22"/>
                <w:lang w:val="es-ES"/>
              </w:rPr>
              <w:br/>
              <w:t>C</w:t>
            </w:r>
            <w:r w:rsidRPr="00824411">
              <w:rPr>
                <w:rFonts w:cs="Times New Roman"/>
                <w:sz w:val="22"/>
                <w:szCs w:val="22"/>
                <w:vertAlign w:val="subscript"/>
                <w:lang w:val="es-ES"/>
              </w:rPr>
              <w:t>max</w:t>
            </w:r>
            <w:r w:rsidRPr="00824411">
              <w:rPr>
                <w:rFonts w:cs="Times New Roman"/>
                <w:sz w:val="22"/>
                <w:szCs w:val="22"/>
                <w:lang w:val="es-ES"/>
              </w:rPr>
              <w:t xml:space="preserve"> voriconazol </w:t>
            </w:r>
            <w:r w:rsidRPr="00C52C4C">
              <w:rPr>
                <w:rFonts w:cs="Times New Roman"/>
                <w:sz w:val="22"/>
                <w:szCs w:val="22"/>
              </w:rPr>
              <w:sym w:font="Symbol" w:char="F0AF"/>
            </w:r>
            <w:r w:rsidRPr="00824411">
              <w:rPr>
                <w:rFonts w:cs="Times New Roman"/>
                <w:sz w:val="22"/>
                <w:szCs w:val="22"/>
                <w:lang w:val="es-ES"/>
              </w:rPr>
              <w:t xml:space="preserve"> 24%</w:t>
            </w:r>
            <w:r w:rsidRPr="00824411">
              <w:rPr>
                <w:rFonts w:cs="Times New Roman"/>
                <w:sz w:val="22"/>
                <w:szCs w:val="22"/>
                <w:lang w:val="es-ES"/>
              </w:rPr>
              <w:br/>
              <w:t xml:space="preserve">AUC </w:t>
            </w:r>
            <w:r w:rsidRPr="00C52C4C">
              <w:rPr>
                <w:rFonts w:cs="Times New Roman"/>
                <w:sz w:val="22"/>
                <w:szCs w:val="22"/>
              </w:rPr>
              <w:sym w:font="Symbol" w:char="F074"/>
            </w:r>
            <w:r w:rsidRPr="00824411">
              <w:rPr>
                <w:rFonts w:cs="Times New Roman"/>
                <w:sz w:val="22"/>
                <w:szCs w:val="22"/>
                <w:lang w:val="es-ES"/>
              </w:rPr>
              <w:t xml:space="preserve"> voriconazol </w:t>
            </w:r>
            <w:r w:rsidRPr="00C52C4C">
              <w:rPr>
                <w:rFonts w:cs="Times New Roman"/>
                <w:sz w:val="22"/>
                <w:szCs w:val="22"/>
              </w:rPr>
              <w:sym w:font="Symbol" w:char="F0AF"/>
            </w:r>
            <w:r w:rsidRPr="00824411">
              <w:rPr>
                <w:rFonts w:cs="Times New Roman"/>
                <w:sz w:val="22"/>
                <w:szCs w:val="22"/>
                <w:lang w:val="es-ES"/>
              </w:rPr>
              <w:t xml:space="preserve"> 39%</w:t>
            </w:r>
          </w:p>
        </w:tc>
        <w:tc>
          <w:tcPr>
            <w:tcW w:w="2835" w:type="dxa"/>
          </w:tcPr>
          <w:p w14:paraId="728E34F8" w14:textId="77777777" w:rsidR="00F65F25" w:rsidRDefault="00F65F25" w:rsidP="00EE4A64">
            <w:pPr>
              <w:pStyle w:val="TableText"/>
              <w:overflowPunct w:val="0"/>
              <w:autoSpaceDE w:val="0"/>
              <w:autoSpaceDN w:val="0"/>
              <w:adjustRightInd w:val="0"/>
              <w:textAlignment w:val="baseline"/>
              <w:rPr>
                <w:rFonts w:cs="Times New Roman"/>
                <w:sz w:val="22"/>
                <w:szCs w:val="22"/>
                <w:lang w:val="es-ES"/>
              </w:rPr>
            </w:pPr>
          </w:p>
          <w:p w14:paraId="549309B9" w14:textId="77777777" w:rsidR="00F65F25" w:rsidRDefault="00F65F25" w:rsidP="00EE4A64">
            <w:pPr>
              <w:pStyle w:val="TableText"/>
              <w:overflowPunct w:val="0"/>
              <w:autoSpaceDE w:val="0"/>
              <w:autoSpaceDN w:val="0"/>
              <w:adjustRightInd w:val="0"/>
              <w:textAlignment w:val="baseline"/>
              <w:rPr>
                <w:rFonts w:cs="Times New Roman"/>
                <w:sz w:val="22"/>
                <w:szCs w:val="22"/>
                <w:lang w:val="es-ES"/>
              </w:rPr>
            </w:pPr>
          </w:p>
          <w:p w14:paraId="27E8F352" w14:textId="77777777" w:rsidR="00F65F25" w:rsidRDefault="00F65F25" w:rsidP="00EE4A64">
            <w:pPr>
              <w:pStyle w:val="TableText"/>
              <w:overflowPunct w:val="0"/>
              <w:autoSpaceDE w:val="0"/>
              <w:autoSpaceDN w:val="0"/>
              <w:adjustRightInd w:val="0"/>
              <w:textAlignment w:val="baseline"/>
              <w:rPr>
                <w:rFonts w:cs="Times New Roman"/>
                <w:sz w:val="22"/>
                <w:szCs w:val="22"/>
                <w:lang w:val="es-ES"/>
              </w:rPr>
            </w:pPr>
          </w:p>
          <w:p w14:paraId="2ECB66F5" w14:textId="77777777" w:rsidR="00F65F25" w:rsidRDefault="00F65F25" w:rsidP="00EE4A64">
            <w:pPr>
              <w:pStyle w:val="TableText"/>
              <w:overflowPunct w:val="0"/>
              <w:autoSpaceDE w:val="0"/>
              <w:autoSpaceDN w:val="0"/>
              <w:adjustRightInd w:val="0"/>
              <w:textAlignment w:val="baseline"/>
              <w:rPr>
                <w:rFonts w:cs="Times New Roman"/>
                <w:sz w:val="22"/>
                <w:szCs w:val="22"/>
                <w:lang w:val="es-ES"/>
              </w:rPr>
            </w:pPr>
          </w:p>
          <w:p w14:paraId="4C399A7F" w14:textId="77777777" w:rsidR="00F65F25" w:rsidRPr="00C52C4C" w:rsidRDefault="00F65F25" w:rsidP="00EE4A64">
            <w:pPr>
              <w:pStyle w:val="TableText"/>
              <w:overflowPunct w:val="0"/>
              <w:autoSpaceDE w:val="0"/>
              <w:autoSpaceDN w:val="0"/>
              <w:adjustRightInd w:val="0"/>
              <w:textAlignment w:val="baseline"/>
              <w:rPr>
                <w:rFonts w:cs="Times New Roman"/>
                <w:b/>
                <w:sz w:val="22"/>
                <w:szCs w:val="22"/>
                <w:lang w:val="es-ES"/>
              </w:rPr>
            </w:pPr>
            <w:r w:rsidRPr="00C52C4C">
              <w:rPr>
                <w:rFonts w:cs="Times New Roman"/>
                <w:sz w:val="22"/>
                <w:szCs w:val="22"/>
                <w:lang w:val="es-ES"/>
              </w:rPr>
              <w:t xml:space="preserve">La administración concomitante de voriconazol con dosis altas de ritonavir (400 mg y mayores BID) está </w:t>
            </w:r>
            <w:r w:rsidRPr="00C52C4C">
              <w:rPr>
                <w:rFonts w:cs="Times New Roman"/>
                <w:b/>
                <w:sz w:val="22"/>
                <w:szCs w:val="22"/>
                <w:lang w:val="es-ES"/>
              </w:rPr>
              <w:t>contraindicada</w:t>
            </w:r>
            <w:r w:rsidRPr="00C52C4C">
              <w:rPr>
                <w:rFonts w:cs="Times New Roman"/>
                <w:sz w:val="22"/>
                <w:szCs w:val="22"/>
                <w:lang w:val="es-ES"/>
              </w:rPr>
              <w:t xml:space="preserve"> (ver sección 4.3).</w:t>
            </w:r>
          </w:p>
          <w:p w14:paraId="58E8DDA4" w14:textId="77777777" w:rsidR="00F65F25" w:rsidRDefault="00F65F25" w:rsidP="00EE4A64">
            <w:pPr>
              <w:pStyle w:val="TableText"/>
              <w:overflowPunct w:val="0"/>
              <w:autoSpaceDE w:val="0"/>
              <w:autoSpaceDN w:val="0"/>
              <w:adjustRightInd w:val="0"/>
              <w:textAlignment w:val="baseline"/>
              <w:rPr>
                <w:rFonts w:cs="Times New Roman"/>
                <w:sz w:val="22"/>
                <w:szCs w:val="22"/>
                <w:lang w:val="es-ES"/>
              </w:rPr>
            </w:pPr>
          </w:p>
          <w:p w14:paraId="788BBECE" w14:textId="77777777" w:rsidR="00F65F25" w:rsidRPr="00C52C4C" w:rsidRDefault="00F65F25" w:rsidP="00EE4A64">
            <w:pPr>
              <w:pStyle w:val="TableText"/>
              <w:overflowPunct w:val="0"/>
              <w:autoSpaceDE w:val="0"/>
              <w:autoSpaceDN w:val="0"/>
              <w:adjustRightInd w:val="0"/>
              <w:textAlignment w:val="baseline"/>
              <w:rPr>
                <w:rFonts w:cs="Times New Roman"/>
                <w:b/>
                <w:sz w:val="22"/>
                <w:szCs w:val="22"/>
                <w:lang w:val="es-ES"/>
              </w:rPr>
            </w:pPr>
            <w:r w:rsidRPr="00C52C4C">
              <w:rPr>
                <w:rFonts w:cs="Times New Roman"/>
                <w:sz w:val="22"/>
                <w:szCs w:val="22"/>
                <w:lang w:val="es-ES"/>
              </w:rPr>
              <w:t>Se debe evitar la administración concomitante de voriconazol con dosis bajas de ritonavir (100 mg BID), a menos que el balance beneficio/riesgo para el paciente justifique la utilización de voriconazol.</w:t>
            </w:r>
          </w:p>
        </w:tc>
      </w:tr>
      <w:tr w:rsidR="00D061AA" w:rsidRPr="00C52C4C" w14:paraId="1ED6AF42" w14:textId="77777777" w:rsidTr="00AC5BF4">
        <w:trPr>
          <w:jc w:val="center"/>
        </w:trPr>
        <w:tc>
          <w:tcPr>
            <w:tcW w:w="2696" w:type="dxa"/>
            <w:vAlign w:val="center"/>
          </w:tcPr>
          <w:p w14:paraId="10D719CB"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 xml:space="preserve">Hierba de San Juan </w:t>
            </w:r>
          </w:p>
          <w:p w14:paraId="27053A25" w14:textId="77777777" w:rsidR="00D061AA" w:rsidRPr="00C52C4C" w:rsidRDefault="00D061AA" w:rsidP="00EE4A64">
            <w:pPr>
              <w:pStyle w:val="TableText"/>
              <w:overflowPunct w:val="0"/>
              <w:autoSpaceDE w:val="0"/>
              <w:autoSpaceDN w:val="0"/>
              <w:adjustRightInd w:val="0"/>
              <w:textAlignment w:val="baseline"/>
              <w:rPr>
                <w:rFonts w:cs="Times New Roman"/>
                <w:i/>
                <w:sz w:val="22"/>
                <w:szCs w:val="22"/>
                <w:lang w:val="es-ES"/>
              </w:rPr>
            </w:pPr>
            <w:r w:rsidRPr="00C52C4C">
              <w:rPr>
                <w:rFonts w:cs="Times New Roman"/>
                <w:i/>
                <w:sz w:val="22"/>
                <w:szCs w:val="22"/>
                <w:lang w:val="es-ES"/>
              </w:rPr>
              <w:t xml:space="preserve">[inductor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P450; inductor de gp-P]</w:t>
            </w:r>
          </w:p>
          <w:p w14:paraId="0E94562A" w14:textId="77777777" w:rsidR="00D061AA" w:rsidRPr="00C52C4C" w:rsidRDefault="00D061AA" w:rsidP="00EE4A64">
            <w:pPr>
              <w:pStyle w:val="TableText"/>
              <w:overflowPunct w:val="0"/>
              <w:autoSpaceDE w:val="0"/>
              <w:autoSpaceDN w:val="0"/>
              <w:adjustRightInd w:val="0"/>
              <w:ind w:left="144"/>
              <w:textAlignment w:val="baseline"/>
              <w:rPr>
                <w:rFonts w:cs="Times New Roman"/>
                <w:sz w:val="22"/>
                <w:szCs w:val="22"/>
                <w:lang w:val="es-ES"/>
              </w:rPr>
            </w:pPr>
            <w:r w:rsidRPr="00C52C4C">
              <w:rPr>
                <w:rFonts w:cs="Times New Roman"/>
                <w:sz w:val="22"/>
                <w:szCs w:val="22"/>
                <w:lang w:val="es-ES"/>
              </w:rPr>
              <w:t>300 mg TID (administrado concomitantemente con una dosis única de 400 mg de voriconazol)</w:t>
            </w:r>
          </w:p>
        </w:tc>
        <w:tc>
          <w:tcPr>
            <w:tcW w:w="3685" w:type="dxa"/>
            <w:vAlign w:val="center"/>
          </w:tcPr>
          <w:p w14:paraId="6BBA4FFD"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 xml:space="preserve">En un estudio independiente publicado, </w:t>
            </w:r>
          </w:p>
          <w:p w14:paraId="659B88BB"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rPr>
            </w:pPr>
            <w:r w:rsidRPr="00C52C4C">
              <w:rPr>
                <w:rFonts w:cs="Times New Roman"/>
                <w:sz w:val="22"/>
                <w:szCs w:val="22"/>
              </w:rPr>
              <w:t>AUC</w:t>
            </w:r>
            <w:r w:rsidR="00526830" w:rsidRPr="00CD5831">
              <w:rPr>
                <w:sz w:val="22"/>
                <w:szCs w:val="22"/>
                <w:vertAlign w:val="subscript"/>
                <w:lang w:val="sv-SE"/>
              </w:rPr>
              <w:t>0-</w:t>
            </w:r>
            <w:r w:rsidR="00526830" w:rsidRPr="00CD5831">
              <w:rPr>
                <w:sz w:val="22"/>
                <w:szCs w:val="22"/>
                <w:vertAlign w:val="subscript"/>
                <w:lang w:val="sv-SE"/>
              </w:rPr>
              <w:sym w:font="Symbol" w:char="F0A5"/>
            </w:r>
            <w:r w:rsidRPr="00C52C4C">
              <w:rPr>
                <w:rFonts w:cs="Times New Roman"/>
                <w:sz w:val="22"/>
                <w:szCs w:val="22"/>
              </w:rPr>
              <w:t xml:space="preserve"> voriconazol </w:t>
            </w:r>
            <w:r w:rsidR="000051D9" w:rsidRPr="00C52C4C">
              <w:rPr>
                <w:rFonts w:cs="Times New Roman"/>
                <w:sz w:val="22"/>
                <w:szCs w:val="22"/>
              </w:rPr>
              <w:sym w:font="Symbol" w:char="F0AF"/>
            </w:r>
            <w:r w:rsidRPr="00C52C4C">
              <w:rPr>
                <w:rFonts w:cs="Times New Roman"/>
                <w:sz w:val="22"/>
                <w:szCs w:val="22"/>
              </w:rPr>
              <w:t xml:space="preserve"> 59%</w:t>
            </w:r>
          </w:p>
        </w:tc>
        <w:tc>
          <w:tcPr>
            <w:tcW w:w="2835" w:type="dxa"/>
            <w:vAlign w:val="center"/>
          </w:tcPr>
          <w:p w14:paraId="1AD95676"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rPr>
            </w:pPr>
            <w:r w:rsidRPr="00C52C4C">
              <w:rPr>
                <w:rFonts w:cs="Times New Roman"/>
                <w:b/>
                <w:sz w:val="22"/>
                <w:szCs w:val="22"/>
              </w:rPr>
              <w:t>Contraindicado</w:t>
            </w:r>
            <w:r w:rsidRPr="00C52C4C" w:rsidDel="00D940F8">
              <w:rPr>
                <w:rFonts w:cs="Times New Roman"/>
                <w:sz w:val="22"/>
                <w:szCs w:val="22"/>
              </w:rPr>
              <w:t xml:space="preserve"> </w:t>
            </w:r>
            <w:r w:rsidRPr="00C52C4C">
              <w:rPr>
                <w:rFonts w:cs="Times New Roman"/>
                <w:sz w:val="22"/>
                <w:szCs w:val="22"/>
              </w:rPr>
              <w:t>(ver sección 4.3)</w:t>
            </w:r>
          </w:p>
        </w:tc>
      </w:tr>
      <w:tr w:rsidR="00537D6E" w:rsidRPr="00C52C4C" w14:paraId="231D0902" w14:textId="77777777" w:rsidTr="00041B44">
        <w:trPr>
          <w:jc w:val="center"/>
        </w:trPr>
        <w:tc>
          <w:tcPr>
            <w:tcW w:w="2696" w:type="dxa"/>
          </w:tcPr>
          <w:p w14:paraId="2D0E27E8" w14:textId="77777777" w:rsidR="00537D6E" w:rsidRPr="00041B44" w:rsidRDefault="00537D6E" w:rsidP="00537D6E">
            <w:pPr>
              <w:adjustRightInd w:val="0"/>
              <w:rPr>
                <w:sz w:val="22"/>
                <w:szCs w:val="22"/>
                <w:lang w:val="en-US" w:eastAsia="en-US"/>
              </w:rPr>
            </w:pPr>
            <w:r w:rsidRPr="00041B44">
              <w:rPr>
                <w:sz w:val="22"/>
                <w:szCs w:val="22"/>
                <w:lang w:val="en-US" w:eastAsia="en-US"/>
              </w:rPr>
              <w:t>Tolvaptán</w:t>
            </w:r>
          </w:p>
          <w:p w14:paraId="131DBA36" w14:textId="77777777" w:rsidR="00537D6E" w:rsidRPr="00041B44" w:rsidRDefault="00537D6E" w:rsidP="00537D6E">
            <w:pPr>
              <w:pStyle w:val="TableText"/>
              <w:overflowPunct w:val="0"/>
              <w:autoSpaceDE w:val="0"/>
              <w:autoSpaceDN w:val="0"/>
              <w:adjustRightInd w:val="0"/>
              <w:textAlignment w:val="baseline"/>
              <w:rPr>
                <w:rFonts w:cs="Times New Roman"/>
                <w:i/>
                <w:iCs/>
                <w:sz w:val="22"/>
                <w:szCs w:val="22"/>
              </w:rPr>
            </w:pPr>
            <w:r w:rsidRPr="00041B44">
              <w:rPr>
                <w:rFonts w:cs="Times New Roman"/>
                <w:i/>
                <w:iCs/>
                <w:sz w:val="22"/>
                <w:szCs w:val="22"/>
              </w:rPr>
              <w:t>[Sustrato del CYP3A]</w:t>
            </w:r>
          </w:p>
        </w:tc>
        <w:tc>
          <w:tcPr>
            <w:tcW w:w="3685" w:type="dxa"/>
          </w:tcPr>
          <w:p w14:paraId="767D75AB" w14:textId="77777777" w:rsidR="00537D6E" w:rsidRPr="002869DC" w:rsidRDefault="00537D6E" w:rsidP="00537D6E">
            <w:pPr>
              <w:pStyle w:val="TableText"/>
              <w:overflowPunct w:val="0"/>
              <w:autoSpaceDE w:val="0"/>
              <w:autoSpaceDN w:val="0"/>
              <w:adjustRightInd w:val="0"/>
              <w:textAlignment w:val="baseline"/>
              <w:rPr>
                <w:rFonts w:cs="Times New Roman"/>
                <w:sz w:val="22"/>
                <w:szCs w:val="22"/>
                <w:lang w:val="es-ES"/>
              </w:rPr>
            </w:pPr>
            <w:r w:rsidRPr="002869DC">
              <w:rPr>
                <w:rFonts w:cs="Times New Roman"/>
                <w:sz w:val="22"/>
                <w:szCs w:val="22"/>
                <w:lang w:val="es-ES"/>
              </w:rPr>
              <w:t>Aunque no se ha estudiado, es probable que voriconazol incremente significativamente las concentraciones plasmáticas de tolvaptán.</w:t>
            </w:r>
          </w:p>
        </w:tc>
        <w:tc>
          <w:tcPr>
            <w:tcW w:w="2835" w:type="dxa"/>
          </w:tcPr>
          <w:p w14:paraId="461808F9" w14:textId="77777777" w:rsidR="00537D6E" w:rsidRPr="00041B44" w:rsidRDefault="00537D6E" w:rsidP="00537D6E">
            <w:pPr>
              <w:pStyle w:val="TableText"/>
              <w:overflowPunct w:val="0"/>
              <w:autoSpaceDE w:val="0"/>
              <w:autoSpaceDN w:val="0"/>
              <w:adjustRightInd w:val="0"/>
              <w:textAlignment w:val="baseline"/>
              <w:rPr>
                <w:rFonts w:cs="Times New Roman"/>
                <w:sz w:val="22"/>
                <w:szCs w:val="22"/>
              </w:rPr>
            </w:pPr>
            <w:r w:rsidRPr="00041B44">
              <w:rPr>
                <w:rFonts w:cs="Times New Roman"/>
                <w:b/>
                <w:bCs/>
                <w:sz w:val="22"/>
                <w:szCs w:val="22"/>
              </w:rPr>
              <w:t xml:space="preserve">Contraindicado </w:t>
            </w:r>
            <w:r w:rsidRPr="00041B44">
              <w:rPr>
                <w:rFonts w:cs="Times New Roman"/>
                <w:sz w:val="22"/>
                <w:szCs w:val="22"/>
              </w:rPr>
              <w:t>(ver sección 4.3)</w:t>
            </w:r>
          </w:p>
        </w:tc>
      </w:tr>
      <w:tr w:rsidR="0049606F" w:rsidRPr="00C52C4C" w14:paraId="102ED340" w14:textId="77777777" w:rsidTr="00AC5BF4">
        <w:trPr>
          <w:jc w:val="center"/>
        </w:trPr>
        <w:tc>
          <w:tcPr>
            <w:tcW w:w="2696" w:type="dxa"/>
            <w:vAlign w:val="center"/>
          </w:tcPr>
          <w:p w14:paraId="2BEF4F52" w14:textId="77777777" w:rsidR="0049606F" w:rsidRPr="0049606F" w:rsidRDefault="0049606F" w:rsidP="0049606F">
            <w:pPr>
              <w:pStyle w:val="TableText"/>
              <w:overflowPunct w:val="0"/>
              <w:autoSpaceDE w:val="0"/>
              <w:autoSpaceDN w:val="0"/>
              <w:adjustRightInd w:val="0"/>
              <w:textAlignment w:val="baseline"/>
              <w:rPr>
                <w:rFonts w:cs="Times New Roman"/>
                <w:sz w:val="22"/>
                <w:szCs w:val="22"/>
                <w:lang w:val="es-ES"/>
              </w:rPr>
            </w:pPr>
            <w:r w:rsidRPr="0049606F">
              <w:rPr>
                <w:rFonts w:cs="Times New Roman"/>
                <w:sz w:val="22"/>
                <w:szCs w:val="22"/>
                <w:lang w:val="es-ES"/>
              </w:rPr>
              <w:t>Venetoclax</w:t>
            </w:r>
          </w:p>
          <w:p w14:paraId="16C2BC1B" w14:textId="77777777" w:rsidR="0049606F" w:rsidRPr="00537D6E" w:rsidRDefault="0049606F" w:rsidP="0049606F">
            <w:pPr>
              <w:pStyle w:val="TableText"/>
              <w:overflowPunct w:val="0"/>
              <w:autoSpaceDE w:val="0"/>
              <w:autoSpaceDN w:val="0"/>
              <w:adjustRightInd w:val="0"/>
              <w:textAlignment w:val="baseline"/>
              <w:rPr>
                <w:rFonts w:cs="Times New Roman"/>
                <w:i/>
                <w:iCs/>
                <w:sz w:val="22"/>
                <w:szCs w:val="22"/>
                <w:lang w:val="es-ES"/>
              </w:rPr>
            </w:pPr>
            <w:r w:rsidRPr="00537D6E">
              <w:rPr>
                <w:rFonts w:cs="Times New Roman"/>
                <w:i/>
                <w:iCs/>
                <w:sz w:val="22"/>
                <w:szCs w:val="22"/>
                <w:lang w:val="es-ES"/>
              </w:rPr>
              <w:t>[sustrato del CYP3A]</w:t>
            </w:r>
          </w:p>
        </w:tc>
        <w:tc>
          <w:tcPr>
            <w:tcW w:w="3685" w:type="dxa"/>
            <w:vAlign w:val="center"/>
          </w:tcPr>
          <w:p w14:paraId="47B71DF1" w14:textId="77777777" w:rsidR="0049606F" w:rsidRPr="0049606F" w:rsidRDefault="0049606F" w:rsidP="0049606F">
            <w:pPr>
              <w:pStyle w:val="TableText"/>
              <w:overflowPunct w:val="0"/>
              <w:autoSpaceDE w:val="0"/>
              <w:autoSpaceDN w:val="0"/>
              <w:adjustRightInd w:val="0"/>
              <w:textAlignment w:val="baseline"/>
              <w:rPr>
                <w:rFonts w:cs="Times New Roman"/>
                <w:sz w:val="22"/>
                <w:szCs w:val="22"/>
                <w:lang w:val="es-ES"/>
              </w:rPr>
            </w:pPr>
            <w:r w:rsidRPr="0049606F">
              <w:rPr>
                <w:rFonts w:cs="Times New Roman"/>
                <w:sz w:val="22"/>
                <w:szCs w:val="22"/>
                <w:lang w:val="es-ES"/>
              </w:rPr>
              <w:t xml:space="preserve">Aunque no se ha estudiado clínicamente, </w:t>
            </w:r>
          </w:p>
          <w:p w14:paraId="570480FD" w14:textId="77777777" w:rsidR="0049606F" w:rsidRPr="0049606F" w:rsidRDefault="0049606F" w:rsidP="0049606F">
            <w:pPr>
              <w:pStyle w:val="TableText"/>
              <w:overflowPunct w:val="0"/>
              <w:autoSpaceDE w:val="0"/>
              <w:autoSpaceDN w:val="0"/>
              <w:adjustRightInd w:val="0"/>
              <w:textAlignment w:val="baseline"/>
              <w:rPr>
                <w:rFonts w:cs="Times New Roman"/>
                <w:sz w:val="22"/>
                <w:szCs w:val="22"/>
                <w:lang w:val="es-ES"/>
              </w:rPr>
            </w:pPr>
            <w:r w:rsidRPr="0049606F">
              <w:rPr>
                <w:rFonts w:cs="Times New Roman"/>
                <w:sz w:val="22"/>
                <w:szCs w:val="22"/>
                <w:lang w:val="es-ES"/>
              </w:rPr>
              <w:t xml:space="preserve">es probable que voriconazol incremente </w:t>
            </w:r>
          </w:p>
          <w:p w14:paraId="62D54CF7" w14:textId="77777777" w:rsidR="0049606F" w:rsidRPr="0049606F" w:rsidRDefault="0049606F" w:rsidP="0049606F">
            <w:pPr>
              <w:pStyle w:val="TableText"/>
              <w:overflowPunct w:val="0"/>
              <w:autoSpaceDE w:val="0"/>
              <w:autoSpaceDN w:val="0"/>
              <w:adjustRightInd w:val="0"/>
              <w:textAlignment w:val="baseline"/>
              <w:rPr>
                <w:rFonts w:cs="Times New Roman"/>
                <w:sz w:val="22"/>
                <w:szCs w:val="22"/>
                <w:lang w:val="es-ES"/>
              </w:rPr>
            </w:pPr>
            <w:r w:rsidRPr="0049606F">
              <w:rPr>
                <w:rFonts w:cs="Times New Roman"/>
                <w:sz w:val="22"/>
                <w:szCs w:val="22"/>
                <w:lang w:val="es-ES"/>
              </w:rPr>
              <w:t xml:space="preserve">significativamente las concentraciones </w:t>
            </w:r>
          </w:p>
          <w:p w14:paraId="2BF67E84" w14:textId="77777777" w:rsidR="0049606F" w:rsidRPr="00C52C4C" w:rsidRDefault="0049606F" w:rsidP="0049606F">
            <w:pPr>
              <w:pStyle w:val="TableText"/>
              <w:overflowPunct w:val="0"/>
              <w:autoSpaceDE w:val="0"/>
              <w:autoSpaceDN w:val="0"/>
              <w:adjustRightInd w:val="0"/>
              <w:textAlignment w:val="baseline"/>
              <w:rPr>
                <w:rFonts w:cs="Times New Roman"/>
                <w:sz w:val="22"/>
                <w:szCs w:val="22"/>
                <w:lang w:val="es-ES"/>
              </w:rPr>
            </w:pPr>
            <w:r w:rsidRPr="0049606F">
              <w:rPr>
                <w:rFonts w:cs="Times New Roman"/>
                <w:sz w:val="22"/>
                <w:szCs w:val="22"/>
                <w:lang w:val="es-ES"/>
              </w:rPr>
              <w:t>plasmáticas de venetoclax.</w:t>
            </w:r>
          </w:p>
        </w:tc>
        <w:tc>
          <w:tcPr>
            <w:tcW w:w="2835" w:type="dxa"/>
            <w:vAlign w:val="center"/>
          </w:tcPr>
          <w:p w14:paraId="2A605F2D" w14:textId="77777777" w:rsidR="0049606F" w:rsidRPr="002869DC" w:rsidRDefault="0049606F" w:rsidP="0049606F">
            <w:pPr>
              <w:pStyle w:val="TableText"/>
              <w:overflowPunct w:val="0"/>
              <w:autoSpaceDE w:val="0"/>
              <w:autoSpaceDN w:val="0"/>
              <w:adjustRightInd w:val="0"/>
              <w:textAlignment w:val="baseline"/>
              <w:rPr>
                <w:rFonts w:cs="Times New Roman"/>
                <w:bCs/>
                <w:sz w:val="22"/>
                <w:szCs w:val="22"/>
                <w:lang w:val="es-ES"/>
              </w:rPr>
            </w:pPr>
            <w:r w:rsidRPr="002869DC">
              <w:rPr>
                <w:rFonts w:cs="Times New Roman"/>
                <w:bCs/>
                <w:sz w:val="22"/>
                <w:szCs w:val="22"/>
                <w:lang w:val="es-ES"/>
              </w:rPr>
              <w:t xml:space="preserve">La administración concomitante de voriconazol al inicio y durante la fase de ajuste de la dosis de venetoclax está contraindicada (ver sección 4.3). Se requiere una reducción de la dosis de venetoclax como se indica en la ficha técnica de venetoclax </w:t>
            </w:r>
          </w:p>
          <w:p w14:paraId="4E30174A" w14:textId="77777777" w:rsidR="0049606F" w:rsidRPr="002869DC" w:rsidRDefault="0049606F" w:rsidP="0049606F">
            <w:pPr>
              <w:pStyle w:val="TableText"/>
              <w:overflowPunct w:val="0"/>
              <w:autoSpaceDE w:val="0"/>
              <w:autoSpaceDN w:val="0"/>
              <w:adjustRightInd w:val="0"/>
              <w:textAlignment w:val="baseline"/>
              <w:rPr>
                <w:rFonts w:cs="Times New Roman"/>
                <w:bCs/>
                <w:sz w:val="22"/>
                <w:szCs w:val="22"/>
                <w:lang w:val="es-ES"/>
              </w:rPr>
            </w:pPr>
            <w:r w:rsidRPr="002869DC">
              <w:rPr>
                <w:rFonts w:cs="Times New Roman"/>
                <w:bCs/>
                <w:sz w:val="22"/>
                <w:szCs w:val="22"/>
                <w:lang w:val="es-ES"/>
              </w:rPr>
              <w:t xml:space="preserve">durante la dosis diaria fija; se </w:t>
            </w:r>
          </w:p>
          <w:p w14:paraId="25FA58D6" w14:textId="77777777" w:rsidR="0049606F" w:rsidRPr="002869DC" w:rsidRDefault="0049606F" w:rsidP="0049606F">
            <w:pPr>
              <w:pStyle w:val="TableText"/>
              <w:overflowPunct w:val="0"/>
              <w:autoSpaceDE w:val="0"/>
              <w:autoSpaceDN w:val="0"/>
              <w:adjustRightInd w:val="0"/>
              <w:textAlignment w:val="baseline"/>
              <w:rPr>
                <w:rFonts w:cs="Times New Roman"/>
                <w:bCs/>
                <w:sz w:val="22"/>
                <w:szCs w:val="22"/>
                <w:lang w:val="es-ES"/>
              </w:rPr>
            </w:pPr>
            <w:r w:rsidRPr="002869DC">
              <w:rPr>
                <w:rFonts w:cs="Times New Roman"/>
                <w:bCs/>
                <w:sz w:val="22"/>
                <w:szCs w:val="22"/>
                <w:lang w:val="es-ES"/>
              </w:rPr>
              <w:t>recomienda monitorizar estrechamente la aparición de signos de toxicidad.</w:t>
            </w:r>
          </w:p>
        </w:tc>
      </w:tr>
      <w:tr w:rsidR="00D061AA" w:rsidRPr="00C52C4C" w14:paraId="6546077A" w14:textId="77777777" w:rsidTr="00AC5BF4">
        <w:trPr>
          <w:jc w:val="center"/>
        </w:trPr>
        <w:tc>
          <w:tcPr>
            <w:tcW w:w="2696" w:type="dxa"/>
          </w:tcPr>
          <w:p w14:paraId="6F6AF8FE" w14:textId="77777777" w:rsidR="00D061AA" w:rsidRPr="00C52C4C" w:rsidRDefault="00D061AA" w:rsidP="00EE4A64">
            <w:pPr>
              <w:pStyle w:val="TableText"/>
              <w:tabs>
                <w:tab w:val="left" w:pos="360"/>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Fluconazol (200 mg QD)</w:t>
            </w:r>
          </w:p>
          <w:p w14:paraId="75DF11B2" w14:textId="77777777" w:rsidR="00D061AA" w:rsidRPr="00C52C4C" w:rsidRDefault="00D061AA" w:rsidP="00EE4A64">
            <w:pPr>
              <w:pStyle w:val="TableText"/>
              <w:tabs>
                <w:tab w:val="left" w:pos="360"/>
              </w:tabs>
              <w:overflowPunct w:val="0"/>
              <w:autoSpaceDE w:val="0"/>
              <w:autoSpaceDN w:val="0"/>
              <w:adjustRightInd w:val="0"/>
              <w:textAlignment w:val="baseline"/>
              <w:rPr>
                <w:rFonts w:cs="Times New Roman"/>
                <w:i/>
                <w:sz w:val="22"/>
                <w:szCs w:val="22"/>
                <w:lang w:val="es-ES"/>
              </w:rPr>
            </w:pPr>
            <w:r w:rsidRPr="00C52C4C">
              <w:rPr>
                <w:rFonts w:cs="Times New Roman"/>
                <w:i/>
                <w:sz w:val="22"/>
                <w:szCs w:val="22"/>
                <w:lang w:val="es-ES"/>
              </w:rPr>
              <w:t xml:space="preserve">[inhibidor de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 xml:space="preserve">P2C9,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 xml:space="preserve">P2C19 y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P3A4]</w:t>
            </w:r>
          </w:p>
        </w:tc>
        <w:tc>
          <w:tcPr>
            <w:tcW w:w="3685" w:type="dxa"/>
          </w:tcPr>
          <w:p w14:paraId="09B6C963"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w:t>
            </w:r>
            <w:r w:rsidRPr="00C52C4C">
              <w:rPr>
                <w:rFonts w:cs="Times New Roman"/>
                <w:sz w:val="22"/>
                <w:szCs w:val="22"/>
                <w:vertAlign w:val="subscript"/>
                <w:lang w:val="es-ES"/>
              </w:rPr>
              <w:t>max</w:t>
            </w:r>
            <w:r w:rsidRPr="00C52C4C">
              <w:rPr>
                <w:rFonts w:cs="Times New Roman"/>
                <w:sz w:val="22"/>
                <w:szCs w:val="22"/>
                <w:lang w:val="es-ES"/>
              </w:rPr>
              <w:t xml:space="preserve"> voriconazol </w:t>
            </w:r>
            <w:r w:rsidR="000051D9" w:rsidRPr="00C52C4C">
              <w:rPr>
                <w:rFonts w:cs="Times New Roman"/>
                <w:sz w:val="22"/>
                <w:szCs w:val="22"/>
                <w:lang w:val="en-GB"/>
              </w:rPr>
              <w:sym w:font="Symbol" w:char="F0AD"/>
            </w:r>
            <w:r w:rsidRPr="00C52C4C">
              <w:rPr>
                <w:rFonts w:cs="Times New Roman"/>
                <w:sz w:val="22"/>
                <w:szCs w:val="22"/>
                <w:lang w:val="es-ES"/>
              </w:rPr>
              <w:t xml:space="preserve"> 57%</w:t>
            </w:r>
          </w:p>
          <w:p w14:paraId="445887D9"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AUC</w:t>
            </w:r>
            <w:r w:rsidRPr="00C52C4C">
              <w:rPr>
                <w:rFonts w:cs="Times New Roman"/>
                <w:sz w:val="22"/>
                <w:szCs w:val="22"/>
              </w:rPr>
              <w:sym w:font="Symbol" w:char="F074"/>
            </w:r>
            <w:r w:rsidRPr="00C52C4C">
              <w:rPr>
                <w:rFonts w:cs="Times New Roman"/>
                <w:sz w:val="22"/>
                <w:szCs w:val="22"/>
                <w:lang w:val="es-ES"/>
              </w:rPr>
              <w:t xml:space="preserve"> voriconazol </w:t>
            </w:r>
            <w:r w:rsidR="000051D9" w:rsidRPr="00C52C4C">
              <w:rPr>
                <w:rFonts w:cs="Times New Roman"/>
                <w:sz w:val="22"/>
                <w:szCs w:val="22"/>
                <w:lang w:val="en-GB"/>
              </w:rPr>
              <w:sym w:font="Symbol" w:char="F0AD"/>
            </w:r>
            <w:r w:rsidRPr="00C52C4C">
              <w:rPr>
                <w:rFonts w:cs="Times New Roman"/>
                <w:sz w:val="22"/>
                <w:szCs w:val="22"/>
                <w:lang w:val="es-ES"/>
              </w:rPr>
              <w:t xml:space="preserve"> 79%</w:t>
            </w:r>
          </w:p>
          <w:p w14:paraId="1360621B"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w:t>
            </w:r>
            <w:r w:rsidRPr="00C52C4C">
              <w:rPr>
                <w:rFonts w:cs="Times New Roman"/>
                <w:sz w:val="22"/>
                <w:szCs w:val="22"/>
                <w:vertAlign w:val="subscript"/>
                <w:lang w:val="es-ES"/>
              </w:rPr>
              <w:t>max</w:t>
            </w:r>
            <w:r w:rsidRPr="00C52C4C">
              <w:rPr>
                <w:rFonts w:cs="Times New Roman"/>
                <w:sz w:val="22"/>
                <w:szCs w:val="22"/>
                <w:lang w:val="es-ES"/>
              </w:rPr>
              <w:t xml:space="preserve">  fluconazol ND</w:t>
            </w:r>
          </w:p>
          <w:p w14:paraId="73A06A37"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AUC</w:t>
            </w:r>
            <w:r w:rsidRPr="00C52C4C">
              <w:rPr>
                <w:rFonts w:cs="Times New Roman"/>
                <w:sz w:val="22"/>
                <w:szCs w:val="22"/>
              </w:rPr>
              <w:sym w:font="Symbol" w:char="F074"/>
            </w:r>
            <w:r w:rsidRPr="00C52C4C">
              <w:rPr>
                <w:rFonts w:cs="Times New Roman"/>
                <w:sz w:val="22"/>
                <w:szCs w:val="22"/>
                <w:lang w:val="es-ES"/>
              </w:rPr>
              <w:t xml:space="preserve">  fluconazol ND</w:t>
            </w:r>
          </w:p>
        </w:tc>
        <w:tc>
          <w:tcPr>
            <w:tcW w:w="2835" w:type="dxa"/>
          </w:tcPr>
          <w:p w14:paraId="6C17B9F6"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No se ha establecido qué reducción de dosis y/o frecuencia de voriconazol y fluconazol podría eliminar este efecto. Se recomienda  monitorizar las reacciones adversas asociadas a voriconazol si se utiliza voriconazol secuencialmente después de fluconazol.</w:t>
            </w:r>
          </w:p>
        </w:tc>
      </w:tr>
      <w:tr w:rsidR="00D061AA" w:rsidRPr="00C52C4C" w14:paraId="3C65F933" w14:textId="77777777" w:rsidTr="00AC5BF4">
        <w:trPr>
          <w:jc w:val="center"/>
        </w:trPr>
        <w:tc>
          <w:tcPr>
            <w:tcW w:w="2696" w:type="dxa"/>
          </w:tcPr>
          <w:p w14:paraId="4A99CFED" w14:textId="77777777" w:rsidR="00D061AA" w:rsidRPr="00C52C4C" w:rsidRDefault="00D061AA" w:rsidP="00EE4A64">
            <w:pPr>
              <w:pStyle w:val="TableText"/>
              <w:tabs>
                <w:tab w:val="left" w:pos="360"/>
              </w:tabs>
              <w:overflowPunct w:val="0"/>
              <w:autoSpaceDE w:val="0"/>
              <w:autoSpaceDN w:val="0"/>
              <w:adjustRightInd w:val="0"/>
              <w:textAlignment w:val="baseline"/>
              <w:rPr>
                <w:rFonts w:cs="Times New Roman"/>
                <w:i/>
                <w:sz w:val="22"/>
                <w:szCs w:val="22"/>
                <w:lang w:val="es-ES"/>
              </w:rPr>
            </w:pPr>
            <w:r w:rsidRPr="00C52C4C">
              <w:rPr>
                <w:rFonts w:cs="Times New Roman"/>
                <w:sz w:val="22"/>
                <w:szCs w:val="22"/>
                <w:lang w:val="es-ES"/>
              </w:rPr>
              <w:lastRenderedPageBreak/>
              <w:t xml:space="preserve">Fenitoína </w:t>
            </w:r>
            <w:r w:rsidRPr="00C52C4C">
              <w:rPr>
                <w:rFonts w:cs="Times New Roman"/>
                <w:sz w:val="22"/>
                <w:szCs w:val="22"/>
                <w:lang w:val="es-ES"/>
              </w:rPr>
              <w:br/>
            </w:r>
            <w:r w:rsidRPr="00C52C4C">
              <w:rPr>
                <w:rFonts w:cs="Times New Roman"/>
                <w:i/>
                <w:sz w:val="22"/>
                <w:szCs w:val="22"/>
                <w:lang w:val="es-ES"/>
              </w:rPr>
              <w:t xml:space="preserve">[sustrato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 xml:space="preserve">P2C9 e inductor potente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P450]</w:t>
            </w:r>
          </w:p>
          <w:p w14:paraId="09CA9390" w14:textId="77777777" w:rsidR="00D061AA" w:rsidRPr="00C52C4C" w:rsidRDefault="00D061AA" w:rsidP="00EE4A64">
            <w:pPr>
              <w:pStyle w:val="TableText"/>
              <w:tabs>
                <w:tab w:val="left" w:pos="360"/>
              </w:tabs>
              <w:overflowPunct w:val="0"/>
              <w:autoSpaceDE w:val="0"/>
              <w:autoSpaceDN w:val="0"/>
              <w:adjustRightInd w:val="0"/>
              <w:textAlignment w:val="baseline"/>
              <w:rPr>
                <w:rFonts w:cs="Times New Roman"/>
                <w:i/>
                <w:sz w:val="22"/>
                <w:szCs w:val="22"/>
                <w:lang w:val="es-ES"/>
              </w:rPr>
            </w:pPr>
          </w:p>
          <w:p w14:paraId="3B8BB455" w14:textId="77777777" w:rsidR="00D061AA" w:rsidRPr="00C52C4C" w:rsidRDefault="00D061AA" w:rsidP="00EE4A64">
            <w:pPr>
              <w:pStyle w:val="TableText"/>
              <w:tabs>
                <w:tab w:val="left" w:pos="360"/>
              </w:tabs>
              <w:overflowPunct w:val="0"/>
              <w:autoSpaceDE w:val="0"/>
              <w:autoSpaceDN w:val="0"/>
              <w:adjustRightInd w:val="0"/>
              <w:ind w:left="144"/>
              <w:textAlignment w:val="baseline"/>
              <w:rPr>
                <w:rFonts w:cs="Times New Roman"/>
                <w:sz w:val="22"/>
                <w:szCs w:val="22"/>
                <w:lang w:val="es-ES"/>
              </w:rPr>
            </w:pPr>
            <w:r w:rsidRPr="00C52C4C">
              <w:rPr>
                <w:rFonts w:cs="Times New Roman"/>
                <w:sz w:val="22"/>
                <w:szCs w:val="22"/>
                <w:lang w:val="es-ES"/>
              </w:rPr>
              <w:t>300 mg QD</w:t>
            </w:r>
          </w:p>
          <w:p w14:paraId="7992037B" w14:textId="77777777" w:rsidR="00D061AA" w:rsidRPr="00C52C4C" w:rsidRDefault="00D061AA" w:rsidP="00EE4A64">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719C8762" w14:textId="77777777" w:rsidR="00D061AA" w:rsidRPr="00C52C4C" w:rsidRDefault="00D061AA" w:rsidP="00EE4A64">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1D02A4A1" w14:textId="77777777" w:rsidR="00D061AA" w:rsidRPr="00C52C4C" w:rsidRDefault="00D061AA" w:rsidP="00EE4A64">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097268DE" w14:textId="77777777" w:rsidR="00D061AA" w:rsidRPr="00C52C4C" w:rsidRDefault="00D061AA" w:rsidP="00EE4A64">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052DBEDB" w14:textId="77777777" w:rsidR="00D061AA" w:rsidRPr="00C52C4C" w:rsidRDefault="00D061AA" w:rsidP="00EE4A64">
            <w:pPr>
              <w:pStyle w:val="TableText"/>
              <w:tabs>
                <w:tab w:val="left" w:pos="360"/>
              </w:tabs>
              <w:overflowPunct w:val="0"/>
              <w:autoSpaceDE w:val="0"/>
              <w:autoSpaceDN w:val="0"/>
              <w:adjustRightInd w:val="0"/>
              <w:ind w:left="144"/>
              <w:textAlignment w:val="baseline"/>
              <w:rPr>
                <w:rFonts w:cs="Times New Roman"/>
                <w:sz w:val="22"/>
                <w:szCs w:val="22"/>
                <w:lang w:val="es-ES"/>
              </w:rPr>
            </w:pPr>
            <w:r w:rsidRPr="00C52C4C">
              <w:rPr>
                <w:rFonts w:cs="Times New Roman"/>
                <w:sz w:val="22"/>
                <w:szCs w:val="22"/>
                <w:lang w:val="es-ES"/>
              </w:rPr>
              <w:t>300 mg QD (administrado concomitantemente con voriconazol 400 mg BID)</w:t>
            </w:r>
            <w:r w:rsidRPr="00C52C4C">
              <w:rPr>
                <w:rFonts w:cs="Times New Roman"/>
                <w:sz w:val="22"/>
                <w:szCs w:val="22"/>
                <w:vertAlign w:val="superscript"/>
                <w:lang w:val="es-ES"/>
              </w:rPr>
              <w:t>*</w:t>
            </w:r>
          </w:p>
        </w:tc>
        <w:tc>
          <w:tcPr>
            <w:tcW w:w="3685" w:type="dxa"/>
          </w:tcPr>
          <w:p w14:paraId="46FF7F7F"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p>
          <w:p w14:paraId="52CAFDDB"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p>
          <w:p w14:paraId="5079A8C7"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p>
          <w:p w14:paraId="664CBB8C"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p>
          <w:p w14:paraId="28C3E139"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w:t>
            </w:r>
            <w:r w:rsidRPr="00C52C4C">
              <w:rPr>
                <w:rFonts w:cs="Times New Roman"/>
                <w:sz w:val="22"/>
                <w:szCs w:val="22"/>
                <w:vertAlign w:val="subscript"/>
                <w:lang w:val="es-ES"/>
              </w:rPr>
              <w:t>max</w:t>
            </w:r>
            <w:r w:rsidRPr="00C52C4C">
              <w:rPr>
                <w:rFonts w:cs="Times New Roman"/>
                <w:sz w:val="22"/>
                <w:szCs w:val="22"/>
                <w:lang w:val="es-ES"/>
              </w:rPr>
              <w:t xml:space="preserve"> voriconazol </w:t>
            </w:r>
            <w:r w:rsidR="000A1F73" w:rsidRPr="00C52C4C">
              <w:rPr>
                <w:rFonts w:cs="Times New Roman"/>
                <w:sz w:val="22"/>
                <w:szCs w:val="22"/>
              </w:rPr>
              <w:sym w:font="Symbol" w:char="F0AF"/>
            </w:r>
            <w:r w:rsidR="000A1F73" w:rsidRPr="00C52C4C">
              <w:rPr>
                <w:rFonts w:cs="Times New Roman"/>
                <w:sz w:val="22"/>
                <w:szCs w:val="22"/>
                <w:lang w:val="es-ES"/>
              </w:rPr>
              <w:t xml:space="preserve">  </w:t>
            </w:r>
            <w:r w:rsidRPr="00C52C4C">
              <w:rPr>
                <w:rFonts w:cs="Times New Roman"/>
                <w:sz w:val="22"/>
                <w:szCs w:val="22"/>
                <w:lang w:val="es-ES"/>
              </w:rPr>
              <w:t xml:space="preserve"> 49%</w:t>
            </w:r>
          </w:p>
          <w:p w14:paraId="7DA408BE"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AUC</w:t>
            </w:r>
            <w:r w:rsidRPr="00C52C4C">
              <w:rPr>
                <w:rFonts w:cs="Times New Roman"/>
                <w:sz w:val="22"/>
                <w:szCs w:val="22"/>
              </w:rPr>
              <w:sym w:font="Symbol" w:char="F074"/>
            </w:r>
            <w:r w:rsidRPr="00C52C4C">
              <w:rPr>
                <w:rFonts w:cs="Times New Roman"/>
                <w:sz w:val="22"/>
                <w:szCs w:val="22"/>
                <w:lang w:val="es-ES"/>
              </w:rPr>
              <w:t xml:space="preserve"> voriconazol </w:t>
            </w:r>
            <w:r w:rsidRPr="00C52C4C">
              <w:rPr>
                <w:rFonts w:cs="Times New Roman"/>
                <w:sz w:val="22"/>
                <w:szCs w:val="22"/>
              </w:rPr>
              <w:sym w:font="Symbol" w:char="F0AF"/>
            </w:r>
            <w:r w:rsidRPr="00C52C4C">
              <w:rPr>
                <w:rFonts w:cs="Times New Roman"/>
                <w:sz w:val="22"/>
                <w:szCs w:val="22"/>
                <w:lang w:val="es-ES"/>
              </w:rPr>
              <w:t xml:space="preserve"> 69%</w:t>
            </w:r>
          </w:p>
          <w:p w14:paraId="18F05457"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p>
          <w:p w14:paraId="56E0560F"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p>
          <w:p w14:paraId="77527016"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p>
          <w:p w14:paraId="30A2F8C0"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w:t>
            </w:r>
            <w:r w:rsidRPr="00C52C4C">
              <w:rPr>
                <w:rFonts w:cs="Times New Roman"/>
                <w:sz w:val="22"/>
                <w:szCs w:val="22"/>
                <w:vertAlign w:val="subscript"/>
                <w:lang w:val="es-ES"/>
              </w:rPr>
              <w:t>max</w:t>
            </w:r>
            <w:r w:rsidRPr="00C52C4C">
              <w:rPr>
                <w:rFonts w:cs="Times New Roman"/>
                <w:sz w:val="22"/>
                <w:szCs w:val="22"/>
                <w:lang w:val="es-ES"/>
              </w:rPr>
              <w:t xml:space="preserve"> fenitoína </w:t>
            </w:r>
            <w:r w:rsidR="000A1F73" w:rsidRPr="00C52C4C">
              <w:rPr>
                <w:rFonts w:cs="Times New Roman"/>
                <w:sz w:val="22"/>
                <w:szCs w:val="22"/>
                <w:lang w:val="en-GB"/>
              </w:rPr>
              <w:sym w:font="Symbol" w:char="F0AD"/>
            </w:r>
            <w:r w:rsidR="000A1F73" w:rsidRPr="00C52C4C">
              <w:rPr>
                <w:rFonts w:cs="Times New Roman"/>
                <w:sz w:val="22"/>
                <w:szCs w:val="22"/>
                <w:lang w:val="es-ES"/>
              </w:rPr>
              <w:t xml:space="preserve"> </w:t>
            </w:r>
            <w:r w:rsidRPr="00C52C4C">
              <w:rPr>
                <w:rFonts w:cs="Times New Roman"/>
                <w:sz w:val="22"/>
                <w:szCs w:val="22"/>
                <w:lang w:val="es-ES"/>
              </w:rPr>
              <w:t xml:space="preserve"> 67%</w:t>
            </w:r>
            <w:r w:rsidRPr="00C52C4C">
              <w:rPr>
                <w:rFonts w:cs="Times New Roman"/>
                <w:sz w:val="22"/>
                <w:szCs w:val="22"/>
                <w:lang w:val="es-ES"/>
              </w:rPr>
              <w:br/>
              <w:t>AUC</w:t>
            </w:r>
            <w:r w:rsidRPr="00C52C4C">
              <w:rPr>
                <w:rFonts w:cs="Times New Roman"/>
                <w:sz w:val="22"/>
                <w:szCs w:val="22"/>
              </w:rPr>
              <w:sym w:font="Symbol" w:char="F074"/>
            </w:r>
            <w:r w:rsidRPr="00C52C4C">
              <w:rPr>
                <w:rFonts w:cs="Times New Roman"/>
                <w:sz w:val="22"/>
                <w:szCs w:val="22"/>
                <w:lang w:val="es-ES"/>
              </w:rPr>
              <w:t xml:space="preserve"> fenitoína </w:t>
            </w:r>
            <w:r w:rsidR="000A1F73" w:rsidRPr="00C52C4C">
              <w:rPr>
                <w:rFonts w:cs="Times New Roman"/>
                <w:sz w:val="22"/>
                <w:szCs w:val="22"/>
                <w:lang w:val="en-GB"/>
              </w:rPr>
              <w:sym w:font="Symbol" w:char="F0AD"/>
            </w:r>
            <w:r w:rsidR="000A1F73" w:rsidRPr="00C52C4C">
              <w:rPr>
                <w:rFonts w:cs="Times New Roman"/>
                <w:sz w:val="22"/>
                <w:szCs w:val="22"/>
                <w:lang w:val="es-ES"/>
              </w:rPr>
              <w:t xml:space="preserve"> </w:t>
            </w:r>
            <w:r w:rsidRPr="00C52C4C">
              <w:rPr>
                <w:rFonts w:cs="Times New Roman"/>
                <w:sz w:val="22"/>
                <w:szCs w:val="22"/>
                <w:lang w:val="es-ES"/>
              </w:rPr>
              <w:t xml:space="preserve"> 81%</w:t>
            </w:r>
          </w:p>
          <w:p w14:paraId="772DA1DB" w14:textId="77777777" w:rsidR="00D061AA" w:rsidRPr="00C52C4C" w:rsidRDefault="00D061AA" w:rsidP="00EE4A64">
            <w:pPr>
              <w:pStyle w:val="TableText"/>
              <w:tabs>
                <w:tab w:val="left" w:pos="216"/>
                <w:tab w:val="left" w:pos="360"/>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Comparado a voriconazol 200 mg BID,</w:t>
            </w:r>
          </w:p>
          <w:p w14:paraId="2CA75309" w14:textId="77777777" w:rsidR="00D061AA" w:rsidRPr="00C52C4C" w:rsidRDefault="00D061AA" w:rsidP="00EE4A64">
            <w:pPr>
              <w:pStyle w:val="TableText"/>
              <w:tabs>
                <w:tab w:val="left" w:pos="216"/>
                <w:tab w:val="left" w:pos="360"/>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w:t>
            </w:r>
            <w:r w:rsidRPr="00C52C4C">
              <w:rPr>
                <w:rFonts w:cs="Times New Roman"/>
                <w:sz w:val="22"/>
                <w:szCs w:val="22"/>
                <w:vertAlign w:val="subscript"/>
                <w:lang w:val="es-ES"/>
              </w:rPr>
              <w:t>max</w:t>
            </w:r>
            <w:r w:rsidRPr="00C52C4C">
              <w:rPr>
                <w:rFonts w:cs="Times New Roman"/>
                <w:sz w:val="22"/>
                <w:szCs w:val="22"/>
                <w:lang w:val="es-ES"/>
              </w:rPr>
              <w:t xml:space="preserve"> voriconazol </w:t>
            </w:r>
            <w:r w:rsidR="000A1F73" w:rsidRPr="00C52C4C">
              <w:rPr>
                <w:rFonts w:cs="Times New Roman"/>
                <w:sz w:val="22"/>
                <w:szCs w:val="22"/>
                <w:lang w:val="en-GB"/>
              </w:rPr>
              <w:sym w:font="Symbol" w:char="F0AD"/>
            </w:r>
            <w:r w:rsidR="000A1F73" w:rsidRPr="00C52C4C">
              <w:rPr>
                <w:rFonts w:cs="Times New Roman"/>
                <w:sz w:val="22"/>
                <w:szCs w:val="22"/>
                <w:lang w:val="es-ES"/>
              </w:rPr>
              <w:t xml:space="preserve"> </w:t>
            </w:r>
            <w:r w:rsidRPr="00C52C4C">
              <w:rPr>
                <w:rFonts w:cs="Times New Roman"/>
                <w:sz w:val="22"/>
                <w:szCs w:val="22"/>
                <w:lang w:val="es-ES"/>
              </w:rPr>
              <w:t xml:space="preserve"> 34%</w:t>
            </w:r>
            <w:r w:rsidRPr="00C52C4C">
              <w:rPr>
                <w:rFonts w:cs="Times New Roman"/>
                <w:sz w:val="22"/>
                <w:szCs w:val="22"/>
                <w:lang w:val="es-ES"/>
              </w:rPr>
              <w:br/>
              <w:t>AUC</w:t>
            </w:r>
            <w:r w:rsidRPr="00C52C4C">
              <w:rPr>
                <w:rFonts w:cs="Times New Roman"/>
                <w:sz w:val="22"/>
                <w:szCs w:val="22"/>
              </w:rPr>
              <w:sym w:font="Symbol" w:char="F074"/>
            </w:r>
            <w:r w:rsidRPr="00C52C4C">
              <w:rPr>
                <w:rFonts w:cs="Times New Roman"/>
                <w:sz w:val="22"/>
                <w:szCs w:val="22"/>
                <w:lang w:val="es-ES"/>
              </w:rPr>
              <w:t xml:space="preserve"> voriconazol </w:t>
            </w:r>
            <w:r w:rsidR="000A1F73" w:rsidRPr="00C52C4C">
              <w:rPr>
                <w:rFonts w:cs="Times New Roman"/>
                <w:sz w:val="22"/>
                <w:szCs w:val="22"/>
                <w:lang w:val="en-GB"/>
              </w:rPr>
              <w:sym w:font="Symbol" w:char="F0AD"/>
            </w:r>
            <w:r w:rsidR="000A1F73" w:rsidRPr="00C52C4C">
              <w:rPr>
                <w:rFonts w:cs="Times New Roman"/>
                <w:sz w:val="22"/>
                <w:szCs w:val="22"/>
                <w:lang w:val="es-ES"/>
              </w:rPr>
              <w:t xml:space="preserve"> </w:t>
            </w:r>
            <w:r w:rsidRPr="00C52C4C">
              <w:rPr>
                <w:rFonts w:cs="Times New Roman"/>
                <w:sz w:val="22"/>
                <w:szCs w:val="22"/>
                <w:lang w:val="es-ES"/>
              </w:rPr>
              <w:t xml:space="preserve"> 39%</w:t>
            </w:r>
          </w:p>
        </w:tc>
        <w:tc>
          <w:tcPr>
            <w:tcW w:w="2835" w:type="dxa"/>
          </w:tcPr>
          <w:p w14:paraId="2A293924"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 xml:space="preserve">Se debe evitar el uso concomitante de voriconazol y fenitoína, a menos que los beneficios superen los riesgos. Se recomienda  monitorizar cuidadosamente los niveles plasmáticos de fenitoína.  </w:t>
            </w:r>
          </w:p>
          <w:p w14:paraId="0A81EEC0"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p>
          <w:p w14:paraId="35B0F8F8"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p>
          <w:p w14:paraId="614C04EE"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 xml:space="preserve">Fenitoína puede administrarse </w:t>
            </w:r>
            <w:r w:rsidR="00437981" w:rsidRPr="00C52C4C">
              <w:rPr>
                <w:rFonts w:cs="Times New Roman"/>
                <w:sz w:val="22"/>
                <w:szCs w:val="22"/>
                <w:lang w:val="es-ES"/>
              </w:rPr>
              <w:t xml:space="preserve">de forma concomitante </w:t>
            </w:r>
            <w:r w:rsidRPr="00C52C4C">
              <w:rPr>
                <w:rFonts w:cs="Times New Roman"/>
                <w:sz w:val="22"/>
                <w:szCs w:val="22"/>
                <w:lang w:val="es-ES"/>
              </w:rPr>
              <w:t xml:space="preserve">con voriconazol si la dosis de mantenimiento de voriconazol se incrementa a 5 mg/kg IV BID, o de 200 mg a 400 mg BID por vía oral (100 mg a 200 mg BID por vía oral en pacientes con un peso inferior a </w:t>
            </w:r>
            <w:smartTag w:uri="urn:schemas-microsoft-com:office:smarttags" w:element="metricconverter">
              <w:smartTagPr>
                <w:attr w:name="ProductID" w:val="40 kg"/>
              </w:smartTagPr>
              <w:r w:rsidRPr="00C52C4C">
                <w:rPr>
                  <w:rFonts w:cs="Times New Roman"/>
                  <w:sz w:val="22"/>
                  <w:szCs w:val="22"/>
                  <w:lang w:val="es-ES"/>
                </w:rPr>
                <w:t>40 kg</w:t>
              </w:r>
            </w:smartTag>
            <w:r w:rsidRPr="00C52C4C">
              <w:rPr>
                <w:rFonts w:cs="Times New Roman"/>
                <w:sz w:val="22"/>
                <w:szCs w:val="22"/>
                <w:lang w:val="es-ES"/>
              </w:rPr>
              <w:t xml:space="preserve">) (ver sección 4.2). </w:t>
            </w:r>
          </w:p>
        </w:tc>
      </w:tr>
      <w:tr w:rsidR="0049606F" w:rsidRPr="00C52C4C" w14:paraId="3DCCAA6D" w14:textId="77777777" w:rsidTr="00AC5BF4">
        <w:trPr>
          <w:jc w:val="center"/>
        </w:trPr>
        <w:tc>
          <w:tcPr>
            <w:tcW w:w="2696" w:type="dxa"/>
          </w:tcPr>
          <w:p w14:paraId="2F15F218" w14:textId="77777777" w:rsidR="0049606F" w:rsidRPr="0049606F" w:rsidRDefault="0049606F" w:rsidP="0049606F">
            <w:pPr>
              <w:pStyle w:val="TableText"/>
              <w:tabs>
                <w:tab w:val="left" w:pos="360"/>
              </w:tabs>
              <w:overflowPunct w:val="0"/>
              <w:autoSpaceDE w:val="0"/>
              <w:autoSpaceDN w:val="0"/>
              <w:adjustRightInd w:val="0"/>
              <w:textAlignment w:val="baseline"/>
              <w:rPr>
                <w:rFonts w:cs="Times New Roman"/>
                <w:sz w:val="22"/>
                <w:szCs w:val="22"/>
                <w:lang w:val="es-ES"/>
              </w:rPr>
            </w:pPr>
            <w:r w:rsidRPr="0049606F">
              <w:rPr>
                <w:rFonts w:cs="Times New Roman"/>
                <w:sz w:val="22"/>
                <w:szCs w:val="22"/>
                <w:lang w:val="es-ES"/>
              </w:rPr>
              <w:t>Letermovir</w:t>
            </w:r>
          </w:p>
          <w:p w14:paraId="77F55104" w14:textId="77777777" w:rsidR="0049606F" w:rsidRPr="00537D6E" w:rsidRDefault="0049606F" w:rsidP="0049606F">
            <w:pPr>
              <w:pStyle w:val="TableText"/>
              <w:tabs>
                <w:tab w:val="left" w:pos="360"/>
              </w:tabs>
              <w:overflowPunct w:val="0"/>
              <w:autoSpaceDE w:val="0"/>
              <w:autoSpaceDN w:val="0"/>
              <w:adjustRightInd w:val="0"/>
              <w:textAlignment w:val="baseline"/>
              <w:rPr>
                <w:rFonts w:cs="Times New Roman"/>
                <w:i/>
                <w:iCs/>
                <w:sz w:val="22"/>
                <w:szCs w:val="22"/>
                <w:lang w:val="es-ES"/>
              </w:rPr>
            </w:pPr>
            <w:r w:rsidRPr="00537D6E">
              <w:rPr>
                <w:rFonts w:cs="Times New Roman"/>
                <w:i/>
                <w:iCs/>
                <w:sz w:val="22"/>
                <w:szCs w:val="22"/>
                <w:lang w:val="es-ES"/>
              </w:rPr>
              <w:t>[Inductor del CYP2C9 y</w:t>
            </w:r>
          </w:p>
          <w:p w14:paraId="1931FF8A" w14:textId="77777777" w:rsidR="0049606F" w:rsidRPr="00C52C4C" w:rsidRDefault="0049606F" w:rsidP="0049606F">
            <w:pPr>
              <w:pStyle w:val="TableText"/>
              <w:tabs>
                <w:tab w:val="left" w:pos="360"/>
              </w:tabs>
              <w:overflowPunct w:val="0"/>
              <w:autoSpaceDE w:val="0"/>
              <w:autoSpaceDN w:val="0"/>
              <w:adjustRightInd w:val="0"/>
              <w:textAlignment w:val="baseline"/>
              <w:rPr>
                <w:rFonts w:cs="Times New Roman"/>
                <w:sz w:val="22"/>
                <w:szCs w:val="22"/>
                <w:lang w:val="es-ES"/>
              </w:rPr>
            </w:pPr>
            <w:r w:rsidRPr="00537D6E">
              <w:rPr>
                <w:rFonts w:cs="Times New Roman"/>
                <w:i/>
                <w:iCs/>
                <w:sz w:val="22"/>
                <w:szCs w:val="22"/>
                <w:lang w:val="es-ES"/>
              </w:rPr>
              <w:t>CYP2C19]</w:t>
            </w:r>
          </w:p>
        </w:tc>
        <w:tc>
          <w:tcPr>
            <w:tcW w:w="3685" w:type="dxa"/>
          </w:tcPr>
          <w:p w14:paraId="2E2518FE" w14:textId="77777777" w:rsidR="0049606F" w:rsidRPr="0049606F" w:rsidRDefault="0049606F" w:rsidP="0049606F">
            <w:pPr>
              <w:pStyle w:val="TableText"/>
              <w:tabs>
                <w:tab w:val="left" w:pos="216"/>
              </w:tabs>
              <w:overflowPunct w:val="0"/>
              <w:autoSpaceDE w:val="0"/>
              <w:autoSpaceDN w:val="0"/>
              <w:adjustRightInd w:val="0"/>
              <w:textAlignment w:val="baseline"/>
              <w:rPr>
                <w:rFonts w:cs="Times New Roman"/>
                <w:sz w:val="22"/>
                <w:szCs w:val="22"/>
                <w:lang w:val="es-ES"/>
              </w:rPr>
            </w:pPr>
            <w:r w:rsidRPr="0049606F">
              <w:rPr>
                <w:rFonts w:cs="Times New Roman"/>
                <w:sz w:val="22"/>
                <w:szCs w:val="22"/>
                <w:lang w:val="es-ES"/>
              </w:rPr>
              <w:t>C</w:t>
            </w:r>
            <w:r w:rsidRPr="00537D6E">
              <w:rPr>
                <w:rFonts w:cs="Times New Roman"/>
                <w:sz w:val="22"/>
                <w:szCs w:val="22"/>
                <w:vertAlign w:val="subscript"/>
                <w:lang w:val="es-ES"/>
              </w:rPr>
              <w:t>max</w:t>
            </w:r>
            <w:r w:rsidRPr="0049606F">
              <w:rPr>
                <w:rFonts w:cs="Times New Roman"/>
                <w:sz w:val="22"/>
                <w:szCs w:val="22"/>
                <w:lang w:val="es-ES"/>
              </w:rPr>
              <w:t xml:space="preserve"> voriconazol ↓ 39%</w:t>
            </w:r>
          </w:p>
          <w:p w14:paraId="603C832A" w14:textId="77777777" w:rsidR="0049606F" w:rsidRPr="0049606F" w:rsidRDefault="0049606F" w:rsidP="0049606F">
            <w:pPr>
              <w:pStyle w:val="TableText"/>
              <w:tabs>
                <w:tab w:val="left" w:pos="216"/>
              </w:tabs>
              <w:overflowPunct w:val="0"/>
              <w:autoSpaceDE w:val="0"/>
              <w:autoSpaceDN w:val="0"/>
              <w:adjustRightInd w:val="0"/>
              <w:textAlignment w:val="baseline"/>
              <w:rPr>
                <w:rFonts w:cs="Times New Roman"/>
                <w:sz w:val="22"/>
                <w:szCs w:val="22"/>
                <w:lang w:val="es-ES"/>
              </w:rPr>
            </w:pPr>
            <w:r w:rsidRPr="0049606F">
              <w:rPr>
                <w:rFonts w:cs="Times New Roman"/>
                <w:sz w:val="22"/>
                <w:szCs w:val="22"/>
                <w:lang w:val="es-ES"/>
              </w:rPr>
              <w:t>AUC</w:t>
            </w:r>
            <w:r w:rsidRPr="00537D6E">
              <w:rPr>
                <w:rFonts w:cs="Times New Roman"/>
                <w:sz w:val="22"/>
                <w:szCs w:val="22"/>
                <w:vertAlign w:val="subscript"/>
                <w:lang w:val="es-ES"/>
              </w:rPr>
              <w:t>0-12</w:t>
            </w:r>
            <w:r w:rsidRPr="0049606F">
              <w:rPr>
                <w:rFonts w:cs="Times New Roman"/>
                <w:sz w:val="22"/>
                <w:szCs w:val="22"/>
                <w:lang w:val="es-ES"/>
              </w:rPr>
              <w:t xml:space="preserve"> voriconazol ↓ 44%</w:t>
            </w:r>
          </w:p>
          <w:p w14:paraId="0C80D99F" w14:textId="77777777" w:rsidR="0049606F" w:rsidRPr="00C52C4C" w:rsidRDefault="0049606F" w:rsidP="0049606F">
            <w:pPr>
              <w:pStyle w:val="TableText"/>
              <w:tabs>
                <w:tab w:val="left" w:pos="216"/>
              </w:tabs>
              <w:overflowPunct w:val="0"/>
              <w:autoSpaceDE w:val="0"/>
              <w:autoSpaceDN w:val="0"/>
              <w:adjustRightInd w:val="0"/>
              <w:textAlignment w:val="baseline"/>
              <w:rPr>
                <w:rFonts w:cs="Times New Roman"/>
                <w:sz w:val="22"/>
                <w:szCs w:val="22"/>
                <w:lang w:val="es-ES"/>
              </w:rPr>
            </w:pPr>
            <w:r w:rsidRPr="0049606F">
              <w:rPr>
                <w:rFonts w:cs="Times New Roman"/>
                <w:sz w:val="22"/>
                <w:szCs w:val="22"/>
                <w:lang w:val="es-ES"/>
              </w:rPr>
              <w:t>C</w:t>
            </w:r>
            <w:r w:rsidRPr="00537D6E">
              <w:rPr>
                <w:rFonts w:cs="Times New Roman"/>
                <w:sz w:val="22"/>
                <w:szCs w:val="22"/>
                <w:vertAlign w:val="subscript"/>
                <w:lang w:val="es-ES"/>
              </w:rPr>
              <w:t>12</w:t>
            </w:r>
            <w:r w:rsidRPr="0049606F">
              <w:rPr>
                <w:rFonts w:cs="Times New Roman"/>
                <w:sz w:val="22"/>
                <w:szCs w:val="22"/>
                <w:lang w:val="es-ES"/>
              </w:rPr>
              <w:t xml:space="preserve"> voriconazol ↓ 51%</w:t>
            </w:r>
          </w:p>
        </w:tc>
        <w:tc>
          <w:tcPr>
            <w:tcW w:w="2835" w:type="dxa"/>
          </w:tcPr>
          <w:p w14:paraId="462969CD" w14:textId="77777777" w:rsidR="0049606F" w:rsidRPr="00C52C4C" w:rsidRDefault="0049606F" w:rsidP="0049606F">
            <w:pPr>
              <w:pStyle w:val="TableText"/>
              <w:overflowPunct w:val="0"/>
              <w:autoSpaceDE w:val="0"/>
              <w:autoSpaceDN w:val="0"/>
              <w:adjustRightInd w:val="0"/>
              <w:textAlignment w:val="baseline"/>
              <w:rPr>
                <w:rFonts w:cs="Times New Roman"/>
                <w:sz w:val="22"/>
                <w:szCs w:val="22"/>
                <w:lang w:val="es-ES"/>
              </w:rPr>
            </w:pPr>
            <w:r w:rsidRPr="0049606F">
              <w:rPr>
                <w:rFonts w:cs="Times New Roman"/>
                <w:sz w:val="22"/>
                <w:szCs w:val="22"/>
                <w:lang w:val="es-ES"/>
              </w:rPr>
              <w:t>Si no se puede evitar la</w:t>
            </w:r>
            <w:r>
              <w:rPr>
                <w:rFonts w:cs="Times New Roman"/>
                <w:sz w:val="22"/>
                <w:szCs w:val="22"/>
                <w:lang w:val="es-ES"/>
              </w:rPr>
              <w:t xml:space="preserve"> </w:t>
            </w:r>
            <w:r w:rsidRPr="0049606F">
              <w:rPr>
                <w:rFonts w:cs="Times New Roman"/>
                <w:sz w:val="22"/>
                <w:szCs w:val="22"/>
                <w:lang w:val="es-ES"/>
              </w:rPr>
              <w:t>administración concomitante de</w:t>
            </w:r>
            <w:r>
              <w:rPr>
                <w:rFonts w:cs="Times New Roman"/>
                <w:sz w:val="22"/>
                <w:szCs w:val="22"/>
                <w:lang w:val="es-ES"/>
              </w:rPr>
              <w:t xml:space="preserve"> </w:t>
            </w:r>
            <w:r w:rsidRPr="0049606F">
              <w:rPr>
                <w:rFonts w:cs="Times New Roman"/>
                <w:sz w:val="22"/>
                <w:szCs w:val="22"/>
                <w:lang w:val="es-ES"/>
              </w:rPr>
              <w:t>voriconazol con letermovir, se debe</w:t>
            </w:r>
            <w:r>
              <w:rPr>
                <w:rFonts w:cs="Times New Roman"/>
                <w:sz w:val="22"/>
                <w:szCs w:val="22"/>
                <w:lang w:val="es-ES"/>
              </w:rPr>
              <w:t xml:space="preserve"> </w:t>
            </w:r>
            <w:r w:rsidRPr="0049606F">
              <w:rPr>
                <w:rFonts w:cs="Times New Roman"/>
                <w:sz w:val="22"/>
                <w:szCs w:val="22"/>
                <w:lang w:val="es-ES"/>
              </w:rPr>
              <w:t>monitorizar si hay pérdida de eficacia</w:t>
            </w:r>
            <w:r>
              <w:rPr>
                <w:rFonts w:cs="Times New Roman"/>
                <w:sz w:val="22"/>
                <w:szCs w:val="22"/>
                <w:lang w:val="es-ES"/>
              </w:rPr>
              <w:t xml:space="preserve"> d</w:t>
            </w:r>
            <w:r w:rsidRPr="0049606F">
              <w:rPr>
                <w:rFonts w:cs="Times New Roman"/>
                <w:sz w:val="22"/>
                <w:szCs w:val="22"/>
                <w:lang w:val="es-ES"/>
              </w:rPr>
              <w:t>e voriconazol.</w:t>
            </w:r>
          </w:p>
        </w:tc>
      </w:tr>
      <w:tr w:rsidR="00537D6E" w:rsidRPr="00C52C4C" w14:paraId="57AD24B1" w14:textId="77777777" w:rsidTr="00AC5BF4">
        <w:trPr>
          <w:jc w:val="center"/>
        </w:trPr>
        <w:tc>
          <w:tcPr>
            <w:tcW w:w="2696" w:type="dxa"/>
          </w:tcPr>
          <w:p w14:paraId="6FB2DFFA" w14:textId="77777777" w:rsidR="00537D6E" w:rsidRPr="00041B44" w:rsidRDefault="00537D6E" w:rsidP="00041B44">
            <w:pPr>
              <w:pStyle w:val="TableText"/>
              <w:tabs>
                <w:tab w:val="left" w:pos="360"/>
              </w:tabs>
              <w:overflowPunct w:val="0"/>
              <w:autoSpaceDE w:val="0"/>
              <w:autoSpaceDN w:val="0"/>
              <w:adjustRightInd w:val="0"/>
              <w:textAlignment w:val="baseline"/>
              <w:rPr>
                <w:rFonts w:cs="Times New Roman"/>
                <w:sz w:val="22"/>
                <w:szCs w:val="22"/>
                <w:lang w:val="es-ES"/>
              </w:rPr>
            </w:pPr>
            <w:r w:rsidRPr="00041B44">
              <w:rPr>
                <w:rFonts w:cs="Times New Roman"/>
                <w:sz w:val="22"/>
                <w:szCs w:val="22"/>
                <w:lang w:val="es-ES"/>
              </w:rPr>
              <w:t>Glasdegib</w:t>
            </w:r>
          </w:p>
          <w:p w14:paraId="3C47657E" w14:textId="77777777" w:rsidR="00537D6E" w:rsidRPr="00041B44" w:rsidRDefault="00537D6E" w:rsidP="00537D6E">
            <w:pPr>
              <w:pStyle w:val="TableText"/>
              <w:tabs>
                <w:tab w:val="left" w:pos="360"/>
              </w:tabs>
              <w:overflowPunct w:val="0"/>
              <w:autoSpaceDE w:val="0"/>
              <w:autoSpaceDN w:val="0"/>
              <w:adjustRightInd w:val="0"/>
              <w:textAlignment w:val="baseline"/>
              <w:rPr>
                <w:rFonts w:cs="Times New Roman"/>
                <w:i/>
                <w:iCs/>
                <w:sz w:val="22"/>
                <w:szCs w:val="22"/>
                <w:lang w:val="es-ES"/>
              </w:rPr>
            </w:pPr>
            <w:r w:rsidRPr="00041B44">
              <w:rPr>
                <w:rFonts w:cs="Times New Roman"/>
                <w:i/>
                <w:iCs/>
                <w:sz w:val="22"/>
                <w:szCs w:val="22"/>
                <w:lang w:val="es-ES"/>
              </w:rPr>
              <w:t>[Sustrato del CYP3A4]</w:t>
            </w:r>
          </w:p>
        </w:tc>
        <w:tc>
          <w:tcPr>
            <w:tcW w:w="3685" w:type="dxa"/>
          </w:tcPr>
          <w:p w14:paraId="1A0D6D5D" w14:textId="77777777" w:rsidR="00537D6E" w:rsidRPr="0049606F" w:rsidRDefault="00537D6E" w:rsidP="00041B44">
            <w:pPr>
              <w:pStyle w:val="TableText"/>
              <w:tabs>
                <w:tab w:val="left" w:pos="360"/>
              </w:tabs>
              <w:overflowPunct w:val="0"/>
              <w:autoSpaceDE w:val="0"/>
              <w:autoSpaceDN w:val="0"/>
              <w:adjustRightInd w:val="0"/>
              <w:textAlignment w:val="baseline"/>
              <w:rPr>
                <w:rFonts w:cs="Times New Roman"/>
                <w:sz w:val="22"/>
                <w:szCs w:val="22"/>
                <w:lang w:val="es-ES"/>
              </w:rPr>
            </w:pPr>
            <w:r w:rsidRPr="00041B44">
              <w:rPr>
                <w:rFonts w:cs="Times New Roman"/>
                <w:sz w:val="22"/>
                <w:szCs w:val="22"/>
                <w:lang w:val="es-ES"/>
              </w:rPr>
              <w:t>Aunque no se ha estudiado, es probable que voriconazol incremente las concentraciones plasmáticas de glasdegib y el riesgo de prolongación del QTc.</w:t>
            </w:r>
          </w:p>
        </w:tc>
        <w:tc>
          <w:tcPr>
            <w:tcW w:w="2835" w:type="dxa"/>
          </w:tcPr>
          <w:p w14:paraId="1029536B" w14:textId="77777777" w:rsidR="00537D6E" w:rsidRPr="00041B44" w:rsidRDefault="00537D6E" w:rsidP="00041B44">
            <w:pPr>
              <w:pStyle w:val="TableText"/>
              <w:tabs>
                <w:tab w:val="left" w:pos="360"/>
              </w:tabs>
              <w:overflowPunct w:val="0"/>
              <w:autoSpaceDE w:val="0"/>
              <w:autoSpaceDN w:val="0"/>
              <w:adjustRightInd w:val="0"/>
              <w:textAlignment w:val="baseline"/>
              <w:rPr>
                <w:rFonts w:cs="Times New Roman"/>
                <w:sz w:val="22"/>
                <w:szCs w:val="22"/>
                <w:lang w:val="es-ES"/>
              </w:rPr>
            </w:pPr>
            <w:r w:rsidRPr="00041B44">
              <w:rPr>
                <w:rFonts w:cs="Times New Roman"/>
                <w:sz w:val="22"/>
                <w:szCs w:val="22"/>
                <w:lang w:val="es-ES"/>
              </w:rPr>
              <w:t xml:space="preserve">Si no se puede evitar el uso </w:t>
            </w:r>
          </w:p>
          <w:p w14:paraId="1C71E00D" w14:textId="77777777" w:rsidR="00537D6E" w:rsidRPr="0049606F" w:rsidRDefault="00537D6E" w:rsidP="00041B44">
            <w:pPr>
              <w:pStyle w:val="TableText"/>
              <w:tabs>
                <w:tab w:val="left" w:pos="360"/>
              </w:tabs>
              <w:overflowPunct w:val="0"/>
              <w:autoSpaceDE w:val="0"/>
              <w:autoSpaceDN w:val="0"/>
              <w:adjustRightInd w:val="0"/>
              <w:textAlignment w:val="baseline"/>
              <w:rPr>
                <w:rFonts w:cs="Times New Roman"/>
                <w:sz w:val="22"/>
                <w:szCs w:val="22"/>
                <w:lang w:val="es-ES"/>
              </w:rPr>
            </w:pPr>
            <w:r w:rsidRPr="00041B44">
              <w:rPr>
                <w:rFonts w:cs="Times New Roman"/>
                <w:sz w:val="22"/>
                <w:szCs w:val="22"/>
                <w:lang w:val="es-ES"/>
              </w:rPr>
              <w:t>concomitante, se recomienda una monitorización frecuente del ECG (ver sección 4.4).</w:t>
            </w:r>
          </w:p>
        </w:tc>
      </w:tr>
      <w:tr w:rsidR="00537D6E" w:rsidRPr="00C52C4C" w14:paraId="261BAA9F" w14:textId="77777777" w:rsidTr="00AC5BF4">
        <w:trPr>
          <w:jc w:val="center"/>
        </w:trPr>
        <w:tc>
          <w:tcPr>
            <w:tcW w:w="2696" w:type="dxa"/>
          </w:tcPr>
          <w:p w14:paraId="28658F91" w14:textId="4197C651" w:rsidR="00537D6E" w:rsidRPr="00041B44" w:rsidRDefault="00537D6E" w:rsidP="00041B44">
            <w:pPr>
              <w:pStyle w:val="TableText"/>
              <w:tabs>
                <w:tab w:val="left" w:pos="360"/>
              </w:tabs>
              <w:overflowPunct w:val="0"/>
              <w:autoSpaceDE w:val="0"/>
              <w:autoSpaceDN w:val="0"/>
              <w:adjustRightInd w:val="0"/>
              <w:textAlignment w:val="baseline"/>
              <w:rPr>
                <w:rFonts w:cs="Times New Roman"/>
                <w:sz w:val="22"/>
                <w:szCs w:val="22"/>
                <w:lang w:val="es-ES"/>
              </w:rPr>
            </w:pPr>
            <w:r w:rsidRPr="00041B44">
              <w:rPr>
                <w:rFonts w:cs="Times New Roman"/>
                <w:sz w:val="22"/>
                <w:szCs w:val="22"/>
                <w:lang w:val="es-ES"/>
              </w:rPr>
              <w:t>Inhibidores de la tirosin quinasa (</w:t>
            </w:r>
            <w:r w:rsidR="00764AEE" w:rsidRPr="00E31D66">
              <w:rPr>
                <w:color w:val="000000"/>
                <w:sz w:val="22"/>
                <w:szCs w:val="22"/>
                <w:lang w:val="es-ES"/>
              </w:rPr>
              <w:t xml:space="preserve">que incluyen, entre otros: </w:t>
            </w:r>
            <w:r w:rsidRPr="00041B44">
              <w:rPr>
                <w:rFonts w:cs="Times New Roman"/>
                <w:sz w:val="22"/>
                <w:szCs w:val="22"/>
                <w:lang w:val="es-ES"/>
              </w:rPr>
              <w:t xml:space="preserve">axitinib, bosutinib, cabozantinib, ceritinib, cobimetinib, dabrafenib, dasatinib, nilotinib, sunitinib, </w:t>
            </w:r>
          </w:p>
          <w:p w14:paraId="5B416B6A" w14:textId="77777777" w:rsidR="00537D6E" w:rsidRPr="00041B44" w:rsidRDefault="00537D6E" w:rsidP="00041B44">
            <w:pPr>
              <w:pStyle w:val="TableText"/>
              <w:tabs>
                <w:tab w:val="left" w:pos="360"/>
              </w:tabs>
              <w:overflowPunct w:val="0"/>
              <w:autoSpaceDE w:val="0"/>
              <w:autoSpaceDN w:val="0"/>
              <w:adjustRightInd w:val="0"/>
              <w:textAlignment w:val="baseline"/>
              <w:rPr>
                <w:rFonts w:cs="Times New Roman"/>
                <w:sz w:val="22"/>
                <w:szCs w:val="22"/>
                <w:lang w:val="es-ES"/>
              </w:rPr>
            </w:pPr>
            <w:r w:rsidRPr="00041B44">
              <w:rPr>
                <w:rFonts w:cs="Times New Roman"/>
                <w:sz w:val="22"/>
                <w:szCs w:val="22"/>
                <w:lang w:val="es-ES"/>
              </w:rPr>
              <w:t>ibrutinib, ribociclib)</w:t>
            </w:r>
          </w:p>
          <w:p w14:paraId="77C2B51E" w14:textId="77777777" w:rsidR="00537D6E" w:rsidRPr="00041B44" w:rsidRDefault="00537D6E" w:rsidP="00537D6E">
            <w:pPr>
              <w:pStyle w:val="TableText"/>
              <w:tabs>
                <w:tab w:val="left" w:pos="360"/>
              </w:tabs>
              <w:overflowPunct w:val="0"/>
              <w:autoSpaceDE w:val="0"/>
              <w:autoSpaceDN w:val="0"/>
              <w:adjustRightInd w:val="0"/>
              <w:textAlignment w:val="baseline"/>
              <w:rPr>
                <w:rFonts w:cs="Times New Roman"/>
                <w:i/>
                <w:iCs/>
                <w:sz w:val="22"/>
                <w:szCs w:val="22"/>
                <w:lang w:val="es-ES"/>
              </w:rPr>
            </w:pPr>
            <w:r w:rsidRPr="00041B44">
              <w:rPr>
                <w:rFonts w:cs="Times New Roman"/>
                <w:i/>
                <w:iCs/>
                <w:sz w:val="22"/>
                <w:szCs w:val="22"/>
                <w:lang w:val="es-ES"/>
              </w:rPr>
              <w:t>[Sustratos del CYP3A4]</w:t>
            </w:r>
          </w:p>
        </w:tc>
        <w:tc>
          <w:tcPr>
            <w:tcW w:w="3685" w:type="dxa"/>
          </w:tcPr>
          <w:p w14:paraId="03AB4A85" w14:textId="77777777" w:rsidR="00537D6E" w:rsidRPr="0049606F" w:rsidRDefault="00537D6E" w:rsidP="00041B44">
            <w:pPr>
              <w:pStyle w:val="TableText"/>
              <w:tabs>
                <w:tab w:val="left" w:pos="360"/>
              </w:tabs>
              <w:overflowPunct w:val="0"/>
              <w:autoSpaceDE w:val="0"/>
              <w:autoSpaceDN w:val="0"/>
              <w:adjustRightInd w:val="0"/>
              <w:textAlignment w:val="baseline"/>
              <w:rPr>
                <w:rFonts w:cs="Times New Roman"/>
                <w:sz w:val="22"/>
                <w:szCs w:val="22"/>
                <w:lang w:val="es-ES"/>
              </w:rPr>
            </w:pPr>
            <w:r w:rsidRPr="00041B44">
              <w:rPr>
                <w:rFonts w:cs="Times New Roman"/>
                <w:sz w:val="22"/>
                <w:szCs w:val="22"/>
                <w:lang w:val="es-ES"/>
              </w:rPr>
              <w:t>Aunque no se ha estudiado, voriconazol puede incrementar las concentraciones plasmáticas de los inhibidores de la tirosin quinasa metabolizados por el CYP3A4.</w:t>
            </w:r>
          </w:p>
        </w:tc>
        <w:tc>
          <w:tcPr>
            <w:tcW w:w="2835" w:type="dxa"/>
          </w:tcPr>
          <w:p w14:paraId="5D56854A" w14:textId="77777777" w:rsidR="00537D6E" w:rsidRPr="00041B44" w:rsidRDefault="00537D6E" w:rsidP="00041B44">
            <w:pPr>
              <w:pStyle w:val="TableText"/>
              <w:tabs>
                <w:tab w:val="left" w:pos="360"/>
              </w:tabs>
              <w:overflowPunct w:val="0"/>
              <w:autoSpaceDE w:val="0"/>
              <w:autoSpaceDN w:val="0"/>
              <w:adjustRightInd w:val="0"/>
              <w:textAlignment w:val="baseline"/>
              <w:rPr>
                <w:rFonts w:cs="Times New Roman"/>
                <w:sz w:val="22"/>
                <w:szCs w:val="22"/>
                <w:lang w:val="es-ES"/>
              </w:rPr>
            </w:pPr>
            <w:r w:rsidRPr="00041B44">
              <w:rPr>
                <w:rFonts w:cs="Times New Roman"/>
                <w:sz w:val="22"/>
                <w:szCs w:val="22"/>
                <w:lang w:val="es-ES"/>
              </w:rPr>
              <w:t xml:space="preserve">Si no se puede evitar el uso </w:t>
            </w:r>
          </w:p>
          <w:p w14:paraId="5B4451D4" w14:textId="77777777" w:rsidR="00537D6E" w:rsidRPr="00041B44" w:rsidRDefault="00537D6E" w:rsidP="00041B44">
            <w:pPr>
              <w:pStyle w:val="TableText"/>
              <w:tabs>
                <w:tab w:val="left" w:pos="360"/>
              </w:tabs>
              <w:overflowPunct w:val="0"/>
              <w:autoSpaceDE w:val="0"/>
              <w:autoSpaceDN w:val="0"/>
              <w:adjustRightInd w:val="0"/>
              <w:textAlignment w:val="baseline"/>
              <w:rPr>
                <w:rFonts w:cs="Times New Roman"/>
                <w:sz w:val="22"/>
                <w:szCs w:val="22"/>
                <w:lang w:val="es-ES"/>
              </w:rPr>
            </w:pPr>
            <w:r w:rsidRPr="00041B44">
              <w:rPr>
                <w:rFonts w:cs="Times New Roman"/>
                <w:sz w:val="22"/>
                <w:szCs w:val="22"/>
                <w:lang w:val="es-ES"/>
              </w:rPr>
              <w:t xml:space="preserve">concomitante, se recomienda la </w:t>
            </w:r>
          </w:p>
          <w:p w14:paraId="67042C12" w14:textId="1A56B99E" w:rsidR="00537D6E" w:rsidRPr="0049606F" w:rsidRDefault="00537D6E" w:rsidP="00041B44">
            <w:pPr>
              <w:pStyle w:val="TableText"/>
              <w:tabs>
                <w:tab w:val="left" w:pos="360"/>
              </w:tabs>
              <w:overflowPunct w:val="0"/>
              <w:autoSpaceDE w:val="0"/>
              <w:autoSpaceDN w:val="0"/>
              <w:adjustRightInd w:val="0"/>
              <w:textAlignment w:val="baseline"/>
              <w:rPr>
                <w:rFonts w:cs="Times New Roman"/>
                <w:sz w:val="22"/>
                <w:szCs w:val="22"/>
                <w:lang w:val="es-ES"/>
              </w:rPr>
            </w:pPr>
            <w:r w:rsidRPr="00041B44">
              <w:rPr>
                <w:rFonts w:cs="Times New Roman"/>
                <w:sz w:val="22"/>
                <w:szCs w:val="22"/>
                <w:lang w:val="es-ES"/>
              </w:rPr>
              <w:t xml:space="preserve">reducción de la dosis del inhibidor de la tirosin quinasa </w:t>
            </w:r>
            <w:r w:rsidR="00764AEE" w:rsidRPr="00E31D66">
              <w:rPr>
                <w:color w:val="000000"/>
                <w:sz w:val="22"/>
                <w:szCs w:val="22"/>
                <w:lang w:val="es-ES"/>
              </w:rPr>
              <w:t xml:space="preserve">y una estrecha monitorización clínica </w:t>
            </w:r>
            <w:r w:rsidRPr="00041B44">
              <w:rPr>
                <w:rFonts w:cs="Times New Roman"/>
                <w:sz w:val="22"/>
                <w:szCs w:val="22"/>
                <w:lang w:val="es-ES"/>
              </w:rPr>
              <w:t>(ver sección 4.4).</w:t>
            </w:r>
          </w:p>
        </w:tc>
      </w:tr>
      <w:tr w:rsidR="00D061AA" w:rsidRPr="00C52C4C" w14:paraId="641030A3" w14:textId="77777777" w:rsidTr="00AC5BF4">
        <w:trPr>
          <w:trHeight w:val="1815"/>
          <w:jc w:val="center"/>
        </w:trPr>
        <w:tc>
          <w:tcPr>
            <w:tcW w:w="2696" w:type="dxa"/>
            <w:tcBorders>
              <w:bottom w:val="nil"/>
            </w:tcBorders>
          </w:tcPr>
          <w:p w14:paraId="0E6D67D0" w14:textId="77777777" w:rsidR="00D061AA" w:rsidRPr="00C52C4C" w:rsidRDefault="00D061AA" w:rsidP="00EE4A64">
            <w:pPr>
              <w:pStyle w:val="TableText"/>
              <w:tabs>
                <w:tab w:val="left" w:pos="360"/>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Anticoagulantes</w:t>
            </w:r>
          </w:p>
          <w:p w14:paraId="16344612" w14:textId="77777777" w:rsidR="00D061AA" w:rsidRPr="00C52C4C" w:rsidRDefault="00D061AA" w:rsidP="00EE4A64">
            <w:pPr>
              <w:pStyle w:val="TableText"/>
              <w:tabs>
                <w:tab w:val="left" w:pos="360"/>
              </w:tabs>
              <w:overflowPunct w:val="0"/>
              <w:autoSpaceDE w:val="0"/>
              <w:autoSpaceDN w:val="0"/>
              <w:adjustRightInd w:val="0"/>
              <w:textAlignment w:val="baseline"/>
              <w:rPr>
                <w:rFonts w:cs="Times New Roman"/>
                <w:sz w:val="22"/>
                <w:szCs w:val="22"/>
                <w:lang w:val="es-ES"/>
              </w:rPr>
            </w:pPr>
          </w:p>
          <w:p w14:paraId="6E70DA28" w14:textId="77777777" w:rsidR="00D061AA" w:rsidRPr="00C52C4C" w:rsidRDefault="00D061AA" w:rsidP="00EE4A64">
            <w:pPr>
              <w:pStyle w:val="TableText"/>
              <w:tabs>
                <w:tab w:val="left" w:pos="360"/>
              </w:tabs>
              <w:overflowPunct w:val="0"/>
              <w:autoSpaceDE w:val="0"/>
              <w:autoSpaceDN w:val="0"/>
              <w:adjustRightInd w:val="0"/>
              <w:ind w:left="144"/>
              <w:textAlignment w:val="baseline"/>
              <w:rPr>
                <w:rFonts w:cs="Times New Roman"/>
                <w:sz w:val="22"/>
                <w:szCs w:val="22"/>
                <w:lang w:val="es-ES"/>
              </w:rPr>
            </w:pPr>
            <w:r w:rsidRPr="00C52C4C">
              <w:rPr>
                <w:rFonts w:cs="Times New Roman"/>
                <w:sz w:val="22"/>
                <w:szCs w:val="22"/>
                <w:lang w:val="es-ES"/>
              </w:rPr>
              <w:t>Warfarina (dosis única de 30 mg, administrada concomitantemente con 300 mg BID de voriconazol)</w:t>
            </w:r>
          </w:p>
          <w:p w14:paraId="7A6E2484" w14:textId="77777777" w:rsidR="00D061AA" w:rsidRPr="00C52C4C" w:rsidRDefault="00D061AA" w:rsidP="00EE4A64">
            <w:pPr>
              <w:pStyle w:val="TableText"/>
              <w:tabs>
                <w:tab w:val="left" w:pos="360"/>
              </w:tabs>
              <w:overflowPunct w:val="0"/>
              <w:autoSpaceDE w:val="0"/>
              <w:autoSpaceDN w:val="0"/>
              <w:adjustRightInd w:val="0"/>
              <w:ind w:left="144"/>
              <w:textAlignment w:val="baseline"/>
              <w:rPr>
                <w:rFonts w:cs="Times New Roman"/>
                <w:i/>
                <w:sz w:val="22"/>
                <w:szCs w:val="22"/>
                <w:lang w:val="es-ES"/>
              </w:rPr>
            </w:pPr>
            <w:r w:rsidRPr="00C52C4C">
              <w:rPr>
                <w:rFonts w:cs="Times New Roman"/>
                <w:i/>
                <w:sz w:val="22"/>
                <w:szCs w:val="22"/>
                <w:lang w:val="es-ES"/>
              </w:rPr>
              <w:t xml:space="preserve">[sustrato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P2C9]</w:t>
            </w:r>
          </w:p>
        </w:tc>
        <w:tc>
          <w:tcPr>
            <w:tcW w:w="3685" w:type="dxa"/>
            <w:tcBorders>
              <w:bottom w:val="nil"/>
            </w:tcBorders>
          </w:tcPr>
          <w:p w14:paraId="6E7BE30C"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p>
          <w:p w14:paraId="21C23062"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p>
          <w:p w14:paraId="31C6DE2B"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El incremento máximo del tiempo de protrombina fue aproximadamente del orden de dos veces.</w:t>
            </w:r>
          </w:p>
        </w:tc>
        <w:tc>
          <w:tcPr>
            <w:tcW w:w="2835" w:type="dxa"/>
            <w:vMerge w:val="restart"/>
          </w:tcPr>
          <w:p w14:paraId="3545E4CC"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p>
          <w:p w14:paraId="55674365"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p>
          <w:p w14:paraId="759158FF"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 xml:space="preserve">Se recomienda monitorizar estrechamente el tiempo de protrombina u otras pruebas adecuadas de  anticoagulación, y se debe ajustar la dosis del anticoagulante convenientemente. </w:t>
            </w:r>
          </w:p>
        </w:tc>
      </w:tr>
      <w:tr w:rsidR="00D061AA" w:rsidRPr="00C52C4C" w14:paraId="138191DC" w14:textId="77777777" w:rsidTr="00AC5BF4">
        <w:trPr>
          <w:trHeight w:val="1434"/>
          <w:jc w:val="center"/>
        </w:trPr>
        <w:tc>
          <w:tcPr>
            <w:tcW w:w="2696" w:type="dxa"/>
            <w:tcBorders>
              <w:top w:val="nil"/>
            </w:tcBorders>
          </w:tcPr>
          <w:p w14:paraId="5C26BCBF" w14:textId="77777777" w:rsidR="00D061AA" w:rsidRPr="00C52C4C" w:rsidRDefault="00D061AA" w:rsidP="00EE4A64">
            <w:pPr>
              <w:pStyle w:val="TableText"/>
              <w:tabs>
                <w:tab w:val="left" w:pos="360"/>
              </w:tabs>
              <w:overflowPunct w:val="0"/>
              <w:autoSpaceDE w:val="0"/>
              <w:autoSpaceDN w:val="0"/>
              <w:adjustRightInd w:val="0"/>
              <w:ind w:left="144"/>
              <w:textAlignment w:val="baseline"/>
              <w:rPr>
                <w:rFonts w:cs="Times New Roman"/>
                <w:sz w:val="22"/>
                <w:szCs w:val="22"/>
                <w:lang w:val="es-ES"/>
              </w:rPr>
            </w:pPr>
            <w:r w:rsidRPr="00C52C4C">
              <w:rPr>
                <w:rFonts w:cs="Times New Roman"/>
                <w:sz w:val="22"/>
                <w:szCs w:val="22"/>
                <w:lang w:val="es-ES"/>
              </w:rPr>
              <w:t>Otras cumarinas orales</w:t>
            </w:r>
          </w:p>
          <w:p w14:paraId="5523DBEE" w14:textId="769FE651" w:rsidR="00D061AA" w:rsidRPr="00C52C4C" w:rsidRDefault="00D061AA" w:rsidP="00EE4A64">
            <w:pPr>
              <w:pStyle w:val="TableText"/>
              <w:tabs>
                <w:tab w:val="left" w:pos="360"/>
              </w:tabs>
              <w:overflowPunct w:val="0"/>
              <w:autoSpaceDE w:val="0"/>
              <w:autoSpaceDN w:val="0"/>
              <w:adjustRightInd w:val="0"/>
              <w:ind w:left="144"/>
              <w:textAlignment w:val="baseline"/>
              <w:rPr>
                <w:rFonts w:cs="Times New Roman"/>
                <w:sz w:val="22"/>
                <w:szCs w:val="22"/>
                <w:lang w:val="es-ES"/>
              </w:rPr>
            </w:pPr>
            <w:r w:rsidRPr="00C52C4C">
              <w:rPr>
                <w:rFonts w:cs="Times New Roman"/>
                <w:sz w:val="22"/>
                <w:szCs w:val="22"/>
                <w:lang w:val="es-ES"/>
              </w:rPr>
              <w:t>(</w:t>
            </w:r>
            <w:r w:rsidR="00764AEE" w:rsidRPr="00E31D66">
              <w:rPr>
                <w:color w:val="000000"/>
                <w:sz w:val="22"/>
                <w:szCs w:val="22"/>
                <w:lang w:val="es-ES"/>
              </w:rPr>
              <w:t>que incluyen, entre otros:</w:t>
            </w:r>
            <w:r w:rsidR="00764AEE">
              <w:rPr>
                <w:rFonts w:cs="Times New Roman"/>
                <w:sz w:val="22"/>
                <w:szCs w:val="22"/>
                <w:lang w:val="es-ES"/>
              </w:rPr>
              <w:t xml:space="preserve"> </w:t>
            </w:r>
            <w:r w:rsidRPr="00C52C4C">
              <w:rPr>
                <w:rFonts w:cs="Times New Roman"/>
                <w:sz w:val="22"/>
                <w:szCs w:val="22"/>
                <w:lang w:val="es-ES"/>
              </w:rPr>
              <w:t>fenprocumon, acenocumarol)</w:t>
            </w:r>
          </w:p>
          <w:p w14:paraId="5BB90C8E" w14:textId="77777777" w:rsidR="00D061AA" w:rsidRPr="00C52C4C" w:rsidRDefault="00D061AA" w:rsidP="00EE4A64">
            <w:pPr>
              <w:pStyle w:val="TableText"/>
              <w:tabs>
                <w:tab w:val="left" w:pos="360"/>
              </w:tabs>
              <w:overflowPunct w:val="0"/>
              <w:autoSpaceDE w:val="0"/>
              <w:autoSpaceDN w:val="0"/>
              <w:adjustRightInd w:val="0"/>
              <w:ind w:left="144" w:hanging="216"/>
              <w:textAlignment w:val="baseline"/>
              <w:rPr>
                <w:rFonts w:cs="Times New Roman"/>
                <w:sz w:val="22"/>
                <w:szCs w:val="22"/>
                <w:lang w:val="es-ES"/>
              </w:rPr>
            </w:pPr>
            <w:r w:rsidRPr="00C52C4C">
              <w:rPr>
                <w:rFonts w:cs="Times New Roman"/>
                <w:sz w:val="22"/>
                <w:szCs w:val="22"/>
                <w:lang w:val="es-ES"/>
              </w:rPr>
              <w:t xml:space="preserve"> </w:t>
            </w:r>
            <w:r w:rsidRPr="00C52C4C">
              <w:rPr>
                <w:rFonts w:cs="Times New Roman"/>
                <w:sz w:val="22"/>
                <w:szCs w:val="22"/>
                <w:lang w:val="es-ES"/>
              </w:rPr>
              <w:tab/>
            </w:r>
            <w:r w:rsidRPr="00C52C4C">
              <w:rPr>
                <w:rFonts w:cs="Times New Roman"/>
                <w:i/>
                <w:sz w:val="22"/>
                <w:szCs w:val="22"/>
                <w:lang w:val="es-ES"/>
              </w:rPr>
              <w:t xml:space="preserve">[sustratos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P2C9 y</w:t>
            </w:r>
            <w:r w:rsidRPr="00C52C4C">
              <w:rPr>
                <w:rFonts w:cs="Times New Roman"/>
                <w:i/>
                <w:sz w:val="22"/>
                <w:szCs w:val="22"/>
                <w:lang w:val="es-ES"/>
              </w:rPr>
              <w:tab/>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P3A4]</w:t>
            </w:r>
          </w:p>
        </w:tc>
        <w:tc>
          <w:tcPr>
            <w:tcW w:w="3685" w:type="dxa"/>
            <w:tcBorders>
              <w:top w:val="nil"/>
            </w:tcBorders>
          </w:tcPr>
          <w:p w14:paraId="65238E48" w14:textId="77777777" w:rsidR="00D061AA" w:rsidRPr="00C52C4C" w:rsidRDefault="00D061AA" w:rsidP="00EE4A64">
            <w:pPr>
              <w:pStyle w:val="TableText"/>
              <w:tabs>
                <w:tab w:val="left" w:pos="216"/>
                <w:tab w:val="left" w:pos="360"/>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Aunque no se ha estudiado,  voriconazol puede incrementar las concentraciones plasmáticas de las cumarinas pudiendo provocar un incremento del tiempo de protrombina.</w:t>
            </w:r>
          </w:p>
        </w:tc>
        <w:tc>
          <w:tcPr>
            <w:tcW w:w="2835" w:type="dxa"/>
            <w:vMerge/>
          </w:tcPr>
          <w:p w14:paraId="2016532C"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p>
        </w:tc>
      </w:tr>
      <w:tr w:rsidR="0049606F" w:rsidRPr="00C52C4C" w14:paraId="4A9AF37D" w14:textId="77777777" w:rsidTr="00AC5BF4">
        <w:trPr>
          <w:trHeight w:val="1434"/>
          <w:jc w:val="center"/>
        </w:trPr>
        <w:tc>
          <w:tcPr>
            <w:tcW w:w="2696" w:type="dxa"/>
            <w:tcBorders>
              <w:top w:val="nil"/>
            </w:tcBorders>
          </w:tcPr>
          <w:p w14:paraId="6CC55459" w14:textId="77777777" w:rsidR="0049606F" w:rsidRPr="0049606F" w:rsidRDefault="0049606F" w:rsidP="0049606F">
            <w:pPr>
              <w:pStyle w:val="TableText"/>
              <w:tabs>
                <w:tab w:val="left" w:pos="360"/>
              </w:tabs>
              <w:overflowPunct w:val="0"/>
              <w:autoSpaceDE w:val="0"/>
              <w:autoSpaceDN w:val="0"/>
              <w:adjustRightInd w:val="0"/>
              <w:ind w:left="144"/>
              <w:textAlignment w:val="baseline"/>
              <w:rPr>
                <w:rFonts w:cs="Times New Roman"/>
                <w:sz w:val="22"/>
                <w:szCs w:val="22"/>
                <w:lang w:val="es-ES"/>
              </w:rPr>
            </w:pPr>
            <w:r w:rsidRPr="0049606F">
              <w:rPr>
                <w:rFonts w:cs="Times New Roman"/>
                <w:sz w:val="22"/>
                <w:szCs w:val="22"/>
                <w:lang w:val="es-ES"/>
              </w:rPr>
              <w:lastRenderedPageBreak/>
              <w:t>Ivacaftor</w:t>
            </w:r>
          </w:p>
          <w:p w14:paraId="6941D9B5" w14:textId="77777777" w:rsidR="0049606F" w:rsidRPr="00537D6E" w:rsidRDefault="0049606F" w:rsidP="0049606F">
            <w:pPr>
              <w:pStyle w:val="TableText"/>
              <w:tabs>
                <w:tab w:val="left" w:pos="360"/>
              </w:tabs>
              <w:overflowPunct w:val="0"/>
              <w:autoSpaceDE w:val="0"/>
              <w:autoSpaceDN w:val="0"/>
              <w:adjustRightInd w:val="0"/>
              <w:ind w:left="144"/>
              <w:textAlignment w:val="baseline"/>
              <w:rPr>
                <w:rFonts w:cs="Times New Roman"/>
                <w:i/>
                <w:iCs/>
                <w:sz w:val="22"/>
                <w:szCs w:val="22"/>
                <w:lang w:val="es-ES"/>
              </w:rPr>
            </w:pPr>
            <w:r w:rsidRPr="00537D6E">
              <w:rPr>
                <w:rFonts w:cs="Times New Roman"/>
                <w:i/>
                <w:iCs/>
                <w:sz w:val="22"/>
                <w:szCs w:val="22"/>
                <w:lang w:val="es-ES"/>
              </w:rPr>
              <w:t>[Sustrato del CYP3A4]</w:t>
            </w:r>
          </w:p>
        </w:tc>
        <w:tc>
          <w:tcPr>
            <w:tcW w:w="3685" w:type="dxa"/>
            <w:tcBorders>
              <w:top w:val="nil"/>
            </w:tcBorders>
          </w:tcPr>
          <w:p w14:paraId="1E49ECDE" w14:textId="77777777" w:rsidR="0049606F" w:rsidRPr="0049606F" w:rsidRDefault="0049606F" w:rsidP="0049606F">
            <w:pPr>
              <w:pStyle w:val="TableText"/>
              <w:tabs>
                <w:tab w:val="left" w:pos="216"/>
                <w:tab w:val="left" w:pos="360"/>
              </w:tabs>
              <w:overflowPunct w:val="0"/>
              <w:autoSpaceDE w:val="0"/>
              <w:autoSpaceDN w:val="0"/>
              <w:adjustRightInd w:val="0"/>
              <w:textAlignment w:val="baseline"/>
              <w:rPr>
                <w:rFonts w:cs="Times New Roman"/>
                <w:sz w:val="22"/>
                <w:szCs w:val="22"/>
                <w:lang w:val="es-ES"/>
              </w:rPr>
            </w:pPr>
            <w:r w:rsidRPr="0049606F">
              <w:rPr>
                <w:rFonts w:cs="Times New Roman"/>
                <w:sz w:val="22"/>
                <w:szCs w:val="22"/>
                <w:lang w:val="es-ES"/>
              </w:rPr>
              <w:t xml:space="preserve">Aunque no se ha estudiado, es probable </w:t>
            </w:r>
          </w:p>
          <w:p w14:paraId="1510BAA5" w14:textId="77777777" w:rsidR="0049606F" w:rsidRPr="0049606F" w:rsidRDefault="0049606F" w:rsidP="0049606F">
            <w:pPr>
              <w:pStyle w:val="TableText"/>
              <w:tabs>
                <w:tab w:val="left" w:pos="216"/>
                <w:tab w:val="left" w:pos="360"/>
              </w:tabs>
              <w:overflowPunct w:val="0"/>
              <w:autoSpaceDE w:val="0"/>
              <w:autoSpaceDN w:val="0"/>
              <w:adjustRightInd w:val="0"/>
              <w:textAlignment w:val="baseline"/>
              <w:rPr>
                <w:rFonts w:cs="Times New Roman"/>
                <w:sz w:val="22"/>
                <w:szCs w:val="22"/>
                <w:lang w:val="es-ES"/>
              </w:rPr>
            </w:pPr>
            <w:r w:rsidRPr="0049606F">
              <w:rPr>
                <w:rFonts w:cs="Times New Roman"/>
                <w:sz w:val="22"/>
                <w:szCs w:val="22"/>
                <w:lang w:val="es-ES"/>
              </w:rPr>
              <w:t xml:space="preserve">que voriconazol incremente las </w:t>
            </w:r>
          </w:p>
          <w:p w14:paraId="3DD5160C" w14:textId="77777777" w:rsidR="0049606F" w:rsidRPr="0049606F" w:rsidRDefault="0049606F" w:rsidP="0049606F">
            <w:pPr>
              <w:pStyle w:val="TableText"/>
              <w:tabs>
                <w:tab w:val="left" w:pos="216"/>
                <w:tab w:val="left" w:pos="360"/>
              </w:tabs>
              <w:overflowPunct w:val="0"/>
              <w:autoSpaceDE w:val="0"/>
              <w:autoSpaceDN w:val="0"/>
              <w:adjustRightInd w:val="0"/>
              <w:textAlignment w:val="baseline"/>
              <w:rPr>
                <w:rFonts w:cs="Times New Roman"/>
                <w:sz w:val="22"/>
                <w:szCs w:val="22"/>
                <w:lang w:val="es-ES"/>
              </w:rPr>
            </w:pPr>
            <w:r w:rsidRPr="0049606F">
              <w:rPr>
                <w:rFonts w:cs="Times New Roman"/>
                <w:sz w:val="22"/>
                <w:szCs w:val="22"/>
                <w:lang w:val="es-ES"/>
              </w:rPr>
              <w:t>concentraciones plasmáticas de ivacaftor</w:t>
            </w:r>
          </w:p>
          <w:p w14:paraId="32BB967D" w14:textId="77777777" w:rsidR="0049606F" w:rsidRPr="0049606F" w:rsidRDefault="0049606F" w:rsidP="0049606F">
            <w:pPr>
              <w:pStyle w:val="TableText"/>
              <w:tabs>
                <w:tab w:val="left" w:pos="216"/>
                <w:tab w:val="left" w:pos="360"/>
              </w:tabs>
              <w:overflowPunct w:val="0"/>
              <w:autoSpaceDE w:val="0"/>
              <w:autoSpaceDN w:val="0"/>
              <w:adjustRightInd w:val="0"/>
              <w:textAlignment w:val="baseline"/>
              <w:rPr>
                <w:rFonts w:cs="Times New Roman"/>
                <w:sz w:val="22"/>
                <w:szCs w:val="22"/>
                <w:lang w:val="es-ES"/>
              </w:rPr>
            </w:pPr>
            <w:r w:rsidRPr="0049606F">
              <w:rPr>
                <w:rFonts w:cs="Times New Roman"/>
                <w:sz w:val="22"/>
                <w:szCs w:val="22"/>
                <w:lang w:val="es-ES"/>
              </w:rPr>
              <w:t>con riesgo de un incremento de los</w:t>
            </w:r>
          </w:p>
          <w:p w14:paraId="618901DD" w14:textId="77777777" w:rsidR="0049606F" w:rsidRPr="00C52C4C" w:rsidRDefault="0049606F" w:rsidP="0049606F">
            <w:pPr>
              <w:pStyle w:val="TableText"/>
              <w:tabs>
                <w:tab w:val="left" w:pos="216"/>
                <w:tab w:val="left" w:pos="360"/>
              </w:tabs>
              <w:overflowPunct w:val="0"/>
              <w:autoSpaceDE w:val="0"/>
              <w:autoSpaceDN w:val="0"/>
              <w:adjustRightInd w:val="0"/>
              <w:textAlignment w:val="baseline"/>
              <w:rPr>
                <w:rFonts w:cs="Times New Roman"/>
                <w:sz w:val="22"/>
                <w:szCs w:val="22"/>
                <w:lang w:val="es-ES"/>
              </w:rPr>
            </w:pPr>
            <w:r w:rsidRPr="0049606F">
              <w:rPr>
                <w:rFonts w:cs="Times New Roman"/>
                <w:sz w:val="22"/>
                <w:szCs w:val="22"/>
                <w:lang w:val="es-ES"/>
              </w:rPr>
              <w:t>efectos adversos.</w:t>
            </w:r>
          </w:p>
        </w:tc>
        <w:tc>
          <w:tcPr>
            <w:tcW w:w="2835" w:type="dxa"/>
          </w:tcPr>
          <w:p w14:paraId="60196DEC" w14:textId="77777777" w:rsidR="0049606F" w:rsidRPr="00C52C4C" w:rsidRDefault="0049606F" w:rsidP="0049606F">
            <w:pPr>
              <w:pStyle w:val="TableText"/>
              <w:overflowPunct w:val="0"/>
              <w:autoSpaceDE w:val="0"/>
              <w:autoSpaceDN w:val="0"/>
              <w:adjustRightInd w:val="0"/>
              <w:textAlignment w:val="baseline"/>
              <w:rPr>
                <w:rFonts w:cs="Times New Roman"/>
                <w:sz w:val="22"/>
                <w:szCs w:val="22"/>
                <w:lang w:val="es-ES"/>
              </w:rPr>
            </w:pPr>
            <w:r w:rsidRPr="0049606F">
              <w:rPr>
                <w:rFonts w:cs="Times New Roman"/>
                <w:sz w:val="22"/>
                <w:szCs w:val="22"/>
                <w:lang w:val="es-ES"/>
              </w:rPr>
              <w:t>Se recomienda la reducción de la</w:t>
            </w:r>
            <w:r>
              <w:rPr>
                <w:rFonts w:cs="Times New Roman"/>
                <w:sz w:val="22"/>
                <w:szCs w:val="22"/>
                <w:lang w:val="es-ES"/>
              </w:rPr>
              <w:t xml:space="preserve"> </w:t>
            </w:r>
            <w:r w:rsidRPr="0049606F">
              <w:rPr>
                <w:rFonts w:cs="Times New Roman"/>
                <w:sz w:val="22"/>
                <w:szCs w:val="22"/>
                <w:lang w:val="es-ES"/>
              </w:rPr>
              <w:t>dosis de ivacaftor</w:t>
            </w:r>
            <w:r>
              <w:rPr>
                <w:rFonts w:cs="Times New Roman"/>
                <w:sz w:val="22"/>
                <w:szCs w:val="22"/>
                <w:lang w:val="es-ES"/>
              </w:rPr>
              <w:t>.</w:t>
            </w:r>
          </w:p>
        </w:tc>
      </w:tr>
      <w:tr w:rsidR="00D061AA" w:rsidRPr="00C52C4C" w14:paraId="1E3B7840" w14:textId="77777777" w:rsidTr="00AC5BF4">
        <w:trPr>
          <w:trHeight w:val="1665"/>
          <w:jc w:val="center"/>
        </w:trPr>
        <w:tc>
          <w:tcPr>
            <w:tcW w:w="2696" w:type="dxa"/>
            <w:tcBorders>
              <w:bottom w:val="single" w:sz="4" w:space="0" w:color="auto"/>
            </w:tcBorders>
          </w:tcPr>
          <w:p w14:paraId="357BECCF" w14:textId="77777777" w:rsidR="00537D6E" w:rsidRPr="00D9439B" w:rsidRDefault="00D061AA" w:rsidP="00537D6E">
            <w:pPr>
              <w:pStyle w:val="TableText"/>
              <w:tabs>
                <w:tab w:val="left" w:pos="360"/>
              </w:tabs>
              <w:overflowPunct w:val="0"/>
              <w:autoSpaceDE w:val="0"/>
              <w:autoSpaceDN w:val="0"/>
              <w:adjustRightInd w:val="0"/>
              <w:textAlignment w:val="baseline"/>
              <w:rPr>
                <w:rFonts w:cs="Times New Roman"/>
                <w:sz w:val="22"/>
                <w:szCs w:val="22"/>
                <w:lang w:val="pt-BR"/>
              </w:rPr>
            </w:pPr>
            <w:r w:rsidRPr="00D9439B">
              <w:rPr>
                <w:rFonts w:cs="Times New Roman"/>
                <w:sz w:val="22"/>
                <w:szCs w:val="22"/>
                <w:lang w:val="pt-BR"/>
              </w:rPr>
              <w:t xml:space="preserve">Benzodiazepinas </w:t>
            </w:r>
          </w:p>
          <w:p w14:paraId="6E389857" w14:textId="77777777" w:rsidR="00D061AA" w:rsidRPr="00D9439B" w:rsidRDefault="00D061AA" w:rsidP="00EE4A64">
            <w:pPr>
              <w:pStyle w:val="TableText"/>
              <w:tabs>
                <w:tab w:val="left" w:pos="360"/>
              </w:tabs>
              <w:overflowPunct w:val="0"/>
              <w:autoSpaceDE w:val="0"/>
              <w:autoSpaceDN w:val="0"/>
              <w:adjustRightInd w:val="0"/>
              <w:textAlignment w:val="baseline"/>
              <w:rPr>
                <w:rFonts w:cs="Times New Roman"/>
                <w:iCs/>
                <w:sz w:val="22"/>
                <w:szCs w:val="22"/>
                <w:lang w:val="pt-BR"/>
              </w:rPr>
            </w:pPr>
            <w:r w:rsidRPr="00D9439B">
              <w:rPr>
                <w:rFonts w:cs="Times New Roman"/>
                <w:i/>
                <w:sz w:val="22"/>
                <w:szCs w:val="22"/>
                <w:lang w:val="pt-BR"/>
              </w:rPr>
              <w:t>[sustratos del CYP3A4]</w:t>
            </w:r>
          </w:p>
          <w:p w14:paraId="0C3924F7" w14:textId="77777777" w:rsidR="00537D6E" w:rsidRPr="002869DC" w:rsidRDefault="00537D6E" w:rsidP="00537D6E">
            <w:pPr>
              <w:adjustRightInd w:val="0"/>
              <w:rPr>
                <w:sz w:val="22"/>
                <w:szCs w:val="22"/>
              </w:rPr>
            </w:pPr>
            <w:r w:rsidRPr="002869DC">
              <w:rPr>
                <w:sz w:val="22"/>
                <w:szCs w:val="22"/>
              </w:rPr>
              <w:t xml:space="preserve">Midazolam (0,05 mg/kg </w:t>
            </w:r>
          </w:p>
          <w:p w14:paraId="074BC5D1" w14:textId="77777777" w:rsidR="00537D6E" w:rsidRPr="002869DC" w:rsidRDefault="00537D6E" w:rsidP="00537D6E">
            <w:pPr>
              <w:adjustRightInd w:val="0"/>
              <w:rPr>
                <w:sz w:val="22"/>
                <w:szCs w:val="22"/>
              </w:rPr>
            </w:pPr>
            <w:r w:rsidRPr="002869DC">
              <w:rPr>
                <w:sz w:val="22"/>
                <w:szCs w:val="22"/>
              </w:rPr>
              <w:t>dosis IV única)</w:t>
            </w:r>
          </w:p>
          <w:p w14:paraId="00F08B3E" w14:textId="77777777" w:rsidR="00537D6E" w:rsidRPr="002869DC" w:rsidRDefault="00537D6E" w:rsidP="00537D6E">
            <w:pPr>
              <w:adjustRightInd w:val="0"/>
              <w:rPr>
                <w:sz w:val="22"/>
                <w:szCs w:val="22"/>
              </w:rPr>
            </w:pPr>
          </w:p>
          <w:p w14:paraId="271A725C" w14:textId="77777777" w:rsidR="00537D6E" w:rsidRPr="002869DC" w:rsidRDefault="00537D6E" w:rsidP="00537D6E">
            <w:pPr>
              <w:adjustRightInd w:val="0"/>
              <w:rPr>
                <w:sz w:val="22"/>
                <w:szCs w:val="22"/>
              </w:rPr>
            </w:pPr>
          </w:p>
          <w:p w14:paraId="3CA20D0A" w14:textId="77777777" w:rsidR="00537D6E" w:rsidRPr="002869DC" w:rsidRDefault="00537D6E" w:rsidP="00537D6E">
            <w:pPr>
              <w:adjustRightInd w:val="0"/>
              <w:rPr>
                <w:sz w:val="22"/>
                <w:szCs w:val="22"/>
              </w:rPr>
            </w:pPr>
            <w:r w:rsidRPr="002869DC">
              <w:rPr>
                <w:sz w:val="22"/>
                <w:szCs w:val="22"/>
              </w:rPr>
              <w:t>Midazolam (7,5 mg</w:t>
            </w:r>
          </w:p>
          <w:p w14:paraId="2FDB00E7" w14:textId="77777777" w:rsidR="00537D6E" w:rsidRPr="002869DC" w:rsidRDefault="00537D6E" w:rsidP="00537D6E">
            <w:pPr>
              <w:adjustRightInd w:val="0"/>
              <w:rPr>
                <w:sz w:val="22"/>
                <w:szCs w:val="22"/>
              </w:rPr>
            </w:pPr>
            <w:r w:rsidRPr="002869DC">
              <w:rPr>
                <w:sz w:val="22"/>
                <w:szCs w:val="22"/>
              </w:rPr>
              <w:t>dosis oral única)</w:t>
            </w:r>
          </w:p>
          <w:p w14:paraId="7FBE6BFD" w14:textId="77777777" w:rsidR="00537D6E" w:rsidRPr="002869DC" w:rsidRDefault="00537D6E" w:rsidP="00537D6E">
            <w:pPr>
              <w:adjustRightInd w:val="0"/>
              <w:rPr>
                <w:sz w:val="22"/>
                <w:szCs w:val="22"/>
              </w:rPr>
            </w:pPr>
          </w:p>
          <w:p w14:paraId="4741D374" w14:textId="77777777" w:rsidR="00537D6E" w:rsidRPr="002869DC" w:rsidRDefault="00537D6E" w:rsidP="00537D6E">
            <w:pPr>
              <w:adjustRightInd w:val="0"/>
              <w:rPr>
                <w:sz w:val="22"/>
                <w:szCs w:val="22"/>
              </w:rPr>
            </w:pPr>
          </w:p>
          <w:p w14:paraId="4359DD6F" w14:textId="77777777" w:rsidR="00537D6E" w:rsidRPr="002869DC" w:rsidRDefault="00537D6E" w:rsidP="00537D6E">
            <w:pPr>
              <w:adjustRightInd w:val="0"/>
              <w:rPr>
                <w:sz w:val="22"/>
                <w:szCs w:val="22"/>
              </w:rPr>
            </w:pPr>
          </w:p>
          <w:p w14:paraId="6990D26C" w14:textId="77777777" w:rsidR="00537D6E" w:rsidRPr="002869DC" w:rsidRDefault="00537D6E" w:rsidP="00537D6E">
            <w:pPr>
              <w:adjustRightInd w:val="0"/>
              <w:rPr>
                <w:sz w:val="22"/>
                <w:szCs w:val="22"/>
              </w:rPr>
            </w:pPr>
            <w:r w:rsidRPr="002869DC">
              <w:rPr>
                <w:sz w:val="22"/>
                <w:szCs w:val="22"/>
              </w:rPr>
              <w:t xml:space="preserve">Otras benzodiazepinas </w:t>
            </w:r>
          </w:p>
          <w:p w14:paraId="4514937F" w14:textId="77AA2C7A" w:rsidR="00537D6E" w:rsidRPr="00A66031" w:rsidRDefault="00537D6E" w:rsidP="00537D6E">
            <w:pPr>
              <w:pStyle w:val="TableText"/>
              <w:tabs>
                <w:tab w:val="left" w:pos="360"/>
              </w:tabs>
              <w:overflowPunct w:val="0"/>
              <w:autoSpaceDE w:val="0"/>
              <w:autoSpaceDN w:val="0"/>
              <w:adjustRightInd w:val="0"/>
              <w:textAlignment w:val="baseline"/>
              <w:rPr>
                <w:rFonts w:cs="Times New Roman"/>
                <w:iCs/>
                <w:sz w:val="22"/>
                <w:szCs w:val="22"/>
                <w:lang w:val="es-ES"/>
              </w:rPr>
            </w:pPr>
            <w:r w:rsidRPr="00A66031">
              <w:rPr>
                <w:sz w:val="22"/>
                <w:szCs w:val="22"/>
                <w:lang w:val="es-ES"/>
              </w:rPr>
              <w:t>(</w:t>
            </w:r>
            <w:r w:rsidR="00764AEE" w:rsidRPr="00A66031">
              <w:rPr>
                <w:color w:val="000000"/>
                <w:sz w:val="22"/>
                <w:szCs w:val="22"/>
                <w:lang w:val="es-ES"/>
              </w:rPr>
              <w:t>que incluyen, entre otros:</w:t>
            </w:r>
            <w:r w:rsidRPr="00A66031">
              <w:rPr>
                <w:sz w:val="22"/>
                <w:szCs w:val="22"/>
                <w:lang w:val="es-ES"/>
              </w:rPr>
              <w:t xml:space="preserve"> triazolam, alprazolam)</w:t>
            </w:r>
          </w:p>
        </w:tc>
        <w:tc>
          <w:tcPr>
            <w:tcW w:w="3685" w:type="dxa"/>
            <w:tcBorders>
              <w:bottom w:val="single" w:sz="4" w:space="0" w:color="auto"/>
            </w:tcBorders>
          </w:tcPr>
          <w:p w14:paraId="416B5976" w14:textId="77777777" w:rsidR="00537D6E" w:rsidRPr="002869DC" w:rsidRDefault="00537D6E" w:rsidP="00537D6E">
            <w:pPr>
              <w:adjustRightInd w:val="0"/>
              <w:rPr>
                <w:sz w:val="22"/>
                <w:szCs w:val="22"/>
              </w:rPr>
            </w:pPr>
          </w:p>
          <w:p w14:paraId="4E53D40A" w14:textId="77777777" w:rsidR="00537D6E" w:rsidRPr="002869DC" w:rsidRDefault="00537D6E" w:rsidP="00537D6E">
            <w:pPr>
              <w:adjustRightInd w:val="0"/>
              <w:rPr>
                <w:sz w:val="22"/>
                <w:szCs w:val="22"/>
              </w:rPr>
            </w:pPr>
          </w:p>
          <w:p w14:paraId="00FA6B1D" w14:textId="77777777" w:rsidR="00537D6E" w:rsidRPr="002869DC" w:rsidRDefault="00537D6E" w:rsidP="00537D6E">
            <w:pPr>
              <w:adjustRightInd w:val="0"/>
              <w:rPr>
                <w:sz w:val="22"/>
                <w:szCs w:val="22"/>
              </w:rPr>
            </w:pPr>
            <w:r w:rsidRPr="002869DC">
              <w:rPr>
                <w:sz w:val="22"/>
                <w:szCs w:val="22"/>
              </w:rPr>
              <w:t>En un estudio independiente publicado, AUC</w:t>
            </w:r>
            <w:r w:rsidRPr="002869DC">
              <w:rPr>
                <w:sz w:val="22"/>
                <w:szCs w:val="22"/>
                <w:vertAlign w:val="subscript"/>
              </w:rPr>
              <w:t>0-</w:t>
            </w:r>
            <w:r w:rsidRPr="002869DC">
              <w:rPr>
                <w:sz w:val="22"/>
                <w:szCs w:val="22"/>
                <w:vertAlign w:val="subscript"/>
              </w:rPr>
              <w:sym w:font="Symbol" w:char="F0A5"/>
            </w:r>
            <w:r w:rsidRPr="002869DC">
              <w:rPr>
                <w:sz w:val="22"/>
                <w:szCs w:val="22"/>
              </w:rPr>
              <w:t xml:space="preserve">  midazolam </w:t>
            </w:r>
            <w:r w:rsidRPr="002869DC">
              <w:rPr>
                <w:sz w:val="22"/>
                <w:szCs w:val="22"/>
              </w:rPr>
              <w:sym w:font="Symbol" w:char="F0AD"/>
            </w:r>
            <w:r w:rsidRPr="002869DC">
              <w:rPr>
                <w:sz w:val="22"/>
                <w:szCs w:val="22"/>
              </w:rPr>
              <w:t xml:space="preserve"> 3,7 veces</w:t>
            </w:r>
          </w:p>
          <w:p w14:paraId="21EBE518" w14:textId="77777777" w:rsidR="00537D6E" w:rsidRDefault="00537D6E" w:rsidP="00537D6E">
            <w:pPr>
              <w:adjustRightInd w:val="0"/>
              <w:rPr>
                <w:sz w:val="22"/>
                <w:szCs w:val="22"/>
              </w:rPr>
            </w:pPr>
          </w:p>
          <w:p w14:paraId="3ED73FB1" w14:textId="77777777" w:rsidR="00D9439B" w:rsidRPr="002869DC" w:rsidRDefault="00D9439B" w:rsidP="00537D6E">
            <w:pPr>
              <w:adjustRightInd w:val="0"/>
              <w:rPr>
                <w:sz w:val="22"/>
                <w:szCs w:val="22"/>
              </w:rPr>
            </w:pPr>
          </w:p>
          <w:p w14:paraId="71C08DFA" w14:textId="77777777" w:rsidR="00537D6E" w:rsidRPr="002869DC" w:rsidRDefault="00537D6E" w:rsidP="00537D6E">
            <w:pPr>
              <w:adjustRightInd w:val="0"/>
              <w:rPr>
                <w:sz w:val="22"/>
                <w:szCs w:val="22"/>
              </w:rPr>
            </w:pPr>
            <w:r w:rsidRPr="002869DC">
              <w:rPr>
                <w:sz w:val="22"/>
                <w:szCs w:val="22"/>
              </w:rPr>
              <w:t>En un estudio independiente publicado,C</w:t>
            </w:r>
            <w:r w:rsidRPr="002869DC">
              <w:rPr>
                <w:sz w:val="22"/>
                <w:szCs w:val="22"/>
                <w:vertAlign w:val="subscript"/>
              </w:rPr>
              <w:t>máx</w:t>
            </w:r>
            <w:r w:rsidRPr="002869DC">
              <w:rPr>
                <w:sz w:val="22"/>
                <w:szCs w:val="22"/>
              </w:rPr>
              <w:t xml:space="preserve"> midazolam </w:t>
            </w:r>
            <w:r w:rsidRPr="002869DC">
              <w:rPr>
                <w:sz w:val="22"/>
                <w:szCs w:val="22"/>
              </w:rPr>
              <w:sym w:font="Symbol" w:char="F0AD"/>
            </w:r>
            <w:r w:rsidRPr="002869DC">
              <w:rPr>
                <w:sz w:val="22"/>
                <w:szCs w:val="22"/>
              </w:rPr>
              <w:t xml:space="preserve"> 3,8 veces AUC</w:t>
            </w:r>
            <w:r w:rsidRPr="002869DC">
              <w:rPr>
                <w:sz w:val="22"/>
                <w:szCs w:val="22"/>
                <w:vertAlign w:val="subscript"/>
              </w:rPr>
              <w:t>0-</w:t>
            </w:r>
            <w:r w:rsidRPr="002869DC">
              <w:rPr>
                <w:sz w:val="22"/>
                <w:szCs w:val="22"/>
                <w:vertAlign w:val="subscript"/>
              </w:rPr>
              <w:sym w:font="Symbol" w:char="F0A5"/>
            </w:r>
            <w:r w:rsidRPr="002869DC">
              <w:rPr>
                <w:sz w:val="22"/>
                <w:szCs w:val="22"/>
              </w:rPr>
              <w:t xml:space="preserve">  midazolam </w:t>
            </w:r>
            <w:r w:rsidRPr="002869DC">
              <w:rPr>
                <w:sz w:val="22"/>
                <w:szCs w:val="22"/>
              </w:rPr>
              <w:sym w:font="Symbol" w:char="F0AD"/>
            </w:r>
            <w:r w:rsidRPr="002869DC">
              <w:rPr>
                <w:sz w:val="22"/>
                <w:szCs w:val="22"/>
              </w:rPr>
              <w:t xml:space="preserve"> 10,3 veces</w:t>
            </w:r>
          </w:p>
          <w:p w14:paraId="0313A75F" w14:textId="77777777" w:rsidR="00537D6E" w:rsidRDefault="00537D6E" w:rsidP="00EE4A64">
            <w:pPr>
              <w:pStyle w:val="TableText"/>
              <w:tabs>
                <w:tab w:val="left" w:pos="216"/>
              </w:tabs>
              <w:overflowPunct w:val="0"/>
              <w:autoSpaceDE w:val="0"/>
              <w:autoSpaceDN w:val="0"/>
              <w:adjustRightInd w:val="0"/>
              <w:textAlignment w:val="baseline"/>
              <w:rPr>
                <w:rFonts w:cs="Times New Roman"/>
                <w:sz w:val="22"/>
                <w:szCs w:val="22"/>
                <w:lang w:val="es-ES"/>
              </w:rPr>
            </w:pPr>
          </w:p>
          <w:p w14:paraId="1BACC335" w14:textId="77777777" w:rsidR="00D9439B" w:rsidRPr="00D9439B" w:rsidRDefault="00D9439B" w:rsidP="00EE4A64">
            <w:pPr>
              <w:pStyle w:val="TableText"/>
              <w:tabs>
                <w:tab w:val="left" w:pos="216"/>
              </w:tabs>
              <w:overflowPunct w:val="0"/>
              <w:autoSpaceDE w:val="0"/>
              <w:autoSpaceDN w:val="0"/>
              <w:adjustRightInd w:val="0"/>
              <w:textAlignment w:val="baseline"/>
              <w:rPr>
                <w:rFonts w:cs="Times New Roman"/>
                <w:sz w:val="22"/>
                <w:szCs w:val="22"/>
                <w:lang w:val="es-ES"/>
              </w:rPr>
            </w:pPr>
          </w:p>
          <w:p w14:paraId="2408A6D4" w14:textId="77777777" w:rsidR="00D061AA" w:rsidRPr="00D9439B"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D9439B">
              <w:rPr>
                <w:rFonts w:cs="Times New Roman"/>
                <w:sz w:val="22"/>
                <w:szCs w:val="22"/>
                <w:lang w:val="es-ES"/>
              </w:rPr>
              <w:t>Aunque no se ha estudiado, es probable que voriconazol incremente las concentraciones plasmáticas de las  benzodiacepinas que se metabolizan por el CYP3A4 causando un efecto sedante prolongado.</w:t>
            </w:r>
          </w:p>
        </w:tc>
        <w:tc>
          <w:tcPr>
            <w:tcW w:w="2835" w:type="dxa"/>
            <w:tcBorders>
              <w:bottom w:val="single" w:sz="4" w:space="0" w:color="auto"/>
            </w:tcBorders>
          </w:tcPr>
          <w:p w14:paraId="7AF4D926" w14:textId="77777777" w:rsidR="00D061AA" w:rsidRPr="00D9439B" w:rsidRDefault="00D061AA" w:rsidP="00EE4A64">
            <w:pPr>
              <w:pStyle w:val="TableText"/>
              <w:overflowPunct w:val="0"/>
              <w:autoSpaceDE w:val="0"/>
              <w:autoSpaceDN w:val="0"/>
              <w:adjustRightInd w:val="0"/>
              <w:textAlignment w:val="baseline"/>
              <w:rPr>
                <w:rFonts w:cs="Times New Roman"/>
                <w:sz w:val="22"/>
                <w:szCs w:val="22"/>
                <w:lang w:val="es-ES"/>
              </w:rPr>
            </w:pPr>
            <w:r w:rsidRPr="00D9439B">
              <w:rPr>
                <w:rFonts w:cs="Times New Roman"/>
                <w:sz w:val="22"/>
                <w:szCs w:val="22"/>
                <w:lang w:val="es-ES"/>
              </w:rPr>
              <w:t xml:space="preserve">Se debe considerar la reducción de la dosis de las benzodiacepinas. </w:t>
            </w:r>
          </w:p>
        </w:tc>
      </w:tr>
      <w:tr w:rsidR="00037F6D" w:rsidRPr="00C52C4C" w14:paraId="62CC0493" w14:textId="77777777" w:rsidTr="00920BB7">
        <w:trPr>
          <w:trHeight w:val="10635"/>
          <w:jc w:val="center"/>
        </w:trPr>
        <w:tc>
          <w:tcPr>
            <w:tcW w:w="2696" w:type="dxa"/>
          </w:tcPr>
          <w:p w14:paraId="6A80E306" w14:textId="77777777" w:rsidR="00037F6D" w:rsidRPr="00D9439B" w:rsidRDefault="00037F6D" w:rsidP="00EE4A64">
            <w:pPr>
              <w:pStyle w:val="TableText"/>
              <w:tabs>
                <w:tab w:val="left" w:pos="360"/>
              </w:tabs>
              <w:overflowPunct w:val="0"/>
              <w:autoSpaceDE w:val="0"/>
              <w:autoSpaceDN w:val="0"/>
              <w:adjustRightInd w:val="0"/>
              <w:textAlignment w:val="baseline"/>
              <w:rPr>
                <w:rFonts w:cs="Times New Roman"/>
                <w:i/>
                <w:sz w:val="22"/>
                <w:szCs w:val="22"/>
                <w:lang w:val="es-ES"/>
              </w:rPr>
            </w:pPr>
            <w:r w:rsidRPr="00D9439B">
              <w:rPr>
                <w:rFonts w:cs="Times New Roman"/>
                <w:sz w:val="22"/>
                <w:szCs w:val="22"/>
                <w:lang w:val="es-ES"/>
              </w:rPr>
              <w:lastRenderedPageBreak/>
              <w:t>Inmunosupresores</w:t>
            </w:r>
          </w:p>
          <w:p w14:paraId="6D924AB9" w14:textId="77777777" w:rsidR="00037F6D" w:rsidRPr="00D9439B" w:rsidRDefault="00037F6D" w:rsidP="00EE4A64">
            <w:pPr>
              <w:pStyle w:val="TableText"/>
              <w:tabs>
                <w:tab w:val="left" w:pos="360"/>
              </w:tabs>
              <w:overflowPunct w:val="0"/>
              <w:autoSpaceDE w:val="0"/>
              <w:autoSpaceDN w:val="0"/>
              <w:adjustRightInd w:val="0"/>
              <w:textAlignment w:val="baseline"/>
              <w:rPr>
                <w:rFonts w:cs="Times New Roman"/>
                <w:i/>
                <w:sz w:val="22"/>
                <w:szCs w:val="22"/>
                <w:lang w:val="es-ES"/>
              </w:rPr>
            </w:pPr>
            <w:r w:rsidRPr="00D9439B">
              <w:rPr>
                <w:rFonts w:cs="Times New Roman"/>
                <w:i/>
                <w:sz w:val="22"/>
                <w:szCs w:val="22"/>
                <w:lang w:val="es-ES"/>
              </w:rPr>
              <w:t>[sustratos del CYP3A4]</w:t>
            </w:r>
          </w:p>
          <w:p w14:paraId="20498A7A" w14:textId="77777777" w:rsidR="00037F6D" w:rsidRPr="00D9439B" w:rsidRDefault="00037F6D" w:rsidP="00EE4A64">
            <w:pPr>
              <w:pStyle w:val="TableText"/>
              <w:tabs>
                <w:tab w:val="left" w:pos="360"/>
              </w:tabs>
              <w:overflowPunct w:val="0"/>
              <w:autoSpaceDE w:val="0"/>
              <w:autoSpaceDN w:val="0"/>
              <w:adjustRightInd w:val="0"/>
              <w:ind w:left="144" w:hanging="216"/>
              <w:textAlignment w:val="baseline"/>
              <w:rPr>
                <w:rFonts w:cs="Times New Roman"/>
                <w:sz w:val="22"/>
                <w:szCs w:val="22"/>
                <w:lang w:val="es-ES"/>
              </w:rPr>
            </w:pPr>
            <w:r w:rsidRPr="00D9439B">
              <w:rPr>
                <w:rFonts w:cs="Times New Roman"/>
                <w:sz w:val="22"/>
                <w:szCs w:val="22"/>
                <w:lang w:val="es-ES"/>
              </w:rPr>
              <w:tab/>
            </w:r>
          </w:p>
          <w:p w14:paraId="40523A1F" w14:textId="5679469F" w:rsidR="00037F6D" w:rsidRPr="00D9439B" w:rsidRDefault="00037F6D" w:rsidP="00037F6D">
            <w:pPr>
              <w:pStyle w:val="TableText"/>
              <w:tabs>
                <w:tab w:val="left" w:pos="360"/>
              </w:tabs>
              <w:overflowPunct w:val="0"/>
              <w:autoSpaceDE w:val="0"/>
              <w:autoSpaceDN w:val="0"/>
              <w:adjustRightInd w:val="0"/>
              <w:ind w:left="144" w:hanging="216"/>
              <w:textAlignment w:val="baseline"/>
              <w:rPr>
                <w:rFonts w:cs="Times New Roman"/>
                <w:i/>
                <w:sz w:val="22"/>
                <w:szCs w:val="22"/>
                <w:lang w:val="es-ES"/>
              </w:rPr>
            </w:pPr>
            <w:r w:rsidRPr="00D9439B">
              <w:rPr>
                <w:rFonts w:cs="Times New Roman"/>
                <w:sz w:val="22"/>
                <w:szCs w:val="22"/>
                <w:lang w:val="es-ES"/>
              </w:rPr>
              <w:t>Sirolimus (dosis única de 2 mg)</w:t>
            </w:r>
          </w:p>
          <w:p w14:paraId="2D8C7BE6" w14:textId="77777777" w:rsidR="00037F6D" w:rsidRPr="00D9439B" w:rsidRDefault="00037F6D" w:rsidP="00037F6D">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0179E8B8" w14:textId="77777777" w:rsidR="00037F6D" w:rsidRPr="00D9439B" w:rsidRDefault="00037F6D" w:rsidP="00037F6D">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3CE19D3B" w14:textId="77777777" w:rsidR="00037F6D" w:rsidRPr="00D9439B" w:rsidRDefault="00037F6D" w:rsidP="00037F6D">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3659B7BA" w14:textId="77777777" w:rsidR="00537D6E" w:rsidRPr="002869DC" w:rsidRDefault="00537D6E" w:rsidP="00537D6E">
            <w:pPr>
              <w:ind w:right="333"/>
              <w:rPr>
                <w:sz w:val="22"/>
                <w:szCs w:val="22"/>
              </w:rPr>
            </w:pPr>
            <w:r w:rsidRPr="002869DC">
              <w:rPr>
                <w:sz w:val="22"/>
                <w:szCs w:val="22"/>
              </w:rPr>
              <w:t xml:space="preserve">Everolimus </w:t>
            </w:r>
            <w:r w:rsidRPr="002869DC">
              <w:rPr>
                <w:i/>
                <w:iCs/>
                <w:sz w:val="22"/>
                <w:szCs w:val="22"/>
              </w:rPr>
              <w:t>[también sustrato de la P-gP]</w:t>
            </w:r>
          </w:p>
          <w:p w14:paraId="2AEA30F7" w14:textId="77777777" w:rsidR="00037F6D" w:rsidRPr="00D9439B" w:rsidRDefault="00037F6D" w:rsidP="00037F6D">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756537C3" w14:textId="77777777" w:rsidR="00037F6D" w:rsidRPr="00D9439B" w:rsidRDefault="00037F6D" w:rsidP="00037F6D">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47193158" w14:textId="77777777" w:rsidR="00037F6D" w:rsidRPr="00D9439B" w:rsidRDefault="00037F6D" w:rsidP="00037F6D">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2C86E066" w14:textId="77777777" w:rsidR="00537D6E" w:rsidRPr="00D9439B" w:rsidRDefault="00537D6E" w:rsidP="00EE4A64">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4D5B8451" w14:textId="77777777" w:rsidR="00537D6E" w:rsidRPr="00D9439B" w:rsidRDefault="00537D6E" w:rsidP="00EE4A64">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4AEFFA68" w14:textId="77777777" w:rsidR="00537D6E" w:rsidRPr="00D9439B" w:rsidRDefault="00537D6E" w:rsidP="00EE4A64">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73663F98" w14:textId="77777777" w:rsidR="00537D6E" w:rsidRPr="00D9439B" w:rsidRDefault="00537D6E" w:rsidP="00EE4A64">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34A2A5ED" w14:textId="77777777" w:rsidR="00537D6E" w:rsidRPr="00D9439B" w:rsidRDefault="00537D6E" w:rsidP="00EE4A64">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5EC44ABD" w14:textId="77777777" w:rsidR="00537D6E" w:rsidRPr="00D9439B" w:rsidRDefault="00537D6E" w:rsidP="00EE4A64">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2B74261A" w14:textId="77777777" w:rsidR="00537D6E" w:rsidRPr="00D9439B" w:rsidRDefault="00537D6E" w:rsidP="00EE4A64">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24CCBAEF" w14:textId="77777777" w:rsidR="00037F6D" w:rsidRPr="00D9439B" w:rsidRDefault="00037F6D" w:rsidP="00EE4A64">
            <w:pPr>
              <w:pStyle w:val="TableText"/>
              <w:tabs>
                <w:tab w:val="left" w:pos="360"/>
              </w:tabs>
              <w:overflowPunct w:val="0"/>
              <w:autoSpaceDE w:val="0"/>
              <w:autoSpaceDN w:val="0"/>
              <w:adjustRightInd w:val="0"/>
              <w:ind w:left="144"/>
              <w:textAlignment w:val="baseline"/>
              <w:rPr>
                <w:rFonts w:cs="Times New Roman"/>
                <w:i/>
                <w:sz w:val="22"/>
                <w:szCs w:val="22"/>
                <w:lang w:val="es-ES"/>
              </w:rPr>
            </w:pPr>
            <w:r w:rsidRPr="00D9439B">
              <w:rPr>
                <w:rFonts w:cs="Times New Roman"/>
                <w:sz w:val="22"/>
                <w:szCs w:val="22"/>
                <w:lang w:val="es-ES"/>
              </w:rPr>
              <w:t>Ciclosporinas (en receptores de trasplante renal estables en tratamiento crónico con ciclosporina)</w:t>
            </w:r>
          </w:p>
          <w:p w14:paraId="5D2C33F8" w14:textId="77777777" w:rsidR="00037F6D" w:rsidRPr="00D9439B" w:rsidRDefault="00037F6D" w:rsidP="00037F6D">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03D2A66F" w14:textId="77777777" w:rsidR="00037F6D" w:rsidRPr="00D9439B" w:rsidRDefault="00037F6D" w:rsidP="00037F6D">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4347B509" w14:textId="77777777" w:rsidR="00037F6D" w:rsidRPr="00D9439B" w:rsidRDefault="00037F6D" w:rsidP="00037F6D">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30F8E367" w14:textId="77777777" w:rsidR="00037F6D" w:rsidRPr="00D9439B" w:rsidRDefault="00037F6D" w:rsidP="00037F6D">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5738A4AF" w14:textId="77777777" w:rsidR="00037F6D" w:rsidRPr="00D9439B" w:rsidRDefault="00037F6D" w:rsidP="00037F6D">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3312A53E" w14:textId="77777777" w:rsidR="00037F6D" w:rsidRPr="00D9439B" w:rsidRDefault="00037F6D" w:rsidP="00037F6D">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6D5A02ED" w14:textId="77777777" w:rsidR="00037F6D" w:rsidRPr="00D9439B" w:rsidRDefault="00037F6D" w:rsidP="00037F6D">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312F4246" w14:textId="77777777" w:rsidR="00037F6D" w:rsidRPr="00D9439B" w:rsidRDefault="00037F6D" w:rsidP="00037F6D">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7D0E3AC9" w14:textId="77777777" w:rsidR="00037F6D" w:rsidRPr="00D9439B" w:rsidRDefault="00037F6D" w:rsidP="00037F6D">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25F23C8A" w14:textId="77777777" w:rsidR="00037F6D" w:rsidRPr="00D9439B" w:rsidRDefault="00037F6D" w:rsidP="00037F6D">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59093600" w14:textId="77777777" w:rsidR="00037F6D" w:rsidRPr="00D9439B" w:rsidRDefault="00037F6D" w:rsidP="00037F6D">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51697CDC" w14:textId="77777777" w:rsidR="00037F6D" w:rsidRPr="00D9439B" w:rsidRDefault="00037F6D" w:rsidP="00037F6D">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56E7DC1D" w14:textId="77777777" w:rsidR="00037F6D" w:rsidRPr="00D9439B" w:rsidRDefault="00037F6D" w:rsidP="00037F6D">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17F4165C" w14:textId="059716CF" w:rsidR="00037F6D" w:rsidRPr="00D9439B" w:rsidRDefault="00037F6D" w:rsidP="00EE4A64">
            <w:pPr>
              <w:pStyle w:val="TableText"/>
              <w:tabs>
                <w:tab w:val="left" w:pos="360"/>
              </w:tabs>
              <w:overflowPunct w:val="0"/>
              <w:autoSpaceDE w:val="0"/>
              <w:autoSpaceDN w:val="0"/>
              <w:adjustRightInd w:val="0"/>
              <w:ind w:left="144"/>
              <w:textAlignment w:val="baseline"/>
              <w:rPr>
                <w:rFonts w:cs="Times New Roman"/>
                <w:i/>
                <w:sz w:val="22"/>
                <w:szCs w:val="22"/>
                <w:lang w:val="es-ES"/>
              </w:rPr>
            </w:pPr>
            <w:r w:rsidRPr="00D9439B">
              <w:rPr>
                <w:rFonts w:cs="Times New Roman"/>
                <w:sz w:val="22"/>
                <w:szCs w:val="22"/>
                <w:lang w:val="es-ES"/>
              </w:rPr>
              <w:t>Tacrolimus (0.</w:t>
            </w:r>
            <w:r w:rsidR="00D9439B" w:rsidRPr="00D9439B">
              <w:rPr>
                <w:rFonts w:cs="Times New Roman"/>
                <w:sz w:val="22"/>
                <w:szCs w:val="22"/>
                <w:lang w:val="es-ES"/>
              </w:rPr>
              <w:t>1</w:t>
            </w:r>
            <w:r w:rsidR="00D9439B">
              <w:rPr>
                <w:rFonts w:cs="Times New Roman"/>
                <w:sz w:val="22"/>
                <w:szCs w:val="22"/>
                <w:lang w:val="es-ES"/>
              </w:rPr>
              <w:t> </w:t>
            </w:r>
            <w:r w:rsidRPr="00D9439B">
              <w:rPr>
                <w:rFonts w:cs="Times New Roman"/>
                <w:sz w:val="22"/>
                <w:szCs w:val="22"/>
                <w:lang w:val="es-ES"/>
              </w:rPr>
              <w:t>mg/kg en dosis única)</w:t>
            </w:r>
          </w:p>
        </w:tc>
        <w:tc>
          <w:tcPr>
            <w:tcW w:w="3685" w:type="dxa"/>
          </w:tcPr>
          <w:p w14:paraId="0A0A8863" w14:textId="77777777" w:rsidR="00037F6D" w:rsidRPr="00D9439B" w:rsidRDefault="00037F6D" w:rsidP="00EE4A64">
            <w:pPr>
              <w:pStyle w:val="TableText"/>
              <w:overflowPunct w:val="0"/>
              <w:autoSpaceDE w:val="0"/>
              <w:autoSpaceDN w:val="0"/>
              <w:adjustRightInd w:val="0"/>
              <w:textAlignment w:val="baseline"/>
              <w:rPr>
                <w:rFonts w:cs="Times New Roman"/>
                <w:sz w:val="22"/>
                <w:szCs w:val="22"/>
                <w:lang w:val="es-ES"/>
              </w:rPr>
            </w:pPr>
          </w:p>
          <w:p w14:paraId="511F03F2" w14:textId="77777777" w:rsidR="00037F6D" w:rsidRPr="00D9439B" w:rsidRDefault="00037F6D" w:rsidP="00EE4A64">
            <w:pPr>
              <w:pStyle w:val="TableText"/>
              <w:overflowPunct w:val="0"/>
              <w:autoSpaceDE w:val="0"/>
              <w:autoSpaceDN w:val="0"/>
              <w:adjustRightInd w:val="0"/>
              <w:textAlignment w:val="baseline"/>
              <w:rPr>
                <w:rFonts w:cs="Times New Roman"/>
                <w:sz w:val="22"/>
                <w:szCs w:val="22"/>
                <w:lang w:val="es-ES"/>
              </w:rPr>
            </w:pPr>
          </w:p>
          <w:p w14:paraId="2DE74DC8" w14:textId="77777777" w:rsidR="00037F6D" w:rsidRPr="00D9439B" w:rsidRDefault="00037F6D" w:rsidP="00EE4A64">
            <w:pPr>
              <w:pStyle w:val="TableText"/>
              <w:overflowPunct w:val="0"/>
              <w:autoSpaceDE w:val="0"/>
              <w:autoSpaceDN w:val="0"/>
              <w:adjustRightInd w:val="0"/>
              <w:textAlignment w:val="baseline"/>
              <w:rPr>
                <w:rFonts w:cs="Times New Roman"/>
                <w:sz w:val="22"/>
                <w:szCs w:val="22"/>
                <w:lang w:val="es-ES"/>
              </w:rPr>
            </w:pPr>
          </w:p>
          <w:p w14:paraId="1D9FB698" w14:textId="77777777" w:rsidR="00037F6D" w:rsidRPr="00D9439B" w:rsidRDefault="00037F6D" w:rsidP="00EE4A64">
            <w:pPr>
              <w:pStyle w:val="TableText"/>
              <w:overflowPunct w:val="0"/>
              <w:autoSpaceDE w:val="0"/>
              <w:autoSpaceDN w:val="0"/>
              <w:adjustRightInd w:val="0"/>
              <w:textAlignment w:val="baseline"/>
              <w:rPr>
                <w:rFonts w:cs="Times New Roman"/>
                <w:sz w:val="22"/>
                <w:szCs w:val="22"/>
                <w:lang w:val="es-ES"/>
              </w:rPr>
            </w:pPr>
            <w:r w:rsidRPr="00D9439B">
              <w:rPr>
                <w:rFonts w:cs="Times New Roman"/>
                <w:sz w:val="22"/>
                <w:szCs w:val="22"/>
                <w:lang w:val="es-ES"/>
              </w:rPr>
              <w:t>En un estudio independiente publicado,</w:t>
            </w:r>
          </w:p>
          <w:p w14:paraId="132C9CE5" w14:textId="77777777" w:rsidR="00037F6D" w:rsidRPr="00D9439B" w:rsidRDefault="00037F6D" w:rsidP="00EE4A64">
            <w:pPr>
              <w:pStyle w:val="TableText"/>
              <w:overflowPunct w:val="0"/>
              <w:autoSpaceDE w:val="0"/>
              <w:autoSpaceDN w:val="0"/>
              <w:adjustRightInd w:val="0"/>
              <w:textAlignment w:val="baseline"/>
              <w:rPr>
                <w:rFonts w:cs="Times New Roman"/>
                <w:sz w:val="22"/>
                <w:szCs w:val="22"/>
                <w:lang w:val="es-ES"/>
              </w:rPr>
            </w:pPr>
            <w:r w:rsidRPr="00D9439B">
              <w:rPr>
                <w:rFonts w:cs="Times New Roman"/>
                <w:sz w:val="22"/>
                <w:szCs w:val="22"/>
                <w:lang w:val="es-ES"/>
              </w:rPr>
              <w:t xml:space="preserve"> C</w:t>
            </w:r>
            <w:r w:rsidRPr="00D9439B">
              <w:rPr>
                <w:rFonts w:cs="Times New Roman"/>
                <w:sz w:val="22"/>
                <w:szCs w:val="22"/>
                <w:vertAlign w:val="subscript"/>
                <w:lang w:val="es-ES"/>
              </w:rPr>
              <w:t>max</w:t>
            </w:r>
            <w:r w:rsidRPr="00D9439B">
              <w:rPr>
                <w:rFonts w:cs="Times New Roman"/>
                <w:sz w:val="22"/>
                <w:szCs w:val="22"/>
                <w:lang w:val="es-ES"/>
              </w:rPr>
              <w:t xml:space="preserve"> sirolimus</w:t>
            </w:r>
            <w:r w:rsidRPr="00D9439B">
              <w:rPr>
                <w:rFonts w:cs="Times New Roman"/>
                <w:sz w:val="22"/>
                <w:szCs w:val="22"/>
                <w:lang w:val="en-GB"/>
              </w:rPr>
              <w:sym w:font="Symbol" w:char="F0AD"/>
            </w:r>
            <w:r w:rsidRPr="00D9439B">
              <w:rPr>
                <w:rFonts w:cs="Times New Roman"/>
                <w:sz w:val="22"/>
                <w:szCs w:val="22"/>
                <w:lang w:val="es-ES"/>
              </w:rPr>
              <w:t xml:space="preserve"> 6,6 veces</w:t>
            </w:r>
          </w:p>
          <w:p w14:paraId="318BAF18" w14:textId="1052BCE6" w:rsidR="00037F6D" w:rsidRPr="00D9439B" w:rsidRDefault="00037F6D" w:rsidP="00EE4A64">
            <w:pPr>
              <w:pStyle w:val="TableText"/>
              <w:overflowPunct w:val="0"/>
              <w:autoSpaceDE w:val="0"/>
              <w:autoSpaceDN w:val="0"/>
              <w:adjustRightInd w:val="0"/>
              <w:textAlignment w:val="baseline"/>
              <w:rPr>
                <w:rFonts w:cs="Times New Roman"/>
                <w:sz w:val="22"/>
                <w:szCs w:val="22"/>
                <w:lang w:val="es-ES"/>
              </w:rPr>
            </w:pPr>
            <w:r w:rsidRPr="00D9439B">
              <w:rPr>
                <w:rFonts w:cs="Times New Roman"/>
                <w:sz w:val="22"/>
                <w:szCs w:val="22"/>
                <w:lang w:val="es-ES"/>
              </w:rPr>
              <w:t>AUC</w:t>
            </w:r>
            <w:r w:rsidRPr="00D9439B">
              <w:rPr>
                <w:sz w:val="22"/>
                <w:szCs w:val="22"/>
                <w:vertAlign w:val="subscript"/>
                <w:lang w:val="sv-SE"/>
              </w:rPr>
              <w:t>0-</w:t>
            </w:r>
            <w:r w:rsidRPr="00D9439B">
              <w:rPr>
                <w:sz w:val="22"/>
                <w:szCs w:val="22"/>
                <w:vertAlign w:val="subscript"/>
                <w:lang w:val="sv-SE"/>
              </w:rPr>
              <w:sym w:font="Symbol" w:char="F0A5"/>
            </w:r>
            <w:r w:rsidRPr="00D9439B">
              <w:rPr>
                <w:rFonts w:cs="Times New Roman"/>
                <w:sz w:val="22"/>
                <w:szCs w:val="22"/>
                <w:lang w:val="es-ES"/>
              </w:rPr>
              <w:t xml:space="preserve"> sirolimus </w:t>
            </w:r>
            <w:r w:rsidRPr="00D9439B">
              <w:rPr>
                <w:rFonts w:cs="Times New Roman"/>
                <w:sz w:val="22"/>
                <w:szCs w:val="22"/>
                <w:lang w:val="en-GB"/>
              </w:rPr>
              <w:sym w:font="Symbol" w:char="F0AD"/>
            </w:r>
            <w:r w:rsidRPr="00D9439B">
              <w:rPr>
                <w:rFonts w:cs="Times New Roman"/>
                <w:sz w:val="22"/>
                <w:szCs w:val="22"/>
                <w:lang w:val="es-ES"/>
              </w:rPr>
              <w:t xml:space="preserve"> 11 veces</w:t>
            </w:r>
          </w:p>
          <w:p w14:paraId="56C90482" w14:textId="77777777" w:rsidR="00037F6D" w:rsidRPr="00D9439B" w:rsidRDefault="00037F6D" w:rsidP="00037F6D">
            <w:pPr>
              <w:pStyle w:val="TableText"/>
              <w:overflowPunct w:val="0"/>
              <w:autoSpaceDE w:val="0"/>
              <w:autoSpaceDN w:val="0"/>
              <w:adjustRightInd w:val="0"/>
              <w:textAlignment w:val="baseline"/>
              <w:rPr>
                <w:rFonts w:cs="Times New Roman"/>
                <w:sz w:val="22"/>
                <w:szCs w:val="22"/>
                <w:lang w:val="es-ES"/>
              </w:rPr>
            </w:pPr>
          </w:p>
          <w:p w14:paraId="78BED26E" w14:textId="77777777" w:rsidR="00037F6D" w:rsidRPr="00D9439B" w:rsidRDefault="00037F6D" w:rsidP="00037F6D">
            <w:pPr>
              <w:pStyle w:val="TableText"/>
              <w:overflowPunct w:val="0"/>
              <w:autoSpaceDE w:val="0"/>
              <w:autoSpaceDN w:val="0"/>
              <w:adjustRightInd w:val="0"/>
              <w:textAlignment w:val="baseline"/>
              <w:rPr>
                <w:rFonts w:cs="Times New Roman"/>
                <w:sz w:val="22"/>
                <w:szCs w:val="22"/>
                <w:lang w:val="es-ES"/>
              </w:rPr>
            </w:pPr>
          </w:p>
          <w:p w14:paraId="4B9BB2AE" w14:textId="77777777" w:rsidR="00537D6E" w:rsidRPr="002869DC" w:rsidRDefault="00537D6E" w:rsidP="00537D6E">
            <w:pPr>
              <w:adjustRightInd w:val="0"/>
              <w:rPr>
                <w:sz w:val="22"/>
                <w:szCs w:val="22"/>
              </w:rPr>
            </w:pPr>
            <w:r w:rsidRPr="002869DC">
              <w:rPr>
                <w:sz w:val="22"/>
                <w:szCs w:val="22"/>
              </w:rPr>
              <w:t>Aunque no se ha estudiado, es probable que voriconazol incremente significativamente las concentraciones plasmáticas de everolimus.</w:t>
            </w:r>
            <w:r w:rsidRPr="002869DC">
              <w:rPr>
                <w:sz w:val="22"/>
                <w:szCs w:val="22"/>
              </w:rPr>
              <w:cr/>
            </w:r>
          </w:p>
          <w:p w14:paraId="2F22ACA1" w14:textId="77777777" w:rsidR="00037F6D" w:rsidRPr="00D9439B" w:rsidRDefault="00037F6D" w:rsidP="00037F6D">
            <w:pPr>
              <w:pStyle w:val="TableText"/>
              <w:overflowPunct w:val="0"/>
              <w:autoSpaceDE w:val="0"/>
              <w:autoSpaceDN w:val="0"/>
              <w:adjustRightInd w:val="0"/>
              <w:textAlignment w:val="baseline"/>
              <w:rPr>
                <w:rFonts w:cs="Times New Roman"/>
                <w:sz w:val="22"/>
                <w:szCs w:val="22"/>
                <w:lang w:val="es-ES"/>
              </w:rPr>
            </w:pPr>
          </w:p>
          <w:p w14:paraId="60457A26" w14:textId="77777777" w:rsidR="00037F6D" w:rsidRPr="00D9439B" w:rsidRDefault="00037F6D" w:rsidP="00037F6D">
            <w:pPr>
              <w:pStyle w:val="TableText"/>
              <w:overflowPunct w:val="0"/>
              <w:autoSpaceDE w:val="0"/>
              <w:autoSpaceDN w:val="0"/>
              <w:adjustRightInd w:val="0"/>
              <w:textAlignment w:val="baseline"/>
              <w:rPr>
                <w:rFonts w:cs="Times New Roman"/>
                <w:sz w:val="22"/>
                <w:szCs w:val="22"/>
                <w:lang w:val="es-ES"/>
              </w:rPr>
            </w:pPr>
          </w:p>
          <w:p w14:paraId="646BDF97" w14:textId="77777777" w:rsidR="00037F6D" w:rsidRPr="00D9439B" w:rsidRDefault="00037F6D" w:rsidP="00037F6D">
            <w:pPr>
              <w:pStyle w:val="TableText"/>
              <w:overflowPunct w:val="0"/>
              <w:autoSpaceDE w:val="0"/>
              <w:autoSpaceDN w:val="0"/>
              <w:adjustRightInd w:val="0"/>
              <w:textAlignment w:val="baseline"/>
              <w:rPr>
                <w:rFonts w:cs="Times New Roman"/>
                <w:sz w:val="22"/>
                <w:szCs w:val="22"/>
                <w:lang w:val="es-ES"/>
              </w:rPr>
            </w:pPr>
          </w:p>
          <w:p w14:paraId="196D9141" w14:textId="77777777" w:rsidR="00537D6E" w:rsidRPr="00D9439B" w:rsidRDefault="00537D6E" w:rsidP="00EE4A64">
            <w:pPr>
              <w:pStyle w:val="TableText"/>
              <w:overflowPunct w:val="0"/>
              <w:autoSpaceDE w:val="0"/>
              <w:autoSpaceDN w:val="0"/>
              <w:adjustRightInd w:val="0"/>
              <w:textAlignment w:val="baseline"/>
              <w:rPr>
                <w:rFonts w:cs="Times New Roman"/>
                <w:sz w:val="22"/>
                <w:szCs w:val="22"/>
                <w:lang w:val="es-ES"/>
              </w:rPr>
            </w:pPr>
          </w:p>
          <w:p w14:paraId="1B6A2596" w14:textId="77777777" w:rsidR="00537D6E" w:rsidRPr="00D9439B" w:rsidRDefault="00537D6E" w:rsidP="00EE4A64">
            <w:pPr>
              <w:pStyle w:val="TableText"/>
              <w:overflowPunct w:val="0"/>
              <w:autoSpaceDE w:val="0"/>
              <w:autoSpaceDN w:val="0"/>
              <w:adjustRightInd w:val="0"/>
              <w:textAlignment w:val="baseline"/>
              <w:rPr>
                <w:rFonts w:cs="Times New Roman"/>
                <w:sz w:val="22"/>
                <w:szCs w:val="22"/>
                <w:lang w:val="es-ES"/>
              </w:rPr>
            </w:pPr>
          </w:p>
          <w:p w14:paraId="52309D18" w14:textId="77777777" w:rsidR="00537D6E" w:rsidRPr="00D9439B" w:rsidRDefault="00537D6E" w:rsidP="00EE4A64">
            <w:pPr>
              <w:pStyle w:val="TableText"/>
              <w:overflowPunct w:val="0"/>
              <w:autoSpaceDE w:val="0"/>
              <w:autoSpaceDN w:val="0"/>
              <w:adjustRightInd w:val="0"/>
              <w:textAlignment w:val="baseline"/>
              <w:rPr>
                <w:rFonts w:cs="Times New Roman"/>
                <w:sz w:val="22"/>
                <w:szCs w:val="22"/>
                <w:lang w:val="es-ES"/>
              </w:rPr>
            </w:pPr>
          </w:p>
          <w:p w14:paraId="2E078500" w14:textId="77777777" w:rsidR="00537D6E" w:rsidRPr="00D9439B" w:rsidRDefault="00537D6E" w:rsidP="00EE4A64">
            <w:pPr>
              <w:pStyle w:val="TableText"/>
              <w:overflowPunct w:val="0"/>
              <w:autoSpaceDE w:val="0"/>
              <w:autoSpaceDN w:val="0"/>
              <w:adjustRightInd w:val="0"/>
              <w:textAlignment w:val="baseline"/>
              <w:rPr>
                <w:rFonts w:cs="Times New Roman"/>
                <w:sz w:val="22"/>
                <w:szCs w:val="22"/>
                <w:lang w:val="es-ES"/>
              </w:rPr>
            </w:pPr>
          </w:p>
          <w:p w14:paraId="71861E53" w14:textId="77777777" w:rsidR="00037F6D" w:rsidRPr="00D9439B" w:rsidRDefault="00037F6D" w:rsidP="00EE4A64">
            <w:pPr>
              <w:pStyle w:val="TableText"/>
              <w:overflowPunct w:val="0"/>
              <w:autoSpaceDE w:val="0"/>
              <w:autoSpaceDN w:val="0"/>
              <w:adjustRightInd w:val="0"/>
              <w:textAlignment w:val="baseline"/>
              <w:rPr>
                <w:rFonts w:cs="Times New Roman"/>
                <w:sz w:val="22"/>
                <w:szCs w:val="22"/>
                <w:lang w:val="es-ES"/>
              </w:rPr>
            </w:pPr>
            <w:r w:rsidRPr="00D9439B">
              <w:rPr>
                <w:rFonts w:cs="Times New Roman"/>
                <w:sz w:val="22"/>
                <w:szCs w:val="22"/>
                <w:lang w:val="es-ES"/>
              </w:rPr>
              <w:t>C</w:t>
            </w:r>
            <w:r w:rsidRPr="00D9439B">
              <w:rPr>
                <w:rFonts w:cs="Times New Roman"/>
                <w:sz w:val="22"/>
                <w:szCs w:val="22"/>
                <w:vertAlign w:val="subscript"/>
                <w:lang w:val="es-ES"/>
              </w:rPr>
              <w:t>max</w:t>
            </w:r>
            <w:r w:rsidRPr="00D9439B">
              <w:rPr>
                <w:rFonts w:cs="Times New Roman"/>
                <w:sz w:val="22"/>
                <w:szCs w:val="22"/>
                <w:lang w:val="es-ES"/>
              </w:rPr>
              <w:t xml:space="preserve"> ciclosporina </w:t>
            </w:r>
            <w:r w:rsidRPr="00D9439B">
              <w:rPr>
                <w:rFonts w:cs="Times New Roman"/>
                <w:sz w:val="22"/>
                <w:szCs w:val="22"/>
                <w:lang w:val="en-GB"/>
              </w:rPr>
              <w:sym w:font="Symbol" w:char="F0AD"/>
            </w:r>
            <w:r w:rsidRPr="002869DC">
              <w:rPr>
                <w:rFonts w:cs="Times New Roman"/>
                <w:sz w:val="22"/>
                <w:szCs w:val="22"/>
                <w:lang w:val="es-ES"/>
              </w:rPr>
              <w:t xml:space="preserve"> </w:t>
            </w:r>
            <w:r w:rsidRPr="00D9439B">
              <w:rPr>
                <w:rFonts w:cs="Times New Roman"/>
                <w:sz w:val="22"/>
                <w:szCs w:val="22"/>
                <w:lang w:val="es-ES"/>
              </w:rPr>
              <w:t xml:space="preserve"> 13%</w:t>
            </w:r>
            <w:r w:rsidRPr="00D9439B">
              <w:rPr>
                <w:rFonts w:cs="Times New Roman"/>
                <w:sz w:val="22"/>
                <w:szCs w:val="22"/>
                <w:lang w:val="es-ES"/>
              </w:rPr>
              <w:br/>
              <w:t>AUC</w:t>
            </w:r>
            <w:r w:rsidRPr="00D9439B">
              <w:rPr>
                <w:rFonts w:cs="Times New Roman"/>
                <w:sz w:val="22"/>
                <w:szCs w:val="22"/>
              </w:rPr>
              <w:sym w:font="Symbol" w:char="F074"/>
            </w:r>
            <w:r w:rsidRPr="00D9439B">
              <w:rPr>
                <w:rFonts w:cs="Times New Roman"/>
                <w:sz w:val="22"/>
                <w:szCs w:val="22"/>
                <w:lang w:val="es-ES"/>
              </w:rPr>
              <w:t xml:space="preserve"> ciclosporina </w:t>
            </w:r>
            <w:r w:rsidRPr="00D9439B">
              <w:rPr>
                <w:rFonts w:cs="Times New Roman"/>
                <w:sz w:val="22"/>
                <w:szCs w:val="22"/>
                <w:lang w:val="en-GB"/>
              </w:rPr>
              <w:sym w:font="Symbol" w:char="F0AD"/>
            </w:r>
            <w:r w:rsidRPr="002869DC">
              <w:rPr>
                <w:rFonts w:cs="Times New Roman"/>
                <w:sz w:val="22"/>
                <w:szCs w:val="22"/>
                <w:lang w:val="es-ES"/>
              </w:rPr>
              <w:t xml:space="preserve"> </w:t>
            </w:r>
            <w:r w:rsidRPr="00D9439B">
              <w:rPr>
                <w:rFonts w:cs="Times New Roman"/>
                <w:sz w:val="22"/>
                <w:szCs w:val="22"/>
                <w:lang w:val="es-ES"/>
              </w:rPr>
              <w:t xml:space="preserve"> 70%</w:t>
            </w:r>
          </w:p>
          <w:p w14:paraId="41464160" w14:textId="77777777" w:rsidR="00037F6D" w:rsidRPr="00D9439B" w:rsidRDefault="00037F6D" w:rsidP="00037F6D">
            <w:pPr>
              <w:pStyle w:val="TableText"/>
              <w:tabs>
                <w:tab w:val="left" w:pos="216"/>
              </w:tabs>
              <w:overflowPunct w:val="0"/>
              <w:autoSpaceDE w:val="0"/>
              <w:autoSpaceDN w:val="0"/>
              <w:adjustRightInd w:val="0"/>
              <w:textAlignment w:val="baseline"/>
              <w:rPr>
                <w:rFonts w:cs="Times New Roman"/>
                <w:sz w:val="22"/>
                <w:szCs w:val="22"/>
                <w:lang w:val="fr-FR"/>
              </w:rPr>
            </w:pPr>
          </w:p>
          <w:p w14:paraId="3F46D704" w14:textId="77777777" w:rsidR="00037F6D" w:rsidRPr="00D9439B" w:rsidRDefault="00037F6D" w:rsidP="00037F6D">
            <w:pPr>
              <w:pStyle w:val="TableText"/>
              <w:tabs>
                <w:tab w:val="left" w:pos="216"/>
              </w:tabs>
              <w:overflowPunct w:val="0"/>
              <w:autoSpaceDE w:val="0"/>
              <w:autoSpaceDN w:val="0"/>
              <w:adjustRightInd w:val="0"/>
              <w:textAlignment w:val="baseline"/>
              <w:rPr>
                <w:rFonts w:cs="Times New Roman"/>
                <w:sz w:val="22"/>
                <w:szCs w:val="22"/>
                <w:lang w:val="fr-FR"/>
              </w:rPr>
            </w:pPr>
          </w:p>
          <w:p w14:paraId="1BB397D0" w14:textId="77777777" w:rsidR="00037F6D" w:rsidRPr="00D9439B" w:rsidRDefault="00037F6D" w:rsidP="00037F6D">
            <w:pPr>
              <w:pStyle w:val="TableText"/>
              <w:tabs>
                <w:tab w:val="left" w:pos="216"/>
              </w:tabs>
              <w:overflowPunct w:val="0"/>
              <w:autoSpaceDE w:val="0"/>
              <w:autoSpaceDN w:val="0"/>
              <w:adjustRightInd w:val="0"/>
              <w:textAlignment w:val="baseline"/>
              <w:rPr>
                <w:rFonts w:cs="Times New Roman"/>
                <w:sz w:val="22"/>
                <w:szCs w:val="22"/>
                <w:lang w:val="fr-FR"/>
              </w:rPr>
            </w:pPr>
          </w:p>
          <w:p w14:paraId="53D3B47E" w14:textId="77777777" w:rsidR="00037F6D" w:rsidRPr="00D9439B" w:rsidRDefault="00037F6D" w:rsidP="00037F6D">
            <w:pPr>
              <w:pStyle w:val="TableText"/>
              <w:tabs>
                <w:tab w:val="left" w:pos="216"/>
              </w:tabs>
              <w:overflowPunct w:val="0"/>
              <w:autoSpaceDE w:val="0"/>
              <w:autoSpaceDN w:val="0"/>
              <w:adjustRightInd w:val="0"/>
              <w:textAlignment w:val="baseline"/>
              <w:rPr>
                <w:rFonts w:cs="Times New Roman"/>
                <w:sz w:val="22"/>
                <w:szCs w:val="22"/>
                <w:lang w:val="fr-FR"/>
              </w:rPr>
            </w:pPr>
          </w:p>
          <w:p w14:paraId="7BC02CDF" w14:textId="77777777" w:rsidR="00037F6D" w:rsidRPr="00D9439B" w:rsidRDefault="00037F6D" w:rsidP="00037F6D">
            <w:pPr>
              <w:pStyle w:val="TableText"/>
              <w:tabs>
                <w:tab w:val="left" w:pos="216"/>
              </w:tabs>
              <w:overflowPunct w:val="0"/>
              <w:autoSpaceDE w:val="0"/>
              <w:autoSpaceDN w:val="0"/>
              <w:adjustRightInd w:val="0"/>
              <w:textAlignment w:val="baseline"/>
              <w:rPr>
                <w:rFonts w:cs="Times New Roman"/>
                <w:sz w:val="22"/>
                <w:szCs w:val="22"/>
                <w:lang w:val="fr-FR"/>
              </w:rPr>
            </w:pPr>
          </w:p>
          <w:p w14:paraId="168664D2" w14:textId="77777777" w:rsidR="00037F6D" w:rsidRPr="00D9439B" w:rsidRDefault="00037F6D" w:rsidP="00037F6D">
            <w:pPr>
              <w:pStyle w:val="TableText"/>
              <w:tabs>
                <w:tab w:val="left" w:pos="216"/>
              </w:tabs>
              <w:overflowPunct w:val="0"/>
              <w:autoSpaceDE w:val="0"/>
              <w:autoSpaceDN w:val="0"/>
              <w:adjustRightInd w:val="0"/>
              <w:textAlignment w:val="baseline"/>
              <w:rPr>
                <w:rFonts w:cs="Times New Roman"/>
                <w:sz w:val="22"/>
                <w:szCs w:val="22"/>
                <w:lang w:val="fr-FR"/>
              </w:rPr>
            </w:pPr>
          </w:p>
          <w:p w14:paraId="3CD67EDE" w14:textId="77777777" w:rsidR="00037F6D" w:rsidRPr="00D9439B" w:rsidRDefault="00037F6D" w:rsidP="00037F6D">
            <w:pPr>
              <w:pStyle w:val="TableText"/>
              <w:tabs>
                <w:tab w:val="left" w:pos="216"/>
              </w:tabs>
              <w:overflowPunct w:val="0"/>
              <w:autoSpaceDE w:val="0"/>
              <w:autoSpaceDN w:val="0"/>
              <w:adjustRightInd w:val="0"/>
              <w:textAlignment w:val="baseline"/>
              <w:rPr>
                <w:rFonts w:cs="Times New Roman"/>
                <w:sz w:val="22"/>
                <w:szCs w:val="22"/>
                <w:lang w:val="fr-FR"/>
              </w:rPr>
            </w:pPr>
          </w:p>
          <w:p w14:paraId="0BCDD56E" w14:textId="77777777" w:rsidR="00037F6D" w:rsidRPr="00D9439B" w:rsidRDefault="00037F6D" w:rsidP="00037F6D">
            <w:pPr>
              <w:pStyle w:val="TableText"/>
              <w:tabs>
                <w:tab w:val="left" w:pos="216"/>
              </w:tabs>
              <w:overflowPunct w:val="0"/>
              <w:autoSpaceDE w:val="0"/>
              <w:autoSpaceDN w:val="0"/>
              <w:adjustRightInd w:val="0"/>
              <w:textAlignment w:val="baseline"/>
              <w:rPr>
                <w:rFonts w:cs="Times New Roman"/>
                <w:sz w:val="22"/>
                <w:szCs w:val="22"/>
                <w:lang w:val="fr-FR"/>
              </w:rPr>
            </w:pPr>
          </w:p>
          <w:p w14:paraId="72819B13" w14:textId="77777777" w:rsidR="00037F6D" w:rsidRPr="00D9439B" w:rsidRDefault="00037F6D" w:rsidP="00037F6D">
            <w:pPr>
              <w:pStyle w:val="TableText"/>
              <w:tabs>
                <w:tab w:val="left" w:pos="216"/>
              </w:tabs>
              <w:overflowPunct w:val="0"/>
              <w:autoSpaceDE w:val="0"/>
              <w:autoSpaceDN w:val="0"/>
              <w:adjustRightInd w:val="0"/>
              <w:textAlignment w:val="baseline"/>
              <w:rPr>
                <w:rFonts w:cs="Times New Roman"/>
                <w:sz w:val="22"/>
                <w:szCs w:val="22"/>
                <w:lang w:val="fr-FR"/>
              </w:rPr>
            </w:pPr>
          </w:p>
          <w:p w14:paraId="712717FE" w14:textId="77777777" w:rsidR="00037F6D" w:rsidRPr="00D9439B" w:rsidRDefault="00037F6D" w:rsidP="00037F6D">
            <w:pPr>
              <w:pStyle w:val="TableText"/>
              <w:tabs>
                <w:tab w:val="left" w:pos="216"/>
              </w:tabs>
              <w:overflowPunct w:val="0"/>
              <w:autoSpaceDE w:val="0"/>
              <w:autoSpaceDN w:val="0"/>
              <w:adjustRightInd w:val="0"/>
              <w:textAlignment w:val="baseline"/>
              <w:rPr>
                <w:rFonts w:cs="Times New Roman"/>
                <w:sz w:val="22"/>
                <w:szCs w:val="22"/>
                <w:lang w:val="fr-FR"/>
              </w:rPr>
            </w:pPr>
          </w:p>
          <w:p w14:paraId="03D0614A" w14:textId="77777777" w:rsidR="00037F6D" w:rsidRPr="00D9439B" w:rsidRDefault="00037F6D" w:rsidP="00037F6D">
            <w:pPr>
              <w:pStyle w:val="TableText"/>
              <w:tabs>
                <w:tab w:val="left" w:pos="216"/>
              </w:tabs>
              <w:overflowPunct w:val="0"/>
              <w:autoSpaceDE w:val="0"/>
              <w:autoSpaceDN w:val="0"/>
              <w:adjustRightInd w:val="0"/>
              <w:textAlignment w:val="baseline"/>
              <w:rPr>
                <w:rFonts w:cs="Times New Roman"/>
                <w:sz w:val="22"/>
                <w:szCs w:val="22"/>
                <w:lang w:val="fr-FR"/>
              </w:rPr>
            </w:pPr>
          </w:p>
          <w:p w14:paraId="6C310AA7" w14:textId="77777777" w:rsidR="00037F6D" w:rsidRPr="00D9439B" w:rsidRDefault="00037F6D" w:rsidP="00037F6D">
            <w:pPr>
              <w:pStyle w:val="TableText"/>
              <w:tabs>
                <w:tab w:val="left" w:pos="216"/>
              </w:tabs>
              <w:overflowPunct w:val="0"/>
              <w:autoSpaceDE w:val="0"/>
              <w:autoSpaceDN w:val="0"/>
              <w:adjustRightInd w:val="0"/>
              <w:textAlignment w:val="baseline"/>
              <w:rPr>
                <w:rFonts w:cs="Times New Roman"/>
                <w:sz w:val="22"/>
                <w:szCs w:val="22"/>
                <w:lang w:val="fr-FR"/>
              </w:rPr>
            </w:pPr>
          </w:p>
          <w:p w14:paraId="3072A068" w14:textId="77777777" w:rsidR="00037F6D" w:rsidRPr="00D9439B" w:rsidRDefault="00037F6D" w:rsidP="00037F6D">
            <w:pPr>
              <w:pStyle w:val="TableText"/>
              <w:tabs>
                <w:tab w:val="left" w:pos="216"/>
              </w:tabs>
              <w:overflowPunct w:val="0"/>
              <w:autoSpaceDE w:val="0"/>
              <w:autoSpaceDN w:val="0"/>
              <w:adjustRightInd w:val="0"/>
              <w:textAlignment w:val="baseline"/>
              <w:rPr>
                <w:rFonts w:cs="Times New Roman"/>
                <w:sz w:val="22"/>
                <w:szCs w:val="22"/>
                <w:lang w:val="fr-FR"/>
              </w:rPr>
            </w:pPr>
          </w:p>
          <w:p w14:paraId="38807373" w14:textId="77777777" w:rsidR="00037F6D" w:rsidRPr="00D9439B" w:rsidRDefault="00037F6D" w:rsidP="00037F6D">
            <w:pPr>
              <w:pStyle w:val="TableText"/>
              <w:tabs>
                <w:tab w:val="left" w:pos="216"/>
              </w:tabs>
              <w:overflowPunct w:val="0"/>
              <w:autoSpaceDE w:val="0"/>
              <w:autoSpaceDN w:val="0"/>
              <w:adjustRightInd w:val="0"/>
              <w:textAlignment w:val="baseline"/>
              <w:rPr>
                <w:rFonts w:cs="Times New Roman"/>
                <w:sz w:val="22"/>
                <w:szCs w:val="22"/>
                <w:lang w:val="fr-FR"/>
              </w:rPr>
            </w:pPr>
          </w:p>
          <w:p w14:paraId="32D9C910" w14:textId="77777777" w:rsidR="00037F6D" w:rsidRPr="00D9439B" w:rsidRDefault="00037F6D" w:rsidP="00037F6D">
            <w:pPr>
              <w:pStyle w:val="TableText"/>
              <w:tabs>
                <w:tab w:val="left" w:pos="216"/>
              </w:tabs>
              <w:overflowPunct w:val="0"/>
              <w:autoSpaceDE w:val="0"/>
              <w:autoSpaceDN w:val="0"/>
              <w:adjustRightInd w:val="0"/>
              <w:textAlignment w:val="baseline"/>
              <w:rPr>
                <w:rFonts w:cs="Times New Roman"/>
                <w:sz w:val="22"/>
                <w:szCs w:val="22"/>
                <w:lang w:val="fr-FR"/>
              </w:rPr>
            </w:pPr>
          </w:p>
          <w:p w14:paraId="68032CD2" w14:textId="77777777" w:rsidR="00037F6D" w:rsidRPr="00D9439B" w:rsidRDefault="00037F6D" w:rsidP="00037F6D">
            <w:pPr>
              <w:pStyle w:val="TableText"/>
              <w:tabs>
                <w:tab w:val="left" w:pos="216"/>
              </w:tabs>
              <w:overflowPunct w:val="0"/>
              <w:autoSpaceDE w:val="0"/>
              <w:autoSpaceDN w:val="0"/>
              <w:adjustRightInd w:val="0"/>
              <w:textAlignment w:val="baseline"/>
              <w:rPr>
                <w:rFonts w:cs="Times New Roman"/>
                <w:sz w:val="22"/>
                <w:szCs w:val="22"/>
                <w:lang w:val="fr-FR"/>
              </w:rPr>
            </w:pPr>
          </w:p>
          <w:p w14:paraId="5CDB7577" w14:textId="248B08A2" w:rsidR="00037F6D" w:rsidRPr="00D9439B" w:rsidRDefault="00037F6D"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D9439B">
              <w:rPr>
                <w:rFonts w:cs="Times New Roman"/>
                <w:sz w:val="22"/>
                <w:szCs w:val="22"/>
                <w:lang w:val="fr-FR"/>
              </w:rPr>
              <w:t>C</w:t>
            </w:r>
            <w:r w:rsidRPr="00D9439B">
              <w:rPr>
                <w:rFonts w:cs="Times New Roman"/>
                <w:sz w:val="22"/>
                <w:szCs w:val="22"/>
                <w:vertAlign w:val="subscript"/>
                <w:lang w:val="fr-FR"/>
              </w:rPr>
              <w:t>max</w:t>
            </w:r>
            <w:r w:rsidRPr="00D9439B">
              <w:rPr>
                <w:rFonts w:cs="Times New Roman"/>
                <w:sz w:val="22"/>
                <w:szCs w:val="22"/>
                <w:lang w:val="fr-FR"/>
              </w:rPr>
              <w:t xml:space="preserve"> de tacrolimus </w:t>
            </w:r>
            <w:r w:rsidRPr="00D9439B">
              <w:rPr>
                <w:rFonts w:cs="Times New Roman"/>
                <w:sz w:val="22"/>
                <w:szCs w:val="22"/>
                <w:lang w:val="en-GB"/>
              </w:rPr>
              <w:sym w:font="Symbol" w:char="F0AD"/>
            </w:r>
            <w:r w:rsidRPr="00D9439B">
              <w:rPr>
                <w:rFonts w:cs="Times New Roman"/>
                <w:sz w:val="22"/>
                <w:szCs w:val="22"/>
                <w:lang w:val="fr-FR"/>
              </w:rPr>
              <w:t xml:space="preserve"> 117%</w:t>
            </w:r>
            <w:r w:rsidRPr="00D9439B">
              <w:rPr>
                <w:rFonts w:cs="Times New Roman"/>
                <w:sz w:val="22"/>
                <w:szCs w:val="22"/>
                <w:lang w:val="fr-FR"/>
              </w:rPr>
              <w:br/>
              <w:t>AUC</w:t>
            </w:r>
            <w:r w:rsidRPr="00D9439B">
              <w:rPr>
                <w:rFonts w:cs="Times New Roman"/>
                <w:sz w:val="22"/>
                <w:szCs w:val="22"/>
                <w:vertAlign w:val="subscript"/>
                <w:lang w:val="fr-FR"/>
              </w:rPr>
              <w:t>t</w:t>
            </w:r>
            <w:r w:rsidRPr="00D9439B">
              <w:rPr>
                <w:rFonts w:cs="Times New Roman"/>
                <w:sz w:val="22"/>
                <w:szCs w:val="22"/>
                <w:lang w:val="fr-FR"/>
              </w:rPr>
              <w:t xml:space="preserve"> de tacrolimus</w:t>
            </w:r>
            <w:r w:rsidRPr="00D9439B">
              <w:rPr>
                <w:rFonts w:cs="Times New Roman"/>
                <w:sz w:val="22"/>
                <w:szCs w:val="22"/>
                <w:lang w:val="en-GB"/>
              </w:rPr>
              <w:sym w:font="Symbol" w:char="F0AD"/>
            </w:r>
            <w:r w:rsidRPr="00D9439B">
              <w:rPr>
                <w:rFonts w:cs="Times New Roman"/>
                <w:sz w:val="22"/>
                <w:szCs w:val="22"/>
                <w:lang w:val="fr-FR"/>
              </w:rPr>
              <w:t xml:space="preserve"> 221%</w:t>
            </w:r>
          </w:p>
        </w:tc>
        <w:tc>
          <w:tcPr>
            <w:tcW w:w="2835" w:type="dxa"/>
          </w:tcPr>
          <w:p w14:paraId="6A3635C3" w14:textId="77777777" w:rsidR="00037F6D" w:rsidRPr="00D9439B" w:rsidRDefault="00037F6D" w:rsidP="00037F6D">
            <w:pPr>
              <w:pStyle w:val="TableText"/>
              <w:overflowPunct w:val="0"/>
              <w:autoSpaceDE w:val="0"/>
              <w:autoSpaceDN w:val="0"/>
              <w:adjustRightInd w:val="0"/>
              <w:textAlignment w:val="baseline"/>
              <w:rPr>
                <w:rFonts w:cs="Times New Roman"/>
                <w:sz w:val="22"/>
                <w:szCs w:val="22"/>
                <w:lang w:val="es-ES"/>
              </w:rPr>
            </w:pPr>
          </w:p>
          <w:p w14:paraId="3CB96A62" w14:textId="77777777" w:rsidR="00037F6D" w:rsidRPr="00D9439B" w:rsidRDefault="00037F6D" w:rsidP="00037F6D">
            <w:pPr>
              <w:pStyle w:val="TableText"/>
              <w:overflowPunct w:val="0"/>
              <w:autoSpaceDE w:val="0"/>
              <w:autoSpaceDN w:val="0"/>
              <w:adjustRightInd w:val="0"/>
              <w:textAlignment w:val="baseline"/>
              <w:rPr>
                <w:rFonts w:cs="Times New Roman"/>
                <w:sz w:val="22"/>
                <w:szCs w:val="22"/>
                <w:lang w:val="es-ES"/>
              </w:rPr>
            </w:pPr>
          </w:p>
          <w:p w14:paraId="303304B3" w14:textId="77777777" w:rsidR="00037F6D" w:rsidRPr="00D9439B" w:rsidRDefault="00037F6D" w:rsidP="00037F6D">
            <w:pPr>
              <w:pStyle w:val="TableText"/>
              <w:overflowPunct w:val="0"/>
              <w:autoSpaceDE w:val="0"/>
              <w:autoSpaceDN w:val="0"/>
              <w:adjustRightInd w:val="0"/>
              <w:textAlignment w:val="baseline"/>
              <w:rPr>
                <w:rFonts w:cs="Times New Roman"/>
                <w:sz w:val="22"/>
                <w:szCs w:val="22"/>
                <w:lang w:val="es-ES"/>
              </w:rPr>
            </w:pPr>
          </w:p>
          <w:p w14:paraId="30480B5D" w14:textId="77777777" w:rsidR="00037F6D" w:rsidRPr="00D9439B" w:rsidRDefault="00037F6D" w:rsidP="00EE4A64">
            <w:pPr>
              <w:pStyle w:val="TableText"/>
              <w:overflowPunct w:val="0"/>
              <w:autoSpaceDE w:val="0"/>
              <w:autoSpaceDN w:val="0"/>
              <w:adjustRightInd w:val="0"/>
              <w:textAlignment w:val="baseline"/>
              <w:rPr>
                <w:rFonts w:cs="Times New Roman"/>
                <w:sz w:val="22"/>
                <w:szCs w:val="22"/>
                <w:lang w:val="es-ES"/>
              </w:rPr>
            </w:pPr>
            <w:r w:rsidRPr="00D9439B">
              <w:rPr>
                <w:rFonts w:cs="Times New Roman"/>
                <w:sz w:val="22"/>
                <w:szCs w:val="22"/>
                <w:lang w:val="es-ES"/>
              </w:rPr>
              <w:t xml:space="preserve">La administración concomitante de voriconazol con sirolimus está </w:t>
            </w:r>
            <w:r w:rsidRPr="00D9439B">
              <w:rPr>
                <w:rFonts w:cs="Times New Roman"/>
                <w:b/>
                <w:sz w:val="22"/>
                <w:szCs w:val="22"/>
                <w:lang w:val="es-ES"/>
              </w:rPr>
              <w:t>contraindicada</w:t>
            </w:r>
            <w:r w:rsidRPr="00D9439B">
              <w:rPr>
                <w:rFonts w:cs="Times New Roman"/>
                <w:sz w:val="22"/>
                <w:szCs w:val="22"/>
                <w:lang w:val="es-ES"/>
              </w:rPr>
              <w:t xml:space="preserve"> (ver sección 4.3).</w:t>
            </w:r>
          </w:p>
          <w:p w14:paraId="56E8BB70" w14:textId="77777777" w:rsidR="00537D6E" w:rsidRPr="002869DC" w:rsidRDefault="00537D6E" w:rsidP="00537D6E">
            <w:pPr>
              <w:adjustRightInd w:val="0"/>
              <w:rPr>
                <w:sz w:val="22"/>
                <w:szCs w:val="22"/>
              </w:rPr>
            </w:pPr>
            <w:r w:rsidRPr="002869DC">
              <w:rPr>
                <w:sz w:val="22"/>
                <w:szCs w:val="22"/>
              </w:rPr>
              <w:t>No se recomienda la administración concomitante de voriconazol y everolimus, ya que se espera que voriconazol incremente significativamente las concentraciones de everolimus (ver sección 4.4).</w:t>
            </w:r>
          </w:p>
          <w:p w14:paraId="396B8A8F" w14:textId="77777777" w:rsidR="00037F6D" w:rsidRPr="00D9439B" w:rsidRDefault="00037F6D" w:rsidP="00037F6D">
            <w:pPr>
              <w:pStyle w:val="TableText"/>
              <w:overflowPunct w:val="0"/>
              <w:autoSpaceDE w:val="0"/>
              <w:autoSpaceDN w:val="0"/>
              <w:adjustRightInd w:val="0"/>
              <w:textAlignment w:val="baseline"/>
              <w:rPr>
                <w:rFonts w:cs="Times New Roman"/>
                <w:sz w:val="22"/>
                <w:szCs w:val="22"/>
                <w:lang w:val="es-ES"/>
              </w:rPr>
            </w:pPr>
          </w:p>
          <w:p w14:paraId="6DAF65BD" w14:textId="77777777" w:rsidR="00037F6D" w:rsidRDefault="00037F6D" w:rsidP="00037F6D">
            <w:pPr>
              <w:pStyle w:val="TableText"/>
              <w:overflowPunct w:val="0"/>
              <w:autoSpaceDE w:val="0"/>
              <w:autoSpaceDN w:val="0"/>
              <w:adjustRightInd w:val="0"/>
              <w:textAlignment w:val="baseline"/>
              <w:rPr>
                <w:rFonts w:cs="Times New Roman"/>
                <w:sz w:val="22"/>
                <w:szCs w:val="22"/>
                <w:lang w:val="es-ES"/>
              </w:rPr>
            </w:pPr>
          </w:p>
          <w:p w14:paraId="78576CCF" w14:textId="77777777" w:rsidR="00D9439B" w:rsidRDefault="00D9439B" w:rsidP="00037F6D">
            <w:pPr>
              <w:pStyle w:val="TableText"/>
              <w:overflowPunct w:val="0"/>
              <w:autoSpaceDE w:val="0"/>
              <w:autoSpaceDN w:val="0"/>
              <w:adjustRightInd w:val="0"/>
              <w:textAlignment w:val="baseline"/>
              <w:rPr>
                <w:rFonts w:cs="Times New Roman"/>
                <w:sz w:val="22"/>
                <w:szCs w:val="22"/>
                <w:lang w:val="es-ES"/>
              </w:rPr>
            </w:pPr>
          </w:p>
          <w:p w14:paraId="36F9E66D" w14:textId="77777777" w:rsidR="00D9439B" w:rsidRPr="00D9439B" w:rsidRDefault="00D9439B" w:rsidP="00037F6D">
            <w:pPr>
              <w:pStyle w:val="TableText"/>
              <w:overflowPunct w:val="0"/>
              <w:autoSpaceDE w:val="0"/>
              <w:autoSpaceDN w:val="0"/>
              <w:adjustRightInd w:val="0"/>
              <w:textAlignment w:val="baseline"/>
              <w:rPr>
                <w:rFonts w:cs="Times New Roman"/>
                <w:sz w:val="22"/>
                <w:szCs w:val="22"/>
                <w:lang w:val="es-ES"/>
              </w:rPr>
            </w:pPr>
          </w:p>
          <w:p w14:paraId="7CDF0309" w14:textId="77777777" w:rsidR="00037F6D" w:rsidRPr="00D9439B" w:rsidRDefault="00037F6D" w:rsidP="00EE4A64">
            <w:pPr>
              <w:pStyle w:val="TableText"/>
              <w:overflowPunct w:val="0"/>
              <w:autoSpaceDE w:val="0"/>
              <w:autoSpaceDN w:val="0"/>
              <w:adjustRightInd w:val="0"/>
              <w:textAlignment w:val="baseline"/>
              <w:rPr>
                <w:rFonts w:cs="Times New Roman"/>
                <w:sz w:val="22"/>
                <w:szCs w:val="22"/>
                <w:lang w:val="es-ES"/>
              </w:rPr>
            </w:pPr>
            <w:r w:rsidRPr="00D9439B">
              <w:rPr>
                <w:rFonts w:cs="Times New Roman"/>
                <w:sz w:val="22"/>
                <w:szCs w:val="22"/>
                <w:lang w:val="es-ES"/>
              </w:rPr>
              <w:t xml:space="preserve">Cuando se inicia voriconazol en pacientes que ya están en tratamiento con ciclosporina se recomienda reducir a la mitad la dosis de ciclosporina y monitorizar cuidadosamente los niveles de ciclosporina.  Se han asociado niveles elevados de ciclosporina con nefrotoxicidad. </w:t>
            </w:r>
            <w:r w:rsidRPr="00D9439B">
              <w:rPr>
                <w:rFonts w:cs="Times New Roman"/>
                <w:sz w:val="22"/>
                <w:szCs w:val="22"/>
                <w:u w:val="single"/>
                <w:lang w:val="es-ES"/>
              </w:rPr>
              <w:t>Cuando se suspende voriconazol se deben monitorizar estrechamente los niveles de ciclosporina e incrementar la dosis tanto como sea necesario.</w:t>
            </w:r>
          </w:p>
          <w:p w14:paraId="12846862" w14:textId="77777777" w:rsidR="00037F6D" w:rsidRPr="00D9439B" w:rsidRDefault="00037F6D" w:rsidP="00037F6D">
            <w:pPr>
              <w:pStyle w:val="TableText"/>
              <w:overflowPunct w:val="0"/>
              <w:autoSpaceDE w:val="0"/>
              <w:autoSpaceDN w:val="0"/>
              <w:adjustRightInd w:val="0"/>
              <w:textAlignment w:val="baseline"/>
              <w:rPr>
                <w:rFonts w:cs="Times New Roman"/>
                <w:sz w:val="22"/>
                <w:szCs w:val="22"/>
                <w:lang w:val="es-ES"/>
              </w:rPr>
            </w:pPr>
          </w:p>
          <w:p w14:paraId="7CA531AB" w14:textId="77777777" w:rsidR="00037F6D" w:rsidRPr="00D9439B" w:rsidRDefault="00037F6D" w:rsidP="00037F6D">
            <w:pPr>
              <w:pStyle w:val="TableText"/>
              <w:overflowPunct w:val="0"/>
              <w:autoSpaceDE w:val="0"/>
              <w:autoSpaceDN w:val="0"/>
              <w:adjustRightInd w:val="0"/>
              <w:textAlignment w:val="baseline"/>
              <w:rPr>
                <w:rFonts w:cs="Times New Roman"/>
                <w:sz w:val="22"/>
                <w:szCs w:val="22"/>
                <w:lang w:val="es-ES"/>
              </w:rPr>
            </w:pPr>
          </w:p>
          <w:p w14:paraId="686F648E" w14:textId="77777777" w:rsidR="00037F6D" w:rsidRPr="00D9439B" w:rsidRDefault="00037F6D" w:rsidP="00037F6D">
            <w:pPr>
              <w:pStyle w:val="TableText"/>
              <w:overflowPunct w:val="0"/>
              <w:autoSpaceDE w:val="0"/>
              <w:autoSpaceDN w:val="0"/>
              <w:adjustRightInd w:val="0"/>
              <w:textAlignment w:val="baseline"/>
              <w:rPr>
                <w:rFonts w:cs="Times New Roman"/>
                <w:sz w:val="22"/>
                <w:szCs w:val="22"/>
                <w:lang w:val="es-ES"/>
              </w:rPr>
            </w:pPr>
          </w:p>
          <w:p w14:paraId="14718A1C" w14:textId="77777777" w:rsidR="00037F6D" w:rsidRPr="00D9439B" w:rsidRDefault="00037F6D" w:rsidP="00EE4A64">
            <w:pPr>
              <w:pStyle w:val="TableText"/>
              <w:overflowPunct w:val="0"/>
              <w:autoSpaceDE w:val="0"/>
              <w:autoSpaceDN w:val="0"/>
              <w:adjustRightInd w:val="0"/>
              <w:textAlignment w:val="baseline"/>
              <w:rPr>
                <w:rFonts w:cs="Times New Roman"/>
                <w:sz w:val="22"/>
                <w:szCs w:val="22"/>
                <w:lang w:val="es-ES"/>
              </w:rPr>
            </w:pPr>
            <w:r w:rsidRPr="00D9439B">
              <w:rPr>
                <w:rFonts w:cs="Times New Roman"/>
                <w:sz w:val="22"/>
                <w:szCs w:val="22"/>
                <w:lang w:val="es-ES"/>
              </w:rPr>
              <w:t xml:space="preserve">Cuando se inicia voriconazol en pacientes que ya están en tratamiento con tacrolimus, se recomienda reducir la dosis de tacrolimus a la tercera parte de la dosis original y monitorizar cuidadosamente los niveles de tacrolimus. Se han asociado  niveles altos de tacrolimus  con nefrotoxicidad. </w:t>
            </w:r>
            <w:r w:rsidRPr="00D9439B">
              <w:rPr>
                <w:rFonts w:cs="Times New Roman"/>
                <w:sz w:val="22"/>
                <w:szCs w:val="22"/>
                <w:u w:val="single"/>
                <w:lang w:val="es-ES"/>
              </w:rPr>
              <w:t>Cuando se suspende voriconazol, se deben monitorizar cuidadosamente los niveles de tacrolimus e incrementar la dosis tanto como sea necesario.</w:t>
            </w:r>
          </w:p>
        </w:tc>
      </w:tr>
      <w:tr w:rsidR="00D061AA" w:rsidRPr="00C52C4C" w14:paraId="0273A498" w14:textId="77777777" w:rsidTr="00AC5BF4">
        <w:trPr>
          <w:jc w:val="center"/>
        </w:trPr>
        <w:tc>
          <w:tcPr>
            <w:tcW w:w="2696" w:type="dxa"/>
          </w:tcPr>
          <w:p w14:paraId="47D86247" w14:textId="77777777" w:rsidR="00D061AA" w:rsidRPr="00C52C4C" w:rsidRDefault="00D061AA" w:rsidP="00EE4A64">
            <w:pPr>
              <w:pStyle w:val="TableText"/>
              <w:tabs>
                <w:tab w:val="left" w:pos="360"/>
              </w:tabs>
              <w:overflowPunct w:val="0"/>
              <w:autoSpaceDE w:val="0"/>
              <w:autoSpaceDN w:val="0"/>
              <w:adjustRightInd w:val="0"/>
              <w:ind w:left="216" w:hanging="216"/>
              <w:textAlignment w:val="baseline"/>
              <w:rPr>
                <w:rFonts w:cs="Times New Roman"/>
                <w:sz w:val="22"/>
                <w:szCs w:val="22"/>
                <w:lang w:val="es-ES"/>
              </w:rPr>
            </w:pPr>
            <w:r w:rsidRPr="00C52C4C">
              <w:rPr>
                <w:rFonts w:cs="Times New Roman"/>
                <w:sz w:val="22"/>
                <w:szCs w:val="22"/>
                <w:lang w:val="es-ES"/>
              </w:rPr>
              <w:t>Opiáceos de acción prolongada</w:t>
            </w:r>
          </w:p>
          <w:p w14:paraId="533F26B1" w14:textId="77777777" w:rsidR="00D061AA" w:rsidRPr="00C52C4C" w:rsidRDefault="00D061AA" w:rsidP="00EE4A64">
            <w:pPr>
              <w:pStyle w:val="TableText"/>
              <w:tabs>
                <w:tab w:val="left" w:pos="360"/>
              </w:tabs>
              <w:overflowPunct w:val="0"/>
              <w:autoSpaceDE w:val="0"/>
              <w:autoSpaceDN w:val="0"/>
              <w:adjustRightInd w:val="0"/>
              <w:ind w:left="216" w:hanging="216"/>
              <w:textAlignment w:val="baseline"/>
              <w:rPr>
                <w:rFonts w:cs="Times New Roman"/>
                <w:i/>
                <w:sz w:val="22"/>
                <w:szCs w:val="22"/>
                <w:lang w:val="es-ES"/>
              </w:rPr>
            </w:pPr>
            <w:r w:rsidRPr="00C52C4C">
              <w:rPr>
                <w:rFonts w:cs="Times New Roman"/>
                <w:i/>
                <w:sz w:val="22"/>
                <w:szCs w:val="22"/>
                <w:lang w:val="es-ES"/>
              </w:rPr>
              <w:t xml:space="preserve">[sustratos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P3A4]</w:t>
            </w:r>
          </w:p>
          <w:p w14:paraId="38BC3988" w14:textId="77777777" w:rsidR="00D061AA" w:rsidRPr="00C52C4C" w:rsidRDefault="00D061AA" w:rsidP="00EE4A64">
            <w:pPr>
              <w:pStyle w:val="TableText"/>
              <w:tabs>
                <w:tab w:val="left" w:pos="360"/>
              </w:tabs>
              <w:overflowPunct w:val="0"/>
              <w:autoSpaceDE w:val="0"/>
              <w:autoSpaceDN w:val="0"/>
              <w:adjustRightInd w:val="0"/>
              <w:ind w:left="216" w:hanging="216"/>
              <w:textAlignment w:val="baseline"/>
              <w:rPr>
                <w:rFonts w:cs="Times New Roman"/>
                <w:sz w:val="22"/>
                <w:szCs w:val="22"/>
                <w:lang w:val="es-ES"/>
              </w:rPr>
            </w:pPr>
          </w:p>
          <w:p w14:paraId="27F7D918" w14:textId="77777777" w:rsidR="00D061AA" w:rsidRPr="00C52C4C" w:rsidRDefault="00D061AA" w:rsidP="00EE4A64">
            <w:pPr>
              <w:pStyle w:val="TableText"/>
              <w:tabs>
                <w:tab w:val="left" w:pos="360"/>
              </w:tabs>
              <w:overflowPunct w:val="0"/>
              <w:autoSpaceDE w:val="0"/>
              <w:autoSpaceDN w:val="0"/>
              <w:adjustRightInd w:val="0"/>
              <w:ind w:left="144"/>
              <w:textAlignment w:val="baseline"/>
              <w:rPr>
                <w:rFonts w:cs="Times New Roman"/>
                <w:sz w:val="22"/>
                <w:szCs w:val="22"/>
                <w:lang w:val="es-ES"/>
              </w:rPr>
            </w:pPr>
            <w:r w:rsidRPr="00C52C4C">
              <w:rPr>
                <w:rFonts w:cs="Times New Roman"/>
                <w:sz w:val="22"/>
                <w:szCs w:val="22"/>
                <w:lang w:val="es-ES"/>
              </w:rPr>
              <w:t>Oxicodona (dosis única de 10 mg)</w:t>
            </w:r>
          </w:p>
        </w:tc>
        <w:tc>
          <w:tcPr>
            <w:tcW w:w="3685" w:type="dxa"/>
          </w:tcPr>
          <w:p w14:paraId="6A503A85"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p>
          <w:p w14:paraId="22E1E120"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p>
          <w:p w14:paraId="4E86562D"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p>
          <w:p w14:paraId="12A4D61D"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p>
          <w:p w14:paraId="58B6E13D" w14:textId="77777777" w:rsidR="00D061AA" w:rsidRPr="00C52C4C" w:rsidRDefault="00D061AA" w:rsidP="00EE4A64">
            <w:pPr>
              <w:pStyle w:val="TableText"/>
              <w:keepN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En un estudio independiente,</w:t>
            </w:r>
          </w:p>
          <w:p w14:paraId="7AEBBEAB"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w:t>
            </w:r>
            <w:r w:rsidRPr="00C52C4C">
              <w:rPr>
                <w:rFonts w:cs="Times New Roman"/>
                <w:sz w:val="22"/>
                <w:szCs w:val="22"/>
                <w:vertAlign w:val="subscript"/>
                <w:lang w:val="es-ES"/>
              </w:rPr>
              <w:t>max</w:t>
            </w:r>
            <w:r w:rsidRPr="00C52C4C">
              <w:rPr>
                <w:rFonts w:cs="Times New Roman"/>
                <w:sz w:val="22"/>
                <w:szCs w:val="22"/>
                <w:lang w:val="es-ES"/>
              </w:rPr>
              <w:t xml:space="preserve"> oxicodona </w:t>
            </w:r>
            <w:r w:rsidR="000A1F73" w:rsidRPr="00C52C4C">
              <w:rPr>
                <w:rFonts w:cs="Times New Roman"/>
                <w:sz w:val="22"/>
                <w:szCs w:val="22"/>
                <w:lang w:val="en-GB"/>
              </w:rPr>
              <w:sym w:font="Symbol" w:char="F0AD"/>
            </w:r>
            <w:r w:rsidRPr="00C52C4C">
              <w:rPr>
                <w:rFonts w:cs="Times New Roman"/>
                <w:sz w:val="22"/>
                <w:szCs w:val="22"/>
                <w:lang w:val="es-ES"/>
              </w:rPr>
              <w:t xml:space="preserve"> 1,7 veces</w:t>
            </w:r>
            <w:r w:rsidRPr="00C52C4C">
              <w:rPr>
                <w:rFonts w:cs="Times New Roman"/>
                <w:sz w:val="22"/>
                <w:szCs w:val="22"/>
                <w:lang w:val="es-ES"/>
              </w:rPr>
              <w:br/>
              <w:t>AUC</w:t>
            </w:r>
            <w:r w:rsidR="00526830" w:rsidRPr="00CD5831">
              <w:rPr>
                <w:sz w:val="22"/>
                <w:szCs w:val="22"/>
                <w:vertAlign w:val="subscript"/>
                <w:lang w:val="sv-SE"/>
              </w:rPr>
              <w:t>0-</w:t>
            </w:r>
            <w:r w:rsidR="00526830" w:rsidRPr="00CD5831">
              <w:rPr>
                <w:sz w:val="22"/>
                <w:szCs w:val="22"/>
                <w:vertAlign w:val="subscript"/>
                <w:lang w:val="sv-SE"/>
              </w:rPr>
              <w:sym w:font="Symbol" w:char="F0A5"/>
            </w:r>
            <w:r w:rsidRPr="00C52C4C">
              <w:rPr>
                <w:rFonts w:cs="Times New Roman"/>
                <w:sz w:val="22"/>
                <w:szCs w:val="22"/>
                <w:lang w:val="es-ES"/>
              </w:rPr>
              <w:t xml:space="preserve"> oxicodona</w:t>
            </w:r>
            <w:r w:rsidR="000A1F73" w:rsidRPr="00C52C4C">
              <w:rPr>
                <w:rFonts w:cs="Times New Roman"/>
                <w:sz w:val="22"/>
                <w:szCs w:val="22"/>
                <w:lang w:val="en-GB"/>
              </w:rPr>
              <w:sym w:font="Symbol" w:char="F0AD"/>
            </w:r>
            <w:r w:rsidRPr="00C52C4C">
              <w:rPr>
                <w:rFonts w:cs="Times New Roman"/>
                <w:sz w:val="22"/>
                <w:szCs w:val="22"/>
                <w:lang w:val="es-ES"/>
              </w:rPr>
              <w:t xml:space="preserve"> 3,6 veces</w:t>
            </w:r>
          </w:p>
        </w:tc>
        <w:tc>
          <w:tcPr>
            <w:tcW w:w="2835" w:type="dxa"/>
          </w:tcPr>
          <w:p w14:paraId="40FE9A56"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lastRenderedPageBreak/>
              <w:t xml:space="preserve">Se debe considerar una reducción de la dosis de  oxicodona y de otros opiáceos </w:t>
            </w:r>
            <w:r w:rsidRPr="00C52C4C">
              <w:rPr>
                <w:rFonts w:cs="Times New Roman"/>
                <w:sz w:val="22"/>
                <w:szCs w:val="22"/>
                <w:lang w:val="es-ES"/>
              </w:rPr>
              <w:lastRenderedPageBreak/>
              <w:t xml:space="preserve">de acción prolongada que se metabolizan por el </w:t>
            </w:r>
            <w:smartTag w:uri="urn:schemas-microsoft-com:office:smarttags" w:element="PersonName">
              <w:r w:rsidRPr="00C52C4C">
                <w:rPr>
                  <w:rFonts w:cs="Times New Roman"/>
                  <w:sz w:val="22"/>
                  <w:szCs w:val="22"/>
                  <w:lang w:val="es-ES"/>
                </w:rPr>
                <w:t>CY</w:t>
              </w:r>
            </w:smartTag>
            <w:r w:rsidRPr="00C52C4C">
              <w:rPr>
                <w:rFonts w:cs="Times New Roman"/>
                <w:sz w:val="22"/>
                <w:szCs w:val="22"/>
                <w:lang w:val="es-ES"/>
              </w:rPr>
              <w:t>P3A4 (p.ej.  hidrocodona). Puede ser necesario monitorizar frecuentemente las reacciones adversas asociadas a los opiáceos.</w:t>
            </w:r>
          </w:p>
        </w:tc>
      </w:tr>
      <w:tr w:rsidR="00D061AA" w:rsidRPr="00C52C4C" w14:paraId="12D2DCFB" w14:textId="77777777" w:rsidTr="00AC5BF4">
        <w:trPr>
          <w:jc w:val="center"/>
        </w:trPr>
        <w:tc>
          <w:tcPr>
            <w:tcW w:w="2696" w:type="dxa"/>
          </w:tcPr>
          <w:p w14:paraId="297E1C68" w14:textId="77777777" w:rsidR="00D061AA" w:rsidRPr="00C52C4C" w:rsidRDefault="00D061AA" w:rsidP="00EE4A64">
            <w:pPr>
              <w:pStyle w:val="TableText"/>
              <w:tabs>
                <w:tab w:val="left" w:pos="360"/>
              </w:tabs>
              <w:overflowPunct w:val="0"/>
              <w:autoSpaceDE w:val="0"/>
              <w:autoSpaceDN w:val="0"/>
              <w:adjustRightInd w:val="0"/>
              <w:ind w:left="216" w:hanging="216"/>
              <w:textAlignment w:val="baseline"/>
              <w:rPr>
                <w:rFonts w:cs="Times New Roman"/>
                <w:sz w:val="22"/>
                <w:szCs w:val="22"/>
                <w:lang w:val="es-ES"/>
              </w:rPr>
            </w:pPr>
            <w:r w:rsidRPr="00C52C4C">
              <w:rPr>
                <w:rFonts w:cs="Times New Roman"/>
                <w:sz w:val="22"/>
                <w:szCs w:val="22"/>
                <w:lang w:val="es-ES"/>
              </w:rPr>
              <w:lastRenderedPageBreak/>
              <w:t>Metadona (32-100 mg QD)</w:t>
            </w:r>
          </w:p>
          <w:p w14:paraId="66149CAB" w14:textId="77777777" w:rsidR="00D061AA" w:rsidRPr="00C52C4C" w:rsidRDefault="00D061AA" w:rsidP="00EE4A64">
            <w:pPr>
              <w:pStyle w:val="TableText"/>
              <w:tabs>
                <w:tab w:val="left" w:pos="360"/>
              </w:tabs>
              <w:overflowPunct w:val="0"/>
              <w:autoSpaceDE w:val="0"/>
              <w:autoSpaceDN w:val="0"/>
              <w:adjustRightInd w:val="0"/>
              <w:ind w:left="216" w:hanging="216"/>
              <w:textAlignment w:val="baseline"/>
              <w:rPr>
                <w:rFonts w:cs="Times New Roman"/>
                <w:sz w:val="22"/>
                <w:szCs w:val="22"/>
                <w:lang w:val="es-ES"/>
              </w:rPr>
            </w:pPr>
            <w:r w:rsidRPr="00C52C4C">
              <w:rPr>
                <w:rFonts w:cs="Times New Roman"/>
                <w:i/>
                <w:sz w:val="22"/>
                <w:szCs w:val="22"/>
                <w:lang w:val="es-ES"/>
              </w:rPr>
              <w:t xml:space="preserve">[sustrato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P3A4]</w:t>
            </w:r>
          </w:p>
        </w:tc>
        <w:tc>
          <w:tcPr>
            <w:tcW w:w="3685" w:type="dxa"/>
          </w:tcPr>
          <w:p w14:paraId="3FCB49A0"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pt-BR"/>
              </w:rPr>
            </w:pPr>
            <w:r w:rsidRPr="00C52C4C">
              <w:rPr>
                <w:rFonts w:cs="Times New Roman"/>
                <w:sz w:val="22"/>
                <w:szCs w:val="22"/>
                <w:lang w:val="pt-BR"/>
              </w:rPr>
              <w:t>C</w:t>
            </w:r>
            <w:r w:rsidRPr="00C52C4C">
              <w:rPr>
                <w:rFonts w:cs="Times New Roman"/>
                <w:sz w:val="22"/>
                <w:szCs w:val="22"/>
                <w:vertAlign w:val="subscript"/>
                <w:lang w:val="pt-BR"/>
              </w:rPr>
              <w:t>max</w:t>
            </w:r>
            <w:r w:rsidRPr="00C52C4C">
              <w:rPr>
                <w:rFonts w:cs="Times New Roman"/>
                <w:sz w:val="22"/>
                <w:szCs w:val="22"/>
                <w:lang w:val="pt-BR"/>
              </w:rPr>
              <w:t xml:space="preserve"> R-metadona (activa) </w:t>
            </w:r>
            <w:r w:rsidR="000A1F73" w:rsidRPr="00C52C4C">
              <w:rPr>
                <w:rFonts w:cs="Times New Roman"/>
                <w:sz w:val="22"/>
                <w:szCs w:val="22"/>
                <w:lang w:val="en-GB"/>
              </w:rPr>
              <w:sym w:font="Symbol" w:char="F0AD"/>
            </w:r>
            <w:r w:rsidRPr="00C52C4C">
              <w:rPr>
                <w:rFonts w:cs="Times New Roman"/>
                <w:sz w:val="22"/>
                <w:szCs w:val="22"/>
                <w:lang w:val="pt-BR"/>
              </w:rPr>
              <w:t xml:space="preserve"> 31%</w:t>
            </w:r>
            <w:r w:rsidRPr="00C52C4C">
              <w:rPr>
                <w:rFonts w:cs="Times New Roman"/>
                <w:sz w:val="22"/>
                <w:szCs w:val="22"/>
                <w:lang w:val="pt-BR"/>
              </w:rPr>
              <w:br/>
              <w:t>AUC</w:t>
            </w:r>
            <w:r w:rsidRPr="00C52C4C">
              <w:rPr>
                <w:rFonts w:cs="Times New Roman"/>
                <w:sz w:val="22"/>
                <w:szCs w:val="22"/>
              </w:rPr>
              <w:sym w:font="Symbol" w:char="F074"/>
            </w:r>
            <w:r w:rsidRPr="00C52C4C">
              <w:rPr>
                <w:rFonts w:cs="Times New Roman"/>
                <w:sz w:val="22"/>
                <w:szCs w:val="22"/>
                <w:lang w:val="pt-BR"/>
              </w:rPr>
              <w:t xml:space="preserve"> R-metadona (activa)</w:t>
            </w:r>
            <w:r w:rsidR="000A1F73" w:rsidRPr="00C52C4C">
              <w:rPr>
                <w:rFonts w:cs="Times New Roman"/>
                <w:sz w:val="22"/>
                <w:szCs w:val="22"/>
                <w:lang w:val="en-GB"/>
              </w:rPr>
              <w:sym w:font="Symbol" w:char="F0AD"/>
            </w:r>
            <w:r w:rsidRPr="00C52C4C">
              <w:rPr>
                <w:rFonts w:cs="Times New Roman"/>
                <w:sz w:val="22"/>
                <w:szCs w:val="22"/>
                <w:lang w:val="pt-BR"/>
              </w:rPr>
              <w:t xml:space="preserve"> 47%</w:t>
            </w:r>
            <w:r w:rsidRPr="00C52C4C">
              <w:rPr>
                <w:rFonts w:cs="Times New Roman"/>
                <w:sz w:val="22"/>
                <w:szCs w:val="22"/>
                <w:lang w:val="pt-BR"/>
              </w:rPr>
              <w:br/>
              <w:t>C</w:t>
            </w:r>
            <w:r w:rsidRPr="00C52C4C">
              <w:rPr>
                <w:rFonts w:cs="Times New Roman"/>
                <w:sz w:val="22"/>
                <w:szCs w:val="22"/>
                <w:vertAlign w:val="subscript"/>
                <w:lang w:val="pt-BR"/>
              </w:rPr>
              <w:t>max</w:t>
            </w:r>
            <w:r w:rsidRPr="00C52C4C">
              <w:rPr>
                <w:rFonts w:cs="Times New Roman"/>
                <w:sz w:val="22"/>
                <w:szCs w:val="22"/>
                <w:lang w:val="pt-BR"/>
              </w:rPr>
              <w:t xml:space="preserve"> S-metadona </w:t>
            </w:r>
            <w:r w:rsidR="000A1F73" w:rsidRPr="00C52C4C">
              <w:rPr>
                <w:rFonts w:cs="Times New Roman"/>
                <w:sz w:val="22"/>
                <w:szCs w:val="22"/>
                <w:lang w:val="en-GB"/>
              </w:rPr>
              <w:sym w:font="Symbol" w:char="F0AD"/>
            </w:r>
            <w:r w:rsidRPr="00C52C4C">
              <w:rPr>
                <w:rFonts w:cs="Times New Roman"/>
                <w:sz w:val="22"/>
                <w:szCs w:val="22"/>
                <w:lang w:val="pt-BR"/>
              </w:rPr>
              <w:t xml:space="preserve"> 65%</w:t>
            </w:r>
            <w:r w:rsidRPr="00C52C4C">
              <w:rPr>
                <w:rFonts w:cs="Times New Roman"/>
                <w:sz w:val="22"/>
                <w:szCs w:val="22"/>
                <w:lang w:val="pt-BR"/>
              </w:rPr>
              <w:br/>
              <w:t>AUC</w:t>
            </w:r>
            <w:r w:rsidRPr="00C52C4C">
              <w:rPr>
                <w:rFonts w:cs="Times New Roman"/>
                <w:sz w:val="22"/>
                <w:szCs w:val="22"/>
              </w:rPr>
              <w:sym w:font="Symbol" w:char="F074"/>
            </w:r>
            <w:r w:rsidRPr="00C52C4C">
              <w:rPr>
                <w:rFonts w:cs="Times New Roman"/>
                <w:sz w:val="22"/>
                <w:szCs w:val="22"/>
                <w:lang w:val="pt-BR"/>
              </w:rPr>
              <w:t xml:space="preserve"> S-metadona </w:t>
            </w:r>
            <w:r w:rsidR="000A1F73" w:rsidRPr="00C52C4C">
              <w:rPr>
                <w:rFonts w:cs="Times New Roman"/>
                <w:sz w:val="22"/>
                <w:szCs w:val="22"/>
                <w:lang w:val="en-GB"/>
              </w:rPr>
              <w:sym w:font="Symbol" w:char="F0AD"/>
            </w:r>
            <w:r w:rsidRPr="00C52C4C">
              <w:rPr>
                <w:rFonts w:cs="Times New Roman"/>
                <w:sz w:val="22"/>
                <w:szCs w:val="22"/>
                <w:lang w:val="pt-BR"/>
              </w:rPr>
              <w:t xml:space="preserve"> 103%</w:t>
            </w:r>
          </w:p>
        </w:tc>
        <w:tc>
          <w:tcPr>
            <w:tcW w:w="2835" w:type="dxa"/>
          </w:tcPr>
          <w:p w14:paraId="74D4627A"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 xml:space="preserve">Se recomienda monitorizar frecuentemente las reacciones adversas y toxicidad relacionadas con metadona, incluida la prolongación del intervalo QT. Puede ser necesario reducir la dosis de metadona. </w:t>
            </w:r>
          </w:p>
        </w:tc>
      </w:tr>
      <w:tr w:rsidR="00D061AA" w:rsidRPr="00C52C4C" w14:paraId="7055CD20" w14:textId="77777777" w:rsidTr="00AC5BF4">
        <w:trPr>
          <w:trHeight w:val="2651"/>
          <w:jc w:val="center"/>
        </w:trPr>
        <w:tc>
          <w:tcPr>
            <w:tcW w:w="2696" w:type="dxa"/>
          </w:tcPr>
          <w:p w14:paraId="3E7449FF" w14:textId="77777777" w:rsidR="00D061AA" w:rsidRPr="00C52C4C" w:rsidRDefault="00D061AA" w:rsidP="00EE4A64">
            <w:pPr>
              <w:pStyle w:val="TableText"/>
              <w:tabs>
                <w:tab w:val="left" w:pos="360"/>
              </w:tabs>
              <w:overflowPunct w:val="0"/>
              <w:autoSpaceDE w:val="0"/>
              <w:autoSpaceDN w:val="0"/>
              <w:adjustRightInd w:val="0"/>
              <w:textAlignment w:val="baseline"/>
              <w:rPr>
                <w:rFonts w:cs="Times New Roman"/>
                <w:i/>
                <w:sz w:val="22"/>
                <w:szCs w:val="22"/>
                <w:lang w:val="es-ES"/>
              </w:rPr>
            </w:pPr>
            <w:r w:rsidRPr="00C52C4C">
              <w:rPr>
                <w:rFonts w:cs="Times New Roman"/>
                <w:sz w:val="22"/>
                <w:szCs w:val="22"/>
                <w:lang w:val="es-ES"/>
              </w:rPr>
              <w:t xml:space="preserve">Medicamentos Antiinflamatorios No Esteroideos (AINEs) </w:t>
            </w:r>
            <w:r w:rsidRPr="00C52C4C">
              <w:rPr>
                <w:rFonts w:cs="Times New Roman"/>
                <w:i/>
                <w:sz w:val="22"/>
                <w:szCs w:val="22"/>
                <w:lang w:val="es-ES"/>
              </w:rPr>
              <w:t xml:space="preserve">[sustratos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P2C9]</w:t>
            </w:r>
          </w:p>
          <w:p w14:paraId="0E479A0D" w14:textId="77777777" w:rsidR="00D061AA" w:rsidRPr="00C52C4C" w:rsidRDefault="00D061AA" w:rsidP="00EE4A64">
            <w:pPr>
              <w:pStyle w:val="TableText"/>
              <w:tabs>
                <w:tab w:val="left" w:pos="360"/>
              </w:tabs>
              <w:overflowPunct w:val="0"/>
              <w:autoSpaceDE w:val="0"/>
              <w:autoSpaceDN w:val="0"/>
              <w:adjustRightInd w:val="0"/>
              <w:textAlignment w:val="baseline"/>
              <w:rPr>
                <w:rFonts w:cs="Times New Roman"/>
                <w:i/>
                <w:sz w:val="22"/>
                <w:szCs w:val="22"/>
                <w:lang w:val="es-ES"/>
              </w:rPr>
            </w:pPr>
          </w:p>
          <w:p w14:paraId="6BED931A" w14:textId="77777777" w:rsidR="00D061AA" w:rsidRPr="00C52C4C" w:rsidRDefault="00D061AA" w:rsidP="00EE4A64">
            <w:pPr>
              <w:pStyle w:val="TableText"/>
              <w:tabs>
                <w:tab w:val="left" w:pos="360"/>
              </w:tabs>
              <w:overflowPunct w:val="0"/>
              <w:autoSpaceDE w:val="0"/>
              <w:autoSpaceDN w:val="0"/>
              <w:adjustRightInd w:val="0"/>
              <w:ind w:left="144"/>
              <w:textAlignment w:val="baseline"/>
              <w:rPr>
                <w:rFonts w:cs="Times New Roman"/>
                <w:sz w:val="22"/>
                <w:szCs w:val="22"/>
                <w:lang w:val="es-ES"/>
              </w:rPr>
            </w:pPr>
            <w:r w:rsidRPr="00C52C4C">
              <w:rPr>
                <w:rFonts w:cs="Times New Roman"/>
                <w:sz w:val="22"/>
                <w:szCs w:val="22"/>
                <w:lang w:val="es-ES"/>
              </w:rPr>
              <w:t>Ibuprofeno (dosis única de 400 mg)</w:t>
            </w:r>
          </w:p>
          <w:p w14:paraId="143136FF" w14:textId="77777777" w:rsidR="00D061AA" w:rsidRPr="00C52C4C" w:rsidRDefault="00D061AA" w:rsidP="00EE4A64">
            <w:pPr>
              <w:pStyle w:val="TableText"/>
              <w:tabs>
                <w:tab w:val="left" w:pos="360"/>
              </w:tabs>
              <w:overflowPunct w:val="0"/>
              <w:autoSpaceDE w:val="0"/>
              <w:autoSpaceDN w:val="0"/>
              <w:adjustRightInd w:val="0"/>
              <w:ind w:left="144"/>
              <w:textAlignment w:val="baseline"/>
              <w:rPr>
                <w:rFonts w:cs="Times New Roman"/>
                <w:sz w:val="22"/>
                <w:szCs w:val="22"/>
                <w:lang w:val="es-ES"/>
              </w:rPr>
            </w:pPr>
          </w:p>
          <w:p w14:paraId="3F179380" w14:textId="77777777" w:rsidR="00D061AA" w:rsidRPr="00C52C4C" w:rsidRDefault="00D061AA" w:rsidP="00EE4A64">
            <w:pPr>
              <w:pStyle w:val="TableText"/>
              <w:tabs>
                <w:tab w:val="left" w:pos="360"/>
              </w:tabs>
              <w:overflowPunct w:val="0"/>
              <w:autoSpaceDE w:val="0"/>
              <w:autoSpaceDN w:val="0"/>
              <w:adjustRightInd w:val="0"/>
              <w:ind w:left="144"/>
              <w:textAlignment w:val="baseline"/>
              <w:rPr>
                <w:rFonts w:cs="Times New Roman"/>
                <w:sz w:val="22"/>
                <w:szCs w:val="22"/>
                <w:lang w:val="es-ES"/>
              </w:rPr>
            </w:pPr>
            <w:r w:rsidRPr="00C52C4C">
              <w:rPr>
                <w:rFonts w:cs="Times New Roman"/>
                <w:sz w:val="22"/>
                <w:szCs w:val="22"/>
                <w:lang w:val="es-ES"/>
              </w:rPr>
              <w:t xml:space="preserve">Diclofenaco </w:t>
            </w:r>
            <w:r w:rsidRPr="00C52C4C">
              <w:rPr>
                <w:rFonts w:cs="Times New Roman"/>
                <w:color w:val="000000"/>
                <w:sz w:val="22"/>
                <w:szCs w:val="22"/>
                <w:lang w:val="es-ES"/>
              </w:rPr>
              <w:t>(dosis única de 50 mg)</w:t>
            </w:r>
          </w:p>
        </w:tc>
        <w:tc>
          <w:tcPr>
            <w:tcW w:w="3685" w:type="dxa"/>
          </w:tcPr>
          <w:p w14:paraId="06827E8E"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pt-BR"/>
              </w:rPr>
            </w:pPr>
          </w:p>
          <w:p w14:paraId="573DB406"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pt-BR"/>
              </w:rPr>
            </w:pPr>
          </w:p>
          <w:p w14:paraId="75302AFC"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pt-BR"/>
              </w:rPr>
            </w:pPr>
          </w:p>
          <w:p w14:paraId="53EDF976"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pt-BR"/>
              </w:rPr>
            </w:pPr>
          </w:p>
          <w:p w14:paraId="6B87FDB4"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pt-BR"/>
              </w:rPr>
            </w:pPr>
          </w:p>
          <w:p w14:paraId="5B1CDA6D"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pt-BR"/>
              </w:rPr>
            </w:pPr>
            <w:r w:rsidRPr="00C52C4C">
              <w:rPr>
                <w:rFonts w:cs="Times New Roman"/>
                <w:sz w:val="22"/>
                <w:szCs w:val="22"/>
                <w:lang w:val="pt-BR"/>
              </w:rPr>
              <w:t>C</w:t>
            </w:r>
            <w:r w:rsidRPr="00C52C4C">
              <w:rPr>
                <w:rFonts w:cs="Times New Roman"/>
                <w:sz w:val="22"/>
                <w:szCs w:val="22"/>
                <w:vertAlign w:val="subscript"/>
                <w:lang w:val="pt-BR"/>
              </w:rPr>
              <w:t>max</w:t>
            </w:r>
            <w:r w:rsidRPr="00C52C4C">
              <w:rPr>
                <w:rFonts w:cs="Times New Roman"/>
                <w:sz w:val="22"/>
                <w:szCs w:val="22"/>
                <w:lang w:val="pt-BR"/>
              </w:rPr>
              <w:t xml:space="preserve"> S-Ibuprofeno </w:t>
            </w:r>
            <w:r w:rsidR="000A1F73" w:rsidRPr="00C52C4C">
              <w:rPr>
                <w:rFonts w:cs="Times New Roman"/>
                <w:sz w:val="22"/>
                <w:szCs w:val="22"/>
                <w:lang w:val="en-GB"/>
              </w:rPr>
              <w:sym w:font="Symbol" w:char="F0AD"/>
            </w:r>
            <w:r w:rsidRPr="00C52C4C">
              <w:rPr>
                <w:rFonts w:cs="Times New Roman"/>
                <w:sz w:val="22"/>
                <w:szCs w:val="22"/>
                <w:lang w:val="pt-BR"/>
              </w:rPr>
              <w:t xml:space="preserve"> 20% </w:t>
            </w:r>
          </w:p>
          <w:p w14:paraId="7CF46122"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pt-BR"/>
              </w:rPr>
            </w:pPr>
            <w:r w:rsidRPr="00C52C4C">
              <w:rPr>
                <w:rFonts w:cs="Times New Roman"/>
                <w:sz w:val="22"/>
                <w:szCs w:val="22"/>
                <w:lang w:val="pt-BR"/>
              </w:rPr>
              <w:t>AUC</w:t>
            </w:r>
            <w:r w:rsidR="00526830" w:rsidRPr="00CD5831">
              <w:rPr>
                <w:sz w:val="22"/>
                <w:szCs w:val="22"/>
                <w:vertAlign w:val="subscript"/>
                <w:lang w:val="sv-SE"/>
              </w:rPr>
              <w:t>0-</w:t>
            </w:r>
            <w:r w:rsidR="00526830" w:rsidRPr="00CD5831">
              <w:rPr>
                <w:sz w:val="22"/>
                <w:szCs w:val="22"/>
                <w:vertAlign w:val="subscript"/>
                <w:lang w:val="sv-SE"/>
              </w:rPr>
              <w:sym w:font="Symbol" w:char="F0A5"/>
            </w:r>
            <w:r w:rsidRPr="00C52C4C">
              <w:rPr>
                <w:rFonts w:cs="Times New Roman"/>
                <w:sz w:val="22"/>
                <w:szCs w:val="22"/>
                <w:lang w:val="pt-BR"/>
              </w:rPr>
              <w:t xml:space="preserve"> S-Ibuprofeno </w:t>
            </w:r>
            <w:r w:rsidR="000A1F73" w:rsidRPr="00C52C4C">
              <w:rPr>
                <w:rFonts w:cs="Times New Roman"/>
                <w:sz w:val="22"/>
                <w:szCs w:val="22"/>
                <w:lang w:val="en-GB"/>
              </w:rPr>
              <w:sym w:font="Symbol" w:char="F0AD"/>
            </w:r>
            <w:r w:rsidRPr="00C52C4C">
              <w:rPr>
                <w:rFonts w:cs="Times New Roman"/>
                <w:sz w:val="22"/>
                <w:szCs w:val="22"/>
                <w:lang w:val="pt-BR"/>
              </w:rPr>
              <w:t xml:space="preserve"> 100%</w:t>
            </w:r>
          </w:p>
          <w:p w14:paraId="463F57E0"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pt-BR"/>
              </w:rPr>
            </w:pPr>
          </w:p>
          <w:p w14:paraId="071B1667"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pt-BR"/>
              </w:rPr>
            </w:pPr>
            <w:r w:rsidRPr="00C52C4C">
              <w:rPr>
                <w:rFonts w:cs="Times New Roman"/>
                <w:sz w:val="22"/>
                <w:szCs w:val="22"/>
                <w:lang w:val="pt-BR"/>
              </w:rPr>
              <w:t>C</w:t>
            </w:r>
            <w:r w:rsidRPr="00C52C4C">
              <w:rPr>
                <w:rFonts w:cs="Times New Roman"/>
                <w:sz w:val="22"/>
                <w:szCs w:val="22"/>
                <w:vertAlign w:val="subscript"/>
                <w:lang w:val="pt-BR"/>
              </w:rPr>
              <w:t>max</w:t>
            </w:r>
            <w:r w:rsidRPr="00C52C4C">
              <w:rPr>
                <w:rFonts w:cs="Times New Roman"/>
                <w:sz w:val="22"/>
                <w:szCs w:val="22"/>
                <w:lang w:val="pt-BR"/>
              </w:rPr>
              <w:t xml:space="preserve"> diclofenaco </w:t>
            </w:r>
            <w:r w:rsidR="000A1F73" w:rsidRPr="00C52C4C">
              <w:rPr>
                <w:rFonts w:cs="Times New Roman"/>
                <w:sz w:val="22"/>
                <w:szCs w:val="22"/>
                <w:lang w:val="en-GB"/>
              </w:rPr>
              <w:sym w:font="Symbol" w:char="F0AD"/>
            </w:r>
            <w:r w:rsidRPr="00C52C4C">
              <w:rPr>
                <w:rFonts w:cs="Times New Roman"/>
                <w:sz w:val="22"/>
                <w:szCs w:val="22"/>
                <w:lang w:val="pt-BR"/>
              </w:rPr>
              <w:t xml:space="preserve"> 114%</w:t>
            </w:r>
          </w:p>
          <w:p w14:paraId="353721B8"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pt-BR"/>
              </w:rPr>
            </w:pPr>
            <w:r w:rsidRPr="00C52C4C">
              <w:rPr>
                <w:rFonts w:cs="Times New Roman"/>
                <w:sz w:val="22"/>
                <w:szCs w:val="22"/>
                <w:lang w:val="pt-BR"/>
              </w:rPr>
              <w:t>AUC</w:t>
            </w:r>
            <w:r w:rsidR="00526830" w:rsidRPr="00CD5831">
              <w:rPr>
                <w:sz w:val="22"/>
                <w:szCs w:val="22"/>
                <w:vertAlign w:val="subscript"/>
                <w:lang w:val="sv-SE"/>
              </w:rPr>
              <w:t>0-</w:t>
            </w:r>
            <w:r w:rsidR="00526830" w:rsidRPr="00CD5831">
              <w:rPr>
                <w:sz w:val="22"/>
                <w:szCs w:val="22"/>
                <w:vertAlign w:val="subscript"/>
                <w:lang w:val="sv-SE"/>
              </w:rPr>
              <w:sym w:font="Symbol" w:char="F0A5"/>
            </w:r>
            <w:r w:rsidRPr="00C52C4C">
              <w:rPr>
                <w:rFonts w:cs="Times New Roman"/>
                <w:sz w:val="22"/>
                <w:szCs w:val="22"/>
                <w:lang w:val="pt-BR"/>
              </w:rPr>
              <w:t xml:space="preserve"> diclofenaco </w:t>
            </w:r>
            <w:r w:rsidR="000A1F73" w:rsidRPr="00C52C4C">
              <w:rPr>
                <w:rFonts w:cs="Times New Roman"/>
                <w:sz w:val="22"/>
                <w:szCs w:val="22"/>
                <w:lang w:val="en-GB"/>
              </w:rPr>
              <w:sym w:font="Symbol" w:char="F0AD"/>
            </w:r>
            <w:r w:rsidRPr="00C52C4C">
              <w:rPr>
                <w:rFonts w:cs="Times New Roman"/>
                <w:sz w:val="22"/>
                <w:szCs w:val="22"/>
                <w:lang w:val="pt-BR"/>
              </w:rPr>
              <w:t xml:space="preserve"> 78%</w:t>
            </w:r>
          </w:p>
        </w:tc>
        <w:tc>
          <w:tcPr>
            <w:tcW w:w="2835" w:type="dxa"/>
          </w:tcPr>
          <w:p w14:paraId="1F156171"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pt-BR"/>
              </w:rPr>
            </w:pPr>
          </w:p>
          <w:p w14:paraId="1247FE7A"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pt-BR"/>
              </w:rPr>
            </w:pPr>
          </w:p>
          <w:p w14:paraId="6EFA3A4D"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pt-BR"/>
              </w:rPr>
            </w:pPr>
          </w:p>
          <w:p w14:paraId="109B8DB8"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pt-BR"/>
              </w:rPr>
            </w:pPr>
          </w:p>
          <w:p w14:paraId="3A987521"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pt-BR"/>
              </w:rPr>
            </w:pPr>
          </w:p>
          <w:p w14:paraId="05D2500E"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Se recomienda monitorizar las reacciones adversas y toxicidad relacionadas con los AINEs. Puede ser necesario reducir la dosis de los AINEs.</w:t>
            </w:r>
          </w:p>
        </w:tc>
      </w:tr>
      <w:tr w:rsidR="00D061AA" w:rsidRPr="00C52C4C" w14:paraId="24F2D493" w14:textId="77777777" w:rsidTr="00AC5BF4">
        <w:trPr>
          <w:trHeight w:val="2585"/>
          <w:jc w:val="center"/>
        </w:trPr>
        <w:tc>
          <w:tcPr>
            <w:tcW w:w="2696" w:type="dxa"/>
          </w:tcPr>
          <w:p w14:paraId="26AB2CA1" w14:textId="77777777" w:rsidR="00D061AA" w:rsidRPr="00C52C4C" w:rsidRDefault="00D061AA" w:rsidP="00EE4A64">
            <w:pPr>
              <w:pStyle w:val="TableText"/>
              <w:tabs>
                <w:tab w:val="left" w:pos="360"/>
              </w:tabs>
              <w:overflowPunct w:val="0"/>
              <w:autoSpaceDE w:val="0"/>
              <w:autoSpaceDN w:val="0"/>
              <w:adjustRightInd w:val="0"/>
              <w:textAlignment w:val="baseline"/>
              <w:rPr>
                <w:rFonts w:cs="Times New Roman"/>
                <w:i/>
                <w:sz w:val="22"/>
                <w:szCs w:val="22"/>
                <w:lang w:val="es-ES"/>
              </w:rPr>
            </w:pPr>
            <w:r w:rsidRPr="00C52C4C">
              <w:rPr>
                <w:rFonts w:cs="Times New Roman"/>
                <w:sz w:val="22"/>
                <w:szCs w:val="22"/>
                <w:lang w:val="es-ES"/>
              </w:rPr>
              <w:t>Omeprazol (40 mg QD)</w:t>
            </w:r>
            <w:r w:rsidRPr="00C52C4C">
              <w:rPr>
                <w:rFonts w:cs="Times New Roman"/>
                <w:sz w:val="22"/>
                <w:szCs w:val="22"/>
                <w:vertAlign w:val="superscript"/>
                <w:lang w:val="es-ES"/>
              </w:rPr>
              <w:t>*</w:t>
            </w:r>
            <w:r w:rsidRPr="00C52C4C">
              <w:rPr>
                <w:rFonts w:cs="Times New Roman"/>
                <w:sz w:val="22"/>
                <w:szCs w:val="22"/>
                <w:lang w:val="es-ES"/>
              </w:rPr>
              <w:br/>
            </w:r>
            <w:r w:rsidRPr="00C52C4C">
              <w:rPr>
                <w:rFonts w:cs="Times New Roman"/>
                <w:i/>
                <w:sz w:val="22"/>
                <w:szCs w:val="22"/>
                <w:lang w:val="es-ES"/>
              </w:rPr>
              <w:t xml:space="preserve">[Inhibidor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 xml:space="preserve">P2C19; sustrato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 xml:space="preserve">P2C19 y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P3A4 ]</w:t>
            </w:r>
          </w:p>
        </w:tc>
        <w:tc>
          <w:tcPr>
            <w:tcW w:w="3685" w:type="dxa"/>
          </w:tcPr>
          <w:p w14:paraId="0FDBD477"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w:t>
            </w:r>
            <w:r w:rsidRPr="00C52C4C">
              <w:rPr>
                <w:rFonts w:cs="Times New Roman"/>
                <w:sz w:val="22"/>
                <w:szCs w:val="22"/>
                <w:vertAlign w:val="subscript"/>
                <w:lang w:val="es-ES"/>
              </w:rPr>
              <w:t>max</w:t>
            </w:r>
            <w:r w:rsidRPr="00C52C4C">
              <w:rPr>
                <w:rFonts w:cs="Times New Roman"/>
                <w:sz w:val="22"/>
                <w:szCs w:val="22"/>
                <w:lang w:val="es-ES"/>
              </w:rPr>
              <w:t xml:space="preserve"> omeprazol </w:t>
            </w:r>
            <w:r w:rsidR="000A1F73" w:rsidRPr="00C52C4C">
              <w:rPr>
                <w:rFonts w:cs="Times New Roman"/>
                <w:sz w:val="22"/>
                <w:szCs w:val="22"/>
                <w:lang w:val="en-GB"/>
              </w:rPr>
              <w:sym w:font="Symbol" w:char="F0AD"/>
            </w:r>
            <w:r w:rsidRPr="00C52C4C">
              <w:rPr>
                <w:rFonts w:cs="Times New Roman"/>
                <w:sz w:val="22"/>
                <w:szCs w:val="22"/>
                <w:lang w:val="es-ES"/>
              </w:rPr>
              <w:t xml:space="preserve"> 116%</w:t>
            </w:r>
            <w:r w:rsidRPr="00C52C4C">
              <w:rPr>
                <w:rFonts w:cs="Times New Roman"/>
                <w:sz w:val="22"/>
                <w:szCs w:val="22"/>
                <w:lang w:val="es-ES"/>
              </w:rPr>
              <w:br/>
              <w:t>AUC</w:t>
            </w:r>
            <w:r w:rsidRPr="00C52C4C">
              <w:rPr>
                <w:rFonts w:cs="Times New Roman"/>
                <w:sz w:val="22"/>
                <w:szCs w:val="22"/>
              </w:rPr>
              <w:sym w:font="Symbol" w:char="F074"/>
            </w:r>
            <w:r w:rsidRPr="00C52C4C">
              <w:rPr>
                <w:rFonts w:cs="Times New Roman"/>
                <w:sz w:val="22"/>
                <w:szCs w:val="22"/>
                <w:lang w:val="es-ES"/>
              </w:rPr>
              <w:t xml:space="preserve"> omeprazol </w:t>
            </w:r>
            <w:r w:rsidR="000A1F73" w:rsidRPr="00C52C4C">
              <w:rPr>
                <w:rFonts w:cs="Times New Roman"/>
                <w:sz w:val="22"/>
                <w:szCs w:val="22"/>
                <w:lang w:val="en-GB"/>
              </w:rPr>
              <w:sym w:font="Symbol" w:char="F0AD"/>
            </w:r>
            <w:r w:rsidRPr="00C52C4C">
              <w:rPr>
                <w:rFonts w:cs="Times New Roman"/>
                <w:sz w:val="22"/>
                <w:szCs w:val="22"/>
                <w:lang w:val="es-ES"/>
              </w:rPr>
              <w:t xml:space="preserve"> 280%</w:t>
            </w:r>
          </w:p>
          <w:p w14:paraId="7F7280A4"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w:t>
            </w:r>
            <w:r w:rsidRPr="00C52C4C">
              <w:rPr>
                <w:rFonts w:cs="Times New Roman"/>
                <w:sz w:val="22"/>
                <w:szCs w:val="22"/>
                <w:vertAlign w:val="subscript"/>
                <w:lang w:val="es-ES"/>
              </w:rPr>
              <w:t>max</w:t>
            </w:r>
            <w:r w:rsidRPr="00C52C4C">
              <w:rPr>
                <w:rFonts w:cs="Times New Roman"/>
                <w:sz w:val="22"/>
                <w:szCs w:val="22"/>
                <w:lang w:val="es-ES"/>
              </w:rPr>
              <w:t xml:space="preserve"> voriconazo</w:t>
            </w:r>
            <w:r w:rsidR="000A1F73" w:rsidRPr="00C52C4C">
              <w:rPr>
                <w:rFonts w:cs="Times New Roman"/>
                <w:sz w:val="22"/>
                <w:szCs w:val="22"/>
                <w:lang w:val="es-ES"/>
              </w:rPr>
              <w:t xml:space="preserve">l </w:t>
            </w:r>
            <w:r w:rsidR="000A1F73" w:rsidRPr="00C52C4C">
              <w:rPr>
                <w:rFonts w:cs="Times New Roman"/>
                <w:sz w:val="22"/>
                <w:szCs w:val="22"/>
                <w:lang w:val="en-GB"/>
              </w:rPr>
              <w:sym w:font="Symbol" w:char="F0AD"/>
            </w:r>
            <w:r w:rsidRPr="00C52C4C">
              <w:rPr>
                <w:rFonts w:cs="Times New Roman"/>
                <w:sz w:val="22"/>
                <w:szCs w:val="22"/>
                <w:lang w:val="es-ES"/>
              </w:rPr>
              <w:t xml:space="preserve"> 15%</w:t>
            </w:r>
            <w:r w:rsidRPr="00C52C4C">
              <w:rPr>
                <w:rFonts w:cs="Times New Roman"/>
                <w:sz w:val="22"/>
                <w:szCs w:val="22"/>
                <w:lang w:val="es-ES"/>
              </w:rPr>
              <w:br/>
              <w:t>AUC</w:t>
            </w:r>
            <w:r w:rsidRPr="00C52C4C">
              <w:rPr>
                <w:rFonts w:cs="Times New Roman"/>
                <w:sz w:val="22"/>
                <w:szCs w:val="22"/>
              </w:rPr>
              <w:sym w:font="Symbol" w:char="F074"/>
            </w:r>
            <w:r w:rsidRPr="00C52C4C">
              <w:rPr>
                <w:rFonts w:cs="Times New Roman"/>
                <w:sz w:val="22"/>
                <w:szCs w:val="22"/>
                <w:lang w:val="es-ES"/>
              </w:rPr>
              <w:t xml:space="preserve"> voriconazol </w:t>
            </w:r>
            <w:r w:rsidR="000A1F73" w:rsidRPr="00C52C4C">
              <w:rPr>
                <w:rFonts w:cs="Times New Roman"/>
                <w:sz w:val="22"/>
                <w:szCs w:val="22"/>
                <w:lang w:val="en-GB"/>
              </w:rPr>
              <w:sym w:font="Symbol" w:char="F0AD"/>
            </w:r>
            <w:r w:rsidRPr="00C52C4C">
              <w:rPr>
                <w:rFonts w:cs="Times New Roman"/>
                <w:sz w:val="22"/>
                <w:szCs w:val="22"/>
                <w:lang w:val="es-ES"/>
              </w:rPr>
              <w:t xml:space="preserve"> 41%</w:t>
            </w:r>
          </w:p>
          <w:p w14:paraId="66BE023F"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p>
          <w:p w14:paraId="22690FAB"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color w:val="000000"/>
                <w:sz w:val="22"/>
                <w:szCs w:val="22"/>
                <w:lang w:val="es-ES"/>
              </w:rPr>
              <w:t xml:space="preserve">Otros inhibidores de la bomba de protones que son sustratos del </w:t>
            </w:r>
            <w:smartTag w:uri="urn:schemas-microsoft-com:office:smarttags" w:element="PersonName">
              <w:r w:rsidRPr="00C52C4C">
                <w:rPr>
                  <w:rFonts w:cs="Times New Roman"/>
                  <w:color w:val="000000"/>
                  <w:sz w:val="22"/>
                  <w:szCs w:val="22"/>
                  <w:lang w:val="es-ES"/>
                </w:rPr>
                <w:t>CY</w:t>
              </w:r>
            </w:smartTag>
            <w:r w:rsidRPr="00C52C4C">
              <w:rPr>
                <w:rFonts w:cs="Times New Roman"/>
                <w:color w:val="000000"/>
                <w:sz w:val="22"/>
                <w:szCs w:val="22"/>
                <w:lang w:val="es-ES"/>
              </w:rPr>
              <w:t>P2C19 también podrían ser inhibidos por voriconazol y producir concentraciones plasmáticas incrementadas de estos medicamentos.</w:t>
            </w:r>
          </w:p>
        </w:tc>
        <w:tc>
          <w:tcPr>
            <w:tcW w:w="2835" w:type="dxa"/>
          </w:tcPr>
          <w:p w14:paraId="338AD25D"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 xml:space="preserve">No se recomienda ajustar la dosis de voriconazol.  </w:t>
            </w:r>
          </w:p>
          <w:p w14:paraId="6FB4F8F2"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p>
          <w:p w14:paraId="0CBF60D7"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 xml:space="preserve">Cuando se inicia voriconazol en pacientes que ya están en tratamiento con dosis de 40 mg o mayores de omeprazol, se recomienda reducir la dosis de omeprazol a la mitad.  </w:t>
            </w:r>
          </w:p>
        </w:tc>
      </w:tr>
      <w:tr w:rsidR="00D061AA" w:rsidRPr="00C52C4C" w14:paraId="226B1CF6" w14:textId="77777777" w:rsidTr="00AC5BF4">
        <w:trPr>
          <w:trHeight w:val="1658"/>
          <w:jc w:val="center"/>
        </w:trPr>
        <w:tc>
          <w:tcPr>
            <w:tcW w:w="2696" w:type="dxa"/>
          </w:tcPr>
          <w:p w14:paraId="12D1D549" w14:textId="77777777" w:rsidR="00D061AA" w:rsidRPr="00C52C4C" w:rsidRDefault="00D061AA" w:rsidP="00EE4A64">
            <w:pPr>
              <w:pStyle w:val="TableText"/>
              <w:tabs>
                <w:tab w:val="left" w:pos="360"/>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Anticonceptivos orales</w:t>
            </w:r>
            <w:r w:rsidRPr="00C52C4C">
              <w:rPr>
                <w:rFonts w:cs="Times New Roman"/>
                <w:sz w:val="22"/>
                <w:szCs w:val="22"/>
                <w:vertAlign w:val="superscript"/>
                <w:lang w:val="es-ES"/>
              </w:rPr>
              <w:t>*</w:t>
            </w:r>
            <w:r w:rsidRPr="00C52C4C">
              <w:rPr>
                <w:rFonts w:cs="Times New Roman"/>
                <w:sz w:val="22"/>
                <w:szCs w:val="22"/>
                <w:lang w:val="es-ES"/>
              </w:rPr>
              <w:t xml:space="preserve"> </w:t>
            </w:r>
          </w:p>
          <w:p w14:paraId="16F008BF" w14:textId="77777777" w:rsidR="00D061AA" w:rsidRPr="00C52C4C" w:rsidRDefault="00D061AA" w:rsidP="00EE4A64">
            <w:pPr>
              <w:pStyle w:val="TableText"/>
              <w:tabs>
                <w:tab w:val="left" w:pos="360"/>
              </w:tabs>
              <w:overflowPunct w:val="0"/>
              <w:autoSpaceDE w:val="0"/>
              <w:autoSpaceDN w:val="0"/>
              <w:adjustRightInd w:val="0"/>
              <w:textAlignment w:val="baseline"/>
              <w:rPr>
                <w:rFonts w:cs="Times New Roman"/>
                <w:i/>
                <w:sz w:val="22"/>
                <w:szCs w:val="22"/>
                <w:lang w:val="es-ES"/>
              </w:rPr>
            </w:pPr>
            <w:r w:rsidRPr="00C52C4C">
              <w:rPr>
                <w:rFonts w:cs="Times New Roman"/>
                <w:i/>
                <w:sz w:val="22"/>
                <w:szCs w:val="22"/>
                <w:lang w:val="es-ES"/>
              </w:rPr>
              <w:t xml:space="preserve">[sustrato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 xml:space="preserve">P3A4; inhibidor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P2C19]</w:t>
            </w:r>
          </w:p>
          <w:p w14:paraId="118C35D8" w14:textId="77777777" w:rsidR="00D061AA" w:rsidRPr="00C52C4C" w:rsidRDefault="00D061AA" w:rsidP="00EE4A64">
            <w:pPr>
              <w:pStyle w:val="TableText"/>
              <w:tabs>
                <w:tab w:val="left" w:pos="360"/>
              </w:tabs>
              <w:overflowPunct w:val="0"/>
              <w:autoSpaceDE w:val="0"/>
              <w:autoSpaceDN w:val="0"/>
              <w:adjustRightInd w:val="0"/>
              <w:ind w:left="144"/>
              <w:textAlignment w:val="baseline"/>
              <w:rPr>
                <w:rFonts w:cs="Times New Roman"/>
                <w:sz w:val="22"/>
                <w:szCs w:val="22"/>
                <w:lang w:val="es-ES"/>
              </w:rPr>
            </w:pPr>
            <w:r w:rsidRPr="00C52C4C">
              <w:rPr>
                <w:rFonts w:cs="Times New Roman"/>
                <w:sz w:val="22"/>
                <w:szCs w:val="22"/>
                <w:lang w:val="es-ES"/>
              </w:rPr>
              <w:t xml:space="preserve">Noretisterona/etinilestradiol (1 mg/0.035 mg QD) </w:t>
            </w:r>
          </w:p>
        </w:tc>
        <w:tc>
          <w:tcPr>
            <w:tcW w:w="3685" w:type="dxa"/>
          </w:tcPr>
          <w:p w14:paraId="4AFA6A9F"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w:t>
            </w:r>
            <w:r w:rsidRPr="00C52C4C">
              <w:rPr>
                <w:rFonts w:cs="Times New Roman"/>
                <w:sz w:val="22"/>
                <w:szCs w:val="22"/>
                <w:vertAlign w:val="subscript"/>
                <w:lang w:val="es-ES"/>
              </w:rPr>
              <w:t>max</w:t>
            </w:r>
            <w:r w:rsidRPr="00C52C4C">
              <w:rPr>
                <w:rFonts w:cs="Times New Roman"/>
                <w:sz w:val="22"/>
                <w:szCs w:val="22"/>
                <w:lang w:val="es-ES"/>
              </w:rPr>
              <w:t xml:space="preserve"> etinilestradiol </w:t>
            </w:r>
            <w:r w:rsidR="000A1F73" w:rsidRPr="00C52C4C">
              <w:rPr>
                <w:rFonts w:cs="Times New Roman"/>
                <w:sz w:val="22"/>
                <w:szCs w:val="22"/>
                <w:lang w:val="en-GB"/>
              </w:rPr>
              <w:sym w:font="Symbol" w:char="F0AD"/>
            </w:r>
            <w:r w:rsidRPr="00C52C4C">
              <w:rPr>
                <w:rFonts w:cs="Times New Roman"/>
                <w:sz w:val="22"/>
                <w:szCs w:val="22"/>
                <w:lang w:val="es-ES"/>
              </w:rPr>
              <w:t xml:space="preserve"> 36%</w:t>
            </w:r>
          </w:p>
          <w:p w14:paraId="03D936B9"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AUC</w:t>
            </w:r>
            <w:r w:rsidRPr="00C52C4C">
              <w:rPr>
                <w:rFonts w:cs="Times New Roman"/>
                <w:sz w:val="22"/>
                <w:szCs w:val="22"/>
              </w:rPr>
              <w:sym w:font="Symbol" w:char="F074"/>
            </w:r>
            <w:r w:rsidRPr="00C52C4C">
              <w:rPr>
                <w:rFonts w:cs="Times New Roman"/>
                <w:sz w:val="22"/>
                <w:szCs w:val="22"/>
                <w:lang w:val="es-ES"/>
              </w:rPr>
              <w:t xml:space="preserve"> etinilestradiol </w:t>
            </w:r>
            <w:r w:rsidR="000A1F73" w:rsidRPr="00C52C4C">
              <w:rPr>
                <w:rFonts w:cs="Times New Roman"/>
                <w:sz w:val="22"/>
                <w:szCs w:val="22"/>
                <w:lang w:val="en-GB"/>
              </w:rPr>
              <w:sym w:font="Symbol" w:char="F0AD"/>
            </w:r>
            <w:r w:rsidRPr="00C52C4C">
              <w:rPr>
                <w:rFonts w:cs="Times New Roman"/>
                <w:sz w:val="22"/>
                <w:szCs w:val="22"/>
                <w:lang w:val="es-ES"/>
              </w:rPr>
              <w:t xml:space="preserve"> 61%</w:t>
            </w:r>
          </w:p>
          <w:p w14:paraId="3F150C55"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w:t>
            </w:r>
            <w:r w:rsidRPr="00C52C4C">
              <w:rPr>
                <w:rFonts w:cs="Times New Roman"/>
                <w:sz w:val="22"/>
                <w:szCs w:val="22"/>
                <w:vertAlign w:val="subscript"/>
                <w:lang w:val="es-ES"/>
              </w:rPr>
              <w:t>max</w:t>
            </w:r>
            <w:r w:rsidRPr="00C52C4C">
              <w:rPr>
                <w:rFonts w:cs="Times New Roman"/>
                <w:sz w:val="22"/>
                <w:szCs w:val="22"/>
                <w:lang w:val="es-ES"/>
              </w:rPr>
              <w:t xml:space="preserve"> noretisterona </w:t>
            </w:r>
            <w:r w:rsidR="000A1F73" w:rsidRPr="00C52C4C">
              <w:rPr>
                <w:rFonts w:cs="Times New Roman"/>
                <w:sz w:val="22"/>
                <w:szCs w:val="22"/>
                <w:lang w:val="en-GB"/>
              </w:rPr>
              <w:sym w:font="Symbol" w:char="F0AD"/>
            </w:r>
            <w:r w:rsidRPr="00C52C4C">
              <w:rPr>
                <w:rFonts w:cs="Times New Roman"/>
                <w:sz w:val="22"/>
                <w:szCs w:val="22"/>
                <w:lang w:val="es-ES"/>
              </w:rPr>
              <w:t xml:space="preserve"> 15%</w:t>
            </w:r>
          </w:p>
          <w:p w14:paraId="2586EA67"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AUC</w:t>
            </w:r>
            <w:r w:rsidRPr="00C52C4C">
              <w:rPr>
                <w:rFonts w:cs="Times New Roman"/>
                <w:sz w:val="22"/>
                <w:szCs w:val="22"/>
              </w:rPr>
              <w:sym w:font="Symbol" w:char="F074"/>
            </w:r>
            <w:r w:rsidRPr="00C52C4C">
              <w:rPr>
                <w:rFonts w:cs="Times New Roman"/>
                <w:sz w:val="22"/>
                <w:szCs w:val="22"/>
                <w:lang w:val="es-ES"/>
              </w:rPr>
              <w:t xml:space="preserve"> noretisterona </w:t>
            </w:r>
            <w:r w:rsidR="000A1F73" w:rsidRPr="00C52C4C">
              <w:rPr>
                <w:rFonts w:cs="Times New Roman"/>
                <w:sz w:val="22"/>
                <w:szCs w:val="22"/>
                <w:lang w:val="en-GB"/>
              </w:rPr>
              <w:sym w:font="Symbol" w:char="F0AD"/>
            </w:r>
            <w:r w:rsidRPr="00C52C4C">
              <w:rPr>
                <w:rFonts w:cs="Times New Roman"/>
                <w:sz w:val="22"/>
                <w:szCs w:val="22"/>
                <w:lang w:val="es-ES"/>
              </w:rPr>
              <w:t>53%</w:t>
            </w:r>
          </w:p>
          <w:p w14:paraId="43DB3CDF"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w:t>
            </w:r>
            <w:r w:rsidRPr="00C52C4C">
              <w:rPr>
                <w:rFonts w:cs="Times New Roman"/>
                <w:sz w:val="22"/>
                <w:szCs w:val="22"/>
                <w:vertAlign w:val="subscript"/>
                <w:lang w:val="es-ES"/>
              </w:rPr>
              <w:t>max</w:t>
            </w:r>
            <w:r w:rsidRPr="00C52C4C">
              <w:rPr>
                <w:rFonts w:cs="Times New Roman"/>
                <w:sz w:val="22"/>
                <w:szCs w:val="22"/>
                <w:lang w:val="es-ES"/>
              </w:rPr>
              <w:t xml:space="preserve"> voriconazol</w:t>
            </w:r>
            <w:r w:rsidR="000A1F73" w:rsidRPr="00C52C4C">
              <w:rPr>
                <w:rFonts w:cs="Times New Roman"/>
                <w:sz w:val="22"/>
                <w:szCs w:val="22"/>
                <w:lang w:val="en-GB"/>
              </w:rPr>
              <w:sym w:font="Symbol" w:char="F0AD"/>
            </w:r>
            <w:r w:rsidR="000A1F73" w:rsidRPr="00C52C4C">
              <w:rPr>
                <w:rFonts w:cs="Times New Roman"/>
                <w:sz w:val="22"/>
                <w:szCs w:val="22"/>
                <w:lang w:val="es-ES"/>
              </w:rPr>
              <w:t xml:space="preserve"> </w:t>
            </w:r>
            <w:r w:rsidRPr="00C52C4C">
              <w:rPr>
                <w:rFonts w:cs="Times New Roman"/>
                <w:sz w:val="22"/>
                <w:szCs w:val="22"/>
                <w:lang w:val="es-ES"/>
              </w:rPr>
              <w:t>14%</w:t>
            </w:r>
          </w:p>
          <w:p w14:paraId="4CBB0D7B"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AUC</w:t>
            </w:r>
            <w:r w:rsidRPr="00C52C4C">
              <w:rPr>
                <w:rFonts w:cs="Times New Roman"/>
                <w:sz w:val="22"/>
                <w:szCs w:val="22"/>
              </w:rPr>
              <w:sym w:font="Symbol" w:char="F074"/>
            </w:r>
            <w:r w:rsidRPr="00C52C4C">
              <w:rPr>
                <w:rFonts w:cs="Times New Roman"/>
                <w:sz w:val="22"/>
                <w:szCs w:val="22"/>
                <w:lang w:val="es-ES"/>
              </w:rPr>
              <w:t xml:space="preserve"> voriconazol </w:t>
            </w:r>
            <w:r w:rsidR="000A1F73" w:rsidRPr="00C52C4C">
              <w:rPr>
                <w:rFonts w:cs="Times New Roman"/>
                <w:sz w:val="22"/>
                <w:szCs w:val="22"/>
                <w:lang w:val="en-GB"/>
              </w:rPr>
              <w:sym w:font="Symbol" w:char="F0AD"/>
            </w:r>
            <w:r w:rsidRPr="00C52C4C">
              <w:rPr>
                <w:rFonts w:cs="Times New Roman"/>
                <w:sz w:val="22"/>
                <w:szCs w:val="22"/>
                <w:lang w:val="es-ES"/>
              </w:rPr>
              <w:t xml:space="preserve"> 46%</w:t>
            </w:r>
          </w:p>
        </w:tc>
        <w:tc>
          <w:tcPr>
            <w:tcW w:w="2835" w:type="dxa"/>
          </w:tcPr>
          <w:p w14:paraId="3F00F2B0"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color w:val="000000"/>
                <w:sz w:val="22"/>
                <w:szCs w:val="22"/>
                <w:lang w:val="es-ES"/>
              </w:rPr>
              <w:t xml:space="preserve">Se recomienda monitorizar las reacciones adversas relacionadas con los anticonceptivos orales, además de los de voriconazol. </w:t>
            </w:r>
          </w:p>
        </w:tc>
      </w:tr>
      <w:tr w:rsidR="00D061AA" w:rsidRPr="00C52C4C" w14:paraId="291FFE4C" w14:textId="77777777" w:rsidTr="00AC5BF4">
        <w:trPr>
          <w:trHeight w:val="3210"/>
          <w:jc w:val="center"/>
        </w:trPr>
        <w:tc>
          <w:tcPr>
            <w:tcW w:w="2696" w:type="dxa"/>
          </w:tcPr>
          <w:p w14:paraId="0242C6BD" w14:textId="77777777" w:rsidR="00D061AA" w:rsidRPr="00C52C4C" w:rsidRDefault="00D061AA" w:rsidP="00EE4A64">
            <w:pPr>
              <w:pStyle w:val="TableText"/>
              <w:keepNext/>
              <w:tabs>
                <w:tab w:val="left" w:pos="360"/>
              </w:tabs>
              <w:overflowPunct w:val="0"/>
              <w:autoSpaceDE w:val="0"/>
              <w:autoSpaceDN w:val="0"/>
              <w:adjustRightInd w:val="0"/>
              <w:ind w:left="216" w:hanging="216"/>
              <w:textAlignment w:val="baseline"/>
              <w:rPr>
                <w:rFonts w:cs="Times New Roman"/>
                <w:sz w:val="22"/>
                <w:szCs w:val="22"/>
                <w:lang w:val="es-ES"/>
              </w:rPr>
            </w:pPr>
            <w:r w:rsidRPr="00C52C4C">
              <w:rPr>
                <w:rFonts w:cs="Times New Roman"/>
                <w:sz w:val="22"/>
                <w:szCs w:val="22"/>
                <w:lang w:val="es-ES"/>
              </w:rPr>
              <w:lastRenderedPageBreak/>
              <w:t>Opiáceos de acción corta</w:t>
            </w:r>
          </w:p>
          <w:p w14:paraId="56CEEB12" w14:textId="77777777" w:rsidR="00D061AA" w:rsidRPr="00C52C4C" w:rsidRDefault="00D061AA" w:rsidP="00EE4A64">
            <w:pPr>
              <w:pStyle w:val="TableText"/>
              <w:keepNext/>
              <w:tabs>
                <w:tab w:val="left" w:pos="360"/>
              </w:tabs>
              <w:overflowPunct w:val="0"/>
              <w:autoSpaceDE w:val="0"/>
              <w:autoSpaceDN w:val="0"/>
              <w:adjustRightInd w:val="0"/>
              <w:ind w:left="216" w:hanging="216"/>
              <w:textAlignment w:val="baseline"/>
              <w:rPr>
                <w:rFonts w:cs="Times New Roman"/>
                <w:i/>
                <w:sz w:val="22"/>
                <w:szCs w:val="22"/>
                <w:lang w:val="es-ES"/>
              </w:rPr>
            </w:pPr>
            <w:r w:rsidRPr="00C52C4C">
              <w:rPr>
                <w:rFonts w:cs="Times New Roman"/>
                <w:i/>
                <w:sz w:val="22"/>
                <w:szCs w:val="22"/>
                <w:lang w:val="es-ES"/>
              </w:rPr>
              <w:t xml:space="preserve">[sustratos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P3A4]</w:t>
            </w:r>
            <w:r w:rsidRPr="00C52C4C">
              <w:rPr>
                <w:rFonts w:cs="Times New Roman"/>
                <w:i/>
                <w:sz w:val="22"/>
                <w:szCs w:val="22"/>
                <w:lang w:val="es-ES"/>
              </w:rPr>
              <w:br/>
            </w:r>
          </w:p>
          <w:p w14:paraId="5B1CE409" w14:textId="77777777" w:rsidR="00D061AA" w:rsidRPr="00C52C4C" w:rsidRDefault="00D061AA" w:rsidP="00EE4A64">
            <w:pPr>
              <w:pStyle w:val="TableText"/>
              <w:keepNext/>
              <w:tabs>
                <w:tab w:val="left" w:pos="360"/>
              </w:tabs>
              <w:overflowPunct w:val="0"/>
              <w:autoSpaceDE w:val="0"/>
              <w:autoSpaceDN w:val="0"/>
              <w:adjustRightInd w:val="0"/>
              <w:ind w:left="144" w:hanging="71"/>
              <w:textAlignment w:val="baseline"/>
              <w:rPr>
                <w:rFonts w:cs="Times New Roman"/>
                <w:sz w:val="22"/>
                <w:szCs w:val="22"/>
                <w:lang w:val="es-ES"/>
              </w:rPr>
            </w:pPr>
            <w:r w:rsidRPr="00C52C4C">
              <w:rPr>
                <w:rFonts w:cs="Times New Roman"/>
                <w:sz w:val="22"/>
                <w:szCs w:val="22"/>
                <w:lang w:val="es-ES"/>
              </w:rPr>
              <w:tab/>
              <w:t xml:space="preserve">Alfentanilo (dosis única de 20 </w:t>
            </w:r>
            <w:r w:rsidRPr="00C52C4C">
              <w:rPr>
                <w:rFonts w:cs="Times New Roman"/>
                <w:sz w:val="22"/>
                <w:szCs w:val="22"/>
              </w:rPr>
              <w:t>μ</w:t>
            </w:r>
            <w:r w:rsidRPr="00C52C4C">
              <w:rPr>
                <w:rFonts w:cs="Times New Roman"/>
                <w:sz w:val="22"/>
                <w:szCs w:val="22"/>
                <w:lang w:val="es-ES"/>
              </w:rPr>
              <w:t>g/kg, con naloxona de forma concomitante)</w:t>
            </w:r>
          </w:p>
          <w:p w14:paraId="7E651D95" w14:textId="77777777" w:rsidR="00D061AA" w:rsidRPr="00C52C4C" w:rsidRDefault="00D061AA" w:rsidP="00EE4A64">
            <w:pPr>
              <w:pStyle w:val="TableText"/>
              <w:keepNext/>
              <w:tabs>
                <w:tab w:val="left" w:pos="360"/>
              </w:tabs>
              <w:overflowPunct w:val="0"/>
              <w:autoSpaceDE w:val="0"/>
              <w:autoSpaceDN w:val="0"/>
              <w:adjustRightInd w:val="0"/>
              <w:ind w:left="144" w:hanging="71"/>
              <w:textAlignment w:val="baseline"/>
              <w:rPr>
                <w:rFonts w:cs="Times New Roman"/>
                <w:sz w:val="22"/>
                <w:szCs w:val="22"/>
                <w:lang w:val="es-ES"/>
              </w:rPr>
            </w:pPr>
          </w:p>
          <w:p w14:paraId="082CE80D" w14:textId="77777777" w:rsidR="00D061AA" w:rsidRPr="00C52C4C" w:rsidRDefault="00D061AA" w:rsidP="00EE4A64">
            <w:pPr>
              <w:pStyle w:val="TableText"/>
              <w:tabs>
                <w:tab w:val="left" w:pos="360"/>
              </w:tabs>
              <w:overflowPunct w:val="0"/>
              <w:autoSpaceDE w:val="0"/>
              <w:autoSpaceDN w:val="0"/>
              <w:adjustRightInd w:val="0"/>
              <w:ind w:left="144"/>
              <w:textAlignment w:val="baseline"/>
              <w:rPr>
                <w:rFonts w:cs="Times New Roman"/>
                <w:sz w:val="22"/>
                <w:szCs w:val="22"/>
                <w:lang w:val="es-ES"/>
              </w:rPr>
            </w:pPr>
            <w:r w:rsidRPr="00C52C4C">
              <w:rPr>
                <w:rFonts w:cs="Times New Roman"/>
                <w:sz w:val="22"/>
                <w:szCs w:val="22"/>
                <w:lang w:val="es-ES"/>
              </w:rPr>
              <w:t>Fentanilo (dosis única de 5 </w:t>
            </w:r>
            <w:r w:rsidRPr="00C52C4C">
              <w:rPr>
                <w:rFonts w:cs="Times New Roman"/>
                <w:sz w:val="22"/>
                <w:szCs w:val="22"/>
              </w:rPr>
              <w:sym w:font="Symbol" w:char="F06D"/>
            </w:r>
            <w:r w:rsidRPr="00C52C4C">
              <w:rPr>
                <w:rFonts w:cs="Times New Roman"/>
                <w:sz w:val="22"/>
                <w:szCs w:val="22"/>
                <w:lang w:val="es-ES"/>
              </w:rPr>
              <w:t>g/kg)</w:t>
            </w:r>
          </w:p>
        </w:tc>
        <w:tc>
          <w:tcPr>
            <w:tcW w:w="3685" w:type="dxa"/>
          </w:tcPr>
          <w:p w14:paraId="3DCEE535" w14:textId="77777777" w:rsidR="00D061AA" w:rsidRPr="00C52C4C" w:rsidRDefault="00D061AA" w:rsidP="00EE4A64">
            <w:pPr>
              <w:pStyle w:val="TableText"/>
              <w:keepNext/>
              <w:tabs>
                <w:tab w:val="left" w:pos="216"/>
              </w:tabs>
              <w:overflowPunct w:val="0"/>
              <w:autoSpaceDE w:val="0"/>
              <w:autoSpaceDN w:val="0"/>
              <w:adjustRightInd w:val="0"/>
              <w:textAlignment w:val="baseline"/>
              <w:rPr>
                <w:rFonts w:cs="Times New Roman"/>
                <w:sz w:val="22"/>
                <w:szCs w:val="22"/>
                <w:lang w:val="es-ES"/>
              </w:rPr>
            </w:pPr>
          </w:p>
          <w:p w14:paraId="453BFBB8" w14:textId="77777777" w:rsidR="00D061AA" w:rsidRPr="00C52C4C" w:rsidRDefault="00D061AA" w:rsidP="00EE4A64">
            <w:pPr>
              <w:pStyle w:val="TableText"/>
              <w:keepNext/>
              <w:tabs>
                <w:tab w:val="left" w:pos="216"/>
              </w:tabs>
              <w:overflowPunct w:val="0"/>
              <w:autoSpaceDE w:val="0"/>
              <w:autoSpaceDN w:val="0"/>
              <w:adjustRightInd w:val="0"/>
              <w:textAlignment w:val="baseline"/>
              <w:rPr>
                <w:rFonts w:cs="Times New Roman"/>
                <w:sz w:val="22"/>
                <w:szCs w:val="22"/>
                <w:lang w:val="es-ES"/>
              </w:rPr>
            </w:pPr>
          </w:p>
          <w:p w14:paraId="2934970A" w14:textId="77777777" w:rsidR="00D061AA" w:rsidRPr="00C52C4C" w:rsidRDefault="00D061AA" w:rsidP="00EE4A64">
            <w:pPr>
              <w:pStyle w:val="TableText"/>
              <w:keepNext/>
              <w:tabs>
                <w:tab w:val="left" w:pos="216"/>
              </w:tabs>
              <w:overflowPunct w:val="0"/>
              <w:autoSpaceDE w:val="0"/>
              <w:autoSpaceDN w:val="0"/>
              <w:adjustRightInd w:val="0"/>
              <w:textAlignment w:val="baseline"/>
              <w:rPr>
                <w:rFonts w:cs="Times New Roman"/>
                <w:sz w:val="22"/>
                <w:szCs w:val="22"/>
                <w:lang w:val="es-ES"/>
              </w:rPr>
            </w:pPr>
          </w:p>
          <w:p w14:paraId="61932243" w14:textId="77777777" w:rsidR="00D061AA" w:rsidRPr="00C52C4C" w:rsidRDefault="00D061AA" w:rsidP="00EE4A64">
            <w:pPr>
              <w:pStyle w:val="TableText"/>
              <w:keepN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 xml:space="preserve">En un estudio independiente publicado, </w:t>
            </w:r>
          </w:p>
          <w:p w14:paraId="6496570E" w14:textId="77777777" w:rsidR="00D061AA" w:rsidRPr="00C52C4C" w:rsidRDefault="00D061AA" w:rsidP="00EE4A64">
            <w:pPr>
              <w:pStyle w:val="TableText"/>
              <w:keepN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AUC</w:t>
            </w:r>
            <w:r w:rsidR="00526830" w:rsidRPr="00CD5831">
              <w:rPr>
                <w:sz w:val="22"/>
                <w:szCs w:val="22"/>
                <w:vertAlign w:val="subscript"/>
                <w:lang w:val="sv-SE"/>
              </w:rPr>
              <w:t>0-</w:t>
            </w:r>
            <w:r w:rsidR="00526830" w:rsidRPr="00CD5831">
              <w:rPr>
                <w:sz w:val="22"/>
                <w:szCs w:val="22"/>
                <w:vertAlign w:val="subscript"/>
                <w:lang w:val="sv-SE"/>
              </w:rPr>
              <w:sym w:font="Symbol" w:char="F0A5"/>
            </w:r>
            <w:r w:rsidRPr="00C52C4C">
              <w:rPr>
                <w:rFonts w:cs="Times New Roman"/>
                <w:sz w:val="22"/>
                <w:szCs w:val="22"/>
                <w:lang w:val="es-ES"/>
              </w:rPr>
              <w:t xml:space="preserve"> alfentanilo </w:t>
            </w:r>
            <w:r w:rsidR="000A1F73" w:rsidRPr="00C52C4C">
              <w:rPr>
                <w:rFonts w:cs="Times New Roman"/>
                <w:sz w:val="22"/>
                <w:szCs w:val="22"/>
                <w:lang w:val="en-GB"/>
              </w:rPr>
              <w:sym w:font="Symbol" w:char="F0AD"/>
            </w:r>
            <w:r w:rsidR="000A1F73" w:rsidRPr="00C52C4C">
              <w:rPr>
                <w:rFonts w:cs="Times New Roman"/>
                <w:sz w:val="22"/>
                <w:szCs w:val="22"/>
                <w:lang w:val="es-ES"/>
              </w:rPr>
              <w:t xml:space="preserve"> </w:t>
            </w:r>
            <w:r w:rsidRPr="00C52C4C">
              <w:rPr>
                <w:rFonts w:cs="Times New Roman"/>
                <w:sz w:val="22"/>
                <w:szCs w:val="22"/>
                <w:lang w:val="es-ES"/>
              </w:rPr>
              <w:t xml:space="preserve"> 6 veces</w:t>
            </w:r>
          </w:p>
          <w:p w14:paraId="76969172" w14:textId="77777777" w:rsidR="00D061AA" w:rsidRPr="00C52C4C" w:rsidRDefault="00D061AA" w:rsidP="00EE4A64">
            <w:pPr>
              <w:pStyle w:val="TableText"/>
              <w:keepNext/>
              <w:tabs>
                <w:tab w:val="left" w:pos="216"/>
              </w:tabs>
              <w:overflowPunct w:val="0"/>
              <w:autoSpaceDE w:val="0"/>
              <w:autoSpaceDN w:val="0"/>
              <w:adjustRightInd w:val="0"/>
              <w:textAlignment w:val="baseline"/>
              <w:rPr>
                <w:rFonts w:cs="Times New Roman"/>
                <w:sz w:val="22"/>
                <w:szCs w:val="22"/>
                <w:lang w:val="es-ES"/>
              </w:rPr>
            </w:pPr>
          </w:p>
          <w:p w14:paraId="0956A8B2" w14:textId="77777777" w:rsidR="00D061AA" w:rsidRPr="00C52C4C" w:rsidRDefault="00D061AA" w:rsidP="00EE4A64">
            <w:pPr>
              <w:pStyle w:val="TableText"/>
              <w:keepNext/>
              <w:tabs>
                <w:tab w:val="left" w:pos="216"/>
              </w:tabs>
              <w:overflowPunct w:val="0"/>
              <w:autoSpaceDE w:val="0"/>
              <w:autoSpaceDN w:val="0"/>
              <w:adjustRightInd w:val="0"/>
              <w:textAlignment w:val="baseline"/>
              <w:rPr>
                <w:rFonts w:cs="Times New Roman"/>
                <w:sz w:val="22"/>
                <w:szCs w:val="22"/>
                <w:lang w:val="es-ES"/>
              </w:rPr>
            </w:pPr>
          </w:p>
          <w:p w14:paraId="5C9265E4" w14:textId="77777777" w:rsidR="00D061AA" w:rsidRPr="00C52C4C" w:rsidRDefault="00D061AA" w:rsidP="00EE4A64">
            <w:pPr>
              <w:pStyle w:val="TableText"/>
              <w:keepN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En un estudio independiente publicado,</w:t>
            </w:r>
          </w:p>
          <w:p w14:paraId="775BC2A0"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AUC</w:t>
            </w:r>
            <w:r w:rsidR="00526830" w:rsidRPr="00CD5831">
              <w:rPr>
                <w:sz w:val="22"/>
                <w:szCs w:val="22"/>
                <w:vertAlign w:val="subscript"/>
                <w:lang w:val="sv-SE"/>
              </w:rPr>
              <w:t>0-</w:t>
            </w:r>
            <w:r w:rsidR="00526830" w:rsidRPr="00CD5831">
              <w:rPr>
                <w:sz w:val="22"/>
                <w:szCs w:val="22"/>
                <w:vertAlign w:val="subscript"/>
                <w:lang w:val="sv-SE"/>
              </w:rPr>
              <w:sym w:font="Symbol" w:char="F0A5"/>
            </w:r>
            <w:r w:rsidRPr="00C52C4C">
              <w:rPr>
                <w:rFonts w:cs="Times New Roman"/>
                <w:sz w:val="22"/>
                <w:szCs w:val="22"/>
                <w:lang w:val="es-ES"/>
              </w:rPr>
              <w:t xml:space="preserve">  fentanilo </w:t>
            </w:r>
            <w:r w:rsidR="000A1F73" w:rsidRPr="00C52C4C">
              <w:rPr>
                <w:rFonts w:cs="Times New Roman"/>
                <w:sz w:val="22"/>
                <w:szCs w:val="22"/>
                <w:lang w:val="en-GB"/>
              </w:rPr>
              <w:sym w:font="Symbol" w:char="F0AD"/>
            </w:r>
            <w:r w:rsidR="000A1F73" w:rsidRPr="00C52C4C">
              <w:rPr>
                <w:rFonts w:cs="Times New Roman"/>
                <w:sz w:val="22"/>
                <w:szCs w:val="22"/>
              </w:rPr>
              <w:t xml:space="preserve"> </w:t>
            </w:r>
            <w:r w:rsidRPr="00C52C4C">
              <w:rPr>
                <w:rFonts w:cs="Times New Roman"/>
                <w:sz w:val="22"/>
                <w:szCs w:val="22"/>
                <w:lang w:val="es-ES"/>
              </w:rPr>
              <w:t xml:space="preserve"> 1,34 veces</w:t>
            </w:r>
          </w:p>
        </w:tc>
        <w:tc>
          <w:tcPr>
            <w:tcW w:w="2835" w:type="dxa"/>
          </w:tcPr>
          <w:p w14:paraId="16467C6C"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 xml:space="preserve">Se debe considerar una reducción de la dosis de alfentanilo, de fentanilo y de otros opiáceos de acción corta de estructura similar  al fentanilo y que se metabolizan por el </w:t>
            </w:r>
            <w:smartTag w:uri="urn:schemas-microsoft-com:office:smarttags" w:element="PersonName">
              <w:r w:rsidRPr="00C52C4C">
                <w:rPr>
                  <w:rFonts w:cs="Times New Roman"/>
                  <w:sz w:val="22"/>
                  <w:szCs w:val="22"/>
                  <w:lang w:val="es-ES"/>
                </w:rPr>
                <w:t>CY</w:t>
              </w:r>
            </w:smartTag>
            <w:r w:rsidRPr="00C52C4C">
              <w:rPr>
                <w:rFonts w:cs="Times New Roman"/>
                <w:sz w:val="22"/>
                <w:szCs w:val="22"/>
                <w:lang w:val="es-ES"/>
              </w:rPr>
              <w:t>P3A4 (p.ej. sufentail). Se recomienda monitorizar frecuentemente en busca de síntomas de depresión respiratoria y de otras reacciones adversas asociadas a los opiáceos.</w:t>
            </w:r>
            <w:r w:rsidRPr="00C52C4C" w:rsidDel="006B0915">
              <w:rPr>
                <w:rFonts w:cs="Times New Roman"/>
                <w:sz w:val="22"/>
                <w:szCs w:val="22"/>
                <w:lang w:val="es-ES"/>
              </w:rPr>
              <w:t xml:space="preserve"> </w:t>
            </w:r>
          </w:p>
        </w:tc>
      </w:tr>
      <w:tr w:rsidR="00D061AA" w:rsidRPr="00C52C4C" w14:paraId="30E06809" w14:textId="77777777" w:rsidTr="00AC5BF4">
        <w:trPr>
          <w:trHeight w:val="1590"/>
          <w:jc w:val="center"/>
        </w:trPr>
        <w:tc>
          <w:tcPr>
            <w:tcW w:w="2696" w:type="dxa"/>
          </w:tcPr>
          <w:p w14:paraId="4B6B72E4" w14:textId="77777777" w:rsidR="00D061AA" w:rsidRPr="00C52C4C" w:rsidRDefault="00D061AA" w:rsidP="00EE4A64">
            <w:pPr>
              <w:pStyle w:val="TableText"/>
              <w:tabs>
                <w:tab w:val="left" w:pos="360"/>
              </w:tabs>
              <w:overflowPunct w:val="0"/>
              <w:autoSpaceDE w:val="0"/>
              <w:autoSpaceDN w:val="0"/>
              <w:adjustRightInd w:val="0"/>
              <w:textAlignment w:val="baseline"/>
              <w:rPr>
                <w:rFonts w:cs="Times New Roman"/>
                <w:sz w:val="22"/>
                <w:szCs w:val="22"/>
                <w:lang w:val="pt-BR"/>
              </w:rPr>
            </w:pPr>
            <w:r w:rsidRPr="00C52C4C">
              <w:rPr>
                <w:rFonts w:cs="Times New Roman"/>
                <w:sz w:val="22"/>
                <w:szCs w:val="22"/>
                <w:lang w:val="es-ES"/>
              </w:rPr>
              <w:t>Estatinas (p.ej. lovastatina)</w:t>
            </w:r>
            <w:r w:rsidRPr="00C52C4C">
              <w:rPr>
                <w:rFonts w:cs="Times New Roman"/>
                <w:sz w:val="22"/>
                <w:szCs w:val="22"/>
                <w:lang w:val="es-ES"/>
              </w:rPr>
              <w:br/>
            </w:r>
            <w:r w:rsidRPr="00C52C4C">
              <w:rPr>
                <w:rFonts w:cs="Times New Roman"/>
                <w:i/>
                <w:sz w:val="22"/>
                <w:szCs w:val="22"/>
                <w:lang w:val="es-ES"/>
              </w:rPr>
              <w:t xml:space="preserve">[sustratos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P3A4]</w:t>
            </w:r>
          </w:p>
        </w:tc>
        <w:tc>
          <w:tcPr>
            <w:tcW w:w="3685" w:type="dxa"/>
          </w:tcPr>
          <w:p w14:paraId="74236107" w14:textId="77777777" w:rsidR="00D061AA" w:rsidRPr="00C52C4C" w:rsidRDefault="00D061AA" w:rsidP="00EE4A64">
            <w:pPr>
              <w:pStyle w:val="TableText"/>
              <w:keepNext/>
              <w:tabs>
                <w:tab w:val="left" w:pos="216"/>
              </w:tabs>
              <w:overflowPunct w:val="0"/>
              <w:autoSpaceDE w:val="0"/>
              <w:autoSpaceDN w:val="0"/>
              <w:adjustRightInd w:val="0"/>
              <w:textAlignment w:val="baseline"/>
              <w:rPr>
                <w:rFonts w:cs="Times New Roman"/>
                <w:sz w:val="22"/>
                <w:szCs w:val="22"/>
                <w:lang w:val="es-ES_tradnl"/>
              </w:rPr>
            </w:pPr>
            <w:r w:rsidRPr="00C52C4C">
              <w:rPr>
                <w:rFonts w:cs="Times New Roman"/>
                <w:sz w:val="22"/>
                <w:szCs w:val="22"/>
                <w:lang w:val="es-ES"/>
              </w:rPr>
              <w:t xml:space="preserve">Aunque no se ha estudiado, es probable que voriconazol incremente las concentraciones plasmáticas de las estatinas que son metabolizadas por el </w:t>
            </w:r>
            <w:smartTag w:uri="urn:schemas-microsoft-com:office:smarttags" w:element="PersonName">
              <w:r w:rsidRPr="00C52C4C">
                <w:rPr>
                  <w:rFonts w:cs="Times New Roman"/>
                  <w:sz w:val="22"/>
                  <w:szCs w:val="22"/>
                  <w:lang w:val="es-ES_tradnl"/>
                </w:rPr>
                <w:t>CY</w:t>
              </w:r>
            </w:smartTag>
            <w:r w:rsidRPr="00C52C4C">
              <w:rPr>
                <w:rFonts w:cs="Times New Roman"/>
                <w:sz w:val="22"/>
                <w:szCs w:val="22"/>
                <w:lang w:val="es-ES_tradnl"/>
              </w:rPr>
              <w:t>P3A4, pudiendo producir rabdomiolisis.</w:t>
            </w:r>
          </w:p>
        </w:tc>
        <w:tc>
          <w:tcPr>
            <w:tcW w:w="2835" w:type="dxa"/>
          </w:tcPr>
          <w:p w14:paraId="0C4E3F55" w14:textId="77777777" w:rsidR="00D061AA" w:rsidRPr="00C52C4C" w:rsidRDefault="00537D6E" w:rsidP="00537D6E">
            <w:pPr>
              <w:pStyle w:val="TableText"/>
              <w:overflowPunct w:val="0"/>
              <w:autoSpaceDE w:val="0"/>
              <w:autoSpaceDN w:val="0"/>
              <w:adjustRightInd w:val="0"/>
              <w:textAlignment w:val="baseline"/>
              <w:rPr>
                <w:rFonts w:cs="Times New Roman"/>
                <w:sz w:val="22"/>
                <w:szCs w:val="22"/>
                <w:lang w:val="es-ES"/>
              </w:rPr>
            </w:pPr>
            <w:r w:rsidRPr="00537D6E">
              <w:rPr>
                <w:rFonts w:cs="Times New Roman"/>
                <w:sz w:val="22"/>
                <w:szCs w:val="22"/>
                <w:lang w:val="es-ES_tradnl"/>
              </w:rPr>
              <w:t xml:space="preserve">Si no se puede evitar la administración concomitante de voriconazol con las estatinas que son </w:t>
            </w:r>
            <w:r>
              <w:rPr>
                <w:rFonts w:cs="Times New Roman"/>
                <w:sz w:val="22"/>
                <w:szCs w:val="22"/>
                <w:lang w:val="es-ES_tradnl"/>
              </w:rPr>
              <w:t>m</w:t>
            </w:r>
            <w:r w:rsidRPr="00537D6E">
              <w:rPr>
                <w:rFonts w:cs="Times New Roman"/>
                <w:sz w:val="22"/>
                <w:szCs w:val="22"/>
                <w:lang w:val="es-ES_tradnl"/>
              </w:rPr>
              <w:t xml:space="preserve">etabolizadas por el CYP3A4, </w:t>
            </w:r>
            <w:r>
              <w:rPr>
                <w:rFonts w:cs="Times New Roman"/>
                <w:sz w:val="22"/>
                <w:szCs w:val="22"/>
                <w:lang w:val="es-ES_tradnl"/>
              </w:rPr>
              <w:t xml:space="preserve"> s</w:t>
            </w:r>
            <w:r w:rsidR="00D061AA" w:rsidRPr="00C52C4C">
              <w:rPr>
                <w:rFonts w:cs="Times New Roman"/>
                <w:sz w:val="22"/>
                <w:szCs w:val="22"/>
                <w:lang w:val="es-ES_tradnl"/>
              </w:rPr>
              <w:t>e debe considerar reducir la dosis de</w:t>
            </w:r>
            <w:r w:rsidR="00D061AA" w:rsidRPr="00C52C4C">
              <w:rPr>
                <w:rFonts w:cs="Times New Roman"/>
                <w:sz w:val="22"/>
                <w:szCs w:val="22"/>
                <w:lang w:val="es-ES"/>
              </w:rPr>
              <w:t xml:space="preserve"> las</w:t>
            </w:r>
            <w:r w:rsidR="00D061AA" w:rsidRPr="00C52C4C">
              <w:rPr>
                <w:rFonts w:cs="Times New Roman"/>
                <w:sz w:val="22"/>
                <w:szCs w:val="22"/>
                <w:lang w:val="es-ES_tradnl"/>
              </w:rPr>
              <w:t xml:space="preserve"> estatinas. </w:t>
            </w:r>
          </w:p>
        </w:tc>
      </w:tr>
      <w:tr w:rsidR="00D061AA" w:rsidRPr="00C52C4C" w14:paraId="2B5A166E" w14:textId="77777777" w:rsidTr="00AC5BF4">
        <w:trPr>
          <w:trHeight w:val="1130"/>
          <w:jc w:val="center"/>
        </w:trPr>
        <w:tc>
          <w:tcPr>
            <w:tcW w:w="2696" w:type="dxa"/>
          </w:tcPr>
          <w:p w14:paraId="2C03F80A" w14:textId="04D6F5D0" w:rsidR="00D061AA" w:rsidRPr="00C52C4C" w:rsidRDefault="00D061AA" w:rsidP="00EE4A64">
            <w:pPr>
              <w:pStyle w:val="TableText"/>
              <w:tabs>
                <w:tab w:val="left" w:pos="360"/>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Sulfonilureas (</w:t>
            </w:r>
            <w:r w:rsidR="00764AEE" w:rsidRPr="00E31D66">
              <w:rPr>
                <w:color w:val="000000"/>
                <w:sz w:val="22"/>
                <w:szCs w:val="22"/>
                <w:lang w:val="es-ES"/>
              </w:rPr>
              <w:t>que incluyen, entre otros:</w:t>
            </w:r>
            <w:r w:rsidR="00764AEE">
              <w:rPr>
                <w:color w:val="000000"/>
                <w:sz w:val="22"/>
                <w:szCs w:val="22"/>
                <w:lang w:val="es-ES"/>
              </w:rPr>
              <w:t xml:space="preserve"> </w:t>
            </w:r>
            <w:r w:rsidRPr="00C52C4C">
              <w:rPr>
                <w:rFonts w:cs="Times New Roman"/>
                <w:sz w:val="22"/>
                <w:szCs w:val="22"/>
                <w:lang w:val="es-ES"/>
              </w:rPr>
              <w:t>tolbutamida, glipizida, gliburida)</w:t>
            </w:r>
          </w:p>
          <w:p w14:paraId="2F4F5826" w14:textId="77777777" w:rsidR="00D061AA" w:rsidRPr="00C52C4C" w:rsidRDefault="00D061AA" w:rsidP="00EE4A64">
            <w:pPr>
              <w:pStyle w:val="TableText"/>
              <w:tabs>
                <w:tab w:val="left" w:pos="360"/>
              </w:tabs>
              <w:overflowPunct w:val="0"/>
              <w:autoSpaceDE w:val="0"/>
              <w:autoSpaceDN w:val="0"/>
              <w:adjustRightInd w:val="0"/>
              <w:textAlignment w:val="baseline"/>
              <w:rPr>
                <w:rFonts w:cs="Times New Roman"/>
                <w:sz w:val="22"/>
                <w:szCs w:val="22"/>
                <w:lang w:val="es-ES"/>
              </w:rPr>
            </w:pPr>
            <w:r w:rsidRPr="00C52C4C">
              <w:rPr>
                <w:rFonts w:cs="Times New Roman"/>
                <w:i/>
                <w:sz w:val="22"/>
                <w:szCs w:val="22"/>
                <w:lang w:val="es-ES"/>
              </w:rPr>
              <w:t xml:space="preserve">[sustratos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P2C9]</w:t>
            </w:r>
          </w:p>
        </w:tc>
        <w:tc>
          <w:tcPr>
            <w:tcW w:w="3685" w:type="dxa"/>
          </w:tcPr>
          <w:p w14:paraId="11F56C58" w14:textId="77777777" w:rsidR="00D061AA" w:rsidRPr="00C52C4C" w:rsidRDefault="00D061AA" w:rsidP="00EE4A64">
            <w:pPr>
              <w:pStyle w:val="TableText"/>
              <w:keepN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Aunque no se ha estudiado, es probable que voriconazol incremente las concentraciones plasmáticas de las sulfonilureas y causar hipoglucemia.</w:t>
            </w:r>
          </w:p>
        </w:tc>
        <w:tc>
          <w:tcPr>
            <w:tcW w:w="2835" w:type="dxa"/>
          </w:tcPr>
          <w:p w14:paraId="0F4A2AD6"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 xml:space="preserve">Se recomienda monitorizar estrechamente la glucemia. Se debe considerar reducir la dosis de las sulfonilureas. </w:t>
            </w:r>
          </w:p>
        </w:tc>
      </w:tr>
      <w:tr w:rsidR="00D061AA" w:rsidRPr="00C52C4C" w14:paraId="42468353" w14:textId="77777777" w:rsidTr="00AC5BF4">
        <w:trPr>
          <w:trHeight w:val="1375"/>
          <w:jc w:val="center"/>
        </w:trPr>
        <w:tc>
          <w:tcPr>
            <w:tcW w:w="2696" w:type="dxa"/>
          </w:tcPr>
          <w:p w14:paraId="3A1B46C3" w14:textId="45A0E090" w:rsidR="00D061AA" w:rsidRPr="00C52C4C" w:rsidRDefault="00D061AA" w:rsidP="00EE4A64">
            <w:pPr>
              <w:pStyle w:val="TableText"/>
              <w:tabs>
                <w:tab w:val="left" w:pos="360"/>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 xml:space="preserve">Alcaloides de </w:t>
            </w:r>
            <w:smartTag w:uri="urn:schemas-microsoft-com:office:smarttags" w:element="PersonName">
              <w:smartTagPr>
                <w:attr w:name="ProductID" w:val="la Vinca"/>
              </w:smartTagPr>
              <w:r w:rsidRPr="00C52C4C">
                <w:rPr>
                  <w:rFonts w:cs="Times New Roman"/>
                  <w:sz w:val="22"/>
                  <w:szCs w:val="22"/>
                  <w:lang w:val="es-ES"/>
                </w:rPr>
                <w:t>la Vinca</w:t>
              </w:r>
            </w:smartTag>
            <w:r w:rsidRPr="00C52C4C">
              <w:rPr>
                <w:rFonts w:cs="Times New Roman"/>
                <w:sz w:val="22"/>
                <w:szCs w:val="22"/>
                <w:lang w:val="es-ES"/>
              </w:rPr>
              <w:t xml:space="preserve"> (</w:t>
            </w:r>
            <w:r w:rsidR="00764AEE" w:rsidRPr="00E31D66">
              <w:rPr>
                <w:color w:val="000000"/>
                <w:sz w:val="22"/>
                <w:szCs w:val="22"/>
                <w:lang w:val="es-ES"/>
              </w:rPr>
              <w:t>que incluyen, entre otros:</w:t>
            </w:r>
            <w:r w:rsidRPr="00C52C4C">
              <w:rPr>
                <w:rFonts w:cs="Times New Roman"/>
                <w:sz w:val="22"/>
                <w:szCs w:val="22"/>
                <w:lang w:val="es-ES"/>
              </w:rPr>
              <w:t xml:space="preserve"> vincristina y vinblastina)</w:t>
            </w:r>
            <w:r w:rsidRPr="00C52C4C">
              <w:rPr>
                <w:rFonts w:cs="Times New Roman"/>
                <w:sz w:val="22"/>
                <w:szCs w:val="22"/>
                <w:lang w:val="es-ES"/>
              </w:rPr>
              <w:br/>
            </w:r>
            <w:r w:rsidRPr="00C52C4C">
              <w:rPr>
                <w:rFonts w:cs="Times New Roman"/>
                <w:i/>
                <w:sz w:val="22"/>
                <w:szCs w:val="22"/>
                <w:lang w:val="es-ES"/>
              </w:rPr>
              <w:t xml:space="preserve">[sustratos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P3A4]</w:t>
            </w:r>
          </w:p>
        </w:tc>
        <w:tc>
          <w:tcPr>
            <w:tcW w:w="3685" w:type="dxa"/>
          </w:tcPr>
          <w:p w14:paraId="437687A6" w14:textId="77777777" w:rsidR="00D061AA" w:rsidRPr="00C52C4C" w:rsidRDefault="00D061AA" w:rsidP="00EE4A64">
            <w:pPr>
              <w:pStyle w:val="TableText"/>
              <w:keepNext/>
              <w:tabs>
                <w:tab w:val="left" w:pos="216"/>
              </w:tabs>
              <w:overflowPunct w:val="0"/>
              <w:autoSpaceDE w:val="0"/>
              <w:autoSpaceDN w:val="0"/>
              <w:adjustRightInd w:val="0"/>
              <w:textAlignment w:val="baseline"/>
              <w:rPr>
                <w:rFonts w:cs="Times New Roman"/>
                <w:sz w:val="22"/>
                <w:szCs w:val="22"/>
                <w:lang w:val="es-ES_tradnl"/>
              </w:rPr>
            </w:pPr>
            <w:r w:rsidRPr="00C52C4C">
              <w:rPr>
                <w:rFonts w:cs="Times New Roman"/>
                <w:sz w:val="22"/>
                <w:szCs w:val="22"/>
                <w:lang w:val="es-ES"/>
              </w:rPr>
              <w:t>Aunque</w:t>
            </w:r>
            <w:r w:rsidRPr="00C52C4C">
              <w:rPr>
                <w:rFonts w:cs="Times New Roman"/>
                <w:sz w:val="22"/>
                <w:szCs w:val="22"/>
                <w:lang w:val="es-ES_tradnl"/>
              </w:rPr>
              <w:t xml:space="preserve"> no se ha</w:t>
            </w:r>
            <w:r w:rsidRPr="00C52C4C">
              <w:rPr>
                <w:rFonts w:cs="Times New Roman"/>
                <w:sz w:val="22"/>
                <w:szCs w:val="22"/>
                <w:lang w:val="es-ES"/>
              </w:rPr>
              <w:t xml:space="preserve"> estudiado</w:t>
            </w:r>
            <w:r w:rsidRPr="00C52C4C">
              <w:rPr>
                <w:rFonts w:cs="Times New Roman"/>
                <w:sz w:val="22"/>
                <w:szCs w:val="22"/>
                <w:lang w:val="es-ES_tradnl"/>
              </w:rPr>
              <w:t>,</w:t>
            </w:r>
            <w:r w:rsidRPr="00C52C4C">
              <w:rPr>
                <w:rFonts w:cs="Times New Roman"/>
                <w:sz w:val="22"/>
                <w:szCs w:val="22"/>
                <w:lang w:val="es-ES"/>
              </w:rPr>
              <w:t xml:space="preserve"> es probable</w:t>
            </w:r>
            <w:r w:rsidRPr="00C52C4C">
              <w:rPr>
                <w:rFonts w:cs="Times New Roman"/>
                <w:sz w:val="22"/>
                <w:szCs w:val="22"/>
                <w:lang w:val="es-ES_tradnl"/>
              </w:rPr>
              <w:t xml:space="preserve"> que voriconazol incremente las</w:t>
            </w:r>
            <w:r w:rsidRPr="00C52C4C">
              <w:rPr>
                <w:rFonts w:cs="Times New Roman"/>
                <w:sz w:val="22"/>
                <w:szCs w:val="22"/>
                <w:lang w:val="es-ES"/>
              </w:rPr>
              <w:t xml:space="preserve"> concentraciones</w:t>
            </w:r>
            <w:r w:rsidRPr="00C52C4C">
              <w:rPr>
                <w:rFonts w:cs="Times New Roman"/>
                <w:sz w:val="22"/>
                <w:szCs w:val="22"/>
                <w:lang w:val="es-ES_tradnl"/>
              </w:rPr>
              <w:t xml:space="preserve"> plasmáticas de</w:t>
            </w:r>
            <w:r w:rsidRPr="00C52C4C">
              <w:rPr>
                <w:rFonts w:cs="Times New Roman"/>
                <w:sz w:val="22"/>
                <w:szCs w:val="22"/>
                <w:lang w:val="es-ES"/>
              </w:rPr>
              <w:t xml:space="preserve"> los alcaloides</w:t>
            </w:r>
            <w:r w:rsidRPr="00C52C4C">
              <w:rPr>
                <w:rFonts w:cs="Times New Roman"/>
                <w:sz w:val="22"/>
                <w:szCs w:val="22"/>
                <w:lang w:val="es-ES_tradnl"/>
              </w:rPr>
              <w:t xml:space="preserve"> de la vinca y causar</w:t>
            </w:r>
            <w:r w:rsidRPr="00C52C4C">
              <w:rPr>
                <w:rFonts w:cs="Times New Roman"/>
                <w:sz w:val="22"/>
                <w:szCs w:val="22"/>
                <w:lang w:val="es-ES"/>
              </w:rPr>
              <w:t xml:space="preserve"> neurotoxicidad</w:t>
            </w:r>
            <w:r w:rsidRPr="00C52C4C">
              <w:rPr>
                <w:rFonts w:cs="Times New Roman"/>
                <w:sz w:val="22"/>
                <w:szCs w:val="22"/>
                <w:lang w:val="es-ES_tradnl"/>
              </w:rPr>
              <w:t xml:space="preserve">. </w:t>
            </w:r>
          </w:p>
        </w:tc>
        <w:tc>
          <w:tcPr>
            <w:tcW w:w="2835" w:type="dxa"/>
          </w:tcPr>
          <w:p w14:paraId="353EB8DB"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Se debe considerar reducir la dosis de los alcaloides de la vinca.</w:t>
            </w:r>
          </w:p>
        </w:tc>
      </w:tr>
      <w:tr w:rsidR="00D061AA" w:rsidRPr="00C52C4C" w14:paraId="43E2C79A" w14:textId="77777777" w:rsidTr="00AC5BF4">
        <w:trPr>
          <w:trHeight w:val="1833"/>
          <w:jc w:val="center"/>
        </w:trPr>
        <w:tc>
          <w:tcPr>
            <w:tcW w:w="2696" w:type="dxa"/>
          </w:tcPr>
          <w:p w14:paraId="2628D1DC" w14:textId="47D3D066" w:rsidR="00D061AA" w:rsidRPr="00C52C4C" w:rsidRDefault="00D061AA" w:rsidP="00EE4A64">
            <w:pPr>
              <w:pStyle w:val="TableText"/>
              <w:tabs>
                <w:tab w:val="left" w:pos="360"/>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 xml:space="preserve">Otros Inhibidores de </w:t>
            </w:r>
            <w:smartTag w:uri="urn:schemas-microsoft-com:office:smarttags" w:element="PersonName">
              <w:smartTagPr>
                <w:attr w:name="ProductID" w:val="la Proteasa"/>
              </w:smartTagPr>
              <w:r w:rsidRPr="00C52C4C">
                <w:rPr>
                  <w:rFonts w:cs="Times New Roman"/>
                  <w:sz w:val="22"/>
                  <w:szCs w:val="22"/>
                  <w:lang w:val="es-ES"/>
                </w:rPr>
                <w:t>la Proteasa</w:t>
              </w:r>
            </w:smartTag>
            <w:r w:rsidRPr="00C52C4C">
              <w:rPr>
                <w:rFonts w:cs="Times New Roman"/>
                <w:sz w:val="22"/>
                <w:szCs w:val="22"/>
                <w:lang w:val="es-ES"/>
              </w:rPr>
              <w:t xml:space="preserve"> del VIH (</w:t>
            </w:r>
            <w:r w:rsidR="00764AEE" w:rsidRPr="00E31D66">
              <w:rPr>
                <w:color w:val="000000"/>
                <w:sz w:val="22"/>
                <w:szCs w:val="22"/>
                <w:lang w:val="es-ES"/>
              </w:rPr>
              <w:t>que incluyen, entre otros:</w:t>
            </w:r>
            <w:r w:rsidRPr="00C52C4C">
              <w:rPr>
                <w:rFonts w:cs="Times New Roman"/>
                <w:sz w:val="22"/>
                <w:szCs w:val="22"/>
                <w:lang w:val="es-ES"/>
              </w:rPr>
              <w:t xml:space="preserve"> saquinavir, amprenavir y nelfinavir)</w:t>
            </w:r>
            <w:r w:rsidRPr="00C52C4C">
              <w:rPr>
                <w:rFonts w:cs="Times New Roman"/>
                <w:sz w:val="22"/>
                <w:szCs w:val="22"/>
                <w:vertAlign w:val="superscript"/>
                <w:lang w:val="es-ES"/>
              </w:rPr>
              <w:t>*</w:t>
            </w:r>
            <w:r w:rsidRPr="00C52C4C">
              <w:rPr>
                <w:rFonts w:cs="Times New Roman"/>
                <w:sz w:val="22"/>
                <w:szCs w:val="22"/>
                <w:lang w:val="es-ES"/>
              </w:rPr>
              <w:br/>
            </w:r>
            <w:r w:rsidRPr="00C52C4C">
              <w:rPr>
                <w:rFonts w:cs="Times New Roman"/>
                <w:i/>
                <w:sz w:val="22"/>
                <w:szCs w:val="22"/>
                <w:lang w:val="es-ES"/>
              </w:rPr>
              <w:t xml:space="preserve">[sustratos e inhibidores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P3A4]</w:t>
            </w:r>
          </w:p>
        </w:tc>
        <w:tc>
          <w:tcPr>
            <w:tcW w:w="3685" w:type="dxa"/>
          </w:tcPr>
          <w:p w14:paraId="07079C13"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No se ha estudiado clínicamente. En  estudios i</w:t>
            </w:r>
            <w:r w:rsidRPr="00C52C4C">
              <w:rPr>
                <w:rFonts w:cs="Times New Roman"/>
                <w:i/>
                <w:sz w:val="22"/>
                <w:szCs w:val="22"/>
                <w:lang w:val="es-ES"/>
              </w:rPr>
              <w:t>n vitro</w:t>
            </w:r>
            <w:r w:rsidRPr="00C52C4C">
              <w:rPr>
                <w:rFonts w:cs="Times New Roman"/>
                <w:sz w:val="22"/>
                <w:szCs w:val="22"/>
                <w:lang w:val="es-ES"/>
              </w:rPr>
              <w:t xml:space="preserve"> se ha observado que voriconazol puede inhibir el metabolismo de los inhibidores de la proteasa del VIH, y el metabolismo de voriconazol puede también inhibirse por los inhibidores de la proteasa del VIH. </w:t>
            </w:r>
          </w:p>
        </w:tc>
        <w:tc>
          <w:tcPr>
            <w:tcW w:w="2835" w:type="dxa"/>
          </w:tcPr>
          <w:p w14:paraId="49FB2C64"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Monitorizar estrechamente la aparición de toxicidad farmacológica y/o falta de eficacia, pudiendo ser necesario un ajuste de la dosis.</w:t>
            </w:r>
          </w:p>
        </w:tc>
      </w:tr>
      <w:tr w:rsidR="00D061AA" w:rsidRPr="00C52C4C" w14:paraId="2C974F65" w14:textId="77777777" w:rsidTr="00AC5BF4">
        <w:trPr>
          <w:trHeight w:val="2539"/>
          <w:jc w:val="center"/>
        </w:trPr>
        <w:tc>
          <w:tcPr>
            <w:tcW w:w="2696" w:type="dxa"/>
          </w:tcPr>
          <w:p w14:paraId="6E103F87" w14:textId="23EEBBF6" w:rsidR="00D061AA" w:rsidRPr="00C52C4C" w:rsidRDefault="00D061AA" w:rsidP="00EE4A64">
            <w:pPr>
              <w:pStyle w:val="TableText"/>
              <w:tabs>
                <w:tab w:val="left" w:pos="360"/>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 xml:space="preserve">Otros Inhibidores de </w:t>
            </w:r>
            <w:smartTag w:uri="urn:schemas-microsoft-com:office:smarttags" w:element="PersonName">
              <w:smartTagPr>
                <w:attr w:name="ProductID" w:val="la Transcriptasa Inversa"/>
              </w:smartTagPr>
              <w:r w:rsidRPr="00C52C4C">
                <w:rPr>
                  <w:rFonts w:cs="Times New Roman"/>
                  <w:sz w:val="22"/>
                  <w:szCs w:val="22"/>
                  <w:lang w:val="es-ES"/>
                </w:rPr>
                <w:t>la Transcriptasa Inversa</w:t>
              </w:r>
            </w:smartTag>
            <w:r w:rsidRPr="00C52C4C">
              <w:rPr>
                <w:rFonts w:cs="Times New Roman"/>
                <w:sz w:val="22"/>
                <w:szCs w:val="22"/>
                <w:lang w:val="es-ES"/>
              </w:rPr>
              <w:t xml:space="preserve"> No Nucleósidos (</w:t>
            </w:r>
            <w:smartTag w:uri="urn:schemas-microsoft-com:office:smarttags" w:element="PersonName">
              <w:r w:rsidRPr="00C52C4C">
                <w:rPr>
                  <w:rFonts w:cs="Times New Roman"/>
                  <w:sz w:val="22"/>
                  <w:szCs w:val="22"/>
                  <w:lang w:val="es-ES"/>
                </w:rPr>
                <w:t>IT</w:t>
              </w:r>
            </w:smartTag>
            <w:r w:rsidRPr="00C52C4C">
              <w:rPr>
                <w:rFonts w:cs="Times New Roman"/>
                <w:sz w:val="22"/>
                <w:szCs w:val="22"/>
                <w:lang w:val="es-ES"/>
              </w:rPr>
              <w:t>INNs) (</w:t>
            </w:r>
            <w:r w:rsidR="00764AEE" w:rsidRPr="00E31D66">
              <w:rPr>
                <w:color w:val="000000"/>
                <w:sz w:val="22"/>
                <w:szCs w:val="22"/>
                <w:lang w:val="es-ES"/>
              </w:rPr>
              <w:t>que incluyen, entre otros:</w:t>
            </w:r>
            <w:r w:rsidRPr="00C52C4C">
              <w:rPr>
                <w:rFonts w:cs="Times New Roman"/>
                <w:sz w:val="22"/>
                <w:szCs w:val="22"/>
                <w:lang w:val="es-ES"/>
              </w:rPr>
              <w:t xml:space="preserve"> delavirdina, nevirapina)</w:t>
            </w:r>
            <w:r w:rsidRPr="00C52C4C">
              <w:rPr>
                <w:rFonts w:cs="Times New Roman"/>
                <w:sz w:val="22"/>
                <w:szCs w:val="22"/>
                <w:vertAlign w:val="superscript"/>
                <w:lang w:val="es-ES"/>
              </w:rPr>
              <w:t>*</w:t>
            </w:r>
            <w:r w:rsidRPr="00C52C4C">
              <w:rPr>
                <w:rFonts w:cs="Times New Roman"/>
                <w:sz w:val="22"/>
                <w:szCs w:val="22"/>
                <w:lang w:val="es-ES"/>
              </w:rPr>
              <w:br/>
            </w:r>
            <w:r w:rsidRPr="00C52C4C">
              <w:rPr>
                <w:rFonts w:cs="Times New Roman"/>
                <w:i/>
                <w:sz w:val="22"/>
                <w:szCs w:val="22"/>
                <w:lang w:val="es-ES"/>
              </w:rPr>
              <w:t xml:space="preserve">[sustratos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 xml:space="preserve">P3A4, inhibidores o inductores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P450]</w:t>
            </w:r>
          </w:p>
        </w:tc>
        <w:tc>
          <w:tcPr>
            <w:tcW w:w="3685" w:type="dxa"/>
          </w:tcPr>
          <w:p w14:paraId="0061FD0E"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 xml:space="preserve">No se ha estudiado clínicamente. En estudios </w:t>
            </w:r>
            <w:r w:rsidRPr="00C52C4C">
              <w:rPr>
                <w:rFonts w:cs="Times New Roman"/>
                <w:i/>
                <w:sz w:val="22"/>
                <w:szCs w:val="22"/>
                <w:lang w:val="es-ES"/>
              </w:rPr>
              <w:t>in vitro</w:t>
            </w:r>
            <w:r w:rsidRPr="00C52C4C">
              <w:rPr>
                <w:rFonts w:cs="Times New Roman"/>
                <w:sz w:val="22"/>
                <w:szCs w:val="22"/>
                <w:lang w:val="es-ES"/>
              </w:rPr>
              <w:t xml:space="preserve"> se ha observado que el metabolismo de voriconazol puede ser inhibido por </w:t>
            </w:r>
            <w:smartTag w:uri="urn:schemas-microsoft-com:office:smarttags" w:element="PersonName">
              <w:r w:rsidRPr="00C52C4C">
                <w:rPr>
                  <w:rFonts w:cs="Times New Roman"/>
                  <w:sz w:val="22"/>
                  <w:szCs w:val="22"/>
                  <w:lang w:val="es-ES"/>
                </w:rPr>
                <w:t>IT</w:t>
              </w:r>
            </w:smartTag>
            <w:r w:rsidRPr="00C52C4C">
              <w:rPr>
                <w:rFonts w:cs="Times New Roman"/>
                <w:sz w:val="22"/>
                <w:szCs w:val="22"/>
                <w:lang w:val="es-ES"/>
              </w:rPr>
              <w:t xml:space="preserve">INN y que voriconazol puede inhibir el metabolismo de los </w:t>
            </w:r>
            <w:smartTag w:uri="urn:schemas-microsoft-com:office:smarttags" w:element="PersonName">
              <w:r w:rsidRPr="00C52C4C">
                <w:rPr>
                  <w:rFonts w:cs="Times New Roman"/>
                  <w:sz w:val="22"/>
                  <w:szCs w:val="22"/>
                  <w:lang w:val="es-ES"/>
                </w:rPr>
                <w:t>IT</w:t>
              </w:r>
            </w:smartTag>
            <w:r w:rsidRPr="00C52C4C">
              <w:rPr>
                <w:rFonts w:cs="Times New Roman"/>
                <w:sz w:val="22"/>
                <w:szCs w:val="22"/>
                <w:lang w:val="es-ES"/>
              </w:rPr>
              <w:t xml:space="preserve">INNs. </w:t>
            </w:r>
          </w:p>
          <w:p w14:paraId="4A35C1DA"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 xml:space="preserve">Los hallazgos del efecto de efavirenz sobre voriconazol sugieren que el metabolismo de voriconazol puede ser inducido por un </w:t>
            </w:r>
            <w:smartTag w:uri="urn:schemas-microsoft-com:office:smarttags" w:element="PersonName">
              <w:r w:rsidRPr="00C52C4C">
                <w:rPr>
                  <w:rFonts w:cs="Times New Roman"/>
                  <w:sz w:val="22"/>
                  <w:szCs w:val="22"/>
                  <w:lang w:val="es-ES"/>
                </w:rPr>
                <w:t>IT</w:t>
              </w:r>
            </w:smartTag>
            <w:r w:rsidRPr="00C52C4C">
              <w:rPr>
                <w:rFonts w:cs="Times New Roman"/>
                <w:sz w:val="22"/>
                <w:szCs w:val="22"/>
                <w:lang w:val="es-ES"/>
              </w:rPr>
              <w:t>INN.</w:t>
            </w:r>
          </w:p>
        </w:tc>
        <w:tc>
          <w:tcPr>
            <w:tcW w:w="2835" w:type="dxa"/>
          </w:tcPr>
          <w:p w14:paraId="0B5A91C8"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Monitorizar cuidadosamente la aparición de toxicidad farmacológica y/o falta de eficacia, pudiendo ser necesario un ajuste de la dosis.</w:t>
            </w:r>
          </w:p>
        </w:tc>
      </w:tr>
      <w:tr w:rsidR="00E32978" w:rsidRPr="00C52C4C" w14:paraId="5B493479" w14:textId="77777777" w:rsidTr="00AC5BF4">
        <w:trPr>
          <w:trHeight w:val="2539"/>
          <w:jc w:val="center"/>
        </w:trPr>
        <w:tc>
          <w:tcPr>
            <w:tcW w:w="2696" w:type="dxa"/>
          </w:tcPr>
          <w:p w14:paraId="43CD8FD6" w14:textId="77777777" w:rsidR="00E32978" w:rsidRPr="00E32978" w:rsidRDefault="00E32978" w:rsidP="00E32978">
            <w:pPr>
              <w:pStyle w:val="TableText"/>
              <w:tabs>
                <w:tab w:val="left" w:pos="360"/>
              </w:tabs>
              <w:overflowPunct w:val="0"/>
              <w:autoSpaceDE w:val="0"/>
              <w:autoSpaceDN w:val="0"/>
              <w:adjustRightInd w:val="0"/>
              <w:textAlignment w:val="baseline"/>
              <w:rPr>
                <w:rFonts w:cs="Times New Roman"/>
                <w:sz w:val="22"/>
                <w:szCs w:val="22"/>
                <w:lang w:val="es-ES"/>
              </w:rPr>
            </w:pPr>
            <w:r w:rsidRPr="00E32978">
              <w:rPr>
                <w:rFonts w:cs="Times New Roman"/>
                <w:sz w:val="22"/>
                <w:szCs w:val="22"/>
                <w:lang w:val="es-ES"/>
              </w:rPr>
              <w:t>Tretinoína</w:t>
            </w:r>
          </w:p>
          <w:p w14:paraId="4013DCC9" w14:textId="77777777" w:rsidR="00E32978" w:rsidRPr="00041B44" w:rsidRDefault="00E32978" w:rsidP="00E32978">
            <w:pPr>
              <w:pStyle w:val="TableText"/>
              <w:tabs>
                <w:tab w:val="left" w:pos="360"/>
              </w:tabs>
              <w:overflowPunct w:val="0"/>
              <w:autoSpaceDE w:val="0"/>
              <w:autoSpaceDN w:val="0"/>
              <w:adjustRightInd w:val="0"/>
              <w:textAlignment w:val="baseline"/>
              <w:rPr>
                <w:rFonts w:cs="Times New Roman"/>
                <w:i/>
                <w:iCs/>
                <w:sz w:val="22"/>
                <w:szCs w:val="22"/>
                <w:lang w:val="es-ES"/>
              </w:rPr>
            </w:pPr>
            <w:r w:rsidRPr="00041B44">
              <w:rPr>
                <w:rFonts w:cs="Times New Roman"/>
                <w:i/>
                <w:iCs/>
                <w:sz w:val="22"/>
                <w:szCs w:val="22"/>
                <w:lang w:val="es-ES"/>
              </w:rPr>
              <w:t>[Sustrato del CYP3A4]</w:t>
            </w:r>
          </w:p>
        </w:tc>
        <w:tc>
          <w:tcPr>
            <w:tcW w:w="3685" w:type="dxa"/>
          </w:tcPr>
          <w:p w14:paraId="5509CEE7" w14:textId="77777777" w:rsidR="00E32978" w:rsidRPr="00E32978" w:rsidRDefault="00E32978" w:rsidP="00E32978">
            <w:pPr>
              <w:pStyle w:val="TableText"/>
              <w:tabs>
                <w:tab w:val="left" w:pos="216"/>
              </w:tabs>
              <w:overflowPunct w:val="0"/>
              <w:autoSpaceDE w:val="0"/>
              <w:autoSpaceDN w:val="0"/>
              <w:adjustRightInd w:val="0"/>
              <w:textAlignment w:val="baseline"/>
              <w:rPr>
                <w:rFonts w:cs="Times New Roman"/>
                <w:sz w:val="22"/>
                <w:szCs w:val="22"/>
                <w:lang w:val="es-ES"/>
              </w:rPr>
            </w:pPr>
            <w:r w:rsidRPr="00E32978">
              <w:rPr>
                <w:rFonts w:cs="Times New Roman"/>
                <w:sz w:val="22"/>
                <w:szCs w:val="22"/>
                <w:lang w:val="es-ES"/>
              </w:rPr>
              <w:t>Aunque no se ha estudiado, voriconazol</w:t>
            </w:r>
          </w:p>
          <w:p w14:paraId="7453637C" w14:textId="77777777" w:rsidR="00E32978" w:rsidRPr="00E32978" w:rsidRDefault="00E32978" w:rsidP="00E32978">
            <w:pPr>
              <w:pStyle w:val="TableText"/>
              <w:tabs>
                <w:tab w:val="left" w:pos="216"/>
              </w:tabs>
              <w:overflowPunct w:val="0"/>
              <w:autoSpaceDE w:val="0"/>
              <w:autoSpaceDN w:val="0"/>
              <w:adjustRightInd w:val="0"/>
              <w:textAlignment w:val="baseline"/>
              <w:rPr>
                <w:rFonts w:cs="Times New Roman"/>
                <w:sz w:val="22"/>
                <w:szCs w:val="22"/>
                <w:lang w:val="es-ES"/>
              </w:rPr>
            </w:pPr>
            <w:r w:rsidRPr="00E32978">
              <w:rPr>
                <w:rFonts w:cs="Times New Roman"/>
                <w:sz w:val="22"/>
                <w:szCs w:val="22"/>
                <w:lang w:val="es-ES"/>
              </w:rPr>
              <w:t>puede incrementar las concentraciones</w:t>
            </w:r>
          </w:p>
          <w:p w14:paraId="3E1C77A5" w14:textId="77777777" w:rsidR="00E32978" w:rsidRPr="00E32978" w:rsidRDefault="00E32978" w:rsidP="00E32978">
            <w:pPr>
              <w:pStyle w:val="TableText"/>
              <w:tabs>
                <w:tab w:val="left" w:pos="216"/>
              </w:tabs>
              <w:overflowPunct w:val="0"/>
              <w:autoSpaceDE w:val="0"/>
              <w:autoSpaceDN w:val="0"/>
              <w:adjustRightInd w:val="0"/>
              <w:textAlignment w:val="baseline"/>
              <w:rPr>
                <w:rFonts w:cs="Times New Roman"/>
                <w:sz w:val="22"/>
                <w:szCs w:val="22"/>
                <w:lang w:val="es-ES"/>
              </w:rPr>
            </w:pPr>
            <w:r w:rsidRPr="00E32978">
              <w:rPr>
                <w:rFonts w:cs="Times New Roman"/>
                <w:sz w:val="22"/>
                <w:szCs w:val="22"/>
                <w:lang w:val="es-ES"/>
              </w:rPr>
              <w:t>de tretinoína y el riesgo de reacciones</w:t>
            </w:r>
          </w:p>
          <w:p w14:paraId="6526C87C" w14:textId="77777777" w:rsidR="00E32978" w:rsidRPr="00E32978" w:rsidRDefault="00E32978" w:rsidP="00E32978">
            <w:pPr>
              <w:pStyle w:val="TableText"/>
              <w:tabs>
                <w:tab w:val="left" w:pos="216"/>
              </w:tabs>
              <w:overflowPunct w:val="0"/>
              <w:autoSpaceDE w:val="0"/>
              <w:autoSpaceDN w:val="0"/>
              <w:adjustRightInd w:val="0"/>
              <w:textAlignment w:val="baseline"/>
              <w:rPr>
                <w:rFonts w:cs="Times New Roman"/>
                <w:sz w:val="22"/>
                <w:szCs w:val="22"/>
                <w:lang w:val="es-ES"/>
              </w:rPr>
            </w:pPr>
            <w:r w:rsidRPr="00E32978">
              <w:rPr>
                <w:rFonts w:cs="Times New Roman"/>
                <w:sz w:val="22"/>
                <w:szCs w:val="22"/>
                <w:lang w:val="es-ES"/>
              </w:rPr>
              <w:t>adversas (pseudotumor cerebral,</w:t>
            </w:r>
          </w:p>
          <w:p w14:paraId="1BE62B32" w14:textId="77777777" w:rsidR="00E32978" w:rsidRPr="00C52C4C" w:rsidRDefault="00E32978" w:rsidP="00E32978">
            <w:pPr>
              <w:pStyle w:val="TableText"/>
              <w:tabs>
                <w:tab w:val="left" w:pos="216"/>
              </w:tabs>
              <w:overflowPunct w:val="0"/>
              <w:autoSpaceDE w:val="0"/>
              <w:autoSpaceDN w:val="0"/>
              <w:adjustRightInd w:val="0"/>
              <w:textAlignment w:val="baseline"/>
              <w:rPr>
                <w:rFonts w:cs="Times New Roman"/>
                <w:sz w:val="22"/>
                <w:szCs w:val="22"/>
                <w:lang w:val="es-ES"/>
              </w:rPr>
            </w:pPr>
            <w:r w:rsidRPr="00E32978">
              <w:rPr>
                <w:rFonts w:cs="Times New Roman"/>
                <w:sz w:val="22"/>
                <w:szCs w:val="22"/>
                <w:lang w:val="es-ES"/>
              </w:rPr>
              <w:t>hipercalcemia).</w:t>
            </w:r>
          </w:p>
        </w:tc>
        <w:tc>
          <w:tcPr>
            <w:tcW w:w="2835" w:type="dxa"/>
          </w:tcPr>
          <w:p w14:paraId="6813D116" w14:textId="77777777" w:rsidR="00E32978" w:rsidRPr="00C52C4C" w:rsidRDefault="00E32978" w:rsidP="00E32978">
            <w:pPr>
              <w:pStyle w:val="TableText"/>
              <w:overflowPunct w:val="0"/>
              <w:autoSpaceDE w:val="0"/>
              <w:autoSpaceDN w:val="0"/>
              <w:adjustRightInd w:val="0"/>
              <w:textAlignment w:val="baseline"/>
              <w:rPr>
                <w:rFonts w:cs="Times New Roman"/>
                <w:sz w:val="22"/>
                <w:szCs w:val="22"/>
                <w:lang w:val="es-ES"/>
              </w:rPr>
            </w:pPr>
            <w:r w:rsidRPr="00E32978">
              <w:rPr>
                <w:rFonts w:cs="Times New Roman"/>
                <w:sz w:val="22"/>
                <w:szCs w:val="22"/>
                <w:lang w:val="es-ES"/>
              </w:rPr>
              <w:t>Se recomienda ajustar la dosis de</w:t>
            </w:r>
            <w:r>
              <w:rPr>
                <w:rFonts w:cs="Times New Roman"/>
                <w:sz w:val="22"/>
                <w:szCs w:val="22"/>
                <w:lang w:val="es-ES"/>
              </w:rPr>
              <w:t xml:space="preserve"> </w:t>
            </w:r>
            <w:r w:rsidRPr="00E32978">
              <w:rPr>
                <w:rFonts w:cs="Times New Roman"/>
                <w:sz w:val="22"/>
                <w:szCs w:val="22"/>
                <w:lang w:val="es-ES"/>
              </w:rPr>
              <w:t>tretinoína durante el tratamiento con</w:t>
            </w:r>
            <w:r>
              <w:rPr>
                <w:rFonts w:cs="Times New Roman"/>
                <w:sz w:val="22"/>
                <w:szCs w:val="22"/>
                <w:lang w:val="es-ES"/>
              </w:rPr>
              <w:t xml:space="preserve"> </w:t>
            </w:r>
            <w:r w:rsidRPr="00E32978">
              <w:rPr>
                <w:rFonts w:cs="Times New Roman"/>
                <w:sz w:val="22"/>
                <w:szCs w:val="22"/>
                <w:lang w:val="es-ES"/>
              </w:rPr>
              <w:t>voriconazol y después de su</w:t>
            </w:r>
            <w:r>
              <w:rPr>
                <w:rFonts w:cs="Times New Roman"/>
                <w:sz w:val="22"/>
                <w:szCs w:val="22"/>
                <w:lang w:val="es-ES"/>
              </w:rPr>
              <w:t xml:space="preserve"> </w:t>
            </w:r>
            <w:r w:rsidRPr="00E32978">
              <w:rPr>
                <w:rFonts w:cs="Times New Roman"/>
                <w:sz w:val="22"/>
                <w:szCs w:val="22"/>
                <w:lang w:val="es-ES"/>
              </w:rPr>
              <w:t>suspensión.</w:t>
            </w:r>
          </w:p>
        </w:tc>
      </w:tr>
      <w:tr w:rsidR="00D061AA" w:rsidRPr="00C52C4C" w14:paraId="6ACA1E45" w14:textId="77777777" w:rsidTr="00AC5BF4">
        <w:trPr>
          <w:trHeight w:val="1130"/>
          <w:jc w:val="center"/>
        </w:trPr>
        <w:tc>
          <w:tcPr>
            <w:tcW w:w="2696" w:type="dxa"/>
          </w:tcPr>
          <w:p w14:paraId="226EECFC" w14:textId="77777777" w:rsidR="00D061AA" w:rsidRPr="00C52C4C" w:rsidRDefault="00D061AA" w:rsidP="00EE4A64">
            <w:pPr>
              <w:pStyle w:val="TableText"/>
              <w:overflowPunct w:val="0"/>
              <w:autoSpaceDE w:val="0"/>
              <w:autoSpaceDN w:val="0"/>
              <w:adjustRightInd w:val="0"/>
              <w:textAlignment w:val="baseline"/>
              <w:rPr>
                <w:rFonts w:cs="Times New Roman"/>
                <w:i/>
                <w:sz w:val="22"/>
                <w:szCs w:val="22"/>
                <w:u w:val="single"/>
                <w:lang w:val="es-ES"/>
              </w:rPr>
            </w:pPr>
            <w:r w:rsidRPr="00C52C4C">
              <w:rPr>
                <w:rFonts w:cs="Times New Roman"/>
                <w:sz w:val="22"/>
                <w:szCs w:val="22"/>
                <w:lang w:val="es-ES"/>
              </w:rPr>
              <w:lastRenderedPageBreak/>
              <w:t>Cimetidina (400 mg BID)</w:t>
            </w:r>
            <w:r w:rsidRPr="00C52C4C">
              <w:rPr>
                <w:rFonts w:cs="Times New Roman"/>
                <w:sz w:val="22"/>
                <w:szCs w:val="22"/>
                <w:lang w:val="es-ES"/>
              </w:rPr>
              <w:br/>
            </w:r>
            <w:r w:rsidRPr="00C52C4C">
              <w:rPr>
                <w:rFonts w:cs="Times New Roman"/>
                <w:i/>
                <w:sz w:val="22"/>
                <w:szCs w:val="22"/>
                <w:lang w:val="es-ES"/>
              </w:rPr>
              <w:t xml:space="preserve">[inhibidor no específico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P450 y aumenta el pH gástrico]</w:t>
            </w:r>
          </w:p>
        </w:tc>
        <w:tc>
          <w:tcPr>
            <w:tcW w:w="3685" w:type="dxa"/>
          </w:tcPr>
          <w:p w14:paraId="14865006"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rPr>
            </w:pPr>
            <w:r w:rsidRPr="00C52C4C">
              <w:rPr>
                <w:rFonts w:cs="Times New Roman"/>
                <w:sz w:val="22"/>
                <w:szCs w:val="22"/>
              </w:rPr>
              <w:t>C</w:t>
            </w:r>
            <w:r w:rsidRPr="00C52C4C">
              <w:rPr>
                <w:rFonts w:cs="Times New Roman"/>
                <w:sz w:val="22"/>
                <w:szCs w:val="22"/>
                <w:vertAlign w:val="subscript"/>
              </w:rPr>
              <w:t>max</w:t>
            </w:r>
            <w:r w:rsidRPr="00C52C4C">
              <w:rPr>
                <w:rFonts w:cs="Times New Roman"/>
                <w:sz w:val="22"/>
                <w:szCs w:val="22"/>
              </w:rPr>
              <w:t xml:space="preserve"> voriconazol </w:t>
            </w:r>
            <w:r w:rsidR="000A1F73" w:rsidRPr="00C52C4C">
              <w:rPr>
                <w:rFonts w:cs="Times New Roman"/>
                <w:sz w:val="22"/>
                <w:szCs w:val="22"/>
                <w:lang w:val="en-GB"/>
              </w:rPr>
              <w:sym w:font="Symbol" w:char="F0AD"/>
            </w:r>
            <w:r w:rsidRPr="00C52C4C">
              <w:rPr>
                <w:rFonts w:cs="Times New Roman"/>
                <w:sz w:val="22"/>
                <w:szCs w:val="22"/>
              </w:rPr>
              <w:t xml:space="preserve"> 18%</w:t>
            </w:r>
            <w:r w:rsidRPr="00C52C4C">
              <w:rPr>
                <w:rFonts w:cs="Times New Roman"/>
                <w:sz w:val="22"/>
                <w:szCs w:val="22"/>
              </w:rPr>
              <w:br/>
              <w:t>AUC</w:t>
            </w:r>
            <w:r w:rsidRPr="00C52C4C">
              <w:rPr>
                <w:rFonts w:cs="Times New Roman"/>
                <w:sz w:val="22"/>
                <w:szCs w:val="22"/>
              </w:rPr>
              <w:sym w:font="Symbol" w:char="F074"/>
            </w:r>
            <w:r w:rsidRPr="00C52C4C">
              <w:rPr>
                <w:rFonts w:cs="Times New Roman"/>
                <w:sz w:val="22"/>
                <w:szCs w:val="22"/>
              </w:rPr>
              <w:t xml:space="preserve"> voriconazol </w:t>
            </w:r>
            <w:r w:rsidR="000A1F73" w:rsidRPr="00C52C4C">
              <w:rPr>
                <w:rFonts w:cs="Times New Roman"/>
                <w:sz w:val="22"/>
                <w:szCs w:val="22"/>
                <w:lang w:val="en-GB"/>
              </w:rPr>
              <w:sym w:font="Symbol" w:char="F0AD"/>
            </w:r>
            <w:r w:rsidRPr="00C52C4C">
              <w:rPr>
                <w:rFonts w:cs="Times New Roman"/>
                <w:sz w:val="22"/>
                <w:szCs w:val="22"/>
              </w:rPr>
              <w:t xml:space="preserve"> 23%</w:t>
            </w:r>
          </w:p>
        </w:tc>
        <w:tc>
          <w:tcPr>
            <w:tcW w:w="2835" w:type="dxa"/>
          </w:tcPr>
          <w:p w14:paraId="7FB8ACCD"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No se precisa ajuste de dosis.</w:t>
            </w:r>
          </w:p>
        </w:tc>
      </w:tr>
      <w:tr w:rsidR="00D061AA" w:rsidRPr="00C52C4C" w14:paraId="7F25C97E" w14:textId="77777777" w:rsidTr="00AC5BF4">
        <w:trPr>
          <w:trHeight w:val="719"/>
          <w:jc w:val="center"/>
        </w:trPr>
        <w:tc>
          <w:tcPr>
            <w:tcW w:w="2696" w:type="dxa"/>
          </w:tcPr>
          <w:p w14:paraId="66F82930"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Digoxina (0.25 mg QD)</w:t>
            </w:r>
            <w:r w:rsidRPr="00C52C4C">
              <w:rPr>
                <w:rFonts w:cs="Times New Roman"/>
                <w:sz w:val="22"/>
                <w:szCs w:val="22"/>
                <w:lang w:val="es-ES"/>
              </w:rPr>
              <w:br/>
            </w:r>
            <w:r w:rsidRPr="00C52C4C">
              <w:rPr>
                <w:rFonts w:cs="Times New Roman"/>
                <w:i/>
                <w:sz w:val="22"/>
                <w:szCs w:val="22"/>
                <w:lang w:val="es-ES"/>
              </w:rPr>
              <w:t>[sustrato de gp-P</w:t>
            </w:r>
          </w:p>
        </w:tc>
        <w:tc>
          <w:tcPr>
            <w:tcW w:w="3685" w:type="dxa"/>
          </w:tcPr>
          <w:p w14:paraId="5950F479"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rPr>
            </w:pPr>
            <w:r w:rsidRPr="00C52C4C">
              <w:rPr>
                <w:rFonts w:cs="Times New Roman"/>
                <w:sz w:val="22"/>
                <w:szCs w:val="22"/>
              </w:rPr>
              <w:t>C</w:t>
            </w:r>
            <w:r w:rsidRPr="00C52C4C">
              <w:rPr>
                <w:rFonts w:cs="Times New Roman"/>
                <w:sz w:val="22"/>
                <w:szCs w:val="22"/>
                <w:vertAlign w:val="subscript"/>
              </w:rPr>
              <w:t>max</w:t>
            </w:r>
            <w:r w:rsidRPr="00C52C4C">
              <w:rPr>
                <w:rFonts w:cs="Times New Roman"/>
                <w:sz w:val="22"/>
                <w:szCs w:val="22"/>
              </w:rPr>
              <w:t xml:space="preserve"> digoxina ↔</w:t>
            </w:r>
            <w:r w:rsidRPr="00C52C4C">
              <w:rPr>
                <w:rFonts w:cs="Times New Roman"/>
                <w:sz w:val="22"/>
                <w:szCs w:val="22"/>
              </w:rPr>
              <w:br/>
              <w:t>AUC</w:t>
            </w:r>
            <w:r w:rsidRPr="00C52C4C">
              <w:rPr>
                <w:rFonts w:cs="Times New Roman"/>
                <w:sz w:val="22"/>
                <w:szCs w:val="22"/>
              </w:rPr>
              <w:sym w:font="Symbol" w:char="F074"/>
            </w:r>
            <w:r w:rsidRPr="00C52C4C">
              <w:rPr>
                <w:rFonts w:cs="Times New Roman"/>
                <w:sz w:val="22"/>
                <w:szCs w:val="22"/>
              </w:rPr>
              <w:t xml:space="preserve"> digoxina ↔</w:t>
            </w:r>
          </w:p>
        </w:tc>
        <w:tc>
          <w:tcPr>
            <w:tcW w:w="2835" w:type="dxa"/>
          </w:tcPr>
          <w:p w14:paraId="11BF9E3A"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 xml:space="preserve">No se precisa ajuste de dosis </w:t>
            </w:r>
          </w:p>
        </w:tc>
      </w:tr>
      <w:tr w:rsidR="00D061AA" w:rsidRPr="00C52C4C" w14:paraId="15A79FED" w14:textId="77777777" w:rsidTr="00AC5BF4">
        <w:trPr>
          <w:jc w:val="center"/>
        </w:trPr>
        <w:tc>
          <w:tcPr>
            <w:tcW w:w="2696" w:type="dxa"/>
          </w:tcPr>
          <w:p w14:paraId="67AFF057"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Indinavir (800 mg TID)</w:t>
            </w:r>
            <w:r w:rsidRPr="00C52C4C">
              <w:rPr>
                <w:rFonts w:cs="Times New Roman"/>
                <w:sz w:val="22"/>
                <w:szCs w:val="22"/>
                <w:lang w:val="es-ES"/>
              </w:rPr>
              <w:br/>
            </w:r>
            <w:r w:rsidRPr="00C52C4C">
              <w:rPr>
                <w:rFonts w:cs="Times New Roman"/>
                <w:i/>
                <w:sz w:val="22"/>
                <w:szCs w:val="22"/>
                <w:lang w:val="es-ES"/>
              </w:rPr>
              <w:t xml:space="preserve">[inhibidor y sustrato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P3A4]</w:t>
            </w:r>
          </w:p>
        </w:tc>
        <w:tc>
          <w:tcPr>
            <w:tcW w:w="3685" w:type="dxa"/>
          </w:tcPr>
          <w:p w14:paraId="63A42653"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w:t>
            </w:r>
            <w:r w:rsidRPr="00C52C4C">
              <w:rPr>
                <w:rFonts w:cs="Times New Roman"/>
                <w:sz w:val="22"/>
                <w:szCs w:val="22"/>
                <w:vertAlign w:val="subscript"/>
                <w:lang w:val="es-ES"/>
              </w:rPr>
              <w:t>max</w:t>
            </w:r>
            <w:r w:rsidRPr="00C52C4C">
              <w:rPr>
                <w:rFonts w:cs="Times New Roman"/>
                <w:sz w:val="22"/>
                <w:szCs w:val="22"/>
                <w:lang w:val="es-ES"/>
              </w:rPr>
              <w:t xml:space="preserve"> indinavir ↔</w:t>
            </w:r>
            <w:r w:rsidRPr="00C52C4C">
              <w:rPr>
                <w:rFonts w:cs="Times New Roman"/>
                <w:sz w:val="22"/>
                <w:szCs w:val="22"/>
                <w:lang w:val="es-ES"/>
              </w:rPr>
              <w:br/>
              <w:t>AUC</w:t>
            </w:r>
            <w:r w:rsidRPr="00C52C4C">
              <w:rPr>
                <w:rFonts w:cs="Times New Roman"/>
                <w:sz w:val="22"/>
                <w:szCs w:val="22"/>
              </w:rPr>
              <w:sym w:font="Symbol" w:char="F074"/>
            </w:r>
            <w:r w:rsidRPr="00C52C4C">
              <w:rPr>
                <w:rFonts w:cs="Times New Roman"/>
                <w:sz w:val="22"/>
                <w:szCs w:val="22"/>
                <w:lang w:val="es-ES"/>
              </w:rPr>
              <w:t xml:space="preserve"> indinavir ↔</w:t>
            </w:r>
          </w:p>
          <w:p w14:paraId="2B5F2D7F"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w:t>
            </w:r>
            <w:r w:rsidRPr="00C52C4C">
              <w:rPr>
                <w:rFonts w:cs="Times New Roman"/>
                <w:sz w:val="22"/>
                <w:szCs w:val="22"/>
                <w:vertAlign w:val="subscript"/>
                <w:lang w:val="es-ES"/>
              </w:rPr>
              <w:t>max</w:t>
            </w:r>
            <w:r w:rsidRPr="00C52C4C">
              <w:rPr>
                <w:rFonts w:cs="Times New Roman"/>
                <w:sz w:val="22"/>
                <w:szCs w:val="22"/>
                <w:lang w:val="es-ES"/>
              </w:rPr>
              <w:t xml:space="preserve"> voriconazol ↔</w:t>
            </w:r>
            <w:r w:rsidRPr="00C52C4C">
              <w:rPr>
                <w:rFonts w:cs="Times New Roman"/>
                <w:sz w:val="22"/>
                <w:szCs w:val="22"/>
                <w:lang w:val="es-ES"/>
              </w:rPr>
              <w:br/>
              <w:t>AUC</w:t>
            </w:r>
            <w:r w:rsidRPr="00C52C4C">
              <w:rPr>
                <w:rFonts w:cs="Times New Roman"/>
                <w:sz w:val="22"/>
                <w:szCs w:val="22"/>
              </w:rPr>
              <w:sym w:font="Symbol" w:char="F074"/>
            </w:r>
            <w:r w:rsidRPr="00C52C4C">
              <w:rPr>
                <w:rFonts w:cs="Times New Roman"/>
                <w:sz w:val="22"/>
                <w:szCs w:val="22"/>
                <w:lang w:val="es-ES"/>
              </w:rPr>
              <w:t xml:space="preserve"> voriconazol ↔</w:t>
            </w:r>
          </w:p>
        </w:tc>
        <w:tc>
          <w:tcPr>
            <w:tcW w:w="2835" w:type="dxa"/>
          </w:tcPr>
          <w:p w14:paraId="7D6137D3"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 xml:space="preserve">No se precisa ajuste de dosis </w:t>
            </w:r>
          </w:p>
        </w:tc>
      </w:tr>
      <w:tr w:rsidR="00D061AA" w:rsidRPr="00C52C4C" w14:paraId="39E6F45C" w14:textId="77777777" w:rsidTr="00AC5BF4">
        <w:trPr>
          <w:jc w:val="center"/>
        </w:trPr>
        <w:tc>
          <w:tcPr>
            <w:tcW w:w="2696" w:type="dxa"/>
          </w:tcPr>
          <w:p w14:paraId="5AAF0DC1" w14:textId="77777777" w:rsidR="00D061AA" w:rsidRPr="00C52C4C" w:rsidRDefault="00D061AA" w:rsidP="00EE4A64">
            <w:pPr>
              <w:pStyle w:val="TableText"/>
              <w:tabs>
                <w:tab w:val="left" w:pos="360"/>
              </w:tabs>
              <w:overflowPunct w:val="0"/>
              <w:autoSpaceDE w:val="0"/>
              <w:autoSpaceDN w:val="0"/>
              <w:adjustRightInd w:val="0"/>
              <w:ind w:left="72" w:hanging="72"/>
              <w:textAlignment w:val="baseline"/>
              <w:rPr>
                <w:rFonts w:cs="Times New Roman"/>
                <w:sz w:val="22"/>
                <w:szCs w:val="22"/>
                <w:lang w:val="es-ES"/>
              </w:rPr>
            </w:pPr>
            <w:r w:rsidRPr="00C52C4C">
              <w:rPr>
                <w:rFonts w:cs="Times New Roman"/>
                <w:sz w:val="22"/>
                <w:szCs w:val="22"/>
                <w:lang w:val="es-ES"/>
              </w:rPr>
              <w:t>Antibióticos macrólidos</w:t>
            </w:r>
          </w:p>
          <w:p w14:paraId="08AF89F8" w14:textId="77777777" w:rsidR="00D061AA" w:rsidRPr="00C52C4C" w:rsidRDefault="00D061AA" w:rsidP="00EE4A64">
            <w:pPr>
              <w:pStyle w:val="TableText"/>
              <w:tabs>
                <w:tab w:val="left" w:pos="360"/>
              </w:tabs>
              <w:overflowPunct w:val="0"/>
              <w:autoSpaceDE w:val="0"/>
              <w:autoSpaceDN w:val="0"/>
              <w:adjustRightInd w:val="0"/>
              <w:ind w:left="144" w:hanging="72"/>
              <w:textAlignment w:val="baseline"/>
              <w:rPr>
                <w:rFonts w:cs="Times New Roman"/>
                <w:sz w:val="22"/>
                <w:szCs w:val="22"/>
                <w:lang w:val="es-ES"/>
              </w:rPr>
            </w:pPr>
          </w:p>
          <w:p w14:paraId="514CB54D" w14:textId="77777777" w:rsidR="00D061AA" w:rsidRPr="00C52C4C" w:rsidRDefault="00D061AA" w:rsidP="00EE4A64">
            <w:pPr>
              <w:pStyle w:val="TableText"/>
              <w:tabs>
                <w:tab w:val="left" w:pos="360"/>
              </w:tabs>
              <w:overflowPunct w:val="0"/>
              <w:autoSpaceDE w:val="0"/>
              <w:autoSpaceDN w:val="0"/>
              <w:adjustRightInd w:val="0"/>
              <w:ind w:left="144" w:hanging="72"/>
              <w:textAlignment w:val="baseline"/>
              <w:rPr>
                <w:rFonts w:cs="Times New Roman"/>
                <w:sz w:val="22"/>
                <w:szCs w:val="22"/>
                <w:lang w:val="es-ES"/>
              </w:rPr>
            </w:pPr>
            <w:r w:rsidRPr="00C52C4C">
              <w:rPr>
                <w:rFonts w:cs="Times New Roman"/>
                <w:sz w:val="22"/>
                <w:szCs w:val="22"/>
                <w:lang w:val="es-ES"/>
              </w:rPr>
              <w:t>Eritromicina (</w:t>
            </w:r>
            <w:smartTag w:uri="urn:schemas-microsoft-com:office:smarttags" w:element="metricconverter">
              <w:smartTagPr>
                <w:attr w:name="ProductID" w:val="1 g"/>
              </w:smartTagPr>
              <w:r w:rsidRPr="00C52C4C">
                <w:rPr>
                  <w:rFonts w:cs="Times New Roman"/>
                  <w:sz w:val="22"/>
                  <w:szCs w:val="22"/>
                  <w:lang w:val="es-ES"/>
                </w:rPr>
                <w:t>1 g</w:t>
              </w:r>
            </w:smartTag>
            <w:r w:rsidRPr="00C52C4C">
              <w:rPr>
                <w:rFonts w:cs="Times New Roman"/>
                <w:sz w:val="22"/>
                <w:szCs w:val="22"/>
                <w:lang w:val="es-ES"/>
              </w:rPr>
              <w:t xml:space="preserve"> BID)</w:t>
            </w:r>
          </w:p>
          <w:p w14:paraId="06D42C62" w14:textId="77777777" w:rsidR="00D061AA" w:rsidRPr="00C52C4C" w:rsidRDefault="00D061AA" w:rsidP="00EE4A64">
            <w:pPr>
              <w:pStyle w:val="TableText"/>
              <w:tabs>
                <w:tab w:val="left" w:pos="360"/>
              </w:tabs>
              <w:overflowPunct w:val="0"/>
              <w:autoSpaceDE w:val="0"/>
              <w:autoSpaceDN w:val="0"/>
              <w:adjustRightInd w:val="0"/>
              <w:ind w:left="144" w:hanging="72"/>
              <w:textAlignment w:val="baseline"/>
              <w:rPr>
                <w:rFonts w:cs="Times New Roman"/>
                <w:sz w:val="22"/>
                <w:szCs w:val="22"/>
                <w:lang w:val="es-ES"/>
              </w:rPr>
            </w:pPr>
            <w:r w:rsidRPr="00C52C4C">
              <w:rPr>
                <w:rFonts w:cs="Times New Roman"/>
                <w:i/>
                <w:sz w:val="22"/>
                <w:szCs w:val="22"/>
                <w:lang w:val="es-ES"/>
              </w:rPr>
              <w:t xml:space="preserve">[inhibidor del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P3A4]</w:t>
            </w:r>
          </w:p>
          <w:p w14:paraId="14B7642D" w14:textId="77777777" w:rsidR="00D061AA" w:rsidRPr="00C52C4C" w:rsidRDefault="00D061AA" w:rsidP="00EE4A64">
            <w:pPr>
              <w:pStyle w:val="TableText"/>
              <w:tabs>
                <w:tab w:val="left" w:pos="360"/>
              </w:tabs>
              <w:overflowPunct w:val="0"/>
              <w:autoSpaceDE w:val="0"/>
              <w:autoSpaceDN w:val="0"/>
              <w:adjustRightInd w:val="0"/>
              <w:ind w:left="144" w:hanging="216"/>
              <w:textAlignment w:val="baseline"/>
              <w:rPr>
                <w:rFonts w:cs="Times New Roman"/>
                <w:sz w:val="22"/>
                <w:szCs w:val="22"/>
                <w:lang w:val="es-ES"/>
              </w:rPr>
            </w:pPr>
          </w:p>
          <w:p w14:paraId="5A8ACB24" w14:textId="77777777" w:rsidR="00D061AA" w:rsidRPr="00C52C4C" w:rsidRDefault="00D061AA" w:rsidP="00EE4A64">
            <w:pPr>
              <w:pStyle w:val="TableText"/>
              <w:tabs>
                <w:tab w:val="left" w:pos="360"/>
              </w:tabs>
              <w:overflowPunct w:val="0"/>
              <w:autoSpaceDE w:val="0"/>
              <w:autoSpaceDN w:val="0"/>
              <w:adjustRightInd w:val="0"/>
              <w:ind w:left="144" w:hanging="216"/>
              <w:textAlignment w:val="baseline"/>
              <w:rPr>
                <w:rFonts w:cs="Times New Roman"/>
                <w:sz w:val="22"/>
                <w:szCs w:val="22"/>
                <w:lang w:val="es-ES_tradnl"/>
              </w:rPr>
            </w:pPr>
            <w:r w:rsidRPr="00C52C4C">
              <w:rPr>
                <w:rFonts w:cs="Times New Roman"/>
                <w:sz w:val="22"/>
                <w:szCs w:val="22"/>
                <w:lang w:val="es-ES"/>
              </w:rPr>
              <w:tab/>
            </w:r>
            <w:r w:rsidRPr="00C52C4C">
              <w:rPr>
                <w:rFonts w:cs="Times New Roman"/>
                <w:sz w:val="22"/>
                <w:szCs w:val="22"/>
                <w:lang w:val="es-ES_tradnl"/>
              </w:rPr>
              <w:t>Azitromicina (500 mg QD)</w:t>
            </w:r>
          </w:p>
        </w:tc>
        <w:tc>
          <w:tcPr>
            <w:tcW w:w="3685" w:type="dxa"/>
          </w:tcPr>
          <w:p w14:paraId="19A01825"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p>
          <w:p w14:paraId="2DCB04C8"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p>
          <w:p w14:paraId="60832F1E"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w:t>
            </w:r>
            <w:r w:rsidRPr="00C52C4C">
              <w:rPr>
                <w:rFonts w:cs="Times New Roman"/>
                <w:sz w:val="22"/>
                <w:szCs w:val="22"/>
                <w:vertAlign w:val="subscript"/>
                <w:lang w:val="es-ES"/>
              </w:rPr>
              <w:t>max</w:t>
            </w:r>
            <w:r w:rsidRPr="00C52C4C">
              <w:rPr>
                <w:rFonts w:cs="Times New Roman"/>
                <w:sz w:val="22"/>
                <w:szCs w:val="22"/>
                <w:lang w:val="es-ES"/>
              </w:rPr>
              <w:t xml:space="preserve"> y AUC</w:t>
            </w:r>
            <w:r w:rsidRPr="00C52C4C">
              <w:rPr>
                <w:rFonts w:cs="Times New Roman"/>
                <w:sz w:val="22"/>
                <w:szCs w:val="22"/>
              </w:rPr>
              <w:sym w:font="Symbol" w:char="F074"/>
            </w:r>
            <w:r w:rsidRPr="00C52C4C">
              <w:rPr>
                <w:rFonts w:cs="Times New Roman"/>
                <w:sz w:val="22"/>
                <w:szCs w:val="22"/>
                <w:lang w:val="es-ES"/>
              </w:rPr>
              <w:t xml:space="preserve"> voriconazol ↔</w:t>
            </w:r>
          </w:p>
          <w:p w14:paraId="23B37029"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p>
          <w:p w14:paraId="35E29BB4"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p>
          <w:p w14:paraId="517C14D1"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w:t>
            </w:r>
            <w:r w:rsidRPr="00C52C4C">
              <w:rPr>
                <w:rFonts w:cs="Times New Roman"/>
                <w:sz w:val="22"/>
                <w:szCs w:val="22"/>
                <w:vertAlign w:val="subscript"/>
                <w:lang w:val="es-ES"/>
              </w:rPr>
              <w:t>max</w:t>
            </w:r>
            <w:r w:rsidRPr="00C52C4C">
              <w:rPr>
                <w:rFonts w:cs="Times New Roman"/>
                <w:sz w:val="22"/>
                <w:szCs w:val="22"/>
                <w:lang w:val="es-ES"/>
              </w:rPr>
              <w:t xml:space="preserve"> y AUC</w:t>
            </w:r>
            <w:r w:rsidRPr="00C52C4C">
              <w:rPr>
                <w:rFonts w:cs="Times New Roman"/>
                <w:sz w:val="22"/>
                <w:szCs w:val="22"/>
              </w:rPr>
              <w:sym w:font="Symbol" w:char="F074"/>
            </w:r>
            <w:r w:rsidRPr="00C52C4C">
              <w:rPr>
                <w:rFonts w:cs="Times New Roman"/>
                <w:sz w:val="22"/>
                <w:szCs w:val="22"/>
                <w:lang w:val="es-ES"/>
              </w:rPr>
              <w:t xml:space="preserve"> voriconazol ↔</w:t>
            </w:r>
          </w:p>
          <w:p w14:paraId="20377A42"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p>
          <w:p w14:paraId="0B59F1C6"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Se desconoce el efecto de voriconazol sobre  eritromicina o azitromicina.</w:t>
            </w:r>
          </w:p>
        </w:tc>
        <w:tc>
          <w:tcPr>
            <w:tcW w:w="2835" w:type="dxa"/>
          </w:tcPr>
          <w:p w14:paraId="149CEA76"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p>
          <w:p w14:paraId="62DB66D0"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p>
          <w:p w14:paraId="16043160"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 xml:space="preserve">No se precisa ajuste de dosis </w:t>
            </w:r>
          </w:p>
        </w:tc>
      </w:tr>
      <w:tr w:rsidR="00D061AA" w:rsidRPr="00C52C4C" w14:paraId="342C1A03" w14:textId="77777777" w:rsidTr="00AC5BF4">
        <w:trPr>
          <w:jc w:val="center"/>
        </w:trPr>
        <w:tc>
          <w:tcPr>
            <w:tcW w:w="2696" w:type="dxa"/>
          </w:tcPr>
          <w:p w14:paraId="6C394802"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 xml:space="preserve">Ácido micofenólico (dosis única de </w:t>
            </w:r>
            <w:smartTag w:uri="urn:schemas-microsoft-com:office:smarttags" w:element="metricconverter">
              <w:smartTagPr>
                <w:attr w:name="ProductID" w:val="1 g"/>
              </w:smartTagPr>
              <w:r w:rsidRPr="00C52C4C">
                <w:rPr>
                  <w:rFonts w:cs="Times New Roman"/>
                  <w:sz w:val="22"/>
                  <w:szCs w:val="22"/>
                  <w:lang w:val="es-ES"/>
                </w:rPr>
                <w:t>1 g</w:t>
              </w:r>
            </w:smartTag>
            <w:r w:rsidRPr="00C52C4C">
              <w:rPr>
                <w:rFonts w:cs="Times New Roman"/>
                <w:sz w:val="22"/>
                <w:szCs w:val="22"/>
                <w:lang w:val="es-ES"/>
              </w:rPr>
              <w:t xml:space="preserve">)  </w:t>
            </w:r>
            <w:r w:rsidRPr="00C52C4C">
              <w:rPr>
                <w:rFonts w:cs="Times New Roman"/>
                <w:i/>
                <w:sz w:val="22"/>
                <w:szCs w:val="22"/>
                <w:lang w:val="es-ES"/>
              </w:rPr>
              <w:t>[sustrato de UDP-glucuronil transferasa]</w:t>
            </w:r>
          </w:p>
        </w:tc>
        <w:tc>
          <w:tcPr>
            <w:tcW w:w="3685" w:type="dxa"/>
          </w:tcPr>
          <w:p w14:paraId="6C8C65B7"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C</w:t>
            </w:r>
            <w:r w:rsidRPr="00C52C4C">
              <w:rPr>
                <w:rFonts w:cs="Times New Roman"/>
                <w:sz w:val="22"/>
                <w:szCs w:val="22"/>
                <w:vertAlign w:val="subscript"/>
                <w:lang w:val="es-ES"/>
              </w:rPr>
              <w:t>max</w:t>
            </w:r>
            <w:r w:rsidRPr="00C52C4C">
              <w:rPr>
                <w:rFonts w:cs="Times New Roman"/>
                <w:sz w:val="22"/>
                <w:szCs w:val="22"/>
                <w:lang w:val="es-ES"/>
              </w:rPr>
              <w:t xml:space="preserve"> ácido micofenólico↔</w:t>
            </w:r>
            <w:r w:rsidRPr="00C52C4C">
              <w:rPr>
                <w:rFonts w:cs="Times New Roman"/>
                <w:sz w:val="22"/>
                <w:szCs w:val="22"/>
                <w:lang w:val="es-ES"/>
              </w:rPr>
              <w:br/>
              <w:t>AUC</w:t>
            </w:r>
            <w:r w:rsidRPr="00C52C4C">
              <w:rPr>
                <w:rFonts w:cs="Times New Roman"/>
                <w:sz w:val="22"/>
                <w:szCs w:val="22"/>
                <w:vertAlign w:val="subscript"/>
                <w:lang w:val="es-ES"/>
              </w:rPr>
              <w:t>t</w:t>
            </w:r>
            <w:r w:rsidRPr="00C52C4C">
              <w:rPr>
                <w:rFonts w:cs="Times New Roman"/>
                <w:sz w:val="22"/>
                <w:szCs w:val="22"/>
                <w:lang w:val="es-ES"/>
              </w:rPr>
              <w:t xml:space="preserve"> ácido micofenólico↔</w:t>
            </w:r>
          </w:p>
        </w:tc>
        <w:tc>
          <w:tcPr>
            <w:tcW w:w="2835" w:type="dxa"/>
          </w:tcPr>
          <w:p w14:paraId="61271A62"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No se precisa ajuste de dosis</w:t>
            </w:r>
          </w:p>
        </w:tc>
      </w:tr>
      <w:tr w:rsidR="00D061AA" w:rsidRPr="00C52C4C" w14:paraId="09AC4A50" w14:textId="77777777" w:rsidTr="00AC5BF4">
        <w:trPr>
          <w:jc w:val="center"/>
        </w:trPr>
        <w:tc>
          <w:tcPr>
            <w:tcW w:w="2696" w:type="dxa"/>
          </w:tcPr>
          <w:p w14:paraId="1AEEBAF6" w14:textId="77777777" w:rsidR="00037F6D" w:rsidRDefault="0041340A" w:rsidP="00EE4A64">
            <w:pPr>
              <w:pStyle w:val="TableText"/>
              <w:overflowPunct w:val="0"/>
              <w:autoSpaceDE w:val="0"/>
              <w:autoSpaceDN w:val="0"/>
              <w:adjustRightInd w:val="0"/>
              <w:textAlignment w:val="baseline"/>
              <w:rPr>
                <w:rFonts w:cs="Times New Roman"/>
                <w:sz w:val="22"/>
                <w:szCs w:val="22"/>
                <w:lang w:val="es-ES"/>
              </w:rPr>
            </w:pPr>
            <w:r w:rsidRPr="0041340A">
              <w:rPr>
                <w:rFonts w:cs="Times New Roman"/>
                <w:sz w:val="22"/>
                <w:szCs w:val="22"/>
                <w:lang w:val="es-ES"/>
              </w:rPr>
              <w:t>Corticosteroides</w:t>
            </w:r>
          </w:p>
          <w:p w14:paraId="538728FC"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 xml:space="preserve">Prednisolona (dosis única de 60 mg) </w:t>
            </w:r>
            <w:r w:rsidRPr="00C52C4C">
              <w:rPr>
                <w:rFonts w:cs="Times New Roman"/>
                <w:sz w:val="22"/>
                <w:szCs w:val="22"/>
                <w:lang w:val="es-ES"/>
              </w:rPr>
              <w:br/>
            </w:r>
            <w:r w:rsidRPr="00C52C4C">
              <w:rPr>
                <w:rFonts w:cs="Times New Roman"/>
                <w:i/>
                <w:sz w:val="22"/>
                <w:szCs w:val="22"/>
                <w:lang w:val="es-ES"/>
              </w:rPr>
              <w:t xml:space="preserve">[sustrato </w:t>
            </w:r>
            <w:smartTag w:uri="urn:schemas-microsoft-com:office:smarttags" w:element="PersonName">
              <w:r w:rsidRPr="00C52C4C">
                <w:rPr>
                  <w:rFonts w:cs="Times New Roman"/>
                  <w:i/>
                  <w:sz w:val="22"/>
                  <w:szCs w:val="22"/>
                  <w:lang w:val="es-ES"/>
                </w:rPr>
                <w:t>CY</w:t>
              </w:r>
            </w:smartTag>
            <w:r w:rsidRPr="00C52C4C">
              <w:rPr>
                <w:rFonts w:cs="Times New Roman"/>
                <w:i/>
                <w:sz w:val="22"/>
                <w:szCs w:val="22"/>
                <w:lang w:val="es-ES"/>
              </w:rPr>
              <w:t>P3A4]</w:t>
            </w:r>
          </w:p>
        </w:tc>
        <w:tc>
          <w:tcPr>
            <w:tcW w:w="3685" w:type="dxa"/>
          </w:tcPr>
          <w:p w14:paraId="033C3F8A" w14:textId="77777777" w:rsidR="0041340A" w:rsidRPr="002869DC" w:rsidRDefault="0041340A" w:rsidP="00EE4A64">
            <w:pPr>
              <w:pStyle w:val="TableText"/>
              <w:tabs>
                <w:tab w:val="left" w:pos="216"/>
              </w:tabs>
              <w:overflowPunct w:val="0"/>
              <w:autoSpaceDE w:val="0"/>
              <w:autoSpaceDN w:val="0"/>
              <w:adjustRightInd w:val="0"/>
              <w:textAlignment w:val="baseline"/>
              <w:rPr>
                <w:rFonts w:cs="Times New Roman"/>
                <w:sz w:val="22"/>
                <w:szCs w:val="22"/>
                <w:lang w:val="es-ES"/>
              </w:rPr>
            </w:pPr>
          </w:p>
          <w:p w14:paraId="395E4B81" w14:textId="77777777" w:rsidR="00D061AA" w:rsidRPr="00C52C4C" w:rsidRDefault="00D061AA" w:rsidP="00EE4A64">
            <w:pPr>
              <w:pStyle w:val="TableText"/>
              <w:tabs>
                <w:tab w:val="left" w:pos="216"/>
              </w:tabs>
              <w:overflowPunct w:val="0"/>
              <w:autoSpaceDE w:val="0"/>
              <w:autoSpaceDN w:val="0"/>
              <w:adjustRightInd w:val="0"/>
              <w:textAlignment w:val="baseline"/>
              <w:rPr>
                <w:rFonts w:cs="Times New Roman"/>
                <w:sz w:val="22"/>
                <w:szCs w:val="22"/>
              </w:rPr>
            </w:pPr>
            <w:r w:rsidRPr="00C52C4C">
              <w:rPr>
                <w:rFonts w:cs="Times New Roman"/>
                <w:sz w:val="22"/>
                <w:szCs w:val="22"/>
              </w:rPr>
              <w:t>C</w:t>
            </w:r>
            <w:r w:rsidRPr="00C52C4C">
              <w:rPr>
                <w:rFonts w:cs="Times New Roman"/>
                <w:sz w:val="22"/>
                <w:szCs w:val="22"/>
                <w:vertAlign w:val="subscript"/>
              </w:rPr>
              <w:t>max</w:t>
            </w:r>
            <w:r w:rsidRPr="00C52C4C">
              <w:rPr>
                <w:rFonts w:cs="Times New Roman"/>
                <w:sz w:val="22"/>
                <w:szCs w:val="22"/>
              </w:rPr>
              <w:t xml:space="preserve"> prednisolona </w:t>
            </w:r>
            <w:r w:rsidR="000A1F73" w:rsidRPr="00C52C4C">
              <w:rPr>
                <w:rFonts w:cs="Times New Roman"/>
                <w:sz w:val="22"/>
                <w:szCs w:val="22"/>
                <w:lang w:val="en-GB"/>
              </w:rPr>
              <w:sym w:font="Symbol" w:char="F0AD"/>
            </w:r>
            <w:r w:rsidRPr="00C52C4C">
              <w:rPr>
                <w:rFonts w:cs="Times New Roman"/>
                <w:sz w:val="22"/>
                <w:szCs w:val="22"/>
              </w:rPr>
              <w:t xml:space="preserve"> 11%</w:t>
            </w:r>
            <w:r w:rsidRPr="00C52C4C">
              <w:rPr>
                <w:rFonts w:cs="Times New Roman"/>
                <w:sz w:val="22"/>
                <w:szCs w:val="22"/>
              </w:rPr>
              <w:br/>
              <w:t>AUC</w:t>
            </w:r>
            <w:r w:rsidR="00526830" w:rsidRPr="00CD5831">
              <w:rPr>
                <w:sz w:val="22"/>
                <w:szCs w:val="22"/>
                <w:vertAlign w:val="subscript"/>
                <w:lang w:val="sv-SE"/>
              </w:rPr>
              <w:t>0-</w:t>
            </w:r>
            <w:r w:rsidR="00526830" w:rsidRPr="00CD5831">
              <w:rPr>
                <w:sz w:val="22"/>
                <w:szCs w:val="22"/>
                <w:vertAlign w:val="subscript"/>
                <w:lang w:val="sv-SE"/>
              </w:rPr>
              <w:sym w:font="Symbol" w:char="F0A5"/>
            </w:r>
            <w:r w:rsidRPr="00C52C4C">
              <w:rPr>
                <w:rFonts w:cs="Times New Roman"/>
                <w:sz w:val="22"/>
                <w:szCs w:val="22"/>
              </w:rPr>
              <w:t xml:space="preserve"> prednisolona </w:t>
            </w:r>
            <w:r w:rsidR="000A1F73" w:rsidRPr="00C52C4C">
              <w:rPr>
                <w:rFonts w:cs="Times New Roman"/>
                <w:sz w:val="22"/>
                <w:szCs w:val="22"/>
                <w:lang w:val="en-GB"/>
              </w:rPr>
              <w:sym w:font="Symbol" w:char="F0AD"/>
            </w:r>
            <w:r w:rsidRPr="00C52C4C">
              <w:rPr>
                <w:rFonts w:cs="Times New Roman"/>
                <w:sz w:val="22"/>
                <w:szCs w:val="22"/>
              </w:rPr>
              <w:t xml:space="preserve"> 34%</w:t>
            </w:r>
          </w:p>
        </w:tc>
        <w:tc>
          <w:tcPr>
            <w:tcW w:w="2835" w:type="dxa"/>
          </w:tcPr>
          <w:p w14:paraId="71835A72" w14:textId="77777777" w:rsidR="00F84679" w:rsidRDefault="00F84679" w:rsidP="00EE4A64">
            <w:pPr>
              <w:pStyle w:val="TableText"/>
              <w:overflowPunct w:val="0"/>
              <w:autoSpaceDE w:val="0"/>
              <w:autoSpaceDN w:val="0"/>
              <w:adjustRightInd w:val="0"/>
              <w:textAlignment w:val="baseline"/>
              <w:rPr>
                <w:rFonts w:cs="Times New Roman"/>
                <w:sz w:val="22"/>
                <w:szCs w:val="22"/>
                <w:lang w:val="es-ES"/>
              </w:rPr>
            </w:pPr>
          </w:p>
          <w:p w14:paraId="5731BC4D" w14:textId="77777777" w:rsidR="00D061AA"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No se precisa ajuste de dosis</w:t>
            </w:r>
          </w:p>
          <w:p w14:paraId="2A11BD9A" w14:textId="77777777" w:rsidR="0041340A" w:rsidRDefault="0041340A" w:rsidP="0041340A">
            <w:pPr>
              <w:pStyle w:val="TableText"/>
              <w:overflowPunct w:val="0"/>
              <w:autoSpaceDE w:val="0"/>
              <w:autoSpaceDN w:val="0"/>
              <w:adjustRightInd w:val="0"/>
              <w:textAlignment w:val="baseline"/>
              <w:rPr>
                <w:rFonts w:cs="Times New Roman"/>
                <w:sz w:val="22"/>
                <w:szCs w:val="22"/>
                <w:lang w:val="es-ES"/>
              </w:rPr>
            </w:pPr>
          </w:p>
          <w:p w14:paraId="05A37871" w14:textId="77777777" w:rsidR="0041340A" w:rsidRPr="0041340A" w:rsidRDefault="0041340A" w:rsidP="0041340A">
            <w:pPr>
              <w:pStyle w:val="TableText"/>
              <w:overflowPunct w:val="0"/>
              <w:autoSpaceDE w:val="0"/>
              <w:autoSpaceDN w:val="0"/>
              <w:adjustRightInd w:val="0"/>
              <w:textAlignment w:val="baseline"/>
              <w:rPr>
                <w:rFonts w:cs="Times New Roman"/>
                <w:sz w:val="22"/>
                <w:szCs w:val="22"/>
                <w:lang w:val="es-ES"/>
              </w:rPr>
            </w:pPr>
            <w:r w:rsidRPr="0041340A">
              <w:rPr>
                <w:rFonts w:cs="Times New Roman"/>
                <w:sz w:val="22"/>
                <w:szCs w:val="22"/>
                <w:lang w:val="es-ES"/>
              </w:rPr>
              <w:t>Los pacientes en tratamiento a largo</w:t>
            </w:r>
            <w:r>
              <w:rPr>
                <w:rFonts w:cs="Times New Roman"/>
                <w:sz w:val="22"/>
                <w:szCs w:val="22"/>
                <w:lang w:val="es-ES"/>
              </w:rPr>
              <w:t xml:space="preserve"> </w:t>
            </w:r>
            <w:r w:rsidRPr="0041340A">
              <w:rPr>
                <w:rFonts w:cs="Times New Roman"/>
                <w:sz w:val="22"/>
                <w:szCs w:val="22"/>
                <w:lang w:val="es-ES"/>
              </w:rPr>
              <w:t xml:space="preserve">plazo con voriconazol y </w:t>
            </w:r>
          </w:p>
          <w:p w14:paraId="6B504311" w14:textId="77777777" w:rsidR="0041340A" w:rsidRPr="0041340A" w:rsidRDefault="0041340A" w:rsidP="0041340A">
            <w:pPr>
              <w:pStyle w:val="TableText"/>
              <w:overflowPunct w:val="0"/>
              <w:autoSpaceDE w:val="0"/>
              <w:autoSpaceDN w:val="0"/>
              <w:adjustRightInd w:val="0"/>
              <w:textAlignment w:val="baseline"/>
              <w:rPr>
                <w:rFonts w:cs="Times New Roman"/>
                <w:sz w:val="22"/>
                <w:szCs w:val="22"/>
                <w:lang w:val="es-ES"/>
              </w:rPr>
            </w:pPr>
            <w:r w:rsidRPr="0041340A">
              <w:rPr>
                <w:rFonts w:cs="Times New Roman"/>
                <w:sz w:val="22"/>
                <w:szCs w:val="22"/>
                <w:lang w:val="es-ES"/>
              </w:rPr>
              <w:t xml:space="preserve">corticosteroides (incluidos los </w:t>
            </w:r>
          </w:p>
          <w:p w14:paraId="0129CFFA" w14:textId="77777777" w:rsidR="0041340A" w:rsidRPr="0041340A" w:rsidRDefault="0041340A" w:rsidP="0041340A">
            <w:pPr>
              <w:pStyle w:val="TableText"/>
              <w:overflowPunct w:val="0"/>
              <w:autoSpaceDE w:val="0"/>
              <w:autoSpaceDN w:val="0"/>
              <w:adjustRightInd w:val="0"/>
              <w:textAlignment w:val="baseline"/>
              <w:rPr>
                <w:rFonts w:cs="Times New Roman"/>
                <w:sz w:val="22"/>
                <w:szCs w:val="22"/>
                <w:lang w:val="es-ES"/>
              </w:rPr>
            </w:pPr>
            <w:r w:rsidRPr="0041340A">
              <w:rPr>
                <w:rFonts w:cs="Times New Roman"/>
                <w:sz w:val="22"/>
                <w:szCs w:val="22"/>
                <w:lang w:val="es-ES"/>
              </w:rPr>
              <w:t xml:space="preserve">corticosteroides inhalados, por </w:t>
            </w:r>
          </w:p>
          <w:p w14:paraId="3C1C5368" w14:textId="77777777" w:rsidR="0041340A" w:rsidRPr="0041340A" w:rsidRDefault="0041340A" w:rsidP="0041340A">
            <w:pPr>
              <w:pStyle w:val="TableText"/>
              <w:overflowPunct w:val="0"/>
              <w:autoSpaceDE w:val="0"/>
              <w:autoSpaceDN w:val="0"/>
              <w:adjustRightInd w:val="0"/>
              <w:textAlignment w:val="baseline"/>
              <w:rPr>
                <w:rFonts w:cs="Times New Roman"/>
                <w:sz w:val="22"/>
                <w:szCs w:val="22"/>
                <w:lang w:val="es-ES"/>
              </w:rPr>
            </w:pPr>
            <w:r w:rsidRPr="0041340A">
              <w:rPr>
                <w:rFonts w:cs="Times New Roman"/>
                <w:sz w:val="22"/>
                <w:szCs w:val="22"/>
                <w:lang w:val="es-ES"/>
              </w:rPr>
              <w:t xml:space="preserve">ejemplo, budesonida y los </w:t>
            </w:r>
          </w:p>
          <w:p w14:paraId="25B88F5B" w14:textId="77777777" w:rsidR="0041340A" w:rsidRPr="0041340A" w:rsidRDefault="0041340A" w:rsidP="0041340A">
            <w:pPr>
              <w:pStyle w:val="TableText"/>
              <w:overflowPunct w:val="0"/>
              <w:autoSpaceDE w:val="0"/>
              <w:autoSpaceDN w:val="0"/>
              <w:adjustRightInd w:val="0"/>
              <w:textAlignment w:val="baseline"/>
              <w:rPr>
                <w:rFonts w:cs="Times New Roman"/>
                <w:sz w:val="22"/>
                <w:szCs w:val="22"/>
                <w:lang w:val="es-ES"/>
              </w:rPr>
            </w:pPr>
            <w:r w:rsidRPr="0041340A">
              <w:rPr>
                <w:rFonts w:cs="Times New Roman"/>
                <w:sz w:val="22"/>
                <w:szCs w:val="22"/>
                <w:lang w:val="es-ES"/>
              </w:rPr>
              <w:t>corticosteroides intranasales) se</w:t>
            </w:r>
            <w:r>
              <w:rPr>
                <w:rFonts w:cs="Times New Roman"/>
                <w:sz w:val="22"/>
                <w:szCs w:val="22"/>
                <w:lang w:val="es-ES"/>
              </w:rPr>
              <w:t xml:space="preserve"> </w:t>
            </w:r>
            <w:r w:rsidRPr="0041340A">
              <w:rPr>
                <w:rFonts w:cs="Times New Roman"/>
                <w:sz w:val="22"/>
                <w:szCs w:val="22"/>
                <w:lang w:val="es-ES"/>
              </w:rPr>
              <w:t>deben monitorizar estrechamente para</w:t>
            </w:r>
            <w:r>
              <w:rPr>
                <w:rFonts w:cs="Times New Roman"/>
                <w:sz w:val="22"/>
                <w:szCs w:val="22"/>
                <w:lang w:val="es-ES"/>
              </w:rPr>
              <w:t xml:space="preserve"> </w:t>
            </w:r>
            <w:r w:rsidRPr="0041340A">
              <w:rPr>
                <w:rFonts w:cs="Times New Roman"/>
                <w:sz w:val="22"/>
                <w:szCs w:val="22"/>
                <w:lang w:val="es-ES"/>
              </w:rPr>
              <w:t xml:space="preserve">detectar insuficiencia de la corteza </w:t>
            </w:r>
          </w:p>
          <w:p w14:paraId="34605B71" w14:textId="77777777" w:rsidR="0041340A" w:rsidRPr="0041340A" w:rsidRDefault="0041340A" w:rsidP="0041340A">
            <w:pPr>
              <w:pStyle w:val="TableText"/>
              <w:overflowPunct w:val="0"/>
              <w:autoSpaceDE w:val="0"/>
              <w:autoSpaceDN w:val="0"/>
              <w:adjustRightInd w:val="0"/>
              <w:textAlignment w:val="baseline"/>
              <w:rPr>
                <w:rFonts w:cs="Times New Roman"/>
                <w:sz w:val="22"/>
                <w:szCs w:val="22"/>
                <w:lang w:val="es-ES"/>
              </w:rPr>
            </w:pPr>
            <w:r w:rsidRPr="0041340A">
              <w:rPr>
                <w:rFonts w:cs="Times New Roman"/>
                <w:sz w:val="22"/>
                <w:szCs w:val="22"/>
                <w:lang w:val="es-ES"/>
              </w:rPr>
              <w:t xml:space="preserve">suprarrenal tanto durante como </w:t>
            </w:r>
          </w:p>
          <w:p w14:paraId="6FA0DF88" w14:textId="77777777" w:rsidR="0041340A" w:rsidRPr="00C52C4C" w:rsidRDefault="0041340A" w:rsidP="00EF53A1">
            <w:pPr>
              <w:pStyle w:val="TableText"/>
              <w:overflowPunct w:val="0"/>
              <w:autoSpaceDE w:val="0"/>
              <w:autoSpaceDN w:val="0"/>
              <w:adjustRightInd w:val="0"/>
              <w:textAlignment w:val="baseline"/>
              <w:rPr>
                <w:rFonts w:cs="Times New Roman"/>
                <w:sz w:val="22"/>
                <w:szCs w:val="22"/>
                <w:lang w:val="es-ES"/>
              </w:rPr>
            </w:pPr>
            <w:r w:rsidRPr="0041340A">
              <w:rPr>
                <w:rFonts w:cs="Times New Roman"/>
                <w:sz w:val="22"/>
                <w:szCs w:val="22"/>
                <w:lang w:val="es-ES"/>
              </w:rPr>
              <w:t>cuando se suspende el</w:t>
            </w:r>
            <w:r w:rsidR="00EF53A1">
              <w:rPr>
                <w:rFonts w:cs="Times New Roman"/>
                <w:sz w:val="22"/>
                <w:szCs w:val="22"/>
                <w:lang w:val="es-ES"/>
              </w:rPr>
              <w:t xml:space="preserve"> t</w:t>
            </w:r>
            <w:r w:rsidRPr="0041340A">
              <w:rPr>
                <w:rFonts w:cs="Times New Roman"/>
                <w:sz w:val="22"/>
                <w:szCs w:val="22"/>
                <w:lang w:val="es-ES"/>
              </w:rPr>
              <w:t>ratamiento</w:t>
            </w:r>
            <w:r w:rsidR="00EF53A1">
              <w:rPr>
                <w:rFonts w:cs="Times New Roman"/>
                <w:sz w:val="22"/>
                <w:szCs w:val="22"/>
                <w:lang w:val="es-ES"/>
              </w:rPr>
              <w:t xml:space="preserve"> </w:t>
            </w:r>
            <w:r w:rsidRPr="0041340A">
              <w:rPr>
                <w:rFonts w:cs="Times New Roman"/>
                <w:sz w:val="22"/>
                <w:szCs w:val="22"/>
                <w:lang w:val="es-ES"/>
              </w:rPr>
              <w:t>con voriconazol (ver sección 4.4).</w:t>
            </w:r>
          </w:p>
        </w:tc>
      </w:tr>
      <w:tr w:rsidR="00D061AA" w:rsidRPr="00C52C4C" w14:paraId="4D85EB8A" w14:textId="77777777" w:rsidTr="00AC5BF4">
        <w:trPr>
          <w:jc w:val="center"/>
        </w:trPr>
        <w:tc>
          <w:tcPr>
            <w:tcW w:w="2696" w:type="dxa"/>
          </w:tcPr>
          <w:p w14:paraId="31AB93BD" w14:textId="77777777" w:rsidR="00D061AA" w:rsidRPr="00C52C4C" w:rsidRDefault="00D061AA" w:rsidP="00EE4A64">
            <w:pPr>
              <w:pStyle w:val="TableText"/>
              <w:overflowPunct w:val="0"/>
              <w:autoSpaceDE w:val="0"/>
              <w:autoSpaceDN w:val="0"/>
              <w:adjustRightInd w:val="0"/>
              <w:textAlignment w:val="baseline"/>
              <w:rPr>
                <w:rFonts w:cs="Times New Roman"/>
                <w:i/>
                <w:sz w:val="22"/>
                <w:szCs w:val="22"/>
                <w:lang w:val="es-ES"/>
              </w:rPr>
            </w:pPr>
            <w:r w:rsidRPr="00C52C4C">
              <w:rPr>
                <w:rFonts w:cs="Times New Roman"/>
                <w:sz w:val="22"/>
                <w:szCs w:val="22"/>
                <w:lang w:val="es-ES"/>
              </w:rPr>
              <w:t>Ranitidina (150 mg BID)</w:t>
            </w:r>
            <w:r w:rsidRPr="00C52C4C">
              <w:rPr>
                <w:rFonts w:cs="Times New Roman"/>
                <w:sz w:val="22"/>
                <w:szCs w:val="22"/>
                <w:lang w:val="es-ES"/>
              </w:rPr>
              <w:br/>
            </w:r>
            <w:r w:rsidRPr="00C52C4C">
              <w:rPr>
                <w:rFonts w:cs="Times New Roman"/>
                <w:i/>
                <w:sz w:val="22"/>
                <w:szCs w:val="22"/>
                <w:lang w:val="es-ES"/>
              </w:rPr>
              <w:t>[incremente el pH gástrico]</w:t>
            </w:r>
          </w:p>
        </w:tc>
        <w:tc>
          <w:tcPr>
            <w:tcW w:w="3685" w:type="dxa"/>
          </w:tcPr>
          <w:p w14:paraId="1E4F87BD"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rPr>
            </w:pPr>
            <w:r w:rsidRPr="00C52C4C">
              <w:rPr>
                <w:rFonts w:cs="Times New Roman"/>
                <w:sz w:val="22"/>
                <w:szCs w:val="22"/>
              </w:rPr>
              <w:t>C</w:t>
            </w:r>
            <w:r w:rsidRPr="00C52C4C">
              <w:rPr>
                <w:rFonts w:cs="Times New Roman"/>
                <w:sz w:val="22"/>
                <w:szCs w:val="22"/>
                <w:vertAlign w:val="subscript"/>
              </w:rPr>
              <w:t>max</w:t>
            </w:r>
            <w:r w:rsidRPr="00C52C4C">
              <w:rPr>
                <w:rFonts w:cs="Times New Roman"/>
                <w:sz w:val="22"/>
                <w:szCs w:val="22"/>
              </w:rPr>
              <w:t xml:space="preserve"> y AUC</w:t>
            </w:r>
            <w:r w:rsidRPr="00C52C4C">
              <w:rPr>
                <w:rFonts w:cs="Times New Roman"/>
                <w:sz w:val="22"/>
                <w:szCs w:val="22"/>
              </w:rPr>
              <w:sym w:font="Symbol" w:char="F074"/>
            </w:r>
            <w:r w:rsidRPr="00C52C4C">
              <w:rPr>
                <w:rFonts w:cs="Times New Roman"/>
                <w:sz w:val="22"/>
                <w:szCs w:val="22"/>
              </w:rPr>
              <w:t xml:space="preserve"> voriconazol ↔</w:t>
            </w:r>
          </w:p>
        </w:tc>
        <w:tc>
          <w:tcPr>
            <w:tcW w:w="2835" w:type="dxa"/>
          </w:tcPr>
          <w:p w14:paraId="6C171B79" w14:textId="77777777" w:rsidR="00D061AA" w:rsidRPr="00C52C4C" w:rsidRDefault="00D061AA" w:rsidP="00EE4A64">
            <w:pPr>
              <w:pStyle w:val="TableText"/>
              <w:overflowPunct w:val="0"/>
              <w:autoSpaceDE w:val="0"/>
              <w:autoSpaceDN w:val="0"/>
              <w:adjustRightInd w:val="0"/>
              <w:textAlignment w:val="baseline"/>
              <w:rPr>
                <w:rFonts w:cs="Times New Roman"/>
                <w:sz w:val="22"/>
                <w:szCs w:val="22"/>
                <w:lang w:val="es-ES"/>
              </w:rPr>
            </w:pPr>
            <w:r w:rsidRPr="00C52C4C">
              <w:rPr>
                <w:rFonts w:cs="Times New Roman"/>
                <w:sz w:val="22"/>
                <w:szCs w:val="22"/>
                <w:lang w:val="es-ES"/>
              </w:rPr>
              <w:t>No se precisa ajuste de dosis</w:t>
            </w:r>
          </w:p>
        </w:tc>
      </w:tr>
      <w:tr w:rsidR="00651F5F" w:rsidRPr="00C52C4C" w14:paraId="61890C61" w14:textId="77777777" w:rsidTr="00AC5BF4">
        <w:trPr>
          <w:jc w:val="center"/>
        </w:trPr>
        <w:tc>
          <w:tcPr>
            <w:tcW w:w="2696" w:type="dxa"/>
          </w:tcPr>
          <w:p w14:paraId="0277AC6B" w14:textId="77777777" w:rsidR="00651F5F" w:rsidRPr="00493640" w:rsidRDefault="00651F5F" w:rsidP="00651F5F">
            <w:pPr>
              <w:pStyle w:val="TableText"/>
              <w:overflowPunct w:val="0"/>
              <w:autoSpaceDE w:val="0"/>
              <w:autoSpaceDN w:val="0"/>
              <w:adjustRightInd w:val="0"/>
              <w:textAlignment w:val="baseline"/>
              <w:rPr>
                <w:rFonts w:cs="Times New Roman"/>
                <w:i/>
                <w:iCs/>
                <w:sz w:val="22"/>
                <w:szCs w:val="22"/>
                <w:lang w:val="es-ES"/>
              </w:rPr>
            </w:pPr>
            <w:r w:rsidRPr="00651F5F">
              <w:rPr>
                <w:rFonts w:cs="Times New Roman"/>
                <w:sz w:val="22"/>
                <w:szCs w:val="22"/>
                <w:lang w:val="es-ES"/>
              </w:rPr>
              <w:t>Flucloxacilina [</w:t>
            </w:r>
            <w:r w:rsidRPr="00493640">
              <w:rPr>
                <w:rFonts w:cs="Times New Roman"/>
                <w:i/>
                <w:iCs/>
                <w:sz w:val="22"/>
                <w:szCs w:val="22"/>
                <w:lang w:val="es-ES"/>
              </w:rPr>
              <w:t xml:space="preserve">inductor del </w:t>
            </w:r>
          </w:p>
          <w:p w14:paraId="395248AF" w14:textId="441E2EFB" w:rsidR="00651F5F" w:rsidRPr="00C52C4C" w:rsidRDefault="00651F5F" w:rsidP="00651F5F">
            <w:pPr>
              <w:pStyle w:val="TableText"/>
              <w:overflowPunct w:val="0"/>
              <w:autoSpaceDE w:val="0"/>
              <w:autoSpaceDN w:val="0"/>
              <w:adjustRightInd w:val="0"/>
              <w:textAlignment w:val="baseline"/>
              <w:rPr>
                <w:rFonts w:cs="Times New Roman"/>
                <w:sz w:val="22"/>
                <w:szCs w:val="22"/>
                <w:lang w:val="es-ES"/>
              </w:rPr>
            </w:pPr>
            <w:r w:rsidRPr="00493640">
              <w:rPr>
                <w:rFonts w:cs="Times New Roman"/>
                <w:i/>
                <w:iCs/>
                <w:sz w:val="22"/>
                <w:szCs w:val="22"/>
                <w:lang w:val="es-ES"/>
              </w:rPr>
              <w:t>CYP450</w:t>
            </w:r>
            <w:r w:rsidRPr="00651F5F">
              <w:rPr>
                <w:rFonts w:cs="Times New Roman"/>
                <w:sz w:val="22"/>
                <w:szCs w:val="22"/>
                <w:lang w:val="es-ES"/>
              </w:rPr>
              <w:t>]</w:t>
            </w:r>
          </w:p>
        </w:tc>
        <w:tc>
          <w:tcPr>
            <w:tcW w:w="3685" w:type="dxa"/>
          </w:tcPr>
          <w:p w14:paraId="56763B26" w14:textId="1CA3839D" w:rsidR="00651F5F" w:rsidRPr="002869DC" w:rsidRDefault="00651F5F" w:rsidP="00651F5F">
            <w:pPr>
              <w:pStyle w:val="TableText"/>
              <w:overflowPunct w:val="0"/>
              <w:autoSpaceDE w:val="0"/>
              <w:autoSpaceDN w:val="0"/>
              <w:adjustRightInd w:val="0"/>
              <w:textAlignment w:val="baseline"/>
              <w:rPr>
                <w:rFonts w:cs="Times New Roman"/>
                <w:sz w:val="22"/>
                <w:szCs w:val="22"/>
                <w:lang w:val="es-ES"/>
              </w:rPr>
            </w:pPr>
            <w:r w:rsidRPr="002869DC">
              <w:rPr>
                <w:rFonts w:cs="Times New Roman"/>
                <w:sz w:val="22"/>
                <w:szCs w:val="22"/>
                <w:lang w:val="es-ES"/>
              </w:rPr>
              <w:t xml:space="preserve">Se han notificado concentraciones plasmáticas de voriconazol </w:t>
            </w:r>
          </w:p>
          <w:p w14:paraId="24BB392B" w14:textId="10C816AC" w:rsidR="00651F5F" w:rsidRPr="00C52C4C" w:rsidRDefault="00651F5F" w:rsidP="00651F5F">
            <w:pPr>
              <w:pStyle w:val="TableText"/>
              <w:overflowPunct w:val="0"/>
              <w:autoSpaceDE w:val="0"/>
              <w:autoSpaceDN w:val="0"/>
              <w:adjustRightInd w:val="0"/>
              <w:textAlignment w:val="baseline"/>
              <w:rPr>
                <w:rFonts w:cs="Times New Roman"/>
                <w:sz w:val="22"/>
                <w:szCs w:val="22"/>
              </w:rPr>
            </w:pPr>
            <w:r w:rsidRPr="00651F5F">
              <w:rPr>
                <w:rFonts w:cs="Times New Roman"/>
                <w:sz w:val="22"/>
                <w:szCs w:val="22"/>
              </w:rPr>
              <w:t>significativamente reducidas.</w:t>
            </w:r>
          </w:p>
        </w:tc>
        <w:tc>
          <w:tcPr>
            <w:tcW w:w="2835" w:type="dxa"/>
          </w:tcPr>
          <w:p w14:paraId="6202B173" w14:textId="1A468C20" w:rsidR="00651F5F" w:rsidRPr="00651F5F" w:rsidRDefault="00651F5F" w:rsidP="00651F5F">
            <w:pPr>
              <w:pStyle w:val="TableText"/>
              <w:overflowPunct w:val="0"/>
              <w:autoSpaceDE w:val="0"/>
              <w:autoSpaceDN w:val="0"/>
              <w:adjustRightInd w:val="0"/>
              <w:textAlignment w:val="baseline"/>
              <w:rPr>
                <w:rFonts w:cs="Times New Roman"/>
                <w:sz w:val="22"/>
                <w:szCs w:val="22"/>
                <w:lang w:val="es-ES"/>
              </w:rPr>
            </w:pPr>
            <w:r w:rsidRPr="00651F5F">
              <w:rPr>
                <w:rFonts w:cs="Times New Roman"/>
                <w:sz w:val="22"/>
                <w:szCs w:val="22"/>
                <w:lang w:val="es-ES"/>
              </w:rPr>
              <w:t>Si no puede evitarse la</w:t>
            </w:r>
            <w:r>
              <w:rPr>
                <w:rFonts w:cs="Times New Roman"/>
                <w:sz w:val="22"/>
                <w:szCs w:val="22"/>
                <w:lang w:val="es-ES"/>
              </w:rPr>
              <w:t xml:space="preserve"> </w:t>
            </w:r>
            <w:r w:rsidRPr="00651F5F">
              <w:rPr>
                <w:rFonts w:cs="Times New Roman"/>
                <w:sz w:val="22"/>
                <w:szCs w:val="22"/>
                <w:lang w:val="es-ES"/>
              </w:rPr>
              <w:t xml:space="preserve">administración concomitante </w:t>
            </w:r>
          </w:p>
          <w:p w14:paraId="6F0AD5C3" w14:textId="18B82894" w:rsidR="00651F5F" w:rsidRPr="00651F5F" w:rsidRDefault="00651F5F" w:rsidP="00651F5F">
            <w:pPr>
              <w:pStyle w:val="TableText"/>
              <w:overflowPunct w:val="0"/>
              <w:autoSpaceDE w:val="0"/>
              <w:autoSpaceDN w:val="0"/>
              <w:adjustRightInd w:val="0"/>
              <w:textAlignment w:val="baseline"/>
              <w:rPr>
                <w:rFonts w:cs="Times New Roman"/>
                <w:sz w:val="22"/>
                <w:szCs w:val="22"/>
                <w:lang w:val="es-ES"/>
              </w:rPr>
            </w:pPr>
            <w:r w:rsidRPr="00651F5F">
              <w:rPr>
                <w:rFonts w:cs="Times New Roman"/>
                <w:sz w:val="22"/>
                <w:szCs w:val="22"/>
                <w:lang w:val="es-ES"/>
              </w:rPr>
              <w:t>de voriconazol con</w:t>
            </w:r>
            <w:r>
              <w:rPr>
                <w:rFonts w:cs="Times New Roman"/>
                <w:sz w:val="22"/>
                <w:szCs w:val="22"/>
                <w:lang w:val="es-ES"/>
              </w:rPr>
              <w:t xml:space="preserve"> </w:t>
            </w:r>
            <w:r w:rsidRPr="00651F5F">
              <w:rPr>
                <w:rFonts w:cs="Times New Roman"/>
                <w:sz w:val="22"/>
                <w:szCs w:val="22"/>
                <w:lang w:val="es-ES"/>
              </w:rPr>
              <w:t xml:space="preserve">flucloxacilina, se debe vigilar </w:t>
            </w:r>
          </w:p>
          <w:p w14:paraId="0DB78D15" w14:textId="77777777" w:rsidR="00651F5F" w:rsidRPr="00651F5F" w:rsidRDefault="00651F5F" w:rsidP="00651F5F">
            <w:pPr>
              <w:pStyle w:val="TableText"/>
              <w:overflowPunct w:val="0"/>
              <w:autoSpaceDE w:val="0"/>
              <w:autoSpaceDN w:val="0"/>
              <w:adjustRightInd w:val="0"/>
              <w:textAlignment w:val="baseline"/>
              <w:rPr>
                <w:rFonts w:cs="Times New Roman"/>
                <w:sz w:val="22"/>
                <w:szCs w:val="22"/>
                <w:lang w:val="es-ES"/>
              </w:rPr>
            </w:pPr>
            <w:r w:rsidRPr="00651F5F">
              <w:rPr>
                <w:rFonts w:cs="Times New Roman"/>
                <w:sz w:val="22"/>
                <w:szCs w:val="22"/>
                <w:lang w:val="es-ES"/>
              </w:rPr>
              <w:t xml:space="preserve">la posible pérdida de eficacia </w:t>
            </w:r>
          </w:p>
          <w:p w14:paraId="55AC2031" w14:textId="77777777" w:rsidR="00651F5F" w:rsidRPr="00651F5F" w:rsidRDefault="00651F5F" w:rsidP="00651F5F">
            <w:pPr>
              <w:pStyle w:val="TableText"/>
              <w:overflowPunct w:val="0"/>
              <w:autoSpaceDE w:val="0"/>
              <w:autoSpaceDN w:val="0"/>
              <w:adjustRightInd w:val="0"/>
              <w:textAlignment w:val="baseline"/>
              <w:rPr>
                <w:rFonts w:cs="Times New Roman"/>
                <w:sz w:val="22"/>
                <w:szCs w:val="22"/>
                <w:lang w:val="es-ES"/>
              </w:rPr>
            </w:pPr>
            <w:r w:rsidRPr="00651F5F">
              <w:rPr>
                <w:rFonts w:cs="Times New Roman"/>
                <w:sz w:val="22"/>
                <w:szCs w:val="22"/>
                <w:lang w:val="es-ES"/>
              </w:rPr>
              <w:t xml:space="preserve">de voriconazol (p. ej., </w:t>
            </w:r>
          </w:p>
          <w:p w14:paraId="475BCF2B" w14:textId="77777777" w:rsidR="00651F5F" w:rsidRPr="00651F5F" w:rsidRDefault="00651F5F" w:rsidP="00651F5F">
            <w:pPr>
              <w:pStyle w:val="TableText"/>
              <w:overflowPunct w:val="0"/>
              <w:autoSpaceDE w:val="0"/>
              <w:autoSpaceDN w:val="0"/>
              <w:adjustRightInd w:val="0"/>
              <w:textAlignment w:val="baseline"/>
              <w:rPr>
                <w:rFonts w:cs="Times New Roman"/>
                <w:sz w:val="22"/>
                <w:szCs w:val="22"/>
                <w:lang w:val="es-ES"/>
              </w:rPr>
            </w:pPr>
            <w:r w:rsidRPr="00651F5F">
              <w:rPr>
                <w:rFonts w:cs="Times New Roman"/>
                <w:sz w:val="22"/>
                <w:szCs w:val="22"/>
                <w:lang w:val="es-ES"/>
              </w:rPr>
              <w:t xml:space="preserve">mediante la monitorización </w:t>
            </w:r>
          </w:p>
          <w:p w14:paraId="3D8CE70F" w14:textId="08580F72" w:rsidR="00651F5F" w:rsidRPr="00C52C4C" w:rsidRDefault="00651F5F" w:rsidP="00651F5F">
            <w:pPr>
              <w:pStyle w:val="TableText"/>
              <w:overflowPunct w:val="0"/>
              <w:autoSpaceDE w:val="0"/>
              <w:autoSpaceDN w:val="0"/>
              <w:adjustRightInd w:val="0"/>
              <w:textAlignment w:val="baseline"/>
              <w:rPr>
                <w:rFonts w:cs="Times New Roman"/>
                <w:sz w:val="22"/>
                <w:szCs w:val="22"/>
                <w:lang w:val="es-ES"/>
              </w:rPr>
            </w:pPr>
            <w:r w:rsidRPr="00651F5F">
              <w:rPr>
                <w:rFonts w:cs="Times New Roman"/>
                <w:sz w:val="22"/>
                <w:szCs w:val="22"/>
                <w:lang w:val="es-ES"/>
              </w:rPr>
              <w:t>terapéutica del medicamento); puede ser necesario aumentar la dosis de voriconazol.</w:t>
            </w:r>
          </w:p>
        </w:tc>
      </w:tr>
    </w:tbl>
    <w:p w14:paraId="25A9ED45" w14:textId="77777777" w:rsidR="00D061AA" w:rsidRPr="00C52C4C" w:rsidRDefault="00D061AA" w:rsidP="00D061AA">
      <w:pPr>
        <w:pStyle w:val="Textonotaalfinal"/>
        <w:spacing w:line="260" w:lineRule="exact"/>
        <w:rPr>
          <w:szCs w:val="22"/>
          <w:lang w:val="es-ES"/>
        </w:rPr>
      </w:pPr>
    </w:p>
    <w:p w14:paraId="03002545" w14:textId="77777777" w:rsidR="00D061AA" w:rsidRPr="00C52C4C" w:rsidRDefault="00D061AA" w:rsidP="006235A5">
      <w:pPr>
        <w:keepNext/>
        <w:tabs>
          <w:tab w:val="left" w:pos="567"/>
        </w:tabs>
        <w:ind w:left="567" w:hanging="567"/>
        <w:rPr>
          <w:sz w:val="22"/>
          <w:szCs w:val="22"/>
          <w:lang w:val="es-ES_tradnl"/>
        </w:rPr>
      </w:pPr>
      <w:r w:rsidRPr="00C52C4C">
        <w:rPr>
          <w:b/>
          <w:sz w:val="22"/>
          <w:szCs w:val="22"/>
          <w:lang w:val="es-ES_tradnl"/>
        </w:rPr>
        <w:lastRenderedPageBreak/>
        <w:t>4.6</w:t>
      </w:r>
      <w:r w:rsidRPr="00C52C4C">
        <w:rPr>
          <w:b/>
          <w:sz w:val="22"/>
          <w:szCs w:val="22"/>
          <w:lang w:val="es-ES_tradnl"/>
        </w:rPr>
        <w:tab/>
        <w:t>Fertilidad, embarazo y lactancia</w:t>
      </w:r>
    </w:p>
    <w:p w14:paraId="37A27A32" w14:textId="77777777" w:rsidR="00D061AA" w:rsidRPr="00C52C4C" w:rsidRDefault="00D061AA" w:rsidP="006235A5">
      <w:pPr>
        <w:keepNext/>
        <w:tabs>
          <w:tab w:val="left" w:pos="567"/>
        </w:tabs>
        <w:rPr>
          <w:sz w:val="22"/>
          <w:szCs w:val="22"/>
          <w:lang w:val="es-ES_tradnl"/>
        </w:rPr>
      </w:pPr>
    </w:p>
    <w:p w14:paraId="6F36977F" w14:textId="77777777" w:rsidR="00D061AA" w:rsidRPr="00C52C4C" w:rsidRDefault="00D061AA" w:rsidP="006235A5">
      <w:pPr>
        <w:keepNext/>
        <w:tabs>
          <w:tab w:val="left" w:pos="567"/>
        </w:tabs>
        <w:rPr>
          <w:sz w:val="22"/>
          <w:szCs w:val="22"/>
          <w:u w:val="single"/>
          <w:lang w:val="es-ES_tradnl"/>
        </w:rPr>
      </w:pPr>
      <w:r w:rsidRPr="00C52C4C">
        <w:rPr>
          <w:sz w:val="22"/>
          <w:szCs w:val="22"/>
          <w:u w:val="single"/>
          <w:lang w:val="es-ES_tradnl"/>
        </w:rPr>
        <w:t>Embarazo</w:t>
      </w:r>
    </w:p>
    <w:p w14:paraId="1C5ED0FC" w14:textId="77777777" w:rsidR="00D061AA" w:rsidRPr="00C52C4C" w:rsidRDefault="00D061AA" w:rsidP="006235A5">
      <w:pPr>
        <w:keepNext/>
        <w:tabs>
          <w:tab w:val="left" w:pos="567"/>
        </w:tabs>
        <w:rPr>
          <w:sz w:val="22"/>
          <w:szCs w:val="22"/>
          <w:lang w:val="es-ES_tradnl"/>
        </w:rPr>
      </w:pPr>
      <w:r w:rsidRPr="00C52C4C">
        <w:rPr>
          <w:sz w:val="22"/>
          <w:szCs w:val="22"/>
          <w:lang w:val="es-ES_tradnl"/>
        </w:rPr>
        <w:t xml:space="preserve">No se dispone de información adecuada sobre la utilización de </w:t>
      </w:r>
      <w:r w:rsidR="008D11BB" w:rsidRPr="00C52C4C">
        <w:rPr>
          <w:sz w:val="22"/>
          <w:szCs w:val="22"/>
        </w:rPr>
        <w:t>Voriconazol</w:t>
      </w:r>
      <w:r w:rsidR="00C636A4" w:rsidRPr="00C52C4C">
        <w:rPr>
          <w:sz w:val="22"/>
          <w:szCs w:val="22"/>
        </w:rPr>
        <w:t xml:space="preserve"> </w:t>
      </w:r>
      <w:r w:rsidRPr="00C52C4C">
        <w:rPr>
          <w:sz w:val="22"/>
          <w:szCs w:val="22"/>
          <w:lang w:val="es-ES_tradnl"/>
        </w:rPr>
        <w:t xml:space="preserve">en mujeres embarazadas. </w:t>
      </w:r>
    </w:p>
    <w:p w14:paraId="7C84121C" w14:textId="77777777" w:rsidR="00D061AA" w:rsidRPr="00C52C4C" w:rsidRDefault="00D061AA" w:rsidP="006235A5">
      <w:pPr>
        <w:keepNext/>
        <w:tabs>
          <w:tab w:val="left" w:pos="567"/>
        </w:tabs>
        <w:rPr>
          <w:sz w:val="22"/>
          <w:szCs w:val="22"/>
          <w:lang w:val="es-ES_tradnl"/>
        </w:rPr>
      </w:pPr>
    </w:p>
    <w:p w14:paraId="71B7AFB5" w14:textId="77777777" w:rsidR="00D061AA" w:rsidRPr="00C52C4C" w:rsidRDefault="00D061AA" w:rsidP="006235A5">
      <w:pPr>
        <w:keepNext/>
        <w:tabs>
          <w:tab w:val="left" w:pos="567"/>
        </w:tabs>
        <w:rPr>
          <w:sz w:val="22"/>
          <w:szCs w:val="22"/>
          <w:lang w:val="es-ES_tradnl"/>
        </w:rPr>
      </w:pPr>
      <w:r w:rsidRPr="00C52C4C">
        <w:rPr>
          <w:sz w:val="22"/>
          <w:szCs w:val="22"/>
          <w:lang w:val="es-ES_tradnl"/>
        </w:rPr>
        <w:t>Los estudios en animales han demostrado toxicidad sobre la reproducción (ver sección 5.3). Se desconoce el posible riesgo para humanos.</w:t>
      </w:r>
    </w:p>
    <w:p w14:paraId="2EDCB68E" w14:textId="77777777" w:rsidR="00D061AA" w:rsidRPr="00C52C4C" w:rsidRDefault="00D061AA" w:rsidP="00D061AA">
      <w:pPr>
        <w:tabs>
          <w:tab w:val="left" w:pos="567"/>
        </w:tabs>
        <w:rPr>
          <w:sz w:val="22"/>
          <w:szCs w:val="22"/>
          <w:lang w:val="es-ES_tradnl"/>
        </w:rPr>
      </w:pPr>
    </w:p>
    <w:p w14:paraId="64542C8B" w14:textId="77777777" w:rsidR="00D061AA" w:rsidRPr="00C52C4C" w:rsidRDefault="008D11BB" w:rsidP="00D061AA">
      <w:pPr>
        <w:tabs>
          <w:tab w:val="left" w:pos="567"/>
        </w:tabs>
        <w:rPr>
          <w:sz w:val="22"/>
          <w:szCs w:val="22"/>
          <w:lang w:val="es-ES_tradnl"/>
        </w:rPr>
      </w:pPr>
      <w:r w:rsidRPr="00C52C4C">
        <w:rPr>
          <w:sz w:val="22"/>
          <w:szCs w:val="22"/>
        </w:rPr>
        <w:t>Voriconazol</w:t>
      </w:r>
      <w:r w:rsidR="00C636A4" w:rsidRPr="00C52C4C">
        <w:rPr>
          <w:sz w:val="22"/>
          <w:szCs w:val="22"/>
        </w:rPr>
        <w:t xml:space="preserve"> Accord </w:t>
      </w:r>
      <w:r w:rsidR="00D061AA" w:rsidRPr="00C52C4C">
        <w:rPr>
          <w:sz w:val="22"/>
          <w:szCs w:val="22"/>
          <w:lang w:val="es-ES_tradnl"/>
        </w:rPr>
        <w:t>no debe utilizarse durante el embarazo a menos que los beneficios para la madre superen claramente a los riesgos potenciales para el feto.</w:t>
      </w:r>
    </w:p>
    <w:p w14:paraId="0C3DAADD" w14:textId="77777777" w:rsidR="00D061AA" w:rsidRPr="00C52C4C" w:rsidRDefault="00D061AA" w:rsidP="00D061AA">
      <w:pPr>
        <w:tabs>
          <w:tab w:val="left" w:pos="567"/>
        </w:tabs>
        <w:rPr>
          <w:b/>
          <w:sz w:val="22"/>
          <w:szCs w:val="22"/>
          <w:lang w:val="es-ES_tradnl"/>
        </w:rPr>
      </w:pPr>
    </w:p>
    <w:p w14:paraId="34D09602" w14:textId="77777777" w:rsidR="00D061AA" w:rsidRPr="00C52C4C" w:rsidRDefault="00D061AA" w:rsidP="00D061AA">
      <w:pPr>
        <w:tabs>
          <w:tab w:val="left" w:pos="567"/>
        </w:tabs>
        <w:rPr>
          <w:sz w:val="22"/>
          <w:szCs w:val="22"/>
          <w:u w:val="single"/>
          <w:lang w:val="es-ES_tradnl"/>
        </w:rPr>
      </w:pPr>
      <w:r w:rsidRPr="00C52C4C">
        <w:rPr>
          <w:sz w:val="22"/>
          <w:szCs w:val="22"/>
          <w:u w:val="single"/>
          <w:lang w:val="es-ES_tradnl"/>
        </w:rPr>
        <w:t>Mujeres en edad fértil</w:t>
      </w:r>
    </w:p>
    <w:p w14:paraId="4117ADA2" w14:textId="77777777" w:rsidR="00D061AA" w:rsidRPr="00C52C4C" w:rsidRDefault="00D061AA" w:rsidP="00D061AA">
      <w:pPr>
        <w:pStyle w:val="Ttulo6"/>
        <w:keepNext w:val="0"/>
        <w:tabs>
          <w:tab w:val="left" w:pos="567"/>
        </w:tabs>
        <w:rPr>
          <w:color w:val="auto"/>
          <w:sz w:val="22"/>
          <w:szCs w:val="22"/>
          <w:lang w:val="es-ES_tradnl"/>
        </w:rPr>
      </w:pPr>
      <w:r w:rsidRPr="00C52C4C">
        <w:rPr>
          <w:color w:val="auto"/>
          <w:sz w:val="22"/>
          <w:szCs w:val="22"/>
          <w:lang w:val="es-ES_tradnl"/>
        </w:rPr>
        <w:t>Las mujeres en edad fértil deben utilizar siempre métodos anticonceptivos eficaces durante el tratamiento.</w:t>
      </w:r>
    </w:p>
    <w:p w14:paraId="446CF0B3" w14:textId="77777777" w:rsidR="00D061AA" w:rsidRPr="00C52C4C" w:rsidRDefault="00D061AA" w:rsidP="00D061AA">
      <w:pPr>
        <w:tabs>
          <w:tab w:val="left" w:pos="567"/>
        </w:tabs>
        <w:rPr>
          <w:sz w:val="22"/>
          <w:szCs w:val="22"/>
          <w:lang w:val="es-ES_tradnl"/>
        </w:rPr>
      </w:pPr>
    </w:p>
    <w:p w14:paraId="225ADC7E" w14:textId="77777777" w:rsidR="00D061AA" w:rsidRPr="00C52C4C" w:rsidRDefault="00D061AA" w:rsidP="00D061AA">
      <w:pPr>
        <w:tabs>
          <w:tab w:val="left" w:pos="567"/>
        </w:tabs>
        <w:rPr>
          <w:sz w:val="22"/>
          <w:szCs w:val="22"/>
          <w:u w:val="single"/>
          <w:lang w:val="es-ES_tradnl"/>
        </w:rPr>
      </w:pPr>
      <w:r w:rsidRPr="00C52C4C">
        <w:rPr>
          <w:sz w:val="22"/>
          <w:szCs w:val="22"/>
          <w:u w:val="single"/>
          <w:lang w:val="es-ES_tradnl"/>
        </w:rPr>
        <w:t>Lactancia</w:t>
      </w:r>
    </w:p>
    <w:p w14:paraId="12C9A2F8" w14:textId="77777777" w:rsidR="00D061AA" w:rsidRPr="00C52C4C" w:rsidRDefault="00D061AA" w:rsidP="00D061AA">
      <w:pPr>
        <w:pStyle w:val="Textonotaalfinal"/>
        <w:widowControl w:val="0"/>
        <w:rPr>
          <w:szCs w:val="22"/>
          <w:lang w:val="es-ES_tradnl"/>
        </w:rPr>
      </w:pPr>
      <w:r w:rsidRPr="00C52C4C">
        <w:rPr>
          <w:szCs w:val="22"/>
          <w:lang w:val="es-ES_tradnl"/>
        </w:rPr>
        <w:t xml:space="preserve">No se ha estudiado la excreción de voriconazol en la leche materna. Debe interrumpirse la lactancia al comienzo del tratamiento con </w:t>
      </w:r>
      <w:r w:rsidR="008D11BB" w:rsidRPr="00C52C4C">
        <w:rPr>
          <w:szCs w:val="22"/>
          <w:lang w:val="es-ES_tradnl"/>
        </w:rPr>
        <w:t>Voriconazol</w:t>
      </w:r>
      <w:r w:rsidR="00C636A4" w:rsidRPr="00C52C4C">
        <w:rPr>
          <w:szCs w:val="22"/>
          <w:lang w:val="es-ES_tradnl"/>
        </w:rPr>
        <w:t xml:space="preserve"> Accord</w:t>
      </w:r>
      <w:r w:rsidRPr="00C52C4C">
        <w:rPr>
          <w:szCs w:val="22"/>
          <w:lang w:val="es-ES_tradnl"/>
        </w:rPr>
        <w:t>.</w:t>
      </w:r>
    </w:p>
    <w:p w14:paraId="5C7DCBB9" w14:textId="77777777" w:rsidR="00D061AA" w:rsidRPr="00C52C4C" w:rsidRDefault="00D061AA" w:rsidP="00D061AA">
      <w:pPr>
        <w:tabs>
          <w:tab w:val="left" w:pos="567"/>
        </w:tabs>
        <w:ind w:left="567" w:hanging="567"/>
        <w:rPr>
          <w:b/>
          <w:sz w:val="22"/>
          <w:szCs w:val="22"/>
          <w:lang w:val="es-ES_tradnl"/>
        </w:rPr>
      </w:pPr>
    </w:p>
    <w:p w14:paraId="60FD6AEC" w14:textId="77777777" w:rsidR="00D061AA" w:rsidRPr="00C52C4C" w:rsidRDefault="00D061AA" w:rsidP="00D061AA">
      <w:pPr>
        <w:tabs>
          <w:tab w:val="left" w:pos="567"/>
        </w:tabs>
        <w:rPr>
          <w:sz w:val="22"/>
          <w:szCs w:val="22"/>
          <w:u w:val="single"/>
          <w:lang w:val="es-ES_tradnl"/>
        </w:rPr>
      </w:pPr>
      <w:r w:rsidRPr="00C52C4C">
        <w:rPr>
          <w:sz w:val="22"/>
          <w:szCs w:val="22"/>
          <w:u w:val="single"/>
          <w:lang w:val="es-ES_tradnl"/>
        </w:rPr>
        <w:t>Fertilidad</w:t>
      </w:r>
    </w:p>
    <w:p w14:paraId="74FBBD18" w14:textId="77777777" w:rsidR="00D061AA" w:rsidRPr="00C52C4C" w:rsidRDefault="00D061AA" w:rsidP="00D061AA">
      <w:pPr>
        <w:tabs>
          <w:tab w:val="left" w:pos="0"/>
        </w:tabs>
        <w:rPr>
          <w:b/>
          <w:sz w:val="22"/>
          <w:szCs w:val="22"/>
          <w:lang w:val="es-ES_tradnl"/>
        </w:rPr>
      </w:pPr>
      <w:r w:rsidRPr="00C52C4C">
        <w:rPr>
          <w:sz w:val="22"/>
          <w:szCs w:val="22"/>
          <w:lang w:val="es-ES_tradnl"/>
        </w:rPr>
        <w:t>En un estudio con animales, no se ha demostrado alteraciones en la fertilidad en ratas macho y hembra (ver sección 5.3).</w:t>
      </w:r>
    </w:p>
    <w:p w14:paraId="789227FE" w14:textId="77777777" w:rsidR="00D061AA" w:rsidRPr="00C52C4C" w:rsidRDefault="00D061AA" w:rsidP="00D061AA">
      <w:pPr>
        <w:tabs>
          <w:tab w:val="left" w:pos="567"/>
        </w:tabs>
        <w:ind w:left="567" w:hanging="567"/>
        <w:rPr>
          <w:b/>
          <w:sz w:val="22"/>
          <w:szCs w:val="22"/>
          <w:lang w:val="es-ES_tradnl"/>
        </w:rPr>
      </w:pPr>
    </w:p>
    <w:p w14:paraId="1A15393B" w14:textId="77777777" w:rsidR="00D061AA" w:rsidRPr="00C52C4C" w:rsidRDefault="00D061AA" w:rsidP="00D061AA">
      <w:pPr>
        <w:tabs>
          <w:tab w:val="left" w:pos="567"/>
        </w:tabs>
        <w:ind w:left="567" w:hanging="567"/>
        <w:rPr>
          <w:sz w:val="22"/>
          <w:szCs w:val="22"/>
          <w:lang w:val="es-ES_tradnl"/>
        </w:rPr>
      </w:pPr>
      <w:r w:rsidRPr="00C52C4C">
        <w:rPr>
          <w:b/>
          <w:sz w:val="22"/>
          <w:szCs w:val="22"/>
          <w:lang w:val="es-ES_tradnl"/>
        </w:rPr>
        <w:t>4.7</w:t>
      </w:r>
      <w:r w:rsidRPr="00C52C4C">
        <w:rPr>
          <w:b/>
          <w:sz w:val="22"/>
          <w:szCs w:val="22"/>
          <w:lang w:val="es-ES_tradnl"/>
        </w:rPr>
        <w:tab/>
        <w:t xml:space="preserve">Efectos sobre la capacidad para conducir y utilizar máquinas  </w:t>
      </w:r>
    </w:p>
    <w:p w14:paraId="3B414CF3" w14:textId="77777777" w:rsidR="00D061AA" w:rsidRPr="00C52C4C" w:rsidRDefault="00D061AA" w:rsidP="00D061AA">
      <w:pPr>
        <w:tabs>
          <w:tab w:val="left" w:pos="567"/>
        </w:tabs>
        <w:rPr>
          <w:sz w:val="22"/>
          <w:szCs w:val="22"/>
          <w:lang w:val="es-ES_tradnl"/>
        </w:rPr>
      </w:pPr>
    </w:p>
    <w:p w14:paraId="5331C8D0"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La influencia de </w:t>
      </w:r>
      <w:r w:rsidR="008D11BB" w:rsidRPr="00C52C4C">
        <w:rPr>
          <w:sz w:val="22"/>
          <w:szCs w:val="22"/>
        </w:rPr>
        <w:t>Voriconazol</w:t>
      </w:r>
      <w:r w:rsidR="00C636A4" w:rsidRPr="00C52C4C">
        <w:rPr>
          <w:sz w:val="22"/>
          <w:szCs w:val="22"/>
        </w:rPr>
        <w:t xml:space="preserve"> Accord </w:t>
      </w:r>
      <w:r w:rsidRPr="00C52C4C">
        <w:rPr>
          <w:sz w:val="22"/>
          <w:szCs w:val="22"/>
          <w:lang w:val="es-ES_tradnl"/>
        </w:rPr>
        <w:t xml:space="preserve">sobre la capacidad para conducir y utilizar máquinas es moderada. Puede producir cambios transitorios y reversibles de la visión, incluyendo visión borrosa, percepción visual alterada/aumentada y/o fotofobia. Los pacientes deben evitar realizar tareas potencialmente peligrosas, como conducir o manejar maquinaria mientras presenten estos síntomas. </w:t>
      </w:r>
    </w:p>
    <w:p w14:paraId="37F1B8CB" w14:textId="77777777" w:rsidR="00D061AA" w:rsidRPr="00C52C4C" w:rsidRDefault="00D061AA" w:rsidP="00D061AA">
      <w:pPr>
        <w:tabs>
          <w:tab w:val="left" w:pos="567"/>
        </w:tabs>
        <w:rPr>
          <w:sz w:val="22"/>
          <w:szCs w:val="22"/>
          <w:lang w:val="es-ES_tradnl"/>
        </w:rPr>
      </w:pPr>
    </w:p>
    <w:p w14:paraId="4F4B066F" w14:textId="77777777" w:rsidR="00D061AA" w:rsidRPr="00C52C4C" w:rsidRDefault="00D061AA" w:rsidP="00D061AA">
      <w:pPr>
        <w:tabs>
          <w:tab w:val="left" w:pos="567"/>
        </w:tabs>
        <w:rPr>
          <w:b/>
          <w:sz w:val="22"/>
          <w:szCs w:val="22"/>
          <w:lang w:val="es-ES_tradnl"/>
        </w:rPr>
      </w:pPr>
      <w:r w:rsidRPr="00C52C4C">
        <w:rPr>
          <w:b/>
          <w:sz w:val="22"/>
          <w:szCs w:val="22"/>
          <w:lang w:val="es-ES_tradnl"/>
        </w:rPr>
        <w:t>4.8</w:t>
      </w:r>
      <w:r w:rsidRPr="00C52C4C">
        <w:rPr>
          <w:b/>
          <w:sz w:val="22"/>
          <w:szCs w:val="22"/>
          <w:lang w:val="es-ES_tradnl"/>
        </w:rPr>
        <w:tab/>
        <w:t>Reacciones adversas</w:t>
      </w:r>
    </w:p>
    <w:p w14:paraId="0C429D21" w14:textId="77777777" w:rsidR="00D061AA" w:rsidRPr="00C52C4C" w:rsidRDefault="00D061AA" w:rsidP="00D061AA">
      <w:pPr>
        <w:tabs>
          <w:tab w:val="left" w:pos="567"/>
        </w:tabs>
        <w:rPr>
          <w:sz w:val="22"/>
          <w:szCs w:val="22"/>
          <w:lang w:val="es-ES_tradnl"/>
        </w:rPr>
      </w:pPr>
    </w:p>
    <w:p w14:paraId="7292B56E" w14:textId="77777777" w:rsidR="00D061AA" w:rsidRPr="00C52C4C" w:rsidRDefault="00D061AA" w:rsidP="00D061AA">
      <w:pPr>
        <w:tabs>
          <w:tab w:val="left" w:pos="567"/>
        </w:tabs>
        <w:rPr>
          <w:sz w:val="22"/>
          <w:szCs w:val="22"/>
          <w:u w:val="single"/>
          <w:lang w:val="es-ES_tradnl"/>
        </w:rPr>
      </w:pPr>
      <w:r w:rsidRPr="00C52C4C">
        <w:rPr>
          <w:sz w:val="22"/>
          <w:szCs w:val="22"/>
          <w:u w:val="single"/>
          <w:lang w:val="es-ES_tradnl"/>
        </w:rPr>
        <w:t>Resumen del perfil de seguridad</w:t>
      </w:r>
    </w:p>
    <w:p w14:paraId="014730E1"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El perfil de seguridad de voriconazol </w:t>
      </w:r>
      <w:r w:rsidR="005264DD" w:rsidRPr="00C52C4C">
        <w:rPr>
          <w:sz w:val="22"/>
          <w:szCs w:val="22"/>
          <w:lang w:val="es-ES_tradnl"/>
        </w:rPr>
        <w:t xml:space="preserve">en adultos </w:t>
      </w:r>
      <w:r w:rsidRPr="00C52C4C">
        <w:rPr>
          <w:sz w:val="22"/>
          <w:szCs w:val="22"/>
          <w:lang w:val="es-ES_tradnl"/>
        </w:rPr>
        <w:t>se basa en una base de datos de seguridad integrada por más de 2000 sujetos (</w:t>
      </w:r>
      <w:r w:rsidR="000A1F73" w:rsidRPr="00C52C4C">
        <w:rPr>
          <w:sz w:val="22"/>
          <w:szCs w:val="22"/>
          <w:lang w:val="es-ES_tradnl"/>
        </w:rPr>
        <w:t>de ellos, 1.6</w:t>
      </w:r>
      <w:r w:rsidR="005264DD" w:rsidRPr="00C52C4C">
        <w:rPr>
          <w:sz w:val="22"/>
          <w:szCs w:val="22"/>
          <w:lang w:val="es-ES_tradnl"/>
        </w:rPr>
        <w:t>03</w:t>
      </w:r>
      <w:r w:rsidR="000A1F73" w:rsidRPr="00C52C4C">
        <w:rPr>
          <w:sz w:val="22"/>
          <w:szCs w:val="22"/>
          <w:lang w:val="es-ES_tradnl"/>
        </w:rPr>
        <w:t> pacientes en ensayos clínicos terapéuticos y 27</w:t>
      </w:r>
      <w:r w:rsidR="005264DD" w:rsidRPr="00C52C4C">
        <w:rPr>
          <w:sz w:val="22"/>
          <w:szCs w:val="22"/>
          <w:lang w:val="es-ES_tradnl"/>
        </w:rPr>
        <w:t>0 adicionales</w:t>
      </w:r>
      <w:r w:rsidR="000A1F73" w:rsidRPr="00C52C4C">
        <w:rPr>
          <w:sz w:val="22"/>
          <w:szCs w:val="22"/>
          <w:lang w:val="es-ES_tradnl"/>
        </w:rPr>
        <w:t xml:space="preserve"> en ensayos clínicos de profilaxis</w:t>
      </w:r>
      <w:r w:rsidRPr="00C52C4C">
        <w:rPr>
          <w:sz w:val="22"/>
          <w:szCs w:val="22"/>
          <w:lang w:val="es-ES_tradnl"/>
        </w:rPr>
        <w:t xml:space="preserve">). Esto representa una población heterogénea, incluyendo pacientes con neoplasias hematológicas, pacientes infectados por el VIH con candidiasis esofágica e infecciones fúngicas refractarias, pacientes no neutropénicos con candidemia o aspergilosis y voluntarios sanos. </w:t>
      </w:r>
    </w:p>
    <w:p w14:paraId="232ADB37" w14:textId="77777777" w:rsidR="00D061AA" w:rsidRPr="00C52C4C" w:rsidRDefault="00D061AA" w:rsidP="00D061AA">
      <w:pPr>
        <w:tabs>
          <w:tab w:val="left" w:pos="567"/>
        </w:tabs>
        <w:rPr>
          <w:sz w:val="22"/>
          <w:szCs w:val="22"/>
          <w:lang w:val="es-ES_tradnl"/>
        </w:rPr>
      </w:pPr>
    </w:p>
    <w:p w14:paraId="3E289EA7"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Las reacciones adversas notificadas más frecuentemente fueron </w:t>
      </w:r>
      <w:r w:rsidR="005264DD" w:rsidRPr="00C52C4C">
        <w:rPr>
          <w:sz w:val="22"/>
          <w:szCs w:val="22"/>
          <w:lang w:val="es-ES_tradnl"/>
        </w:rPr>
        <w:t xml:space="preserve">alteración </w:t>
      </w:r>
      <w:r w:rsidRPr="00C52C4C">
        <w:rPr>
          <w:sz w:val="22"/>
          <w:szCs w:val="22"/>
          <w:lang w:val="es-ES_tradnl"/>
        </w:rPr>
        <w:t xml:space="preserve">de la visión, </w:t>
      </w:r>
      <w:r w:rsidR="00E74298" w:rsidRPr="00C52C4C">
        <w:rPr>
          <w:sz w:val="22"/>
          <w:szCs w:val="22"/>
          <w:lang w:val="es-ES_tradnl"/>
        </w:rPr>
        <w:t xml:space="preserve">pirexia, </w:t>
      </w:r>
      <w:r w:rsidRPr="00C52C4C">
        <w:rPr>
          <w:sz w:val="22"/>
          <w:szCs w:val="22"/>
          <w:lang w:val="es-ES_tradnl"/>
        </w:rPr>
        <w:t>erupción cutánea, vómitos, nauseas, diarrea, dolor de cabeza, edema periférico</w:t>
      </w:r>
      <w:r w:rsidR="000A1F73" w:rsidRPr="00C52C4C">
        <w:rPr>
          <w:sz w:val="22"/>
          <w:szCs w:val="22"/>
          <w:lang w:val="es-ES_tradnl"/>
        </w:rPr>
        <w:t xml:space="preserve">, prueba anormal de función hepática, dificultad respiratoria </w:t>
      </w:r>
      <w:r w:rsidRPr="00C52C4C">
        <w:rPr>
          <w:sz w:val="22"/>
          <w:szCs w:val="22"/>
          <w:lang w:val="es-ES_tradnl"/>
        </w:rPr>
        <w:t xml:space="preserve"> y dolor abdominal.</w:t>
      </w:r>
    </w:p>
    <w:p w14:paraId="375B518F" w14:textId="77777777" w:rsidR="00D061AA" w:rsidRPr="00C52C4C" w:rsidRDefault="00D061AA" w:rsidP="00D061AA">
      <w:pPr>
        <w:tabs>
          <w:tab w:val="left" w:pos="567"/>
        </w:tabs>
        <w:rPr>
          <w:sz w:val="22"/>
          <w:szCs w:val="22"/>
          <w:lang w:val="es-ES_tradnl"/>
        </w:rPr>
      </w:pPr>
    </w:p>
    <w:p w14:paraId="4554B7DC" w14:textId="77777777" w:rsidR="00D061AA" w:rsidRPr="00C52C4C" w:rsidRDefault="00D061AA" w:rsidP="00D061AA">
      <w:pPr>
        <w:tabs>
          <w:tab w:val="left" w:pos="567"/>
        </w:tabs>
        <w:rPr>
          <w:sz w:val="22"/>
          <w:szCs w:val="22"/>
          <w:lang w:val="es-ES_tradnl"/>
        </w:rPr>
      </w:pPr>
      <w:r w:rsidRPr="00C52C4C">
        <w:rPr>
          <w:sz w:val="22"/>
          <w:szCs w:val="22"/>
          <w:lang w:val="es-ES_tradnl"/>
        </w:rPr>
        <w:t>Generalmente la gravedad de estas reacciones adversas fue de leve a moderada. No se observaron diferencias significativas al analizar los datos de seguridad por edad, raza o sexo.</w:t>
      </w:r>
    </w:p>
    <w:p w14:paraId="5E1E55C0" w14:textId="77777777" w:rsidR="00D061AA" w:rsidRPr="00C52C4C" w:rsidRDefault="00D061AA" w:rsidP="00D061AA">
      <w:pPr>
        <w:tabs>
          <w:tab w:val="left" w:pos="567"/>
        </w:tabs>
        <w:rPr>
          <w:sz w:val="22"/>
          <w:szCs w:val="22"/>
          <w:lang w:val="es-ES_tradnl"/>
        </w:rPr>
      </w:pPr>
    </w:p>
    <w:p w14:paraId="4CCC96FE" w14:textId="77777777" w:rsidR="00D061AA" w:rsidRPr="00C52C4C" w:rsidRDefault="002A519C" w:rsidP="00D061AA">
      <w:pPr>
        <w:tabs>
          <w:tab w:val="left" w:pos="567"/>
        </w:tabs>
        <w:rPr>
          <w:sz w:val="22"/>
          <w:szCs w:val="22"/>
          <w:u w:val="single"/>
          <w:lang w:val="es-ES_tradnl"/>
        </w:rPr>
      </w:pPr>
      <w:r>
        <w:rPr>
          <w:sz w:val="22"/>
          <w:szCs w:val="22"/>
          <w:u w:val="single"/>
          <w:lang w:val="es-ES_tradnl"/>
        </w:rPr>
        <w:t>Tabla</w:t>
      </w:r>
      <w:r w:rsidR="00D061AA" w:rsidRPr="00C52C4C">
        <w:rPr>
          <w:sz w:val="22"/>
          <w:szCs w:val="22"/>
          <w:u w:val="single"/>
          <w:lang w:val="es-ES_tradnl"/>
        </w:rPr>
        <w:t xml:space="preserve"> de reacciones adversas</w:t>
      </w:r>
    </w:p>
    <w:p w14:paraId="5FC96BDB"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Dado que la </w:t>
      </w:r>
      <w:smartTag w:uri="urn:schemas-microsoft-com:office:smarttags" w:element="PersonName">
        <w:r w:rsidRPr="00C52C4C">
          <w:rPr>
            <w:sz w:val="22"/>
            <w:szCs w:val="22"/>
            <w:lang w:val="es-ES_tradnl"/>
          </w:rPr>
          <w:t>ma</w:t>
        </w:r>
      </w:smartTag>
      <w:r w:rsidRPr="00C52C4C">
        <w:rPr>
          <w:sz w:val="22"/>
          <w:szCs w:val="22"/>
          <w:lang w:val="es-ES_tradnl"/>
        </w:rPr>
        <w:t xml:space="preserve">yoría de los estudios fueron abiertos, en la tabla siguiente, se enumeran todas las reacciones adversas con una relación causal con el tratamiento, </w:t>
      </w:r>
      <w:r w:rsidR="005264DD" w:rsidRPr="00C52C4C">
        <w:rPr>
          <w:sz w:val="22"/>
          <w:szCs w:val="22"/>
          <w:lang w:val="es-ES_tradnl"/>
        </w:rPr>
        <w:t>y sus categorías de frecuencia en 1.873 adultos incluidos en estudios terapéuticos (1.603) y de profilaxis (270),</w:t>
      </w:r>
      <w:r w:rsidR="005264DD" w:rsidRPr="00C52C4C" w:rsidDel="00E5771B">
        <w:rPr>
          <w:sz w:val="22"/>
          <w:szCs w:val="22"/>
          <w:lang w:val="es-ES_tradnl"/>
        </w:rPr>
        <w:t xml:space="preserve"> agrupados,</w:t>
      </w:r>
      <w:r w:rsidR="005264DD" w:rsidRPr="00C52C4C">
        <w:rPr>
          <w:sz w:val="22"/>
          <w:szCs w:val="22"/>
          <w:lang w:val="es-ES_tradnl"/>
        </w:rPr>
        <w:t xml:space="preserve"> </w:t>
      </w:r>
      <w:r w:rsidR="005264DD" w:rsidRPr="00C52C4C" w:rsidDel="00FC62CD">
        <w:rPr>
          <w:sz w:val="22"/>
          <w:szCs w:val="22"/>
          <w:lang w:val="es-ES_tradnl"/>
        </w:rPr>
        <w:t xml:space="preserve">clasificadas </w:t>
      </w:r>
      <w:r w:rsidR="005264DD" w:rsidRPr="00C52C4C">
        <w:rPr>
          <w:sz w:val="22"/>
          <w:szCs w:val="22"/>
          <w:lang w:val="es-ES_tradnl"/>
        </w:rPr>
        <w:t>enumeradas según el sistema de clasificación de órganos</w:t>
      </w:r>
      <w:r w:rsidRPr="00C52C4C">
        <w:rPr>
          <w:sz w:val="22"/>
          <w:szCs w:val="22"/>
          <w:lang w:val="es-ES_tradnl"/>
        </w:rPr>
        <w:t>.</w:t>
      </w:r>
    </w:p>
    <w:p w14:paraId="4D3BABBD" w14:textId="77777777" w:rsidR="00D061AA" w:rsidRPr="00C52C4C" w:rsidRDefault="00D061AA" w:rsidP="00D061AA">
      <w:pPr>
        <w:tabs>
          <w:tab w:val="left" w:pos="567"/>
        </w:tabs>
        <w:rPr>
          <w:sz w:val="22"/>
          <w:szCs w:val="22"/>
          <w:lang w:val="es-ES_tradnl"/>
        </w:rPr>
      </w:pPr>
    </w:p>
    <w:p w14:paraId="0538632E" w14:textId="18AD9D38" w:rsidR="00D061AA" w:rsidRPr="00C52C4C" w:rsidRDefault="00D061AA" w:rsidP="00D061AA">
      <w:pPr>
        <w:tabs>
          <w:tab w:val="left" w:pos="567"/>
        </w:tabs>
        <w:rPr>
          <w:sz w:val="22"/>
          <w:szCs w:val="22"/>
          <w:lang w:val="es-ES_tradnl"/>
        </w:rPr>
      </w:pPr>
      <w:r w:rsidRPr="00C52C4C">
        <w:rPr>
          <w:sz w:val="22"/>
          <w:szCs w:val="22"/>
          <w:lang w:val="es-ES_tradnl"/>
        </w:rPr>
        <w:t>Las categorías de frecuencias se definen como: Muy frecuentes (≥1/10); Frecuentes (≥1/100 a &lt;1/10); Poco frecuentes (≥1/1.000 a &lt;1/100); Raras (≥1/10.000 a &lt;1/1.000); Muy raras (&lt;1/10.000); No conocidas (no se puede estimar la frecuencia en base a los datos disponibles).</w:t>
      </w:r>
    </w:p>
    <w:p w14:paraId="5F41964E" w14:textId="77777777" w:rsidR="00D061AA" w:rsidRPr="00C52C4C" w:rsidRDefault="00D061AA" w:rsidP="00D061AA">
      <w:pPr>
        <w:tabs>
          <w:tab w:val="left" w:pos="567"/>
        </w:tabs>
        <w:rPr>
          <w:sz w:val="22"/>
          <w:szCs w:val="22"/>
          <w:lang w:val="es-ES_tradnl"/>
        </w:rPr>
      </w:pPr>
    </w:p>
    <w:p w14:paraId="723009D2" w14:textId="77777777" w:rsidR="00D061AA" w:rsidRDefault="00D061AA" w:rsidP="00D061AA">
      <w:pPr>
        <w:tabs>
          <w:tab w:val="left" w:pos="567"/>
        </w:tabs>
        <w:rPr>
          <w:sz w:val="22"/>
          <w:szCs w:val="22"/>
          <w:lang w:val="es-ES_tradnl"/>
        </w:rPr>
      </w:pPr>
      <w:r w:rsidRPr="00C52C4C">
        <w:rPr>
          <w:sz w:val="22"/>
          <w:szCs w:val="22"/>
          <w:lang w:val="es-ES_tradnl"/>
        </w:rPr>
        <w:lastRenderedPageBreak/>
        <w:t>Dentro de cada intervalo de frecuencia las reacciones adversas se presentan en orden decreciente de gravedad.</w:t>
      </w:r>
    </w:p>
    <w:p w14:paraId="304ADF01" w14:textId="77777777" w:rsidR="00764AEE" w:rsidRPr="00C52C4C" w:rsidRDefault="00764AEE" w:rsidP="00D061AA">
      <w:pPr>
        <w:tabs>
          <w:tab w:val="left" w:pos="567"/>
        </w:tabs>
        <w:rPr>
          <w:sz w:val="22"/>
          <w:szCs w:val="22"/>
          <w:lang w:val="es-ES_tradnl"/>
        </w:rPr>
      </w:pPr>
    </w:p>
    <w:p w14:paraId="37F5B52D" w14:textId="77777777" w:rsidR="00D061AA" w:rsidRPr="00C52C4C" w:rsidRDefault="00D061AA" w:rsidP="00D061AA">
      <w:pPr>
        <w:keepNext/>
        <w:tabs>
          <w:tab w:val="left" w:pos="567"/>
        </w:tabs>
        <w:rPr>
          <w:sz w:val="22"/>
          <w:szCs w:val="22"/>
          <w:lang w:val="es-ES_tradnl"/>
        </w:rPr>
      </w:pPr>
      <w:r w:rsidRPr="00C52C4C">
        <w:rPr>
          <w:sz w:val="22"/>
          <w:szCs w:val="22"/>
          <w:lang w:val="es-ES_tradnl"/>
        </w:rPr>
        <w:t>Reacciones adversas notificadas en sujetos tratados con voriconazol</w:t>
      </w:r>
    </w:p>
    <w:p w14:paraId="68344ACC" w14:textId="77777777" w:rsidR="00D061AA" w:rsidRPr="00C52C4C" w:rsidRDefault="00D061AA" w:rsidP="00D061AA">
      <w:pPr>
        <w:pStyle w:val="Textonotaalfinal"/>
        <w:keepNext/>
        <w:spacing w:line="260" w:lineRule="exact"/>
        <w:rPr>
          <w:szCs w:val="22"/>
          <w:lang w:val="es-ES_tradn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8"/>
        <w:gridCol w:w="1701"/>
        <w:gridCol w:w="2290"/>
        <w:gridCol w:w="1710"/>
        <w:gridCol w:w="1386"/>
      </w:tblGrid>
      <w:tr w:rsidR="005264DD" w:rsidRPr="00C52C4C" w14:paraId="6BFCC551" w14:textId="77777777" w:rsidTr="005D2D27">
        <w:trPr>
          <w:trHeight w:val="790"/>
          <w:tblHeader/>
        </w:trPr>
        <w:tc>
          <w:tcPr>
            <w:tcW w:w="1701" w:type="dxa"/>
          </w:tcPr>
          <w:p w14:paraId="392670F1" w14:textId="77777777" w:rsidR="005264DD" w:rsidRPr="00C52C4C" w:rsidRDefault="005264DD" w:rsidP="005D2D27">
            <w:pPr>
              <w:keepNext/>
              <w:keepLines/>
              <w:jc w:val="center"/>
              <w:rPr>
                <w:b/>
                <w:sz w:val="22"/>
                <w:szCs w:val="22"/>
              </w:rPr>
            </w:pPr>
            <w:r w:rsidRPr="00C52C4C" w:rsidDel="00317182">
              <w:rPr>
                <w:b/>
                <w:sz w:val="22"/>
                <w:szCs w:val="22"/>
              </w:rPr>
              <w:t>Clase de órgano del sistema</w:t>
            </w:r>
            <w:r w:rsidRPr="00C52C4C">
              <w:rPr>
                <w:b/>
                <w:sz w:val="22"/>
                <w:szCs w:val="22"/>
              </w:rPr>
              <w:t xml:space="preserve"> </w:t>
            </w:r>
          </w:p>
        </w:tc>
        <w:tc>
          <w:tcPr>
            <w:tcW w:w="1418" w:type="dxa"/>
          </w:tcPr>
          <w:p w14:paraId="12C7988F" w14:textId="77777777" w:rsidR="005264DD" w:rsidRPr="00C52C4C" w:rsidRDefault="005264DD" w:rsidP="005D2D27">
            <w:pPr>
              <w:jc w:val="center"/>
              <w:rPr>
                <w:b/>
                <w:sz w:val="22"/>
                <w:szCs w:val="22"/>
              </w:rPr>
            </w:pPr>
            <w:r w:rsidRPr="00C52C4C">
              <w:rPr>
                <w:b/>
                <w:sz w:val="22"/>
                <w:szCs w:val="22"/>
              </w:rPr>
              <w:t>Muy frecuentes</w:t>
            </w:r>
          </w:p>
          <w:p w14:paraId="0E34529C" w14:textId="77777777" w:rsidR="005264DD" w:rsidRPr="00C52C4C" w:rsidRDefault="005264DD" w:rsidP="005D2D27">
            <w:pPr>
              <w:jc w:val="center"/>
              <w:rPr>
                <w:b/>
                <w:sz w:val="22"/>
                <w:szCs w:val="22"/>
              </w:rPr>
            </w:pPr>
            <w:r w:rsidRPr="00C52C4C">
              <w:rPr>
                <w:b/>
                <w:sz w:val="22"/>
                <w:szCs w:val="22"/>
              </w:rPr>
              <w:t>≥1/10</w:t>
            </w:r>
          </w:p>
          <w:p w14:paraId="0851E80B" w14:textId="77777777" w:rsidR="005264DD" w:rsidRPr="00C52C4C" w:rsidRDefault="005264DD" w:rsidP="005D2D27">
            <w:pPr>
              <w:jc w:val="center"/>
              <w:rPr>
                <w:sz w:val="22"/>
                <w:szCs w:val="22"/>
              </w:rPr>
            </w:pPr>
          </w:p>
        </w:tc>
        <w:tc>
          <w:tcPr>
            <w:tcW w:w="1701" w:type="dxa"/>
          </w:tcPr>
          <w:p w14:paraId="493F9868" w14:textId="77777777" w:rsidR="005264DD" w:rsidRPr="00C52C4C" w:rsidRDefault="005264DD" w:rsidP="005D2D27">
            <w:pPr>
              <w:jc w:val="center"/>
              <w:rPr>
                <w:b/>
                <w:sz w:val="22"/>
                <w:szCs w:val="22"/>
              </w:rPr>
            </w:pPr>
            <w:r w:rsidRPr="00C52C4C">
              <w:rPr>
                <w:b/>
                <w:sz w:val="22"/>
                <w:szCs w:val="22"/>
              </w:rPr>
              <w:t>Frecuentes</w:t>
            </w:r>
          </w:p>
          <w:p w14:paraId="27C6A047" w14:textId="77777777" w:rsidR="005264DD" w:rsidRPr="00C52C4C" w:rsidRDefault="005264DD" w:rsidP="005D2D27">
            <w:pPr>
              <w:jc w:val="center"/>
              <w:rPr>
                <w:b/>
                <w:sz w:val="22"/>
                <w:szCs w:val="22"/>
              </w:rPr>
            </w:pPr>
            <w:r w:rsidRPr="00C52C4C">
              <w:rPr>
                <w:b/>
                <w:sz w:val="22"/>
                <w:szCs w:val="22"/>
              </w:rPr>
              <w:t>≥1/100</w:t>
            </w:r>
          </w:p>
          <w:p w14:paraId="09FF9D1C" w14:textId="77777777" w:rsidR="005264DD" w:rsidRPr="00C52C4C" w:rsidRDefault="005264DD" w:rsidP="005D2D27">
            <w:pPr>
              <w:jc w:val="center"/>
              <w:rPr>
                <w:b/>
                <w:sz w:val="22"/>
                <w:szCs w:val="22"/>
              </w:rPr>
            </w:pPr>
            <w:r w:rsidRPr="00C52C4C">
              <w:rPr>
                <w:b/>
                <w:sz w:val="22"/>
                <w:szCs w:val="22"/>
              </w:rPr>
              <w:t>a &lt;1/10</w:t>
            </w:r>
          </w:p>
          <w:p w14:paraId="2E3B026E" w14:textId="77777777" w:rsidR="005264DD" w:rsidRPr="00C52C4C" w:rsidRDefault="005264DD" w:rsidP="005D2D27">
            <w:pPr>
              <w:jc w:val="center"/>
              <w:rPr>
                <w:b/>
                <w:sz w:val="22"/>
                <w:szCs w:val="22"/>
              </w:rPr>
            </w:pPr>
          </w:p>
        </w:tc>
        <w:tc>
          <w:tcPr>
            <w:tcW w:w="2290" w:type="dxa"/>
          </w:tcPr>
          <w:p w14:paraId="28D905D6" w14:textId="77777777" w:rsidR="005264DD" w:rsidRPr="00C52C4C" w:rsidRDefault="005264DD" w:rsidP="005D2D27">
            <w:pPr>
              <w:jc w:val="center"/>
              <w:rPr>
                <w:b/>
                <w:sz w:val="22"/>
                <w:szCs w:val="22"/>
              </w:rPr>
            </w:pPr>
            <w:r w:rsidRPr="00C52C4C">
              <w:rPr>
                <w:b/>
                <w:sz w:val="22"/>
                <w:szCs w:val="22"/>
              </w:rPr>
              <w:t>Poco frecuentes</w:t>
            </w:r>
          </w:p>
          <w:p w14:paraId="28C1AE59" w14:textId="77777777" w:rsidR="005264DD" w:rsidRPr="00C52C4C" w:rsidRDefault="005264DD" w:rsidP="005D2D27">
            <w:pPr>
              <w:jc w:val="center"/>
              <w:rPr>
                <w:b/>
                <w:sz w:val="22"/>
                <w:szCs w:val="22"/>
              </w:rPr>
            </w:pPr>
            <w:r w:rsidRPr="00C52C4C">
              <w:rPr>
                <w:b/>
                <w:sz w:val="22"/>
                <w:szCs w:val="22"/>
              </w:rPr>
              <w:t>≥1/1.000 a &lt;1/100</w:t>
            </w:r>
          </w:p>
          <w:p w14:paraId="294A4A60" w14:textId="77777777" w:rsidR="005264DD" w:rsidRPr="00C52C4C" w:rsidRDefault="005264DD" w:rsidP="005D2D27">
            <w:pPr>
              <w:jc w:val="center"/>
              <w:rPr>
                <w:b/>
                <w:sz w:val="22"/>
                <w:szCs w:val="22"/>
              </w:rPr>
            </w:pPr>
          </w:p>
        </w:tc>
        <w:tc>
          <w:tcPr>
            <w:tcW w:w="1710" w:type="dxa"/>
          </w:tcPr>
          <w:p w14:paraId="221407A3" w14:textId="77777777" w:rsidR="005264DD" w:rsidRPr="00C52C4C" w:rsidRDefault="005264DD" w:rsidP="005D2D27">
            <w:pPr>
              <w:jc w:val="center"/>
              <w:rPr>
                <w:b/>
                <w:sz w:val="22"/>
                <w:szCs w:val="22"/>
              </w:rPr>
            </w:pPr>
            <w:r w:rsidRPr="00C52C4C">
              <w:rPr>
                <w:b/>
                <w:sz w:val="22"/>
                <w:szCs w:val="22"/>
              </w:rPr>
              <w:t>Raras</w:t>
            </w:r>
          </w:p>
          <w:p w14:paraId="7575CBFB" w14:textId="77777777" w:rsidR="005264DD" w:rsidRPr="00C52C4C" w:rsidRDefault="005264DD" w:rsidP="005D2D27">
            <w:pPr>
              <w:jc w:val="center"/>
              <w:rPr>
                <w:b/>
                <w:sz w:val="22"/>
                <w:szCs w:val="22"/>
              </w:rPr>
            </w:pPr>
            <w:r w:rsidRPr="00C52C4C">
              <w:rPr>
                <w:b/>
                <w:sz w:val="22"/>
                <w:szCs w:val="22"/>
              </w:rPr>
              <w:t>≥1/10.000 a &lt;1/1.000</w:t>
            </w:r>
          </w:p>
          <w:p w14:paraId="431F5F3C" w14:textId="77777777" w:rsidR="005264DD" w:rsidRPr="00C52C4C" w:rsidRDefault="005264DD" w:rsidP="005D2D27">
            <w:pPr>
              <w:jc w:val="center"/>
              <w:rPr>
                <w:b/>
                <w:sz w:val="22"/>
                <w:szCs w:val="22"/>
              </w:rPr>
            </w:pPr>
          </w:p>
        </w:tc>
        <w:tc>
          <w:tcPr>
            <w:tcW w:w="1386" w:type="dxa"/>
          </w:tcPr>
          <w:p w14:paraId="25954ECD" w14:textId="77777777" w:rsidR="005264DD" w:rsidRPr="00C52C4C" w:rsidRDefault="005264DD" w:rsidP="005915E9">
            <w:pPr>
              <w:ind w:left="-63"/>
              <w:jc w:val="center"/>
              <w:rPr>
                <w:b/>
                <w:sz w:val="22"/>
                <w:szCs w:val="22"/>
              </w:rPr>
            </w:pPr>
            <w:r w:rsidRPr="00C52C4C">
              <w:rPr>
                <w:b/>
                <w:sz w:val="22"/>
                <w:szCs w:val="22"/>
              </w:rPr>
              <w:t>Frecuencia no conocida (no puede estimarse a a partir de los datos disponibles)</w:t>
            </w:r>
          </w:p>
        </w:tc>
      </w:tr>
      <w:tr w:rsidR="005264DD" w:rsidRPr="00C52C4C" w14:paraId="142DBBCA" w14:textId="77777777" w:rsidTr="005D2D27">
        <w:trPr>
          <w:trHeight w:val="589"/>
        </w:trPr>
        <w:tc>
          <w:tcPr>
            <w:tcW w:w="1701" w:type="dxa"/>
          </w:tcPr>
          <w:p w14:paraId="5B2AB321" w14:textId="77777777" w:rsidR="005264DD" w:rsidRPr="00C52C4C" w:rsidRDefault="005264DD" w:rsidP="005D2D27">
            <w:pPr>
              <w:keepNext/>
              <w:keepLines/>
              <w:rPr>
                <w:sz w:val="22"/>
                <w:szCs w:val="22"/>
              </w:rPr>
            </w:pPr>
            <w:r w:rsidRPr="00C52C4C">
              <w:rPr>
                <w:sz w:val="22"/>
                <w:szCs w:val="22"/>
              </w:rPr>
              <w:t>Infecciones e infestaciones</w:t>
            </w:r>
          </w:p>
        </w:tc>
        <w:tc>
          <w:tcPr>
            <w:tcW w:w="1418" w:type="dxa"/>
          </w:tcPr>
          <w:p w14:paraId="1026D8D3" w14:textId="77777777" w:rsidR="005264DD" w:rsidRPr="00C52C4C" w:rsidRDefault="005264DD" w:rsidP="005D2D27">
            <w:pPr>
              <w:rPr>
                <w:sz w:val="22"/>
                <w:szCs w:val="22"/>
              </w:rPr>
            </w:pPr>
          </w:p>
        </w:tc>
        <w:tc>
          <w:tcPr>
            <w:tcW w:w="1701" w:type="dxa"/>
          </w:tcPr>
          <w:p w14:paraId="3D58D658" w14:textId="77777777" w:rsidR="005264DD" w:rsidRPr="00C52C4C" w:rsidRDefault="005264DD" w:rsidP="005D2D27">
            <w:pPr>
              <w:rPr>
                <w:sz w:val="22"/>
                <w:szCs w:val="22"/>
              </w:rPr>
            </w:pPr>
            <w:r w:rsidRPr="00C52C4C">
              <w:rPr>
                <w:sz w:val="22"/>
                <w:szCs w:val="22"/>
              </w:rPr>
              <w:t>sinusitis</w:t>
            </w:r>
          </w:p>
        </w:tc>
        <w:tc>
          <w:tcPr>
            <w:tcW w:w="2290" w:type="dxa"/>
          </w:tcPr>
          <w:p w14:paraId="1423B095" w14:textId="77777777" w:rsidR="005264DD" w:rsidRPr="00C52C4C" w:rsidRDefault="005264DD" w:rsidP="005D2D27">
            <w:pPr>
              <w:rPr>
                <w:sz w:val="22"/>
                <w:szCs w:val="22"/>
              </w:rPr>
            </w:pPr>
            <w:r w:rsidRPr="00C52C4C">
              <w:rPr>
                <w:rStyle w:val="TableText12"/>
                <w:sz w:val="22"/>
                <w:szCs w:val="22"/>
              </w:rPr>
              <w:t>colitis pseudomembranosa</w:t>
            </w:r>
          </w:p>
        </w:tc>
        <w:tc>
          <w:tcPr>
            <w:tcW w:w="1710" w:type="dxa"/>
          </w:tcPr>
          <w:p w14:paraId="383A09F6" w14:textId="77777777" w:rsidR="005264DD" w:rsidRPr="00C52C4C" w:rsidRDefault="005264DD" w:rsidP="005D2D27">
            <w:pPr>
              <w:rPr>
                <w:sz w:val="22"/>
                <w:szCs w:val="22"/>
              </w:rPr>
            </w:pPr>
          </w:p>
        </w:tc>
        <w:tc>
          <w:tcPr>
            <w:tcW w:w="1386" w:type="dxa"/>
          </w:tcPr>
          <w:p w14:paraId="259D074C" w14:textId="77777777" w:rsidR="005264DD" w:rsidRPr="00C52C4C" w:rsidRDefault="005264DD" w:rsidP="005D2D27">
            <w:pPr>
              <w:rPr>
                <w:sz w:val="22"/>
                <w:szCs w:val="22"/>
              </w:rPr>
            </w:pPr>
          </w:p>
        </w:tc>
      </w:tr>
      <w:tr w:rsidR="005264DD" w:rsidRPr="00C52C4C" w14:paraId="2B46ADEE" w14:textId="77777777" w:rsidTr="005D2D27">
        <w:trPr>
          <w:trHeight w:val="790"/>
        </w:trPr>
        <w:tc>
          <w:tcPr>
            <w:tcW w:w="1701" w:type="dxa"/>
          </w:tcPr>
          <w:p w14:paraId="3989EB4E" w14:textId="77777777" w:rsidR="005264DD" w:rsidRPr="00C52C4C" w:rsidRDefault="005264DD" w:rsidP="005D2D27">
            <w:pPr>
              <w:rPr>
                <w:sz w:val="22"/>
                <w:szCs w:val="22"/>
              </w:rPr>
            </w:pPr>
            <w:r w:rsidRPr="00C52C4C">
              <w:rPr>
                <w:sz w:val="22"/>
                <w:szCs w:val="22"/>
              </w:rPr>
              <w:t>Neoplasias benignas, malignas y no especificadas (incl quistes y pólipos)</w:t>
            </w:r>
          </w:p>
        </w:tc>
        <w:tc>
          <w:tcPr>
            <w:tcW w:w="1418" w:type="dxa"/>
          </w:tcPr>
          <w:p w14:paraId="7B14EEA4" w14:textId="77777777" w:rsidR="005264DD" w:rsidRPr="00C52C4C" w:rsidRDefault="005264DD" w:rsidP="005D2D27">
            <w:pPr>
              <w:rPr>
                <w:sz w:val="22"/>
                <w:szCs w:val="22"/>
              </w:rPr>
            </w:pPr>
          </w:p>
        </w:tc>
        <w:tc>
          <w:tcPr>
            <w:tcW w:w="1701" w:type="dxa"/>
          </w:tcPr>
          <w:p w14:paraId="6D140B94" w14:textId="3A92D302" w:rsidR="005264DD" w:rsidRPr="00C52C4C" w:rsidRDefault="00764AEE" w:rsidP="005D2D27">
            <w:pPr>
              <w:rPr>
                <w:sz w:val="22"/>
                <w:szCs w:val="22"/>
              </w:rPr>
            </w:pPr>
            <w:r w:rsidRPr="00C52C4C">
              <w:rPr>
                <w:rStyle w:val="TableText12"/>
                <w:sz w:val="22"/>
                <w:szCs w:val="22"/>
              </w:rPr>
              <w:t>carcinoma de células escamosas</w:t>
            </w:r>
            <w:r>
              <w:rPr>
                <w:rStyle w:val="TableText12"/>
                <w:sz w:val="22"/>
                <w:szCs w:val="22"/>
              </w:rPr>
              <w:t xml:space="preserve"> </w:t>
            </w:r>
            <w:r w:rsidRPr="009A6F05">
              <w:rPr>
                <w:rStyle w:val="TableText12"/>
                <w:sz w:val="22"/>
                <w:szCs w:val="22"/>
              </w:rPr>
              <w:t xml:space="preserve">(incluido el CCE cutáneo </w:t>
            </w:r>
            <w:r w:rsidRPr="00F82335">
              <w:rPr>
                <w:rStyle w:val="TableText12"/>
                <w:i/>
                <w:iCs/>
                <w:sz w:val="22"/>
                <w:szCs w:val="22"/>
              </w:rPr>
              <w:t>in situ</w:t>
            </w:r>
            <w:r w:rsidRPr="009A6F05">
              <w:rPr>
                <w:rStyle w:val="TableText12"/>
                <w:sz w:val="22"/>
                <w:szCs w:val="22"/>
              </w:rPr>
              <w:t xml:space="preserve"> o enfermedad de Bowen)</w:t>
            </w:r>
            <w:r w:rsidRPr="00C52C4C">
              <w:rPr>
                <w:rStyle w:val="TableText12"/>
                <w:sz w:val="22"/>
                <w:szCs w:val="22"/>
              </w:rPr>
              <w:t>*</w:t>
            </w:r>
          </w:p>
        </w:tc>
        <w:tc>
          <w:tcPr>
            <w:tcW w:w="2290" w:type="dxa"/>
          </w:tcPr>
          <w:p w14:paraId="350D0C4D" w14:textId="77777777" w:rsidR="005264DD" w:rsidRPr="00C52C4C" w:rsidRDefault="005264DD" w:rsidP="005D2D27">
            <w:pPr>
              <w:rPr>
                <w:sz w:val="22"/>
                <w:szCs w:val="22"/>
              </w:rPr>
            </w:pPr>
          </w:p>
        </w:tc>
        <w:tc>
          <w:tcPr>
            <w:tcW w:w="1710" w:type="dxa"/>
          </w:tcPr>
          <w:p w14:paraId="509DB03A" w14:textId="77777777" w:rsidR="005264DD" w:rsidRPr="00C52C4C" w:rsidRDefault="005264DD" w:rsidP="005D2D27">
            <w:pPr>
              <w:rPr>
                <w:sz w:val="22"/>
                <w:szCs w:val="22"/>
              </w:rPr>
            </w:pPr>
          </w:p>
        </w:tc>
        <w:tc>
          <w:tcPr>
            <w:tcW w:w="1386" w:type="dxa"/>
          </w:tcPr>
          <w:p w14:paraId="4C7E7B22" w14:textId="62E8F807" w:rsidR="005264DD" w:rsidRPr="00C52C4C" w:rsidRDefault="005264DD" w:rsidP="005D2D27">
            <w:pPr>
              <w:rPr>
                <w:sz w:val="22"/>
                <w:szCs w:val="22"/>
              </w:rPr>
            </w:pPr>
            <w:r w:rsidRPr="00C52C4C">
              <w:rPr>
                <w:rStyle w:val="TableText12"/>
                <w:sz w:val="22"/>
                <w:szCs w:val="22"/>
              </w:rPr>
              <w:t>carcinoma de células escamosas</w:t>
            </w:r>
            <w:r w:rsidR="009A6F05">
              <w:rPr>
                <w:rStyle w:val="TableText12"/>
                <w:sz w:val="22"/>
                <w:szCs w:val="22"/>
              </w:rPr>
              <w:t xml:space="preserve"> </w:t>
            </w:r>
            <w:r w:rsidR="009A6F05" w:rsidRPr="009A6F05">
              <w:rPr>
                <w:rStyle w:val="TableText12"/>
                <w:sz w:val="22"/>
                <w:szCs w:val="22"/>
              </w:rPr>
              <w:t xml:space="preserve">(incluido el CCE cutáneo </w:t>
            </w:r>
            <w:r w:rsidR="009A6F05" w:rsidRPr="00F82335">
              <w:rPr>
                <w:rStyle w:val="TableText12"/>
                <w:i/>
                <w:iCs/>
                <w:sz w:val="22"/>
                <w:szCs w:val="22"/>
              </w:rPr>
              <w:t>in situ</w:t>
            </w:r>
            <w:r w:rsidR="009A6F05" w:rsidRPr="009A6F05">
              <w:rPr>
                <w:rStyle w:val="TableText12"/>
                <w:sz w:val="22"/>
                <w:szCs w:val="22"/>
              </w:rPr>
              <w:t xml:space="preserve"> o enfermedad de Bowen)</w:t>
            </w:r>
            <w:r w:rsidRPr="00C52C4C">
              <w:rPr>
                <w:rStyle w:val="TableText12"/>
                <w:sz w:val="22"/>
                <w:szCs w:val="22"/>
              </w:rPr>
              <w:t>*</w:t>
            </w:r>
          </w:p>
        </w:tc>
      </w:tr>
      <w:tr w:rsidR="005264DD" w:rsidRPr="00C52C4C" w14:paraId="7C625A59" w14:textId="77777777" w:rsidTr="005D2D27">
        <w:trPr>
          <w:trHeight w:val="1264"/>
        </w:trPr>
        <w:tc>
          <w:tcPr>
            <w:tcW w:w="1701" w:type="dxa"/>
          </w:tcPr>
          <w:p w14:paraId="518B507D" w14:textId="77777777" w:rsidR="005264DD" w:rsidRPr="00C52C4C" w:rsidRDefault="005264DD" w:rsidP="005D2D27">
            <w:pPr>
              <w:rPr>
                <w:sz w:val="22"/>
                <w:szCs w:val="22"/>
              </w:rPr>
            </w:pPr>
            <w:r w:rsidRPr="00C52C4C">
              <w:rPr>
                <w:sz w:val="22"/>
                <w:szCs w:val="22"/>
              </w:rPr>
              <w:t>Trastornos de la sangre y del sistema linfático</w:t>
            </w:r>
          </w:p>
        </w:tc>
        <w:tc>
          <w:tcPr>
            <w:tcW w:w="1418" w:type="dxa"/>
          </w:tcPr>
          <w:p w14:paraId="689B9AC2" w14:textId="77777777" w:rsidR="005264DD" w:rsidRPr="00C52C4C" w:rsidRDefault="005264DD" w:rsidP="005D2D27">
            <w:pPr>
              <w:rPr>
                <w:sz w:val="22"/>
                <w:szCs w:val="22"/>
              </w:rPr>
            </w:pPr>
          </w:p>
        </w:tc>
        <w:tc>
          <w:tcPr>
            <w:tcW w:w="1701" w:type="dxa"/>
          </w:tcPr>
          <w:p w14:paraId="348CEC07" w14:textId="77777777" w:rsidR="005264DD" w:rsidRPr="00C52C4C" w:rsidRDefault="005264DD" w:rsidP="005D2D27">
            <w:pPr>
              <w:pStyle w:val="TableText"/>
              <w:rPr>
                <w:rFonts w:cs="Times New Roman"/>
                <w:sz w:val="22"/>
                <w:szCs w:val="22"/>
                <w:lang w:val="it-IT"/>
              </w:rPr>
            </w:pPr>
            <w:r w:rsidRPr="00C52C4C">
              <w:rPr>
                <w:rStyle w:val="TableText12"/>
                <w:rFonts w:cs="Times New Roman"/>
                <w:sz w:val="22"/>
                <w:szCs w:val="22"/>
                <w:lang w:val="it-IT"/>
              </w:rPr>
              <w:t>agranulocitosis</w:t>
            </w:r>
            <w:r w:rsidRPr="00C52C4C">
              <w:rPr>
                <w:rStyle w:val="TableText12"/>
                <w:rFonts w:cs="Times New Roman"/>
                <w:sz w:val="22"/>
                <w:szCs w:val="22"/>
                <w:vertAlign w:val="superscript"/>
                <w:lang w:val="it-IT"/>
              </w:rPr>
              <w:t>1</w:t>
            </w:r>
            <w:r w:rsidRPr="00C52C4C">
              <w:rPr>
                <w:rStyle w:val="TableText12"/>
                <w:rFonts w:cs="Times New Roman"/>
                <w:sz w:val="22"/>
                <w:szCs w:val="22"/>
                <w:lang w:val="it-IT"/>
              </w:rPr>
              <w:t>, pancitopenia, trombocitopenia</w:t>
            </w:r>
            <w:r w:rsidRPr="00C52C4C">
              <w:rPr>
                <w:rStyle w:val="TableText12"/>
                <w:rFonts w:cs="Times New Roman"/>
                <w:sz w:val="22"/>
                <w:szCs w:val="22"/>
                <w:vertAlign w:val="superscript"/>
                <w:lang w:val="it-IT"/>
              </w:rPr>
              <w:t>2</w:t>
            </w:r>
            <w:r w:rsidRPr="00C52C4C">
              <w:rPr>
                <w:rStyle w:val="TableText12"/>
                <w:rFonts w:cs="Times New Roman"/>
                <w:sz w:val="22"/>
                <w:szCs w:val="22"/>
                <w:lang w:val="it-IT"/>
              </w:rPr>
              <w:t>, leucopenia, anemia</w:t>
            </w:r>
          </w:p>
        </w:tc>
        <w:tc>
          <w:tcPr>
            <w:tcW w:w="2290" w:type="dxa"/>
          </w:tcPr>
          <w:p w14:paraId="1D47A36F" w14:textId="77777777"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insuficiencia de médula ósea, linfadenopatía, eosinofilia</w:t>
            </w:r>
          </w:p>
        </w:tc>
        <w:tc>
          <w:tcPr>
            <w:tcW w:w="1710" w:type="dxa"/>
          </w:tcPr>
          <w:p w14:paraId="60559976" w14:textId="77777777"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coagulación intravascular diseminada</w:t>
            </w:r>
          </w:p>
        </w:tc>
        <w:tc>
          <w:tcPr>
            <w:tcW w:w="1386" w:type="dxa"/>
          </w:tcPr>
          <w:p w14:paraId="4EED304A" w14:textId="77777777" w:rsidR="005264DD" w:rsidRPr="00C52C4C" w:rsidRDefault="005264DD" w:rsidP="005D2D27">
            <w:pPr>
              <w:rPr>
                <w:sz w:val="22"/>
                <w:szCs w:val="22"/>
              </w:rPr>
            </w:pPr>
          </w:p>
        </w:tc>
      </w:tr>
      <w:tr w:rsidR="005264DD" w:rsidRPr="00C52C4C" w14:paraId="31D37611" w14:textId="77777777" w:rsidTr="005D2D27">
        <w:trPr>
          <w:trHeight w:val="790"/>
        </w:trPr>
        <w:tc>
          <w:tcPr>
            <w:tcW w:w="1701" w:type="dxa"/>
          </w:tcPr>
          <w:p w14:paraId="643115DF" w14:textId="77777777" w:rsidR="005264DD" w:rsidRPr="00C52C4C" w:rsidRDefault="005264DD" w:rsidP="005D2D27">
            <w:pPr>
              <w:rPr>
                <w:sz w:val="22"/>
                <w:szCs w:val="22"/>
              </w:rPr>
            </w:pPr>
            <w:r w:rsidRPr="00C52C4C">
              <w:rPr>
                <w:sz w:val="22"/>
                <w:szCs w:val="22"/>
              </w:rPr>
              <w:t>Trastornos del sistema inmunológico</w:t>
            </w:r>
          </w:p>
        </w:tc>
        <w:tc>
          <w:tcPr>
            <w:tcW w:w="1418" w:type="dxa"/>
          </w:tcPr>
          <w:p w14:paraId="4A20EA7F" w14:textId="77777777" w:rsidR="005264DD" w:rsidRPr="00C52C4C" w:rsidRDefault="005264DD" w:rsidP="005D2D27">
            <w:pPr>
              <w:rPr>
                <w:sz w:val="22"/>
                <w:szCs w:val="22"/>
              </w:rPr>
            </w:pPr>
          </w:p>
        </w:tc>
        <w:tc>
          <w:tcPr>
            <w:tcW w:w="1701" w:type="dxa"/>
          </w:tcPr>
          <w:p w14:paraId="6BD0E5D9" w14:textId="77777777" w:rsidR="005264DD" w:rsidRPr="00C52C4C" w:rsidRDefault="005264DD" w:rsidP="005D2D27">
            <w:pPr>
              <w:rPr>
                <w:sz w:val="22"/>
                <w:szCs w:val="22"/>
              </w:rPr>
            </w:pPr>
          </w:p>
        </w:tc>
        <w:tc>
          <w:tcPr>
            <w:tcW w:w="2290" w:type="dxa"/>
          </w:tcPr>
          <w:p w14:paraId="480E9C42" w14:textId="77777777"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hipersensibilidad</w:t>
            </w:r>
          </w:p>
        </w:tc>
        <w:tc>
          <w:tcPr>
            <w:tcW w:w="1710" w:type="dxa"/>
          </w:tcPr>
          <w:p w14:paraId="738D7580" w14:textId="77777777"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reacción anafilactoide</w:t>
            </w:r>
          </w:p>
        </w:tc>
        <w:tc>
          <w:tcPr>
            <w:tcW w:w="1386" w:type="dxa"/>
          </w:tcPr>
          <w:p w14:paraId="14E1B46D" w14:textId="77777777" w:rsidR="005264DD" w:rsidRPr="00C52C4C" w:rsidRDefault="005264DD" w:rsidP="005D2D27">
            <w:pPr>
              <w:rPr>
                <w:sz w:val="22"/>
                <w:szCs w:val="22"/>
              </w:rPr>
            </w:pPr>
          </w:p>
        </w:tc>
      </w:tr>
      <w:tr w:rsidR="005264DD" w:rsidRPr="00C52C4C" w14:paraId="72CFCB7A" w14:textId="77777777" w:rsidTr="005D2D27">
        <w:trPr>
          <w:trHeight w:val="790"/>
        </w:trPr>
        <w:tc>
          <w:tcPr>
            <w:tcW w:w="1701" w:type="dxa"/>
          </w:tcPr>
          <w:p w14:paraId="1865340F" w14:textId="77777777" w:rsidR="005264DD" w:rsidRPr="00C52C4C" w:rsidRDefault="005264DD" w:rsidP="005D2D27">
            <w:pPr>
              <w:rPr>
                <w:sz w:val="22"/>
                <w:szCs w:val="22"/>
              </w:rPr>
            </w:pPr>
            <w:r w:rsidRPr="00C52C4C">
              <w:rPr>
                <w:sz w:val="22"/>
                <w:szCs w:val="22"/>
              </w:rPr>
              <w:t>Trastornos endocrinos</w:t>
            </w:r>
          </w:p>
        </w:tc>
        <w:tc>
          <w:tcPr>
            <w:tcW w:w="1418" w:type="dxa"/>
          </w:tcPr>
          <w:p w14:paraId="7D8ADAAB" w14:textId="77777777" w:rsidR="005264DD" w:rsidRPr="00C52C4C" w:rsidRDefault="005264DD" w:rsidP="005D2D27">
            <w:pPr>
              <w:rPr>
                <w:sz w:val="22"/>
                <w:szCs w:val="22"/>
              </w:rPr>
            </w:pPr>
          </w:p>
        </w:tc>
        <w:tc>
          <w:tcPr>
            <w:tcW w:w="1701" w:type="dxa"/>
          </w:tcPr>
          <w:p w14:paraId="52F3CD4D" w14:textId="77777777" w:rsidR="005264DD" w:rsidRPr="00C52C4C" w:rsidRDefault="005264DD" w:rsidP="005D2D27">
            <w:pPr>
              <w:rPr>
                <w:sz w:val="22"/>
                <w:szCs w:val="22"/>
              </w:rPr>
            </w:pPr>
          </w:p>
        </w:tc>
        <w:tc>
          <w:tcPr>
            <w:tcW w:w="2290" w:type="dxa"/>
          </w:tcPr>
          <w:p w14:paraId="6E17F47D" w14:textId="77777777"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insuficiencia suprarrenal, hipotiroidismo</w:t>
            </w:r>
          </w:p>
        </w:tc>
        <w:tc>
          <w:tcPr>
            <w:tcW w:w="1710" w:type="dxa"/>
          </w:tcPr>
          <w:p w14:paraId="280B405F" w14:textId="77777777" w:rsidR="005264DD" w:rsidRPr="00C52C4C" w:rsidRDefault="005264DD" w:rsidP="005D2D27">
            <w:pPr>
              <w:rPr>
                <w:sz w:val="22"/>
                <w:szCs w:val="22"/>
              </w:rPr>
            </w:pPr>
            <w:r w:rsidRPr="00C52C4C">
              <w:rPr>
                <w:sz w:val="22"/>
                <w:szCs w:val="22"/>
              </w:rPr>
              <w:t>hipertiroidismo</w:t>
            </w:r>
          </w:p>
        </w:tc>
        <w:tc>
          <w:tcPr>
            <w:tcW w:w="1386" w:type="dxa"/>
          </w:tcPr>
          <w:p w14:paraId="52B131C9" w14:textId="77777777" w:rsidR="005264DD" w:rsidRPr="00C52C4C" w:rsidRDefault="005264DD" w:rsidP="005D2D27">
            <w:pPr>
              <w:rPr>
                <w:sz w:val="22"/>
                <w:szCs w:val="22"/>
              </w:rPr>
            </w:pPr>
          </w:p>
        </w:tc>
      </w:tr>
      <w:tr w:rsidR="005264DD" w:rsidRPr="00C52C4C" w14:paraId="53083897" w14:textId="77777777" w:rsidTr="005D2D27">
        <w:trPr>
          <w:trHeight w:val="790"/>
        </w:trPr>
        <w:tc>
          <w:tcPr>
            <w:tcW w:w="1701" w:type="dxa"/>
          </w:tcPr>
          <w:p w14:paraId="28BDF0E5" w14:textId="77777777" w:rsidR="005264DD" w:rsidRPr="00C52C4C" w:rsidRDefault="005264DD" w:rsidP="005D2D27">
            <w:pPr>
              <w:rPr>
                <w:sz w:val="22"/>
                <w:szCs w:val="22"/>
              </w:rPr>
            </w:pPr>
            <w:r w:rsidRPr="00C52C4C">
              <w:rPr>
                <w:sz w:val="22"/>
                <w:szCs w:val="22"/>
              </w:rPr>
              <w:t>Trastornos del metabolismo y de la nutrición</w:t>
            </w:r>
          </w:p>
        </w:tc>
        <w:tc>
          <w:tcPr>
            <w:tcW w:w="1418" w:type="dxa"/>
          </w:tcPr>
          <w:p w14:paraId="19CF587C" w14:textId="77777777" w:rsidR="005264DD" w:rsidRPr="00C52C4C" w:rsidRDefault="005264DD" w:rsidP="005D2D27">
            <w:pPr>
              <w:rPr>
                <w:sz w:val="22"/>
                <w:szCs w:val="22"/>
              </w:rPr>
            </w:pPr>
            <w:r w:rsidRPr="00C52C4C">
              <w:rPr>
                <w:sz w:val="22"/>
                <w:szCs w:val="22"/>
              </w:rPr>
              <w:t>edema periférico</w:t>
            </w:r>
          </w:p>
        </w:tc>
        <w:tc>
          <w:tcPr>
            <w:tcW w:w="1701" w:type="dxa"/>
          </w:tcPr>
          <w:p w14:paraId="428257FA" w14:textId="77777777"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 xml:space="preserve">hipoglucemia, </w:t>
            </w:r>
            <w:r w:rsidRPr="00C52C4C">
              <w:rPr>
                <w:rFonts w:cs="Times New Roman"/>
                <w:sz w:val="22"/>
                <w:szCs w:val="22"/>
                <w:lang w:val="es-ES_tradnl"/>
              </w:rPr>
              <w:t>hipopotasemia</w:t>
            </w:r>
            <w:r w:rsidRPr="00C52C4C">
              <w:rPr>
                <w:rStyle w:val="TableText12"/>
                <w:rFonts w:cs="Times New Roman"/>
                <w:sz w:val="22"/>
                <w:szCs w:val="22"/>
                <w:lang w:val="es-ES"/>
              </w:rPr>
              <w:t>, hiponatremia</w:t>
            </w:r>
          </w:p>
        </w:tc>
        <w:tc>
          <w:tcPr>
            <w:tcW w:w="2290" w:type="dxa"/>
          </w:tcPr>
          <w:p w14:paraId="1D75DDE0" w14:textId="77777777" w:rsidR="005264DD" w:rsidRPr="00C52C4C" w:rsidRDefault="005264DD" w:rsidP="005D2D27">
            <w:pPr>
              <w:rPr>
                <w:sz w:val="22"/>
                <w:szCs w:val="22"/>
              </w:rPr>
            </w:pPr>
          </w:p>
        </w:tc>
        <w:tc>
          <w:tcPr>
            <w:tcW w:w="1710" w:type="dxa"/>
          </w:tcPr>
          <w:p w14:paraId="4DCD9BDD" w14:textId="77777777" w:rsidR="005264DD" w:rsidRPr="00C52C4C" w:rsidRDefault="005264DD" w:rsidP="005D2D27">
            <w:pPr>
              <w:rPr>
                <w:sz w:val="22"/>
                <w:szCs w:val="22"/>
              </w:rPr>
            </w:pPr>
          </w:p>
        </w:tc>
        <w:tc>
          <w:tcPr>
            <w:tcW w:w="1386" w:type="dxa"/>
          </w:tcPr>
          <w:p w14:paraId="63E13DAE" w14:textId="77777777" w:rsidR="005264DD" w:rsidRPr="00C52C4C" w:rsidRDefault="005264DD" w:rsidP="005D2D27">
            <w:pPr>
              <w:rPr>
                <w:sz w:val="22"/>
                <w:szCs w:val="22"/>
              </w:rPr>
            </w:pPr>
          </w:p>
        </w:tc>
      </w:tr>
      <w:tr w:rsidR="005264DD" w:rsidRPr="00C52C4C" w14:paraId="58F0E78A" w14:textId="77777777" w:rsidTr="005D2D27">
        <w:trPr>
          <w:trHeight w:val="481"/>
        </w:trPr>
        <w:tc>
          <w:tcPr>
            <w:tcW w:w="1701" w:type="dxa"/>
          </w:tcPr>
          <w:p w14:paraId="7D6FE6C6" w14:textId="77777777" w:rsidR="005264DD" w:rsidRPr="00C52C4C" w:rsidRDefault="005264DD" w:rsidP="005D2D27">
            <w:pPr>
              <w:rPr>
                <w:sz w:val="22"/>
                <w:szCs w:val="22"/>
              </w:rPr>
            </w:pPr>
            <w:r w:rsidRPr="00C52C4C">
              <w:rPr>
                <w:sz w:val="22"/>
                <w:szCs w:val="22"/>
              </w:rPr>
              <w:t>Trastornos psiquiátricos</w:t>
            </w:r>
          </w:p>
        </w:tc>
        <w:tc>
          <w:tcPr>
            <w:tcW w:w="1418" w:type="dxa"/>
          </w:tcPr>
          <w:p w14:paraId="48F525AD" w14:textId="77777777" w:rsidR="005264DD" w:rsidRPr="00C52C4C" w:rsidRDefault="005264DD" w:rsidP="005D2D27">
            <w:pPr>
              <w:rPr>
                <w:sz w:val="22"/>
                <w:szCs w:val="22"/>
              </w:rPr>
            </w:pPr>
          </w:p>
        </w:tc>
        <w:tc>
          <w:tcPr>
            <w:tcW w:w="1701" w:type="dxa"/>
          </w:tcPr>
          <w:p w14:paraId="7FB33F7A" w14:textId="77777777" w:rsidR="005264DD" w:rsidRPr="00C52C4C" w:rsidRDefault="005264DD" w:rsidP="005D2D27">
            <w:pPr>
              <w:rPr>
                <w:sz w:val="22"/>
                <w:szCs w:val="22"/>
              </w:rPr>
            </w:pPr>
            <w:r w:rsidRPr="00C52C4C">
              <w:rPr>
                <w:sz w:val="22"/>
                <w:szCs w:val="22"/>
              </w:rPr>
              <w:t>depresión, alucinación, ansiedad, insomnio, agitación, estado confusional</w:t>
            </w:r>
          </w:p>
        </w:tc>
        <w:tc>
          <w:tcPr>
            <w:tcW w:w="2290" w:type="dxa"/>
          </w:tcPr>
          <w:p w14:paraId="1A971F29" w14:textId="77777777" w:rsidR="005264DD" w:rsidRPr="00C52C4C" w:rsidRDefault="005264DD" w:rsidP="005D2D27">
            <w:pPr>
              <w:rPr>
                <w:sz w:val="22"/>
                <w:szCs w:val="22"/>
              </w:rPr>
            </w:pPr>
          </w:p>
        </w:tc>
        <w:tc>
          <w:tcPr>
            <w:tcW w:w="1710" w:type="dxa"/>
          </w:tcPr>
          <w:p w14:paraId="32933AD7" w14:textId="77777777" w:rsidR="005264DD" w:rsidRPr="00C52C4C" w:rsidRDefault="005264DD" w:rsidP="005D2D27">
            <w:pPr>
              <w:rPr>
                <w:sz w:val="22"/>
                <w:szCs w:val="22"/>
              </w:rPr>
            </w:pPr>
          </w:p>
        </w:tc>
        <w:tc>
          <w:tcPr>
            <w:tcW w:w="1386" w:type="dxa"/>
          </w:tcPr>
          <w:p w14:paraId="554526DE" w14:textId="77777777" w:rsidR="005264DD" w:rsidRPr="00C52C4C" w:rsidRDefault="005264DD" w:rsidP="005D2D27">
            <w:pPr>
              <w:rPr>
                <w:sz w:val="22"/>
                <w:szCs w:val="22"/>
              </w:rPr>
            </w:pPr>
          </w:p>
        </w:tc>
      </w:tr>
      <w:tr w:rsidR="005264DD" w:rsidRPr="00C52C4C" w14:paraId="6EC1F1F4" w14:textId="77777777" w:rsidTr="005D2D27">
        <w:trPr>
          <w:trHeight w:val="790"/>
        </w:trPr>
        <w:tc>
          <w:tcPr>
            <w:tcW w:w="1701" w:type="dxa"/>
          </w:tcPr>
          <w:p w14:paraId="2CEF919E" w14:textId="77777777" w:rsidR="005264DD" w:rsidRPr="00C52C4C" w:rsidRDefault="005264DD" w:rsidP="005D2D27">
            <w:pPr>
              <w:rPr>
                <w:sz w:val="22"/>
                <w:szCs w:val="22"/>
              </w:rPr>
            </w:pPr>
            <w:r w:rsidRPr="00C52C4C">
              <w:rPr>
                <w:sz w:val="22"/>
                <w:szCs w:val="22"/>
              </w:rPr>
              <w:t>Trastornos del sistema nervioso</w:t>
            </w:r>
          </w:p>
        </w:tc>
        <w:tc>
          <w:tcPr>
            <w:tcW w:w="1418" w:type="dxa"/>
          </w:tcPr>
          <w:p w14:paraId="7DB2373B" w14:textId="77777777" w:rsidR="005264DD" w:rsidRPr="00C52C4C" w:rsidRDefault="005264DD" w:rsidP="005D2D27">
            <w:pPr>
              <w:rPr>
                <w:sz w:val="22"/>
                <w:szCs w:val="22"/>
              </w:rPr>
            </w:pPr>
            <w:r w:rsidRPr="00C52C4C">
              <w:rPr>
                <w:rStyle w:val="TableText12"/>
                <w:sz w:val="22"/>
                <w:szCs w:val="22"/>
              </w:rPr>
              <w:t>cefalea</w:t>
            </w:r>
          </w:p>
        </w:tc>
        <w:tc>
          <w:tcPr>
            <w:tcW w:w="1701" w:type="dxa"/>
          </w:tcPr>
          <w:p w14:paraId="38FDD4A9" w14:textId="77777777"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convulsión, síncope, temblor, hipertonía</w:t>
            </w:r>
            <w:r w:rsidRPr="00C52C4C">
              <w:rPr>
                <w:rStyle w:val="TableText12"/>
                <w:rFonts w:cs="Times New Roman"/>
                <w:sz w:val="22"/>
                <w:szCs w:val="22"/>
                <w:vertAlign w:val="superscript"/>
                <w:lang w:val="es-ES"/>
              </w:rPr>
              <w:t>3</w:t>
            </w:r>
            <w:r w:rsidRPr="00C52C4C">
              <w:rPr>
                <w:rStyle w:val="TableText12"/>
                <w:rFonts w:cs="Times New Roman"/>
                <w:sz w:val="22"/>
                <w:szCs w:val="22"/>
                <w:lang w:val="es-ES"/>
              </w:rPr>
              <w:t>, parestesia, somnolencia, mareo</w:t>
            </w:r>
          </w:p>
        </w:tc>
        <w:tc>
          <w:tcPr>
            <w:tcW w:w="2290" w:type="dxa"/>
          </w:tcPr>
          <w:p w14:paraId="7CD4258B" w14:textId="77777777"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edema en el cerebro, encefalopatía</w:t>
            </w:r>
            <w:r w:rsidRPr="00C52C4C">
              <w:rPr>
                <w:rStyle w:val="TableText12"/>
                <w:rFonts w:cs="Times New Roman"/>
                <w:sz w:val="22"/>
                <w:szCs w:val="22"/>
                <w:vertAlign w:val="superscript"/>
                <w:lang w:val="es-ES"/>
              </w:rPr>
              <w:t>4</w:t>
            </w:r>
            <w:r w:rsidRPr="00C52C4C">
              <w:rPr>
                <w:rStyle w:val="TableText12"/>
                <w:rFonts w:cs="Times New Roman"/>
                <w:sz w:val="22"/>
                <w:szCs w:val="22"/>
                <w:lang w:val="es-ES"/>
              </w:rPr>
              <w:t>, trastorno extrapiramidal</w:t>
            </w:r>
            <w:r w:rsidRPr="00C52C4C">
              <w:rPr>
                <w:rStyle w:val="TableText12"/>
                <w:rFonts w:cs="Times New Roman"/>
                <w:sz w:val="22"/>
                <w:szCs w:val="22"/>
                <w:vertAlign w:val="superscript"/>
                <w:lang w:val="es-ES"/>
              </w:rPr>
              <w:t>5</w:t>
            </w:r>
            <w:r w:rsidRPr="00C52C4C">
              <w:rPr>
                <w:rStyle w:val="TableText12"/>
                <w:rFonts w:cs="Times New Roman"/>
                <w:sz w:val="22"/>
                <w:szCs w:val="22"/>
                <w:lang w:val="es-ES"/>
              </w:rPr>
              <w:t>, neuropatía periférica, ataxia, hipoestesia, disgeusia</w:t>
            </w:r>
          </w:p>
        </w:tc>
        <w:tc>
          <w:tcPr>
            <w:tcW w:w="1710" w:type="dxa"/>
          </w:tcPr>
          <w:p w14:paraId="71B130A4" w14:textId="77777777"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encefalopatía hepática, síndrome de Guillain-Barré, nistagm</w:t>
            </w:r>
            <w:r w:rsidRPr="00C52C4C" w:rsidDel="00FC62CD">
              <w:rPr>
                <w:rStyle w:val="TableText12"/>
                <w:rFonts w:cs="Times New Roman"/>
                <w:sz w:val="22"/>
                <w:szCs w:val="22"/>
                <w:lang w:val="es-ES"/>
              </w:rPr>
              <w:t>us</w:t>
            </w:r>
            <w:r w:rsidRPr="00C52C4C">
              <w:rPr>
                <w:rStyle w:val="TableText12"/>
                <w:rFonts w:cs="Times New Roman"/>
                <w:sz w:val="22"/>
                <w:szCs w:val="22"/>
                <w:lang w:val="es-ES"/>
              </w:rPr>
              <w:t>o</w:t>
            </w:r>
          </w:p>
        </w:tc>
        <w:tc>
          <w:tcPr>
            <w:tcW w:w="1386" w:type="dxa"/>
          </w:tcPr>
          <w:p w14:paraId="35A3FA31" w14:textId="77777777" w:rsidR="005264DD" w:rsidRPr="00C52C4C" w:rsidRDefault="005264DD" w:rsidP="005D2D27">
            <w:pPr>
              <w:rPr>
                <w:sz w:val="22"/>
                <w:szCs w:val="22"/>
              </w:rPr>
            </w:pPr>
          </w:p>
        </w:tc>
      </w:tr>
      <w:tr w:rsidR="005264DD" w:rsidRPr="00C52C4C" w14:paraId="435348D3" w14:textId="77777777" w:rsidTr="005D2D27">
        <w:trPr>
          <w:trHeight w:val="790"/>
        </w:trPr>
        <w:tc>
          <w:tcPr>
            <w:tcW w:w="1701" w:type="dxa"/>
          </w:tcPr>
          <w:p w14:paraId="216C1AC6" w14:textId="77777777" w:rsidR="005264DD" w:rsidRPr="00C52C4C" w:rsidRDefault="005264DD" w:rsidP="005D2D27">
            <w:pPr>
              <w:rPr>
                <w:sz w:val="22"/>
                <w:szCs w:val="22"/>
              </w:rPr>
            </w:pPr>
            <w:r w:rsidRPr="00C52C4C">
              <w:rPr>
                <w:sz w:val="22"/>
                <w:szCs w:val="22"/>
              </w:rPr>
              <w:t xml:space="preserve">Trastornos oculares </w:t>
            </w:r>
          </w:p>
        </w:tc>
        <w:tc>
          <w:tcPr>
            <w:tcW w:w="1418" w:type="dxa"/>
          </w:tcPr>
          <w:p w14:paraId="4B4BDE98" w14:textId="77777777" w:rsidR="005264DD" w:rsidRPr="00C52C4C" w:rsidRDefault="005264DD" w:rsidP="005D2D27">
            <w:pPr>
              <w:rPr>
                <w:sz w:val="22"/>
                <w:szCs w:val="22"/>
                <w:vertAlign w:val="superscript"/>
              </w:rPr>
            </w:pPr>
            <w:r w:rsidRPr="00C52C4C">
              <w:rPr>
                <w:rStyle w:val="TableText12"/>
                <w:sz w:val="22"/>
                <w:szCs w:val="22"/>
              </w:rPr>
              <w:t>alteración visual</w:t>
            </w:r>
            <w:r w:rsidRPr="00C52C4C">
              <w:rPr>
                <w:rStyle w:val="TableText12"/>
                <w:sz w:val="22"/>
                <w:szCs w:val="22"/>
                <w:vertAlign w:val="superscript"/>
              </w:rPr>
              <w:t>6</w:t>
            </w:r>
          </w:p>
        </w:tc>
        <w:tc>
          <w:tcPr>
            <w:tcW w:w="1701" w:type="dxa"/>
          </w:tcPr>
          <w:p w14:paraId="38A73DB1" w14:textId="77777777" w:rsidR="005264DD" w:rsidRPr="00C52C4C" w:rsidRDefault="005264DD" w:rsidP="005D2D27">
            <w:pPr>
              <w:rPr>
                <w:sz w:val="22"/>
                <w:szCs w:val="22"/>
              </w:rPr>
            </w:pPr>
            <w:r w:rsidRPr="00C52C4C">
              <w:rPr>
                <w:rStyle w:val="TableText12"/>
                <w:sz w:val="22"/>
                <w:szCs w:val="22"/>
              </w:rPr>
              <w:t>hemorragia retiniana</w:t>
            </w:r>
          </w:p>
        </w:tc>
        <w:tc>
          <w:tcPr>
            <w:tcW w:w="2290" w:type="dxa"/>
          </w:tcPr>
          <w:p w14:paraId="02F68C4A" w14:textId="77777777"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trastorno del nervio óptico</w:t>
            </w:r>
            <w:r w:rsidRPr="00C52C4C">
              <w:rPr>
                <w:rStyle w:val="TableText12"/>
                <w:rFonts w:cs="Times New Roman"/>
                <w:sz w:val="22"/>
                <w:szCs w:val="22"/>
                <w:vertAlign w:val="superscript"/>
                <w:lang w:val="es-ES"/>
              </w:rPr>
              <w:t>7</w:t>
            </w:r>
            <w:r w:rsidRPr="00C52C4C">
              <w:rPr>
                <w:rStyle w:val="TableText12"/>
                <w:rFonts w:cs="Times New Roman"/>
                <w:sz w:val="22"/>
                <w:szCs w:val="22"/>
                <w:lang w:val="es-ES"/>
              </w:rPr>
              <w:t>, papiledema</w:t>
            </w:r>
            <w:r w:rsidRPr="00C52C4C">
              <w:rPr>
                <w:rStyle w:val="TableText12"/>
                <w:rFonts w:cs="Times New Roman"/>
                <w:sz w:val="22"/>
                <w:szCs w:val="22"/>
                <w:vertAlign w:val="superscript"/>
                <w:lang w:val="es-ES"/>
              </w:rPr>
              <w:t>8</w:t>
            </w:r>
            <w:r w:rsidRPr="00C52C4C">
              <w:rPr>
                <w:rStyle w:val="TableText12"/>
                <w:rFonts w:cs="Times New Roman"/>
                <w:sz w:val="22"/>
                <w:szCs w:val="22"/>
                <w:lang w:val="es-ES"/>
              </w:rPr>
              <w:t>, crisis oculogira, diplopía, escleritis, blefaritis</w:t>
            </w:r>
          </w:p>
        </w:tc>
        <w:tc>
          <w:tcPr>
            <w:tcW w:w="1710" w:type="dxa"/>
          </w:tcPr>
          <w:p w14:paraId="4770B651" w14:textId="77777777"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atrofia óptica, opacidad corneal</w:t>
            </w:r>
          </w:p>
        </w:tc>
        <w:tc>
          <w:tcPr>
            <w:tcW w:w="1386" w:type="dxa"/>
          </w:tcPr>
          <w:p w14:paraId="4A0F2D8D" w14:textId="77777777" w:rsidR="005264DD" w:rsidRPr="00C52C4C" w:rsidRDefault="005264DD" w:rsidP="005D2D27">
            <w:pPr>
              <w:rPr>
                <w:sz w:val="22"/>
                <w:szCs w:val="22"/>
              </w:rPr>
            </w:pPr>
          </w:p>
        </w:tc>
      </w:tr>
      <w:tr w:rsidR="005264DD" w:rsidRPr="00C52C4C" w14:paraId="3A28879F" w14:textId="77777777" w:rsidTr="005D2D27">
        <w:trPr>
          <w:trHeight w:val="790"/>
        </w:trPr>
        <w:tc>
          <w:tcPr>
            <w:tcW w:w="1701" w:type="dxa"/>
          </w:tcPr>
          <w:p w14:paraId="6D1D8EE1" w14:textId="77777777" w:rsidR="005264DD" w:rsidRPr="00C52C4C" w:rsidRDefault="005264DD" w:rsidP="005D2D27">
            <w:pPr>
              <w:rPr>
                <w:sz w:val="22"/>
                <w:szCs w:val="22"/>
              </w:rPr>
            </w:pPr>
            <w:r w:rsidRPr="00C52C4C">
              <w:rPr>
                <w:sz w:val="22"/>
                <w:szCs w:val="22"/>
              </w:rPr>
              <w:lastRenderedPageBreak/>
              <w:t>Trastornos del oído y del laberinto</w:t>
            </w:r>
          </w:p>
        </w:tc>
        <w:tc>
          <w:tcPr>
            <w:tcW w:w="1418" w:type="dxa"/>
          </w:tcPr>
          <w:p w14:paraId="21FF51D7" w14:textId="77777777" w:rsidR="005264DD" w:rsidRPr="00C52C4C" w:rsidRDefault="005264DD" w:rsidP="005D2D27">
            <w:pPr>
              <w:rPr>
                <w:sz w:val="22"/>
                <w:szCs w:val="22"/>
              </w:rPr>
            </w:pPr>
          </w:p>
        </w:tc>
        <w:tc>
          <w:tcPr>
            <w:tcW w:w="1701" w:type="dxa"/>
          </w:tcPr>
          <w:p w14:paraId="5AF36192" w14:textId="77777777" w:rsidR="005264DD" w:rsidRPr="00C52C4C" w:rsidRDefault="005264DD" w:rsidP="005D2D27">
            <w:pPr>
              <w:rPr>
                <w:sz w:val="22"/>
                <w:szCs w:val="22"/>
              </w:rPr>
            </w:pPr>
          </w:p>
        </w:tc>
        <w:tc>
          <w:tcPr>
            <w:tcW w:w="2290" w:type="dxa"/>
          </w:tcPr>
          <w:p w14:paraId="45F30E48" w14:textId="77777777" w:rsidR="005264DD" w:rsidRPr="00C52C4C" w:rsidRDefault="005264DD" w:rsidP="005D2D27">
            <w:pPr>
              <w:rPr>
                <w:sz w:val="22"/>
                <w:szCs w:val="22"/>
              </w:rPr>
            </w:pPr>
            <w:r w:rsidRPr="00C52C4C">
              <w:rPr>
                <w:sz w:val="22"/>
                <w:szCs w:val="22"/>
              </w:rPr>
              <w:t>hipoacusia, vértigo, acúfenos</w:t>
            </w:r>
          </w:p>
        </w:tc>
        <w:tc>
          <w:tcPr>
            <w:tcW w:w="1710" w:type="dxa"/>
          </w:tcPr>
          <w:p w14:paraId="1877BDBF" w14:textId="77777777" w:rsidR="005264DD" w:rsidRPr="00C52C4C" w:rsidRDefault="005264DD" w:rsidP="005D2D27">
            <w:pPr>
              <w:rPr>
                <w:sz w:val="22"/>
                <w:szCs w:val="22"/>
              </w:rPr>
            </w:pPr>
          </w:p>
        </w:tc>
        <w:tc>
          <w:tcPr>
            <w:tcW w:w="1386" w:type="dxa"/>
          </w:tcPr>
          <w:p w14:paraId="44B6F6D8" w14:textId="77777777" w:rsidR="005264DD" w:rsidRPr="00C52C4C" w:rsidRDefault="005264DD" w:rsidP="005D2D27">
            <w:pPr>
              <w:rPr>
                <w:sz w:val="22"/>
                <w:szCs w:val="22"/>
              </w:rPr>
            </w:pPr>
          </w:p>
        </w:tc>
      </w:tr>
      <w:tr w:rsidR="005264DD" w:rsidRPr="00C52C4C" w14:paraId="6BBB03BB" w14:textId="77777777" w:rsidTr="005D2D27">
        <w:trPr>
          <w:trHeight w:val="790"/>
        </w:trPr>
        <w:tc>
          <w:tcPr>
            <w:tcW w:w="1701" w:type="dxa"/>
          </w:tcPr>
          <w:p w14:paraId="3FE7BFB8" w14:textId="77777777" w:rsidR="005264DD" w:rsidRPr="00C52C4C" w:rsidRDefault="005264DD" w:rsidP="005D2D27">
            <w:pPr>
              <w:keepNext/>
              <w:keepLines/>
              <w:rPr>
                <w:sz w:val="22"/>
                <w:szCs w:val="22"/>
              </w:rPr>
            </w:pPr>
            <w:r w:rsidRPr="00C52C4C">
              <w:rPr>
                <w:sz w:val="22"/>
                <w:szCs w:val="22"/>
              </w:rPr>
              <w:t xml:space="preserve">Trastornos cardiacos </w:t>
            </w:r>
          </w:p>
        </w:tc>
        <w:tc>
          <w:tcPr>
            <w:tcW w:w="1418" w:type="dxa"/>
          </w:tcPr>
          <w:p w14:paraId="38B2D155" w14:textId="77777777" w:rsidR="005264DD" w:rsidRPr="00C52C4C" w:rsidRDefault="005264DD" w:rsidP="005D2D27">
            <w:pPr>
              <w:keepNext/>
              <w:keepLines/>
              <w:rPr>
                <w:sz w:val="22"/>
                <w:szCs w:val="22"/>
              </w:rPr>
            </w:pPr>
          </w:p>
        </w:tc>
        <w:tc>
          <w:tcPr>
            <w:tcW w:w="1701" w:type="dxa"/>
          </w:tcPr>
          <w:p w14:paraId="3F157B67" w14:textId="77777777" w:rsidR="005264DD" w:rsidRPr="00C52C4C" w:rsidDel="00FC62CD" w:rsidRDefault="005264DD" w:rsidP="005D2D27">
            <w:pPr>
              <w:pStyle w:val="TableText"/>
              <w:keepNext/>
              <w:keepLines/>
              <w:rPr>
                <w:rStyle w:val="TableText12"/>
                <w:rFonts w:cs="Times New Roman"/>
                <w:sz w:val="22"/>
                <w:szCs w:val="22"/>
                <w:lang w:val="es-ES"/>
              </w:rPr>
            </w:pPr>
            <w:r w:rsidRPr="00C52C4C">
              <w:rPr>
                <w:rStyle w:val="TableText12"/>
                <w:rFonts w:cs="Times New Roman"/>
                <w:sz w:val="22"/>
                <w:szCs w:val="22"/>
                <w:lang w:val="es-ES"/>
              </w:rPr>
              <w:t>arritmia supraventricular, taquicardia, bradicardia</w:t>
            </w:r>
          </w:p>
          <w:p w14:paraId="362BE9DF" w14:textId="77777777" w:rsidR="005264DD" w:rsidRPr="00C52C4C" w:rsidRDefault="005264DD" w:rsidP="005D2D27">
            <w:pPr>
              <w:pStyle w:val="TableTextColHead"/>
              <w:keepNext/>
              <w:keepLines/>
              <w:rPr>
                <w:rFonts w:ascii="Times New Roman" w:hAnsi="Times New Roman"/>
                <w:sz w:val="22"/>
                <w:szCs w:val="22"/>
              </w:rPr>
            </w:pPr>
          </w:p>
        </w:tc>
        <w:tc>
          <w:tcPr>
            <w:tcW w:w="2290" w:type="dxa"/>
          </w:tcPr>
          <w:p w14:paraId="4DB7E67A" w14:textId="77777777" w:rsidR="005264DD" w:rsidRPr="00C52C4C" w:rsidRDefault="005264DD" w:rsidP="005D2D27">
            <w:pPr>
              <w:pStyle w:val="TableText"/>
              <w:keepNext/>
              <w:keepLines/>
              <w:rPr>
                <w:rFonts w:cs="Times New Roman"/>
                <w:sz w:val="22"/>
                <w:szCs w:val="22"/>
                <w:lang w:val="es-ES"/>
              </w:rPr>
            </w:pPr>
            <w:r w:rsidRPr="00C52C4C">
              <w:rPr>
                <w:rStyle w:val="TableText12"/>
                <w:rFonts w:cs="Times New Roman"/>
                <w:sz w:val="22"/>
                <w:szCs w:val="22"/>
                <w:lang w:val="es-ES"/>
              </w:rPr>
              <w:t>fibrilación ventricular, extrasístoles ventriculares, taquicardia ventricular, intervalo QT del electrocardiograma prolongado, taquicardia supraventricular</w:t>
            </w:r>
          </w:p>
        </w:tc>
        <w:tc>
          <w:tcPr>
            <w:tcW w:w="1710" w:type="dxa"/>
          </w:tcPr>
          <w:p w14:paraId="2311C7B0" w14:textId="77777777" w:rsidR="005264DD" w:rsidRPr="00C52C4C" w:rsidRDefault="005264DD" w:rsidP="005D2D27">
            <w:pPr>
              <w:pStyle w:val="TableText"/>
              <w:keepNext/>
              <w:keepLines/>
              <w:rPr>
                <w:rFonts w:cs="Times New Roman"/>
                <w:sz w:val="22"/>
                <w:szCs w:val="22"/>
                <w:lang w:val="es-ES"/>
              </w:rPr>
            </w:pPr>
            <w:r w:rsidRPr="00C52C4C">
              <w:rPr>
                <w:rStyle w:val="TableText12"/>
                <w:rFonts w:cs="Times New Roman"/>
                <w:sz w:val="22"/>
                <w:szCs w:val="22"/>
                <w:lang w:val="es-ES"/>
              </w:rPr>
              <w:t>torsades de pointes, bloqueo auriculoventricular completo, bloqueo de rama, ritmo nodal</w:t>
            </w:r>
          </w:p>
        </w:tc>
        <w:tc>
          <w:tcPr>
            <w:tcW w:w="1386" w:type="dxa"/>
          </w:tcPr>
          <w:p w14:paraId="7C267DF4" w14:textId="77777777" w:rsidR="005264DD" w:rsidRPr="00C52C4C" w:rsidRDefault="005264DD" w:rsidP="005D2D27">
            <w:pPr>
              <w:rPr>
                <w:sz w:val="22"/>
                <w:szCs w:val="22"/>
              </w:rPr>
            </w:pPr>
          </w:p>
        </w:tc>
      </w:tr>
      <w:tr w:rsidR="005264DD" w:rsidRPr="00C52C4C" w14:paraId="5AD8C056" w14:textId="77777777" w:rsidTr="005D2D27">
        <w:trPr>
          <w:trHeight w:val="790"/>
        </w:trPr>
        <w:tc>
          <w:tcPr>
            <w:tcW w:w="1701" w:type="dxa"/>
          </w:tcPr>
          <w:p w14:paraId="008B1426" w14:textId="77777777" w:rsidR="005264DD" w:rsidRPr="00C52C4C" w:rsidRDefault="005264DD" w:rsidP="005D2D27">
            <w:pPr>
              <w:rPr>
                <w:sz w:val="22"/>
                <w:szCs w:val="22"/>
              </w:rPr>
            </w:pPr>
            <w:r w:rsidRPr="00C52C4C">
              <w:rPr>
                <w:sz w:val="22"/>
                <w:szCs w:val="22"/>
              </w:rPr>
              <w:t xml:space="preserve">Trastornos vasculares </w:t>
            </w:r>
          </w:p>
        </w:tc>
        <w:tc>
          <w:tcPr>
            <w:tcW w:w="1418" w:type="dxa"/>
          </w:tcPr>
          <w:p w14:paraId="7290A8FA" w14:textId="77777777" w:rsidR="005264DD" w:rsidRPr="00C52C4C" w:rsidRDefault="005264DD" w:rsidP="005D2D27">
            <w:pPr>
              <w:rPr>
                <w:sz w:val="22"/>
                <w:szCs w:val="22"/>
              </w:rPr>
            </w:pPr>
          </w:p>
        </w:tc>
        <w:tc>
          <w:tcPr>
            <w:tcW w:w="1701" w:type="dxa"/>
          </w:tcPr>
          <w:p w14:paraId="32AF8159" w14:textId="77777777"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hipotensión, flebitis</w:t>
            </w:r>
          </w:p>
        </w:tc>
        <w:tc>
          <w:tcPr>
            <w:tcW w:w="2290" w:type="dxa"/>
          </w:tcPr>
          <w:p w14:paraId="12020262" w14:textId="77777777"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tromboflebitis, linfangitis</w:t>
            </w:r>
          </w:p>
        </w:tc>
        <w:tc>
          <w:tcPr>
            <w:tcW w:w="1710" w:type="dxa"/>
          </w:tcPr>
          <w:p w14:paraId="72223547" w14:textId="77777777" w:rsidR="005264DD" w:rsidRPr="00C52C4C" w:rsidRDefault="005264DD" w:rsidP="005D2D27">
            <w:pPr>
              <w:rPr>
                <w:sz w:val="22"/>
                <w:szCs w:val="22"/>
              </w:rPr>
            </w:pPr>
          </w:p>
        </w:tc>
        <w:tc>
          <w:tcPr>
            <w:tcW w:w="1386" w:type="dxa"/>
          </w:tcPr>
          <w:p w14:paraId="2562D02B" w14:textId="77777777" w:rsidR="005264DD" w:rsidRPr="00C52C4C" w:rsidRDefault="005264DD" w:rsidP="005D2D27">
            <w:pPr>
              <w:rPr>
                <w:sz w:val="22"/>
                <w:szCs w:val="22"/>
              </w:rPr>
            </w:pPr>
          </w:p>
        </w:tc>
      </w:tr>
      <w:tr w:rsidR="005264DD" w:rsidRPr="00C52C4C" w14:paraId="364911FF" w14:textId="77777777" w:rsidTr="005D2D27">
        <w:trPr>
          <w:trHeight w:val="790"/>
        </w:trPr>
        <w:tc>
          <w:tcPr>
            <w:tcW w:w="1701" w:type="dxa"/>
          </w:tcPr>
          <w:p w14:paraId="48577E5B" w14:textId="77777777" w:rsidR="005264DD" w:rsidRPr="00C52C4C" w:rsidRDefault="005264DD" w:rsidP="005D2D27">
            <w:pPr>
              <w:rPr>
                <w:sz w:val="22"/>
                <w:szCs w:val="22"/>
              </w:rPr>
            </w:pPr>
            <w:r w:rsidRPr="00C52C4C">
              <w:rPr>
                <w:sz w:val="22"/>
                <w:szCs w:val="22"/>
              </w:rPr>
              <w:t>Trastornos respiratorios, torácicos y mediastínicos</w:t>
            </w:r>
          </w:p>
        </w:tc>
        <w:tc>
          <w:tcPr>
            <w:tcW w:w="1418" w:type="dxa"/>
          </w:tcPr>
          <w:p w14:paraId="5F973E1A" w14:textId="77777777" w:rsidR="005264DD" w:rsidRPr="00C52C4C" w:rsidRDefault="005264DD" w:rsidP="005D2D27">
            <w:pPr>
              <w:rPr>
                <w:sz w:val="22"/>
                <w:szCs w:val="22"/>
                <w:vertAlign w:val="superscript"/>
              </w:rPr>
            </w:pPr>
            <w:r w:rsidRPr="00C52C4C">
              <w:rPr>
                <w:rStyle w:val="TableText12"/>
                <w:sz w:val="22"/>
                <w:szCs w:val="22"/>
              </w:rPr>
              <w:t>dificultad respiratoria</w:t>
            </w:r>
            <w:r w:rsidRPr="00C52C4C">
              <w:rPr>
                <w:rStyle w:val="TableText12"/>
                <w:sz w:val="22"/>
                <w:szCs w:val="22"/>
                <w:vertAlign w:val="superscript"/>
              </w:rPr>
              <w:t>9</w:t>
            </w:r>
          </w:p>
        </w:tc>
        <w:tc>
          <w:tcPr>
            <w:tcW w:w="1701" w:type="dxa"/>
          </w:tcPr>
          <w:p w14:paraId="48364B81" w14:textId="77777777"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síndrome de sufrimiento respiratorio agudo, edema pulmonar,</w:t>
            </w:r>
          </w:p>
        </w:tc>
        <w:tc>
          <w:tcPr>
            <w:tcW w:w="2290" w:type="dxa"/>
          </w:tcPr>
          <w:p w14:paraId="65FB6875" w14:textId="77777777" w:rsidR="005264DD" w:rsidRPr="00C52C4C" w:rsidRDefault="005264DD" w:rsidP="005D2D27">
            <w:pPr>
              <w:rPr>
                <w:sz w:val="22"/>
                <w:szCs w:val="22"/>
              </w:rPr>
            </w:pPr>
          </w:p>
        </w:tc>
        <w:tc>
          <w:tcPr>
            <w:tcW w:w="1710" w:type="dxa"/>
          </w:tcPr>
          <w:p w14:paraId="78E32D1D" w14:textId="77777777" w:rsidR="005264DD" w:rsidRPr="00C52C4C" w:rsidRDefault="005264DD" w:rsidP="005D2D27">
            <w:pPr>
              <w:rPr>
                <w:sz w:val="22"/>
                <w:szCs w:val="22"/>
              </w:rPr>
            </w:pPr>
          </w:p>
        </w:tc>
        <w:tc>
          <w:tcPr>
            <w:tcW w:w="1386" w:type="dxa"/>
          </w:tcPr>
          <w:p w14:paraId="3E469EDB" w14:textId="77777777" w:rsidR="005264DD" w:rsidRPr="00C52C4C" w:rsidRDefault="005264DD" w:rsidP="005D2D27">
            <w:pPr>
              <w:rPr>
                <w:sz w:val="22"/>
                <w:szCs w:val="22"/>
              </w:rPr>
            </w:pPr>
          </w:p>
        </w:tc>
      </w:tr>
      <w:tr w:rsidR="005264DD" w:rsidRPr="00C52C4C" w14:paraId="3E96C7BD" w14:textId="77777777" w:rsidTr="005D2D27">
        <w:trPr>
          <w:trHeight w:val="790"/>
        </w:trPr>
        <w:tc>
          <w:tcPr>
            <w:tcW w:w="1701" w:type="dxa"/>
          </w:tcPr>
          <w:p w14:paraId="2C4446B2" w14:textId="77777777" w:rsidR="005264DD" w:rsidRPr="00C52C4C" w:rsidRDefault="005264DD" w:rsidP="005D2D27">
            <w:pPr>
              <w:rPr>
                <w:sz w:val="22"/>
                <w:szCs w:val="22"/>
              </w:rPr>
            </w:pPr>
            <w:r w:rsidRPr="00C52C4C">
              <w:rPr>
                <w:sz w:val="22"/>
                <w:szCs w:val="22"/>
              </w:rPr>
              <w:t>Trastornos gastrointestinales</w:t>
            </w:r>
          </w:p>
        </w:tc>
        <w:tc>
          <w:tcPr>
            <w:tcW w:w="1418" w:type="dxa"/>
          </w:tcPr>
          <w:p w14:paraId="5258D316" w14:textId="77777777" w:rsidR="005264DD" w:rsidRPr="00C52C4C" w:rsidRDefault="005264DD" w:rsidP="005D2D27">
            <w:pPr>
              <w:pStyle w:val="TableText"/>
              <w:rPr>
                <w:rStyle w:val="TableText12"/>
                <w:rFonts w:cs="Times New Roman"/>
                <w:sz w:val="22"/>
                <w:szCs w:val="22"/>
                <w:lang w:val="es-ES"/>
              </w:rPr>
            </w:pPr>
            <w:r w:rsidRPr="00C52C4C">
              <w:rPr>
                <w:rStyle w:val="TableText12"/>
                <w:rFonts w:cs="Times New Roman"/>
                <w:sz w:val="22"/>
                <w:szCs w:val="22"/>
                <w:lang w:val="es-ES"/>
              </w:rPr>
              <w:t>diarrea, vómitos,</w:t>
            </w:r>
          </w:p>
          <w:p w14:paraId="34A6C437" w14:textId="77777777"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dolor abdominal, náuseas</w:t>
            </w:r>
          </w:p>
        </w:tc>
        <w:tc>
          <w:tcPr>
            <w:tcW w:w="1701" w:type="dxa"/>
          </w:tcPr>
          <w:p w14:paraId="7CC247EB" w14:textId="77777777"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queilitis, dispepsia, estreñimiento, gingivitis</w:t>
            </w:r>
          </w:p>
        </w:tc>
        <w:tc>
          <w:tcPr>
            <w:tcW w:w="2290" w:type="dxa"/>
          </w:tcPr>
          <w:p w14:paraId="444E0FB0" w14:textId="77777777"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peritonitis, pancreatitis, lengua hinchada, duodenitis, gastroenteritis, glositis</w:t>
            </w:r>
          </w:p>
        </w:tc>
        <w:tc>
          <w:tcPr>
            <w:tcW w:w="1710" w:type="dxa"/>
          </w:tcPr>
          <w:p w14:paraId="01BC9C99" w14:textId="77777777" w:rsidR="005264DD" w:rsidRPr="00C52C4C" w:rsidRDefault="005264DD" w:rsidP="005D2D27">
            <w:pPr>
              <w:rPr>
                <w:sz w:val="22"/>
                <w:szCs w:val="22"/>
              </w:rPr>
            </w:pPr>
          </w:p>
        </w:tc>
        <w:tc>
          <w:tcPr>
            <w:tcW w:w="1386" w:type="dxa"/>
          </w:tcPr>
          <w:p w14:paraId="3BD03BE6" w14:textId="77777777" w:rsidR="005264DD" w:rsidRPr="00C52C4C" w:rsidRDefault="005264DD" w:rsidP="005D2D27">
            <w:pPr>
              <w:rPr>
                <w:sz w:val="22"/>
                <w:szCs w:val="22"/>
              </w:rPr>
            </w:pPr>
          </w:p>
        </w:tc>
      </w:tr>
      <w:tr w:rsidR="005264DD" w:rsidRPr="00C52C4C" w14:paraId="370FC293" w14:textId="77777777" w:rsidTr="005D2D27">
        <w:trPr>
          <w:trHeight w:val="790"/>
        </w:trPr>
        <w:tc>
          <w:tcPr>
            <w:tcW w:w="1701" w:type="dxa"/>
          </w:tcPr>
          <w:p w14:paraId="39797EB1" w14:textId="77777777" w:rsidR="005264DD" w:rsidRPr="00C52C4C" w:rsidRDefault="005264DD" w:rsidP="005D2D27">
            <w:pPr>
              <w:rPr>
                <w:sz w:val="22"/>
                <w:szCs w:val="22"/>
              </w:rPr>
            </w:pPr>
            <w:r w:rsidRPr="00C52C4C">
              <w:rPr>
                <w:sz w:val="22"/>
                <w:szCs w:val="22"/>
              </w:rPr>
              <w:t>Trastornos hepatobiliares</w:t>
            </w:r>
          </w:p>
        </w:tc>
        <w:tc>
          <w:tcPr>
            <w:tcW w:w="1418" w:type="dxa"/>
          </w:tcPr>
          <w:p w14:paraId="04FE2EC3" w14:textId="77777777" w:rsidR="005264DD" w:rsidRPr="00C52C4C" w:rsidRDefault="005264DD" w:rsidP="005D2D27">
            <w:pPr>
              <w:rPr>
                <w:sz w:val="22"/>
                <w:szCs w:val="22"/>
              </w:rPr>
            </w:pPr>
            <w:r w:rsidRPr="00C52C4C">
              <w:rPr>
                <w:rStyle w:val="TableText12"/>
                <w:sz w:val="22"/>
                <w:szCs w:val="22"/>
              </w:rPr>
              <w:t>prueba anormal de función hepática</w:t>
            </w:r>
          </w:p>
        </w:tc>
        <w:tc>
          <w:tcPr>
            <w:tcW w:w="1701" w:type="dxa"/>
          </w:tcPr>
          <w:p w14:paraId="265495E1" w14:textId="77777777" w:rsidR="005264DD" w:rsidRPr="00C52C4C" w:rsidRDefault="005264DD" w:rsidP="005D2D27">
            <w:pPr>
              <w:pStyle w:val="TableText"/>
              <w:rPr>
                <w:rFonts w:cs="Times New Roman"/>
                <w:sz w:val="22"/>
                <w:szCs w:val="22"/>
                <w:vertAlign w:val="superscript"/>
                <w:lang w:val="es-ES"/>
              </w:rPr>
            </w:pPr>
            <w:r w:rsidRPr="00C52C4C">
              <w:rPr>
                <w:rStyle w:val="TableText12"/>
                <w:rFonts w:cs="Times New Roman"/>
                <w:sz w:val="22"/>
                <w:szCs w:val="22"/>
                <w:lang w:val="es-ES"/>
              </w:rPr>
              <w:t>ictericia,</w:t>
            </w:r>
            <w:r w:rsidRPr="00C52C4C" w:rsidDel="00FC62CD">
              <w:rPr>
                <w:rStyle w:val="TableText12"/>
                <w:rFonts w:cs="Times New Roman"/>
                <w:sz w:val="22"/>
                <w:szCs w:val="22"/>
                <w:lang w:val="es-ES"/>
              </w:rPr>
              <w:t xml:space="preserve"> </w:t>
            </w:r>
            <w:r w:rsidRPr="00C52C4C">
              <w:rPr>
                <w:rStyle w:val="TableText12"/>
                <w:rFonts w:cs="Times New Roman"/>
                <w:sz w:val="22"/>
                <w:szCs w:val="22"/>
                <w:lang w:val="es-ES"/>
              </w:rPr>
              <w:t>ictericia colestática, hepatitis</w:t>
            </w:r>
            <w:r w:rsidRPr="00C52C4C">
              <w:rPr>
                <w:rStyle w:val="TableText12"/>
                <w:rFonts w:cs="Times New Roman"/>
                <w:sz w:val="22"/>
                <w:szCs w:val="22"/>
                <w:vertAlign w:val="superscript"/>
                <w:lang w:val="es-ES"/>
              </w:rPr>
              <w:t>10</w:t>
            </w:r>
          </w:p>
        </w:tc>
        <w:tc>
          <w:tcPr>
            <w:tcW w:w="2290" w:type="dxa"/>
          </w:tcPr>
          <w:p w14:paraId="1606A492" w14:textId="77777777"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insuficiencia hepática, hepatomegalia, colecistitis, colelitiasis</w:t>
            </w:r>
          </w:p>
        </w:tc>
        <w:tc>
          <w:tcPr>
            <w:tcW w:w="1710" w:type="dxa"/>
          </w:tcPr>
          <w:p w14:paraId="17E421A0" w14:textId="77777777" w:rsidR="005264DD" w:rsidRPr="00C52C4C" w:rsidRDefault="005264DD" w:rsidP="005D2D27">
            <w:pPr>
              <w:rPr>
                <w:sz w:val="22"/>
                <w:szCs w:val="22"/>
              </w:rPr>
            </w:pPr>
          </w:p>
        </w:tc>
        <w:tc>
          <w:tcPr>
            <w:tcW w:w="1386" w:type="dxa"/>
          </w:tcPr>
          <w:p w14:paraId="25EAAD86" w14:textId="77777777" w:rsidR="005264DD" w:rsidRPr="00C52C4C" w:rsidRDefault="005264DD" w:rsidP="005D2D27">
            <w:pPr>
              <w:rPr>
                <w:sz w:val="22"/>
                <w:szCs w:val="22"/>
              </w:rPr>
            </w:pPr>
          </w:p>
        </w:tc>
      </w:tr>
      <w:tr w:rsidR="005264DD" w:rsidRPr="00C52C4C" w14:paraId="57FF7B51" w14:textId="77777777" w:rsidTr="005D2D27">
        <w:trPr>
          <w:trHeight w:val="790"/>
        </w:trPr>
        <w:tc>
          <w:tcPr>
            <w:tcW w:w="1701" w:type="dxa"/>
          </w:tcPr>
          <w:p w14:paraId="72A85385" w14:textId="77777777" w:rsidR="005264DD" w:rsidRPr="00C52C4C" w:rsidRDefault="005264DD" w:rsidP="005D2D27">
            <w:pPr>
              <w:rPr>
                <w:sz w:val="22"/>
                <w:szCs w:val="22"/>
              </w:rPr>
            </w:pPr>
            <w:r w:rsidRPr="00C52C4C">
              <w:rPr>
                <w:sz w:val="22"/>
                <w:szCs w:val="22"/>
              </w:rPr>
              <w:t xml:space="preserve">Trastornos de la piel y del tejido subcutáneo </w:t>
            </w:r>
          </w:p>
        </w:tc>
        <w:tc>
          <w:tcPr>
            <w:tcW w:w="1418" w:type="dxa"/>
          </w:tcPr>
          <w:p w14:paraId="3E991884" w14:textId="77777777" w:rsidR="005264DD" w:rsidRPr="00C52C4C" w:rsidRDefault="005264DD" w:rsidP="005D2D27">
            <w:pPr>
              <w:rPr>
                <w:sz w:val="22"/>
                <w:szCs w:val="22"/>
              </w:rPr>
            </w:pPr>
            <w:r w:rsidRPr="00C52C4C">
              <w:rPr>
                <w:rStyle w:val="TableText12"/>
                <w:sz w:val="22"/>
                <w:szCs w:val="22"/>
              </w:rPr>
              <w:t>erupción cutánea</w:t>
            </w:r>
          </w:p>
        </w:tc>
        <w:tc>
          <w:tcPr>
            <w:tcW w:w="1701" w:type="dxa"/>
          </w:tcPr>
          <w:p w14:paraId="124E5BE5" w14:textId="0203935A"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dermatitis exfoliativa, alopecia, erupción maculopapular, prurito, eritema</w:t>
            </w:r>
            <w:r w:rsidR="00764AEE">
              <w:rPr>
                <w:rStyle w:val="TableText12"/>
                <w:rFonts w:cs="Times New Roman"/>
                <w:sz w:val="22"/>
                <w:szCs w:val="22"/>
                <w:lang w:val="es-ES"/>
              </w:rPr>
              <w:t>,</w:t>
            </w:r>
            <w:r w:rsidR="00764AEE" w:rsidRPr="00C52C4C">
              <w:rPr>
                <w:rStyle w:val="TableText12"/>
                <w:rFonts w:cs="Times New Roman"/>
                <w:sz w:val="22"/>
                <w:szCs w:val="22"/>
                <w:lang w:val="es-ES"/>
              </w:rPr>
              <w:t xml:space="preserve"> fototoxicidad</w:t>
            </w:r>
            <w:r w:rsidR="00764AEE">
              <w:rPr>
                <w:rStyle w:val="TableText12"/>
                <w:rFonts w:cs="Times New Roman"/>
                <w:sz w:val="22"/>
                <w:szCs w:val="22"/>
                <w:lang w:val="es-ES"/>
              </w:rPr>
              <w:t>**</w:t>
            </w:r>
          </w:p>
        </w:tc>
        <w:tc>
          <w:tcPr>
            <w:tcW w:w="2290" w:type="dxa"/>
          </w:tcPr>
          <w:p w14:paraId="63280ECC" w14:textId="57752072"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síndrome de Stevens-Johnson</w:t>
            </w:r>
            <w:r w:rsidR="00764AEE" w:rsidRPr="002869DC">
              <w:rPr>
                <w:rStyle w:val="TableText12"/>
                <w:rFonts w:cs="Times New Roman"/>
                <w:sz w:val="22"/>
                <w:szCs w:val="22"/>
                <w:vertAlign w:val="superscript"/>
                <w:lang w:val="es-ES"/>
              </w:rPr>
              <w:t>8</w:t>
            </w:r>
            <w:r w:rsidRPr="00C52C4C">
              <w:rPr>
                <w:rStyle w:val="TableText12"/>
                <w:rFonts w:cs="Times New Roman"/>
                <w:sz w:val="22"/>
                <w:szCs w:val="22"/>
                <w:lang w:val="es-ES"/>
              </w:rPr>
              <w:t>, purpura, urticaria, dermatitis alérgica, erupción papular, erupción macular, eczema</w:t>
            </w:r>
          </w:p>
        </w:tc>
        <w:tc>
          <w:tcPr>
            <w:tcW w:w="1710" w:type="dxa"/>
          </w:tcPr>
          <w:p w14:paraId="12CC8134" w14:textId="4DF7EBC9" w:rsidR="005264DD" w:rsidRPr="002869DC" w:rsidRDefault="005264DD" w:rsidP="00824411">
            <w:pPr>
              <w:autoSpaceDE w:val="0"/>
              <w:autoSpaceDN w:val="0"/>
              <w:adjustRightInd w:val="0"/>
              <w:rPr>
                <w:rStyle w:val="TableText12"/>
                <w:sz w:val="22"/>
              </w:rPr>
            </w:pPr>
            <w:r w:rsidRPr="00C52C4C">
              <w:rPr>
                <w:rStyle w:val="TableText12"/>
                <w:sz w:val="22"/>
                <w:szCs w:val="22"/>
              </w:rPr>
              <w:t xml:space="preserve">necrolisis </w:t>
            </w:r>
            <w:r w:rsidRPr="00C52C4C" w:rsidDel="00317182">
              <w:rPr>
                <w:rStyle w:val="TableText12"/>
                <w:sz w:val="22"/>
                <w:szCs w:val="22"/>
              </w:rPr>
              <w:t xml:space="preserve">tóxica </w:t>
            </w:r>
            <w:r w:rsidRPr="00C52C4C">
              <w:rPr>
                <w:rStyle w:val="TableText12"/>
                <w:sz w:val="22"/>
                <w:szCs w:val="22"/>
              </w:rPr>
              <w:t>epidérmica tóxica</w:t>
            </w:r>
            <w:r w:rsidR="00764AEE" w:rsidRPr="00764AEE">
              <w:rPr>
                <w:rStyle w:val="TableText12"/>
                <w:sz w:val="22"/>
                <w:szCs w:val="22"/>
                <w:vertAlign w:val="superscript"/>
              </w:rPr>
              <w:t>8</w:t>
            </w:r>
            <w:r w:rsidRPr="00C52C4C">
              <w:rPr>
                <w:rStyle w:val="TableText12"/>
                <w:sz w:val="22"/>
                <w:szCs w:val="22"/>
              </w:rPr>
              <w:t xml:space="preserve">, angioedema, </w:t>
            </w:r>
            <w:r w:rsidR="000649C4" w:rsidRPr="002869DC">
              <w:rPr>
                <w:rStyle w:val="TableText12"/>
                <w:sz w:val="22"/>
              </w:rPr>
              <w:t xml:space="preserve">queratosis actínica, </w:t>
            </w:r>
            <w:r w:rsidRPr="00C52C4C">
              <w:rPr>
                <w:rStyle w:val="TableText12"/>
                <w:sz w:val="22"/>
                <w:szCs w:val="22"/>
              </w:rPr>
              <w:t>pseudoporfiria, eritema multiforme, psoriasis, erupción medicamentosa</w:t>
            </w:r>
            <w:r w:rsidR="00AD1C5E">
              <w:rPr>
                <w:rStyle w:val="TableText12"/>
                <w:sz w:val="22"/>
                <w:szCs w:val="22"/>
              </w:rPr>
              <w:t xml:space="preserve">, </w:t>
            </w:r>
            <w:r w:rsidR="00AD1C5E" w:rsidRPr="002869DC">
              <w:rPr>
                <w:rStyle w:val="TableText12"/>
                <w:sz w:val="22"/>
              </w:rPr>
              <w:t>reacción al fármaco con eosinofilia y síntomas sistémicos (DRESS)</w:t>
            </w:r>
          </w:p>
        </w:tc>
        <w:tc>
          <w:tcPr>
            <w:tcW w:w="1386" w:type="dxa"/>
          </w:tcPr>
          <w:p w14:paraId="4A855A3E" w14:textId="77777777" w:rsidR="005264DD" w:rsidRPr="00C52C4C" w:rsidRDefault="005264DD" w:rsidP="005D2D27">
            <w:pPr>
              <w:rPr>
                <w:rStyle w:val="TableText12"/>
                <w:sz w:val="22"/>
                <w:szCs w:val="22"/>
              </w:rPr>
            </w:pPr>
            <w:r w:rsidRPr="00C52C4C">
              <w:rPr>
                <w:rStyle w:val="TableText12"/>
                <w:sz w:val="22"/>
                <w:szCs w:val="22"/>
              </w:rPr>
              <w:t>lupus eritematoso cutáneo*</w:t>
            </w:r>
            <w:r w:rsidR="000649C4" w:rsidRPr="00C52C4C">
              <w:rPr>
                <w:rStyle w:val="TableText12"/>
                <w:sz w:val="22"/>
                <w:szCs w:val="22"/>
              </w:rPr>
              <w:t>,</w:t>
            </w:r>
          </w:p>
          <w:p w14:paraId="78E3D8C2" w14:textId="77777777" w:rsidR="000649C4" w:rsidRPr="00C52C4C" w:rsidRDefault="000649C4" w:rsidP="005D2D27">
            <w:pPr>
              <w:rPr>
                <w:sz w:val="22"/>
                <w:szCs w:val="22"/>
              </w:rPr>
            </w:pPr>
            <w:r w:rsidRPr="00C52C4C">
              <w:rPr>
                <w:rStyle w:val="TableText12"/>
                <w:sz w:val="22"/>
                <w:szCs w:val="22"/>
              </w:rPr>
              <w:t>efélides*, lentigo*</w:t>
            </w:r>
          </w:p>
        </w:tc>
      </w:tr>
      <w:tr w:rsidR="005264DD" w:rsidRPr="00C52C4C" w14:paraId="0A92D55D" w14:textId="77777777" w:rsidTr="005D2D27">
        <w:trPr>
          <w:trHeight w:val="1327"/>
        </w:trPr>
        <w:tc>
          <w:tcPr>
            <w:tcW w:w="1701" w:type="dxa"/>
          </w:tcPr>
          <w:p w14:paraId="7F2AC18A" w14:textId="77777777" w:rsidR="005264DD" w:rsidRPr="00C52C4C" w:rsidRDefault="005264DD" w:rsidP="005D2D27">
            <w:pPr>
              <w:rPr>
                <w:sz w:val="22"/>
                <w:szCs w:val="22"/>
              </w:rPr>
            </w:pPr>
            <w:r w:rsidRPr="00C52C4C">
              <w:rPr>
                <w:sz w:val="22"/>
                <w:szCs w:val="22"/>
              </w:rPr>
              <w:lastRenderedPageBreak/>
              <w:t xml:space="preserve">Trastornos musculoesqueléticos y del tejido conjuntivo </w:t>
            </w:r>
          </w:p>
        </w:tc>
        <w:tc>
          <w:tcPr>
            <w:tcW w:w="1418" w:type="dxa"/>
          </w:tcPr>
          <w:p w14:paraId="264FD9A6" w14:textId="77777777" w:rsidR="005264DD" w:rsidRPr="00C52C4C" w:rsidRDefault="005264DD" w:rsidP="005D2D27">
            <w:pPr>
              <w:rPr>
                <w:sz w:val="22"/>
                <w:szCs w:val="22"/>
              </w:rPr>
            </w:pPr>
          </w:p>
        </w:tc>
        <w:tc>
          <w:tcPr>
            <w:tcW w:w="1701" w:type="dxa"/>
          </w:tcPr>
          <w:p w14:paraId="605D7B5C" w14:textId="77777777" w:rsidR="005264DD" w:rsidRPr="00C52C4C" w:rsidRDefault="005264DD" w:rsidP="005D2D27">
            <w:pPr>
              <w:rPr>
                <w:sz w:val="22"/>
                <w:szCs w:val="22"/>
              </w:rPr>
            </w:pPr>
            <w:r w:rsidRPr="00C52C4C">
              <w:rPr>
                <w:rStyle w:val="TableText12"/>
                <w:sz w:val="22"/>
                <w:szCs w:val="22"/>
              </w:rPr>
              <w:t>dolor de espalda</w:t>
            </w:r>
          </w:p>
        </w:tc>
        <w:tc>
          <w:tcPr>
            <w:tcW w:w="2290" w:type="dxa"/>
          </w:tcPr>
          <w:p w14:paraId="7D527240" w14:textId="57390B3B" w:rsidR="005264DD" w:rsidRPr="00C52C4C" w:rsidRDefault="005264DD" w:rsidP="005D2D27">
            <w:pPr>
              <w:rPr>
                <w:sz w:val="22"/>
                <w:szCs w:val="22"/>
              </w:rPr>
            </w:pPr>
            <w:r w:rsidRPr="00C52C4C">
              <w:rPr>
                <w:rStyle w:val="TableText12"/>
                <w:sz w:val="22"/>
                <w:szCs w:val="22"/>
              </w:rPr>
              <w:t>artritis</w:t>
            </w:r>
            <w:r w:rsidR="00764AEE">
              <w:rPr>
                <w:rStyle w:val="TableText12"/>
                <w:sz w:val="22"/>
                <w:szCs w:val="22"/>
              </w:rPr>
              <w:t xml:space="preserve">, </w:t>
            </w:r>
            <w:r w:rsidR="00764AEE" w:rsidRPr="00C52C4C">
              <w:rPr>
                <w:rStyle w:val="TableText12"/>
                <w:sz w:val="22"/>
                <w:szCs w:val="22"/>
              </w:rPr>
              <w:t>periostitis*</w:t>
            </w:r>
            <w:r w:rsidR="00764AEE">
              <w:rPr>
                <w:rStyle w:val="TableText12"/>
                <w:sz w:val="22"/>
                <w:szCs w:val="22"/>
              </w:rPr>
              <w:t>,**</w:t>
            </w:r>
          </w:p>
        </w:tc>
        <w:tc>
          <w:tcPr>
            <w:tcW w:w="1710" w:type="dxa"/>
          </w:tcPr>
          <w:p w14:paraId="5EF60ECA" w14:textId="77777777" w:rsidR="005264DD" w:rsidRPr="00C52C4C" w:rsidRDefault="005264DD" w:rsidP="005D2D27">
            <w:pPr>
              <w:rPr>
                <w:sz w:val="22"/>
                <w:szCs w:val="22"/>
              </w:rPr>
            </w:pPr>
          </w:p>
        </w:tc>
        <w:tc>
          <w:tcPr>
            <w:tcW w:w="1386" w:type="dxa"/>
          </w:tcPr>
          <w:p w14:paraId="20A239DF" w14:textId="77777777" w:rsidR="005264DD" w:rsidRPr="00C52C4C" w:rsidRDefault="005264DD" w:rsidP="005D2D27">
            <w:pPr>
              <w:rPr>
                <w:sz w:val="22"/>
                <w:szCs w:val="22"/>
              </w:rPr>
            </w:pPr>
            <w:r w:rsidRPr="00C52C4C">
              <w:rPr>
                <w:rStyle w:val="TableText12"/>
                <w:sz w:val="22"/>
                <w:szCs w:val="22"/>
              </w:rPr>
              <w:t>periostitis*</w:t>
            </w:r>
          </w:p>
        </w:tc>
      </w:tr>
      <w:tr w:rsidR="005264DD" w:rsidRPr="00C52C4C" w14:paraId="1F46FCBD" w14:textId="77777777" w:rsidTr="005D2D27">
        <w:trPr>
          <w:trHeight w:val="790"/>
        </w:trPr>
        <w:tc>
          <w:tcPr>
            <w:tcW w:w="1701" w:type="dxa"/>
          </w:tcPr>
          <w:p w14:paraId="3E1010D9" w14:textId="77777777" w:rsidR="005264DD" w:rsidRPr="00C52C4C" w:rsidRDefault="005264DD" w:rsidP="005D2D27">
            <w:pPr>
              <w:rPr>
                <w:sz w:val="22"/>
                <w:szCs w:val="22"/>
              </w:rPr>
            </w:pPr>
            <w:r w:rsidRPr="00C52C4C">
              <w:rPr>
                <w:sz w:val="22"/>
                <w:szCs w:val="22"/>
              </w:rPr>
              <w:t>Trastornos renales y urinarios</w:t>
            </w:r>
          </w:p>
        </w:tc>
        <w:tc>
          <w:tcPr>
            <w:tcW w:w="1418" w:type="dxa"/>
          </w:tcPr>
          <w:p w14:paraId="09633A4A" w14:textId="77777777" w:rsidR="005264DD" w:rsidRPr="00C52C4C" w:rsidRDefault="005264DD" w:rsidP="005D2D27">
            <w:pPr>
              <w:rPr>
                <w:sz w:val="22"/>
                <w:szCs w:val="22"/>
              </w:rPr>
            </w:pPr>
          </w:p>
        </w:tc>
        <w:tc>
          <w:tcPr>
            <w:tcW w:w="1701" w:type="dxa"/>
          </w:tcPr>
          <w:p w14:paraId="3EBFDA1C" w14:textId="77777777"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insuficiencia renal aguda, hematuria</w:t>
            </w:r>
          </w:p>
        </w:tc>
        <w:tc>
          <w:tcPr>
            <w:tcW w:w="2290" w:type="dxa"/>
          </w:tcPr>
          <w:p w14:paraId="611F4AF9" w14:textId="77777777"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necrosis tubular renal, proteinuria, nefritis</w:t>
            </w:r>
          </w:p>
        </w:tc>
        <w:tc>
          <w:tcPr>
            <w:tcW w:w="1710" w:type="dxa"/>
          </w:tcPr>
          <w:p w14:paraId="088C1464" w14:textId="77777777" w:rsidR="005264DD" w:rsidRPr="00C52C4C" w:rsidRDefault="005264DD" w:rsidP="005D2D27">
            <w:pPr>
              <w:rPr>
                <w:sz w:val="22"/>
                <w:szCs w:val="22"/>
              </w:rPr>
            </w:pPr>
          </w:p>
        </w:tc>
        <w:tc>
          <w:tcPr>
            <w:tcW w:w="1386" w:type="dxa"/>
          </w:tcPr>
          <w:p w14:paraId="00F70351" w14:textId="77777777" w:rsidR="005264DD" w:rsidRPr="00C52C4C" w:rsidRDefault="005264DD" w:rsidP="005D2D27">
            <w:pPr>
              <w:rPr>
                <w:sz w:val="22"/>
                <w:szCs w:val="22"/>
              </w:rPr>
            </w:pPr>
          </w:p>
        </w:tc>
      </w:tr>
      <w:tr w:rsidR="005264DD" w:rsidRPr="00C52C4C" w14:paraId="725EEE8A" w14:textId="77777777" w:rsidTr="005D2D27">
        <w:trPr>
          <w:trHeight w:val="790"/>
        </w:trPr>
        <w:tc>
          <w:tcPr>
            <w:tcW w:w="1701" w:type="dxa"/>
          </w:tcPr>
          <w:p w14:paraId="015AAEFD" w14:textId="77777777" w:rsidR="005264DD" w:rsidRPr="00C52C4C" w:rsidRDefault="005264DD" w:rsidP="005D2D27">
            <w:pPr>
              <w:rPr>
                <w:sz w:val="22"/>
                <w:szCs w:val="22"/>
              </w:rPr>
            </w:pPr>
            <w:r w:rsidRPr="00C52C4C">
              <w:rPr>
                <w:sz w:val="22"/>
                <w:szCs w:val="22"/>
              </w:rPr>
              <w:t xml:space="preserve">Trastornos generales y alteraciones en el lugar de administración </w:t>
            </w:r>
          </w:p>
        </w:tc>
        <w:tc>
          <w:tcPr>
            <w:tcW w:w="1418" w:type="dxa"/>
          </w:tcPr>
          <w:p w14:paraId="0EF7D41A" w14:textId="77777777" w:rsidR="005264DD" w:rsidRPr="00C52C4C" w:rsidRDefault="005264DD" w:rsidP="005D2D27">
            <w:pPr>
              <w:rPr>
                <w:sz w:val="22"/>
                <w:szCs w:val="22"/>
              </w:rPr>
            </w:pPr>
            <w:r w:rsidRPr="00C52C4C">
              <w:rPr>
                <w:rStyle w:val="TableText12"/>
                <w:sz w:val="22"/>
                <w:szCs w:val="22"/>
              </w:rPr>
              <w:t>pirexia</w:t>
            </w:r>
          </w:p>
        </w:tc>
        <w:tc>
          <w:tcPr>
            <w:tcW w:w="1701" w:type="dxa"/>
          </w:tcPr>
          <w:p w14:paraId="54909D69" w14:textId="77777777"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dolor torácico, edema de cara</w:t>
            </w:r>
            <w:r w:rsidRPr="00C52C4C">
              <w:rPr>
                <w:rStyle w:val="TableText12"/>
                <w:rFonts w:cs="Times New Roman"/>
                <w:sz w:val="22"/>
                <w:szCs w:val="22"/>
                <w:vertAlign w:val="superscript"/>
                <w:lang w:val="es-ES"/>
              </w:rPr>
              <w:t>11</w:t>
            </w:r>
            <w:r w:rsidRPr="00C52C4C">
              <w:rPr>
                <w:rStyle w:val="TableText12"/>
                <w:rFonts w:cs="Times New Roman"/>
                <w:sz w:val="22"/>
                <w:szCs w:val="22"/>
                <w:lang w:val="es-ES"/>
              </w:rPr>
              <w:t>, astenia, escalofrío</w:t>
            </w:r>
          </w:p>
        </w:tc>
        <w:tc>
          <w:tcPr>
            <w:tcW w:w="2290" w:type="dxa"/>
          </w:tcPr>
          <w:p w14:paraId="4AF39611" w14:textId="77777777" w:rsidR="005264DD" w:rsidRPr="00C52C4C" w:rsidRDefault="005264DD" w:rsidP="005D2D27">
            <w:pPr>
              <w:pStyle w:val="TableText"/>
              <w:rPr>
                <w:rFonts w:cs="Times New Roman"/>
                <w:sz w:val="22"/>
                <w:szCs w:val="22"/>
                <w:lang w:val="es-ES"/>
              </w:rPr>
            </w:pPr>
            <w:r w:rsidRPr="00C52C4C">
              <w:rPr>
                <w:rStyle w:val="TableText12"/>
                <w:rFonts w:cs="Times New Roman"/>
                <w:sz w:val="22"/>
                <w:szCs w:val="22"/>
                <w:lang w:val="es-ES"/>
              </w:rPr>
              <w:t xml:space="preserve">reacción en el lugar de </w:t>
            </w:r>
            <w:r w:rsidRPr="00C52C4C" w:rsidDel="00E42734">
              <w:rPr>
                <w:rStyle w:val="TableText12"/>
                <w:rFonts w:cs="Times New Roman"/>
                <w:sz w:val="22"/>
                <w:szCs w:val="22"/>
                <w:lang w:val="es-ES"/>
              </w:rPr>
              <w:t>infusión</w:t>
            </w:r>
            <w:r w:rsidRPr="00C52C4C">
              <w:rPr>
                <w:rStyle w:val="TableText12"/>
                <w:rFonts w:cs="Times New Roman"/>
                <w:sz w:val="22"/>
                <w:szCs w:val="22"/>
                <w:lang w:val="es-ES"/>
              </w:rPr>
              <w:t>perfusión, enfermedad de tipo gripal</w:t>
            </w:r>
          </w:p>
        </w:tc>
        <w:tc>
          <w:tcPr>
            <w:tcW w:w="1710" w:type="dxa"/>
          </w:tcPr>
          <w:p w14:paraId="7DD0EA9B" w14:textId="77777777" w:rsidR="005264DD" w:rsidRPr="00C52C4C" w:rsidRDefault="005264DD" w:rsidP="005D2D27">
            <w:pPr>
              <w:rPr>
                <w:sz w:val="22"/>
                <w:szCs w:val="22"/>
              </w:rPr>
            </w:pPr>
          </w:p>
        </w:tc>
        <w:tc>
          <w:tcPr>
            <w:tcW w:w="1386" w:type="dxa"/>
          </w:tcPr>
          <w:p w14:paraId="52C533BE" w14:textId="77777777" w:rsidR="005264DD" w:rsidRPr="00C52C4C" w:rsidRDefault="005264DD" w:rsidP="005D2D27">
            <w:pPr>
              <w:rPr>
                <w:sz w:val="22"/>
                <w:szCs w:val="22"/>
              </w:rPr>
            </w:pPr>
          </w:p>
        </w:tc>
      </w:tr>
      <w:tr w:rsidR="005264DD" w:rsidRPr="00C52C4C" w14:paraId="52263420" w14:textId="77777777" w:rsidTr="005D2D27">
        <w:trPr>
          <w:trHeight w:val="1021"/>
        </w:trPr>
        <w:tc>
          <w:tcPr>
            <w:tcW w:w="1701" w:type="dxa"/>
          </w:tcPr>
          <w:p w14:paraId="3EF22143" w14:textId="77777777" w:rsidR="005264DD" w:rsidRPr="00C52C4C" w:rsidRDefault="005264DD" w:rsidP="005D2D27">
            <w:pPr>
              <w:keepNext/>
              <w:keepLines/>
              <w:rPr>
                <w:sz w:val="22"/>
                <w:szCs w:val="22"/>
              </w:rPr>
            </w:pPr>
            <w:r w:rsidRPr="00C52C4C">
              <w:rPr>
                <w:sz w:val="22"/>
                <w:szCs w:val="22"/>
              </w:rPr>
              <w:t>Exploraciones complementarias</w:t>
            </w:r>
          </w:p>
        </w:tc>
        <w:tc>
          <w:tcPr>
            <w:tcW w:w="1418" w:type="dxa"/>
          </w:tcPr>
          <w:p w14:paraId="69F2EE5D" w14:textId="77777777" w:rsidR="005264DD" w:rsidRPr="00C52C4C" w:rsidRDefault="005264DD" w:rsidP="005D2D27">
            <w:pPr>
              <w:keepNext/>
              <w:keepLines/>
              <w:rPr>
                <w:sz w:val="22"/>
                <w:szCs w:val="22"/>
              </w:rPr>
            </w:pPr>
          </w:p>
        </w:tc>
        <w:tc>
          <w:tcPr>
            <w:tcW w:w="1701" w:type="dxa"/>
          </w:tcPr>
          <w:p w14:paraId="27AF5CA0" w14:textId="77777777" w:rsidR="005264DD" w:rsidRPr="00C52C4C" w:rsidRDefault="005264DD" w:rsidP="005D2D27">
            <w:pPr>
              <w:pStyle w:val="TableText"/>
              <w:keepNext/>
              <w:keepLines/>
              <w:rPr>
                <w:rFonts w:cs="Times New Roman"/>
                <w:sz w:val="22"/>
                <w:szCs w:val="22"/>
                <w:lang w:val="es-ES"/>
              </w:rPr>
            </w:pPr>
            <w:r w:rsidRPr="00C52C4C">
              <w:rPr>
                <w:rStyle w:val="TableText12"/>
                <w:rFonts w:cs="Times New Roman"/>
                <w:sz w:val="22"/>
                <w:szCs w:val="22"/>
                <w:lang w:val="es-ES"/>
              </w:rPr>
              <w:t>creatinina elevada en sangre</w:t>
            </w:r>
          </w:p>
        </w:tc>
        <w:tc>
          <w:tcPr>
            <w:tcW w:w="2290" w:type="dxa"/>
          </w:tcPr>
          <w:p w14:paraId="0D811CC0" w14:textId="77777777" w:rsidR="005264DD" w:rsidRPr="00C52C4C" w:rsidRDefault="005264DD" w:rsidP="005D2D27">
            <w:pPr>
              <w:pStyle w:val="TableText"/>
              <w:keepNext/>
              <w:keepLines/>
              <w:rPr>
                <w:rFonts w:cs="Times New Roman"/>
                <w:sz w:val="22"/>
                <w:szCs w:val="22"/>
                <w:lang w:val="es-ES"/>
              </w:rPr>
            </w:pPr>
            <w:r w:rsidRPr="00C52C4C">
              <w:rPr>
                <w:rStyle w:val="TableText12"/>
                <w:rFonts w:cs="Times New Roman"/>
                <w:sz w:val="22"/>
                <w:szCs w:val="22"/>
                <w:lang w:val="es-ES"/>
              </w:rPr>
              <w:t>urea elevada en sangre, colesterol elevado en sangre</w:t>
            </w:r>
          </w:p>
        </w:tc>
        <w:tc>
          <w:tcPr>
            <w:tcW w:w="1710" w:type="dxa"/>
          </w:tcPr>
          <w:p w14:paraId="2D38B530" w14:textId="77777777" w:rsidR="005264DD" w:rsidRPr="00C52C4C" w:rsidRDefault="005264DD" w:rsidP="005D2D27">
            <w:pPr>
              <w:rPr>
                <w:sz w:val="22"/>
                <w:szCs w:val="22"/>
              </w:rPr>
            </w:pPr>
          </w:p>
        </w:tc>
        <w:tc>
          <w:tcPr>
            <w:tcW w:w="1386" w:type="dxa"/>
          </w:tcPr>
          <w:p w14:paraId="738BB831" w14:textId="77777777" w:rsidR="005264DD" w:rsidRPr="00C52C4C" w:rsidRDefault="005264DD" w:rsidP="005D2D27">
            <w:pPr>
              <w:rPr>
                <w:sz w:val="22"/>
                <w:szCs w:val="22"/>
              </w:rPr>
            </w:pPr>
          </w:p>
        </w:tc>
      </w:tr>
    </w:tbl>
    <w:p w14:paraId="1EAA8113" w14:textId="77777777" w:rsidR="005264DD" w:rsidRDefault="005264DD" w:rsidP="005264DD">
      <w:pPr>
        <w:pStyle w:val="Default"/>
        <w:rPr>
          <w:sz w:val="22"/>
          <w:szCs w:val="22"/>
          <w:lang w:val="es-ES"/>
        </w:rPr>
      </w:pPr>
      <w:r w:rsidRPr="00C52C4C">
        <w:rPr>
          <w:sz w:val="22"/>
          <w:szCs w:val="22"/>
          <w:lang w:val="es-ES"/>
        </w:rPr>
        <w:t xml:space="preserve">* RA identificada después de </w:t>
      </w:r>
      <w:r w:rsidRPr="00C52C4C" w:rsidDel="00073BD4">
        <w:rPr>
          <w:sz w:val="22"/>
          <w:szCs w:val="22"/>
          <w:lang w:val="es-ES"/>
        </w:rPr>
        <w:t xml:space="preserve">la </w:t>
      </w:r>
      <w:r w:rsidRPr="00C52C4C">
        <w:rPr>
          <w:sz w:val="22"/>
          <w:szCs w:val="22"/>
          <w:lang w:val="es-ES"/>
        </w:rPr>
        <w:t>comercialización</w:t>
      </w:r>
    </w:p>
    <w:p w14:paraId="38ABB0AC" w14:textId="212EA211" w:rsidR="00356EE5" w:rsidRPr="00C52C4C" w:rsidRDefault="00356EE5" w:rsidP="002869DC">
      <w:pPr>
        <w:pStyle w:val="Default"/>
        <w:ind w:left="142" w:hanging="142"/>
        <w:rPr>
          <w:sz w:val="22"/>
          <w:szCs w:val="22"/>
          <w:lang w:val="es-ES"/>
        </w:rPr>
      </w:pPr>
      <w:r w:rsidRPr="00C04EBF">
        <w:rPr>
          <w:sz w:val="20"/>
          <w:szCs w:val="20"/>
          <w:lang w:val="es-ES"/>
        </w:rPr>
        <w:t>** La categoría de frecuencia se basa en un estudio observacional que utiliza datos reales de fuentes de datos secundarias en Suecia.</w:t>
      </w:r>
    </w:p>
    <w:p w14:paraId="0E267A64" w14:textId="77777777" w:rsidR="005264DD" w:rsidRPr="00C52C4C" w:rsidRDefault="005264DD" w:rsidP="005264DD">
      <w:pPr>
        <w:pStyle w:val="Default"/>
        <w:rPr>
          <w:sz w:val="22"/>
          <w:szCs w:val="22"/>
          <w:lang w:val="es-ES"/>
        </w:rPr>
      </w:pPr>
      <w:r w:rsidRPr="00C52C4C">
        <w:rPr>
          <w:sz w:val="22"/>
          <w:szCs w:val="22"/>
          <w:vertAlign w:val="superscript"/>
          <w:lang w:val="es-ES"/>
        </w:rPr>
        <w:t xml:space="preserve">1 </w:t>
      </w:r>
      <w:r w:rsidRPr="00C52C4C">
        <w:rPr>
          <w:sz w:val="22"/>
          <w:szCs w:val="22"/>
          <w:lang w:val="es-ES"/>
        </w:rPr>
        <w:t xml:space="preserve">Incluye </w:t>
      </w:r>
      <w:r w:rsidRPr="00C52C4C" w:rsidDel="00073BD4">
        <w:rPr>
          <w:sz w:val="22"/>
          <w:szCs w:val="22"/>
          <w:lang w:val="es-ES"/>
        </w:rPr>
        <w:t xml:space="preserve">la </w:t>
      </w:r>
      <w:r w:rsidRPr="00C52C4C">
        <w:rPr>
          <w:sz w:val="22"/>
          <w:szCs w:val="22"/>
          <w:lang w:val="es-ES"/>
        </w:rPr>
        <w:t xml:space="preserve">neutropenia febril y </w:t>
      </w:r>
      <w:r w:rsidRPr="00C52C4C" w:rsidDel="00073BD4">
        <w:rPr>
          <w:sz w:val="22"/>
          <w:szCs w:val="22"/>
          <w:lang w:val="es-ES"/>
        </w:rPr>
        <w:t xml:space="preserve">la </w:t>
      </w:r>
      <w:r w:rsidRPr="00C52C4C">
        <w:rPr>
          <w:sz w:val="22"/>
          <w:szCs w:val="22"/>
          <w:lang w:val="es-ES"/>
        </w:rPr>
        <w:t>neutropenia.</w:t>
      </w:r>
    </w:p>
    <w:p w14:paraId="7532028D" w14:textId="77777777" w:rsidR="005264DD" w:rsidRPr="00C52C4C" w:rsidRDefault="005264DD" w:rsidP="005264DD">
      <w:pPr>
        <w:pStyle w:val="Default"/>
        <w:rPr>
          <w:sz w:val="22"/>
          <w:szCs w:val="22"/>
          <w:lang w:val="es-ES"/>
        </w:rPr>
      </w:pPr>
      <w:r w:rsidRPr="00C52C4C">
        <w:rPr>
          <w:sz w:val="22"/>
          <w:szCs w:val="22"/>
          <w:vertAlign w:val="superscript"/>
          <w:lang w:val="es-ES"/>
        </w:rPr>
        <w:t>2</w:t>
      </w:r>
      <w:r w:rsidRPr="00C52C4C">
        <w:rPr>
          <w:sz w:val="22"/>
          <w:szCs w:val="22"/>
          <w:lang w:val="es-ES"/>
        </w:rPr>
        <w:t xml:space="preserve"> Incluye </w:t>
      </w:r>
      <w:r w:rsidRPr="00C52C4C" w:rsidDel="00073BD4">
        <w:rPr>
          <w:sz w:val="22"/>
          <w:szCs w:val="22"/>
          <w:lang w:val="es-ES"/>
        </w:rPr>
        <w:t xml:space="preserve">la </w:t>
      </w:r>
      <w:r w:rsidRPr="00C52C4C">
        <w:rPr>
          <w:sz w:val="22"/>
          <w:szCs w:val="22"/>
          <w:lang w:val="es-ES"/>
        </w:rPr>
        <w:t>púrpura trombocitopénica inmune.</w:t>
      </w:r>
    </w:p>
    <w:p w14:paraId="1A98CC38" w14:textId="77777777" w:rsidR="005264DD" w:rsidRPr="00C52C4C" w:rsidRDefault="005264DD" w:rsidP="005264DD">
      <w:pPr>
        <w:pStyle w:val="Default"/>
        <w:rPr>
          <w:sz w:val="22"/>
          <w:szCs w:val="22"/>
          <w:lang w:val="es-ES"/>
        </w:rPr>
      </w:pPr>
      <w:r w:rsidRPr="00C52C4C">
        <w:rPr>
          <w:sz w:val="22"/>
          <w:szCs w:val="22"/>
          <w:vertAlign w:val="superscript"/>
          <w:lang w:val="es-ES"/>
        </w:rPr>
        <w:t>3</w:t>
      </w:r>
      <w:r w:rsidRPr="00C52C4C">
        <w:rPr>
          <w:sz w:val="22"/>
          <w:szCs w:val="22"/>
          <w:lang w:val="es-ES"/>
        </w:rPr>
        <w:t xml:space="preserve"> Incluye </w:t>
      </w:r>
      <w:r w:rsidRPr="00C52C4C" w:rsidDel="00073BD4">
        <w:rPr>
          <w:sz w:val="22"/>
          <w:szCs w:val="22"/>
          <w:lang w:val="es-ES"/>
        </w:rPr>
        <w:t xml:space="preserve">la </w:t>
      </w:r>
      <w:r w:rsidRPr="00C52C4C">
        <w:rPr>
          <w:sz w:val="22"/>
          <w:szCs w:val="22"/>
          <w:lang w:val="es-ES"/>
        </w:rPr>
        <w:t xml:space="preserve">rigidez de nuca y </w:t>
      </w:r>
      <w:r w:rsidRPr="00C52C4C" w:rsidDel="00073BD4">
        <w:rPr>
          <w:sz w:val="22"/>
          <w:szCs w:val="22"/>
          <w:lang w:val="es-ES"/>
        </w:rPr>
        <w:t xml:space="preserve">la </w:t>
      </w:r>
      <w:r w:rsidRPr="00C52C4C">
        <w:rPr>
          <w:sz w:val="22"/>
          <w:szCs w:val="22"/>
          <w:lang w:val="es-ES"/>
        </w:rPr>
        <w:t>tetania.</w:t>
      </w:r>
    </w:p>
    <w:p w14:paraId="72DF3085" w14:textId="77777777" w:rsidR="005264DD" w:rsidRPr="00C52C4C" w:rsidRDefault="005264DD" w:rsidP="005264DD">
      <w:pPr>
        <w:pStyle w:val="Default"/>
        <w:rPr>
          <w:sz w:val="22"/>
          <w:szCs w:val="22"/>
          <w:lang w:val="es-ES"/>
        </w:rPr>
      </w:pPr>
      <w:r w:rsidRPr="00C52C4C">
        <w:rPr>
          <w:sz w:val="22"/>
          <w:szCs w:val="22"/>
          <w:vertAlign w:val="superscript"/>
          <w:lang w:val="es-ES"/>
        </w:rPr>
        <w:t>4</w:t>
      </w:r>
      <w:r w:rsidRPr="00C52C4C">
        <w:rPr>
          <w:sz w:val="22"/>
          <w:szCs w:val="22"/>
          <w:lang w:val="es-ES"/>
        </w:rPr>
        <w:t xml:space="preserve"> Incluye </w:t>
      </w:r>
      <w:r w:rsidRPr="00C52C4C" w:rsidDel="00073BD4">
        <w:rPr>
          <w:sz w:val="22"/>
          <w:szCs w:val="22"/>
          <w:lang w:val="es-ES"/>
        </w:rPr>
        <w:t xml:space="preserve">la </w:t>
      </w:r>
      <w:r w:rsidRPr="00C52C4C">
        <w:rPr>
          <w:sz w:val="22"/>
          <w:szCs w:val="22"/>
          <w:lang w:val="es-ES"/>
        </w:rPr>
        <w:t>encefalopatía hipoxico-isquémica y la encefalopatía metabólica.</w:t>
      </w:r>
    </w:p>
    <w:p w14:paraId="775556A6" w14:textId="77777777" w:rsidR="005264DD" w:rsidRPr="00C52C4C" w:rsidRDefault="005264DD" w:rsidP="005264DD">
      <w:pPr>
        <w:pStyle w:val="Default"/>
        <w:rPr>
          <w:sz w:val="22"/>
          <w:szCs w:val="22"/>
          <w:lang w:val="es-ES"/>
        </w:rPr>
      </w:pPr>
      <w:r w:rsidRPr="00C52C4C">
        <w:rPr>
          <w:sz w:val="22"/>
          <w:szCs w:val="22"/>
          <w:vertAlign w:val="superscript"/>
          <w:lang w:val="es-ES"/>
        </w:rPr>
        <w:t>5</w:t>
      </w:r>
      <w:r w:rsidRPr="00C52C4C">
        <w:rPr>
          <w:sz w:val="22"/>
          <w:szCs w:val="22"/>
          <w:lang w:val="es-ES"/>
        </w:rPr>
        <w:t xml:space="preserve"> Incluye </w:t>
      </w:r>
      <w:r w:rsidRPr="00C52C4C" w:rsidDel="00073BD4">
        <w:rPr>
          <w:sz w:val="22"/>
          <w:szCs w:val="22"/>
          <w:lang w:val="es-ES"/>
        </w:rPr>
        <w:t xml:space="preserve">la </w:t>
      </w:r>
      <w:r w:rsidRPr="00C52C4C">
        <w:rPr>
          <w:sz w:val="22"/>
          <w:szCs w:val="22"/>
          <w:lang w:val="es-ES"/>
        </w:rPr>
        <w:t xml:space="preserve">acatisia y </w:t>
      </w:r>
      <w:r w:rsidRPr="00C52C4C" w:rsidDel="00073BD4">
        <w:rPr>
          <w:sz w:val="22"/>
          <w:szCs w:val="22"/>
          <w:lang w:val="es-ES"/>
        </w:rPr>
        <w:t xml:space="preserve">el </w:t>
      </w:r>
      <w:r w:rsidRPr="00C52C4C">
        <w:rPr>
          <w:sz w:val="22"/>
          <w:szCs w:val="22"/>
          <w:lang w:val="es-ES"/>
        </w:rPr>
        <w:t>parkinsonismo.</w:t>
      </w:r>
    </w:p>
    <w:p w14:paraId="1FEA13B8" w14:textId="77777777" w:rsidR="005264DD" w:rsidRPr="00C52C4C" w:rsidRDefault="005264DD" w:rsidP="005264DD">
      <w:pPr>
        <w:pStyle w:val="Default"/>
        <w:rPr>
          <w:sz w:val="22"/>
          <w:szCs w:val="22"/>
          <w:lang w:val="es-ES"/>
        </w:rPr>
      </w:pPr>
      <w:r w:rsidRPr="00C52C4C">
        <w:rPr>
          <w:sz w:val="22"/>
          <w:szCs w:val="22"/>
          <w:vertAlign w:val="superscript"/>
          <w:lang w:val="es-ES"/>
        </w:rPr>
        <w:t>6</w:t>
      </w:r>
      <w:r w:rsidRPr="00C52C4C">
        <w:rPr>
          <w:sz w:val="22"/>
          <w:szCs w:val="22"/>
          <w:lang w:val="es-ES"/>
        </w:rPr>
        <w:t xml:space="preserve"> Ver el párrafo «Alteraciones visuales» de la sección 4.8.</w:t>
      </w:r>
    </w:p>
    <w:p w14:paraId="72034598" w14:textId="77777777" w:rsidR="005264DD" w:rsidRPr="00C52C4C" w:rsidRDefault="005264DD" w:rsidP="005264DD">
      <w:pPr>
        <w:pStyle w:val="Default"/>
        <w:rPr>
          <w:sz w:val="22"/>
          <w:szCs w:val="22"/>
          <w:lang w:val="es-ES"/>
        </w:rPr>
      </w:pPr>
      <w:r w:rsidRPr="00C52C4C">
        <w:rPr>
          <w:sz w:val="22"/>
          <w:szCs w:val="22"/>
          <w:vertAlign w:val="superscript"/>
          <w:lang w:val="es-ES"/>
        </w:rPr>
        <w:t>7</w:t>
      </w:r>
      <w:r w:rsidRPr="00C52C4C">
        <w:rPr>
          <w:sz w:val="22"/>
          <w:szCs w:val="22"/>
          <w:lang w:val="es-ES"/>
        </w:rPr>
        <w:t xml:space="preserve"> Se ha notificado neuritis óptica prolongada tras la comercialización. Ver sección 4.4.</w:t>
      </w:r>
    </w:p>
    <w:p w14:paraId="0291CA90" w14:textId="77777777" w:rsidR="005264DD" w:rsidRPr="00C52C4C" w:rsidRDefault="005264DD" w:rsidP="005264DD">
      <w:pPr>
        <w:pStyle w:val="Default"/>
        <w:rPr>
          <w:sz w:val="22"/>
          <w:szCs w:val="22"/>
          <w:lang w:val="es-ES"/>
        </w:rPr>
      </w:pPr>
      <w:r w:rsidRPr="00C52C4C">
        <w:rPr>
          <w:sz w:val="22"/>
          <w:szCs w:val="22"/>
          <w:vertAlign w:val="superscript"/>
          <w:lang w:val="es-ES"/>
        </w:rPr>
        <w:t>8</w:t>
      </w:r>
      <w:r w:rsidRPr="00C52C4C">
        <w:rPr>
          <w:sz w:val="22"/>
          <w:szCs w:val="22"/>
          <w:lang w:val="es-ES"/>
        </w:rPr>
        <w:t xml:space="preserve"> Ver sección 4.4.</w:t>
      </w:r>
    </w:p>
    <w:p w14:paraId="2E14B0FC" w14:textId="77777777" w:rsidR="005264DD" w:rsidRPr="00C52C4C" w:rsidRDefault="005264DD" w:rsidP="005264DD">
      <w:pPr>
        <w:pStyle w:val="Default"/>
        <w:rPr>
          <w:sz w:val="22"/>
          <w:szCs w:val="22"/>
          <w:lang w:val="es-ES"/>
        </w:rPr>
      </w:pPr>
      <w:r w:rsidRPr="00C52C4C">
        <w:rPr>
          <w:sz w:val="22"/>
          <w:szCs w:val="22"/>
          <w:vertAlign w:val="superscript"/>
          <w:lang w:val="es-ES"/>
        </w:rPr>
        <w:t>9</w:t>
      </w:r>
      <w:r w:rsidRPr="00C52C4C">
        <w:rPr>
          <w:sz w:val="22"/>
          <w:szCs w:val="22"/>
          <w:lang w:val="es-ES"/>
        </w:rPr>
        <w:t xml:space="preserve"> Incluye </w:t>
      </w:r>
      <w:r w:rsidRPr="00C52C4C" w:rsidDel="00073BD4">
        <w:rPr>
          <w:sz w:val="22"/>
          <w:szCs w:val="22"/>
          <w:lang w:val="es-ES"/>
        </w:rPr>
        <w:t xml:space="preserve">la </w:t>
      </w:r>
      <w:r w:rsidRPr="00C52C4C">
        <w:rPr>
          <w:sz w:val="22"/>
          <w:szCs w:val="22"/>
          <w:lang w:val="es-ES"/>
        </w:rPr>
        <w:t xml:space="preserve">disnea y </w:t>
      </w:r>
      <w:r w:rsidRPr="00C52C4C" w:rsidDel="00073BD4">
        <w:rPr>
          <w:sz w:val="22"/>
          <w:szCs w:val="22"/>
          <w:lang w:val="es-ES"/>
        </w:rPr>
        <w:t xml:space="preserve">la </w:t>
      </w:r>
      <w:r w:rsidRPr="00C52C4C">
        <w:rPr>
          <w:sz w:val="22"/>
          <w:szCs w:val="22"/>
          <w:lang w:val="es-ES"/>
        </w:rPr>
        <w:t>disnea de esfuerzo.</w:t>
      </w:r>
    </w:p>
    <w:p w14:paraId="6AD66FA4" w14:textId="77777777" w:rsidR="005264DD" w:rsidRPr="00C52C4C" w:rsidRDefault="005264DD" w:rsidP="005264DD">
      <w:pPr>
        <w:pStyle w:val="Default"/>
        <w:rPr>
          <w:sz w:val="22"/>
          <w:szCs w:val="22"/>
          <w:lang w:val="es-ES"/>
        </w:rPr>
      </w:pPr>
      <w:r w:rsidRPr="00C52C4C">
        <w:rPr>
          <w:sz w:val="22"/>
          <w:szCs w:val="22"/>
          <w:vertAlign w:val="superscript"/>
          <w:lang w:val="es-ES"/>
        </w:rPr>
        <w:t>10</w:t>
      </w:r>
      <w:r w:rsidRPr="00C52C4C">
        <w:rPr>
          <w:sz w:val="22"/>
          <w:szCs w:val="22"/>
          <w:lang w:val="es-ES"/>
        </w:rPr>
        <w:t xml:space="preserve"> Incluye </w:t>
      </w:r>
      <w:r w:rsidRPr="00C52C4C" w:rsidDel="00073BD4">
        <w:rPr>
          <w:sz w:val="22"/>
          <w:szCs w:val="22"/>
          <w:lang w:val="es-ES"/>
        </w:rPr>
        <w:t xml:space="preserve">la </w:t>
      </w:r>
      <w:r w:rsidRPr="00C52C4C">
        <w:rPr>
          <w:sz w:val="22"/>
          <w:szCs w:val="22"/>
          <w:lang w:val="es-ES"/>
        </w:rPr>
        <w:t xml:space="preserve">lesión hepática inducida por </w:t>
      </w:r>
      <w:r w:rsidRPr="00C52C4C" w:rsidDel="00073BD4">
        <w:rPr>
          <w:sz w:val="22"/>
          <w:szCs w:val="22"/>
          <w:lang w:val="es-ES"/>
        </w:rPr>
        <w:t>fármacos</w:t>
      </w:r>
      <w:r w:rsidRPr="00C52C4C">
        <w:rPr>
          <w:sz w:val="22"/>
          <w:szCs w:val="22"/>
          <w:lang w:val="es-ES"/>
        </w:rPr>
        <w:t xml:space="preserve">medicamentos, </w:t>
      </w:r>
      <w:r w:rsidRPr="00C52C4C" w:rsidDel="00073BD4">
        <w:rPr>
          <w:sz w:val="22"/>
          <w:szCs w:val="22"/>
          <w:lang w:val="es-ES"/>
        </w:rPr>
        <w:t xml:space="preserve">la </w:t>
      </w:r>
      <w:r w:rsidRPr="00C52C4C">
        <w:rPr>
          <w:sz w:val="22"/>
          <w:szCs w:val="22"/>
          <w:lang w:val="es-ES"/>
        </w:rPr>
        <w:t xml:space="preserve">hepatitis tóxica, </w:t>
      </w:r>
      <w:r w:rsidRPr="00C52C4C" w:rsidDel="00073BD4">
        <w:rPr>
          <w:sz w:val="22"/>
          <w:szCs w:val="22"/>
          <w:lang w:val="es-ES"/>
        </w:rPr>
        <w:t xml:space="preserve">la </w:t>
      </w:r>
      <w:r w:rsidRPr="00C52C4C">
        <w:rPr>
          <w:sz w:val="22"/>
          <w:szCs w:val="22"/>
          <w:lang w:val="es-ES"/>
        </w:rPr>
        <w:t xml:space="preserve">lesión traumática hepatocelular y </w:t>
      </w:r>
      <w:r w:rsidRPr="00C52C4C" w:rsidDel="00073BD4">
        <w:rPr>
          <w:sz w:val="22"/>
          <w:szCs w:val="22"/>
          <w:lang w:val="es-ES"/>
        </w:rPr>
        <w:t xml:space="preserve">la </w:t>
      </w:r>
      <w:r w:rsidRPr="00C52C4C">
        <w:rPr>
          <w:sz w:val="22"/>
          <w:szCs w:val="22"/>
          <w:lang w:val="es-ES"/>
        </w:rPr>
        <w:t>hepatotoxicidad.</w:t>
      </w:r>
    </w:p>
    <w:p w14:paraId="3F85CAFB" w14:textId="77777777" w:rsidR="005264DD" w:rsidRPr="00C52C4C" w:rsidRDefault="005264DD" w:rsidP="005264DD">
      <w:pPr>
        <w:pStyle w:val="Default"/>
        <w:rPr>
          <w:sz w:val="22"/>
          <w:szCs w:val="22"/>
          <w:lang w:val="es-ES"/>
        </w:rPr>
      </w:pPr>
      <w:r w:rsidRPr="00C52C4C">
        <w:rPr>
          <w:sz w:val="22"/>
          <w:szCs w:val="22"/>
          <w:vertAlign w:val="superscript"/>
          <w:lang w:val="es-ES"/>
        </w:rPr>
        <w:t>11</w:t>
      </w:r>
      <w:r w:rsidRPr="00C52C4C">
        <w:rPr>
          <w:sz w:val="22"/>
          <w:szCs w:val="22"/>
          <w:lang w:val="es-ES"/>
        </w:rPr>
        <w:t xml:space="preserve"> Incluye </w:t>
      </w:r>
      <w:r w:rsidRPr="00C52C4C" w:rsidDel="00073BD4">
        <w:rPr>
          <w:sz w:val="22"/>
          <w:szCs w:val="22"/>
          <w:lang w:val="es-ES"/>
        </w:rPr>
        <w:t xml:space="preserve">el </w:t>
      </w:r>
      <w:r w:rsidRPr="00C52C4C">
        <w:rPr>
          <w:sz w:val="22"/>
          <w:szCs w:val="22"/>
          <w:lang w:val="es-ES"/>
        </w:rPr>
        <w:t xml:space="preserve">edema periorbital, </w:t>
      </w:r>
      <w:r w:rsidRPr="00C52C4C" w:rsidDel="00073BD4">
        <w:rPr>
          <w:sz w:val="22"/>
          <w:szCs w:val="22"/>
          <w:lang w:val="es-ES"/>
        </w:rPr>
        <w:t xml:space="preserve">el </w:t>
      </w:r>
      <w:r w:rsidRPr="00C52C4C">
        <w:rPr>
          <w:sz w:val="22"/>
          <w:szCs w:val="22"/>
          <w:lang w:val="es-ES"/>
        </w:rPr>
        <w:t xml:space="preserve">edema de labio y </w:t>
      </w:r>
      <w:r w:rsidRPr="00C52C4C" w:rsidDel="00073BD4">
        <w:rPr>
          <w:sz w:val="22"/>
          <w:szCs w:val="22"/>
          <w:lang w:val="es-ES"/>
        </w:rPr>
        <w:t xml:space="preserve">el </w:t>
      </w:r>
      <w:r w:rsidRPr="00C52C4C">
        <w:rPr>
          <w:sz w:val="22"/>
          <w:szCs w:val="22"/>
          <w:lang w:val="es-ES"/>
        </w:rPr>
        <w:t>edema de la boca.</w:t>
      </w:r>
    </w:p>
    <w:p w14:paraId="0AC8E850" w14:textId="77777777" w:rsidR="005264DD" w:rsidRPr="00C52C4C" w:rsidRDefault="005264DD" w:rsidP="00D061AA">
      <w:pPr>
        <w:pStyle w:val="Textonotaalfinal"/>
        <w:keepNext/>
        <w:spacing w:line="260" w:lineRule="exact"/>
        <w:rPr>
          <w:szCs w:val="22"/>
          <w:lang w:val="es-ES_tradnl"/>
        </w:rPr>
      </w:pPr>
    </w:p>
    <w:p w14:paraId="5884F278" w14:textId="77777777" w:rsidR="00D061AA" w:rsidRPr="00C52C4C" w:rsidRDefault="00D061AA" w:rsidP="00D061AA">
      <w:pPr>
        <w:pStyle w:val="Textonotaalfinal"/>
        <w:spacing w:line="260" w:lineRule="exact"/>
        <w:rPr>
          <w:szCs w:val="22"/>
          <w:u w:val="single"/>
          <w:lang w:val="es-ES_tradnl"/>
        </w:rPr>
      </w:pPr>
      <w:r w:rsidRPr="00C52C4C">
        <w:rPr>
          <w:szCs w:val="22"/>
          <w:u w:val="single"/>
          <w:lang w:val="es-ES_tradnl"/>
        </w:rPr>
        <w:t>Descripción de algunas reacciones adversas</w:t>
      </w:r>
    </w:p>
    <w:p w14:paraId="7F56C247" w14:textId="77777777" w:rsidR="00D061AA" w:rsidRPr="00C52C4C" w:rsidRDefault="00D061AA" w:rsidP="00D061AA">
      <w:pPr>
        <w:pStyle w:val="Textonotaalfinal"/>
        <w:spacing w:line="260" w:lineRule="exact"/>
        <w:rPr>
          <w:szCs w:val="22"/>
          <w:lang w:val="es-ES_tradnl"/>
        </w:rPr>
      </w:pPr>
    </w:p>
    <w:p w14:paraId="3E681215" w14:textId="77777777" w:rsidR="00D061AA" w:rsidRPr="00C52C4C" w:rsidRDefault="00D061AA" w:rsidP="00D061AA">
      <w:pPr>
        <w:tabs>
          <w:tab w:val="left" w:pos="567"/>
        </w:tabs>
        <w:rPr>
          <w:i/>
          <w:sz w:val="22"/>
          <w:szCs w:val="22"/>
          <w:lang w:val="es-ES_tradnl"/>
        </w:rPr>
      </w:pPr>
      <w:r w:rsidRPr="00C52C4C">
        <w:rPr>
          <w:i/>
          <w:sz w:val="22"/>
          <w:szCs w:val="22"/>
          <w:lang w:val="es-ES_tradnl"/>
        </w:rPr>
        <w:t>Alteraciones visuales</w:t>
      </w:r>
    </w:p>
    <w:p w14:paraId="398A85DF" w14:textId="77777777" w:rsidR="00D061AA" w:rsidRPr="00C52C4C" w:rsidRDefault="00D061AA" w:rsidP="00D061AA">
      <w:pPr>
        <w:tabs>
          <w:tab w:val="left" w:pos="567"/>
        </w:tabs>
        <w:rPr>
          <w:sz w:val="22"/>
          <w:szCs w:val="22"/>
          <w:lang w:val="es-ES_tradnl"/>
        </w:rPr>
      </w:pPr>
      <w:r w:rsidRPr="00C52C4C">
        <w:rPr>
          <w:sz w:val="22"/>
          <w:szCs w:val="22"/>
          <w:lang w:val="es-ES_tradnl"/>
        </w:rPr>
        <w:t>En los ensayos clínicos</w:t>
      </w:r>
      <w:r w:rsidR="000E094B" w:rsidRPr="00C52C4C">
        <w:rPr>
          <w:sz w:val="22"/>
          <w:szCs w:val="22"/>
          <w:lang w:val="es-ES_tradnl"/>
        </w:rPr>
        <w:t>, fueron muy frecuentes las alteraciones visuales</w:t>
      </w:r>
      <w:r w:rsidR="00290968" w:rsidRPr="00C52C4C">
        <w:rPr>
          <w:sz w:val="22"/>
          <w:szCs w:val="22"/>
          <w:lang w:val="es-ES_tradnl"/>
        </w:rPr>
        <w:t xml:space="preserve"> (como visión borrosa, fotofobia, cloropsia, cromatopsia, ceguera para los colores, cianopsia, trastorno del ojo, halo visual, ceguera nocturna, oscilopsia, fotopsia, escotoma centelleante, agudeza visual disminuida, claridad visual, defecto del campo visual, células flotantes en el vítreo y xantopsia) </w:t>
      </w:r>
      <w:r w:rsidR="000E094B" w:rsidRPr="00C52C4C">
        <w:rPr>
          <w:sz w:val="22"/>
          <w:szCs w:val="22"/>
          <w:lang w:val="es-ES_tradnl"/>
        </w:rPr>
        <w:t xml:space="preserve">con voriconazol. </w:t>
      </w:r>
      <w:r w:rsidRPr="00C52C4C">
        <w:rPr>
          <w:sz w:val="22"/>
          <w:szCs w:val="22"/>
          <w:lang w:val="es-ES_tradnl"/>
        </w:rPr>
        <w:t xml:space="preserve">Estos trastornos visuales fueron transitorios y completamente reversibles, resolviéndose la mayoría espontáneamente en 60 minutos y no se han observado efectos visuales clínicamente significativos a largo plazo. Hubo evidencias de atenuación con la administración repetida de voriconazol. </w:t>
      </w:r>
      <w:r w:rsidR="007D3F20" w:rsidRPr="00C52C4C">
        <w:rPr>
          <w:sz w:val="22"/>
          <w:szCs w:val="22"/>
          <w:lang w:val="es-ES_tradnl"/>
        </w:rPr>
        <w:t xml:space="preserve">Las alteraciones </w:t>
      </w:r>
      <w:r w:rsidRPr="00C52C4C">
        <w:rPr>
          <w:sz w:val="22"/>
          <w:szCs w:val="22"/>
          <w:lang w:val="es-ES_tradnl"/>
        </w:rPr>
        <w:t xml:space="preserve">visuales fueron generalmente leves, raramente obligaron al abandono del tratamiento y no se asociaron con secuelas a largo plazo. </w:t>
      </w:r>
      <w:r w:rsidR="00A07361" w:rsidRPr="00C52C4C">
        <w:rPr>
          <w:sz w:val="22"/>
          <w:szCs w:val="22"/>
          <w:lang w:val="es-ES_tradnl"/>
        </w:rPr>
        <w:t>Las alteraciones</w:t>
      </w:r>
      <w:r w:rsidRPr="00C52C4C">
        <w:rPr>
          <w:sz w:val="22"/>
          <w:szCs w:val="22"/>
          <w:lang w:val="es-ES_tradnl"/>
        </w:rPr>
        <w:t xml:space="preserve"> visuales pueden asociarse a mayores concentraciones plasmáticas y/o dosis.</w:t>
      </w:r>
    </w:p>
    <w:p w14:paraId="123E987A" w14:textId="77777777" w:rsidR="00D061AA" w:rsidRPr="00C52C4C" w:rsidRDefault="00D061AA" w:rsidP="00D061AA">
      <w:pPr>
        <w:tabs>
          <w:tab w:val="left" w:pos="567"/>
        </w:tabs>
        <w:rPr>
          <w:sz w:val="22"/>
          <w:szCs w:val="22"/>
          <w:lang w:val="es-ES_tradnl"/>
        </w:rPr>
      </w:pPr>
    </w:p>
    <w:p w14:paraId="066C3958"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Se desconoce el mecanismo de acción, aunque lo más probable es que sea a nivel de la retina. En un ensayo con voluntarios sanos en el que se estudiaba el efecto de voriconazol sobre la función retiniana, voriconazol originó un descenso de la amplitud de la onda del electrorretinograma (ERG). El ERG </w:t>
      </w:r>
      <w:r w:rsidRPr="00C52C4C">
        <w:rPr>
          <w:sz w:val="22"/>
          <w:szCs w:val="22"/>
          <w:lang w:val="es-ES_tradnl"/>
        </w:rPr>
        <w:lastRenderedPageBreak/>
        <w:t xml:space="preserve">mide las corrientes eléctricas en la retina. Las variaciones en el ERG no progresaron durante los 29 días de tratamiento, siendo totalmente reversibles tras la retirada de voriconazol. </w:t>
      </w:r>
    </w:p>
    <w:p w14:paraId="00E0A137" w14:textId="77777777" w:rsidR="000D76A2" w:rsidRPr="00C52C4C" w:rsidRDefault="000D76A2" w:rsidP="00D061AA">
      <w:pPr>
        <w:tabs>
          <w:tab w:val="left" w:pos="567"/>
        </w:tabs>
        <w:rPr>
          <w:sz w:val="22"/>
          <w:szCs w:val="22"/>
          <w:lang w:val="es-ES_tradnl"/>
        </w:rPr>
      </w:pPr>
    </w:p>
    <w:p w14:paraId="44956FF4" w14:textId="77777777" w:rsidR="000D76A2" w:rsidRPr="00C52C4C" w:rsidRDefault="000D76A2" w:rsidP="000D76A2">
      <w:pPr>
        <w:tabs>
          <w:tab w:val="left" w:pos="567"/>
        </w:tabs>
        <w:rPr>
          <w:sz w:val="22"/>
          <w:szCs w:val="22"/>
          <w:lang w:val="es-ES_tradnl"/>
        </w:rPr>
      </w:pPr>
      <w:r w:rsidRPr="00C52C4C">
        <w:rPr>
          <w:sz w:val="22"/>
          <w:szCs w:val="22"/>
          <w:lang w:val="es-ES_tradnl"/>
        </w:rPr>
        <w:t>Se han notificado acontecimientos adversos visuales prolongados después de la comercialización (ver Sección 4.4).</w:t>
      </w:r>
    </w:p>
    <w:p w14:paraId="33F4CD97" w14:textId="77777777" w:rsidR="00D061AA" w:rsidRPr="00C52C4C" w:rsidRDefault="00D061AA" w:rsidP="00D061AA">
      <w:pPr>
        <w:tabs>
          <w:tab w:val="left" w:pos="567"/>
        </w:tabs>
        <w:rPr>
          <w:sz w:val="22"/>
          <w:szCs w:val="22"/>
          <w:u w:val="single"/>
          <w:lang w:val="es-ES_tradnl"/>
        </w:rPr>
      </w:pPr>
    </w:p>
    <w:p w14:paraId="517FF903" w14:textId="77777777" w:rsidR="00D061AA" w:rsidRPr="00C52C4C" w:rsidRDefault="00D061AA" w:rsidP="00D061AA">
      <w:pPr>
        <w:pStyle w:val="Ttulo5"/>
        <w:keepNext w:val="0"/>
        <w:rPr>
          <w:i/>
          <w:noProof w:val="0"/>
          <w:szCs w:val="22"/>
          <w:lang w:val="es-ES_tradnl"/>
        </w:rPr>
      </w:pPr>
      <w:r w:rsidRPr="00C52C4C">
        <w:rPr>
          <w:i/>
          <w:noProof w:val="0"/>
          <w:szCs w:val="22"/>
          <w:lang w:val="es-ES_tradnl"/>
        </w:rPr>
        <w:t xml:space="preserve">Reacciones dermatológicas </w:t>
      </w:r>
    </w:p>
    <w:p w14:paraId="3580DC28"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Las reacciones dermatológicas fueron </w:t>
      </w:r>
      <w:r w:rsidR="00A07361" w:rsidRPr="00C52C4C">
        <w:rPr>
          <w:sz w:val="22"/>
          <w:szCs w:val="22"/>
          <w:lang w:val="es-ES_tradnl"/>
        </w:rPr>
        <w:t xml:space="preserve">muy </w:t>
      </w:r>
      <w:r w:rsidRPr="00C52C4C">
        <w:rPr>
          <w:sz w:val="22"/>
          <w:szCs w:val="22"/>
          <w:lang w:val="es-ES_tradnl"/>
        </w:rPr>
        <w:t>frecuentes en pacientes tratados con voriconazol en ensayos clínicos, si bien estos pacientes padecían enfermedades subyacentes graves y recibían múltiples medicaciones concomitantes. La mayoría de las erupciones cutáneas fueron de intensidad de leve a moderada. Algunos pacientes han presentado reacciones</w:t>
      </w:r>
      <w:r w:rsidR="00AD1C5E">
        <w:rPr>
          <w:sz w:val="22"/>
          <w:szCs w:val="22"/>
          <w:lang w:val="es-ES_tradnl"/>
        </w:rPr>
        <w:t xml:space="preserve"> adversas</w:t>
      </w:r>
      <w:r w:rsidRPr="00C52C4C">
        <w:rPr>
          <w:sz w:val="22"/>
          <w:szCs w:val="22"/>
          <w:lang w:val="es-ES_tradnl"/>
        </w:rPr>
        <w:t xml:space="preserve"> cutáneas graves</w:t>
      </w:r>
      <w:r w:rsidR="00AD1C5E">
        <w:rPr>
          <w:sz w:val="22"/>
          <w:szCs w:val="22"/>
          <w:lang w:val="es-ES_tradnl"/>
        </w:rPr>
        <w:t xml:space="preserve"> (SCARs)</w:t>
      </w:r>
      <w:r w:rsidRPr="00C52C4C">
        <w:rPr>
          <w:sz w:val="22"/>
          <w:szCs w:val="22"/>
          <w:lang w:val="es-ES_tradnl"/>
        </w:rPr>
        <w:t xml:space="preserve"> durante el tratamiento con </w:t>
      </w:r>
      <w:r w:rsidR="00C636A4" w:rsidRPr="00C52C4C">
        <w:rPr>
          <w:sz w:val="22"/>
          <w:szCs w:val="22"/>
          <w:lang w:val="es-ES_tradnl"/>
        </w:rPr>
        <w:t>voriconazol</w:t>
      </w:r>
      <w:r w:rsidRPr="00C52C4C">
        <w:rPr>
          <w:sz w:val="22"/>
          <w:szCs w:val="22"/>
          <w:lang w:val="es-ES_tradnl"/>
        </w:rPr>
        <w:t>, incluyendo síndrome de Stevens-Johnson</w:t>
      </w:r>
      <w:r w:rsidR="00AD1C5E">
        <w:rPr>
          <w:sz w:val="22"/>
          <w:szCs w:val="22"/>
          <w:lang w:val="es-ES_tradnl"/>
        </w:rPr>
        <w:t xml:space="preserve"> (SJS)</w:t>
      </w:r>
      <w:r w:rsidR="00A07361" w:rsidRPr="00C52C4C">
        <w:rPr>
          <w:sz w:val="22"/>
          <w:szCs w:val="22"/>
          <w:lang w:val="es-ES_tradnl"/>
        </w:rPr>
        <w:t xml:space="preserve"> (poco frecuentes)</w:t>
      </w:r>
      <w:r w:rsidRPr="00C52C4C">
        <w:rPr>
          <w:sz w:val="22"/>
          <w:szCs w:val="22"/>
          <w:lang w:val="es-ES_tradnl"/>
        </w:rPr>
        <w:t>, necrolisis tóxica epidérmica</w:t>
      </w:r>
      <w:r w:rsidR="00AD1C5E">
        <w:rPr>
          <w:sz w:val="22"/>
          <w:szCs w:val="22"/>
          <w:lang w:val="es-ES_tradnl"/>
        </w:rPr>
        <w:t xml:space="preserve"> (TEN)</w:t>
      </w:r>
      <w:r w:rsidRPr="00C52C4C">
        <w:rPr>
          <w:sz w:val="22"/>
          <w:szCs w:val="22"/>
          <w:lang w:val="es-ES_tradnl"/>
        </w:rPr>
        <w:t xml:space="preserve"> </w:t>
      </w:r>
      <w:r w:rsidR="00A07361" w:rsidRPr="00C52C4C">
        <w:rPr>
          <w:sz w:val="22"/>
          <w:szCs w:val="22"/>
          <w:lang w:val="es-ES_tradnl"/>
        </w:rPr>
        <w:t>(rara)</w:t>
      </w:r>
      <w:r w:rsidR="00AD1C5E">
        <w:rPr>
          <w:sz w:val="22"/>
          <w:szCs w:val="22"/>
          <w:lang w:val="es-ES_tradnl"/>
        </w:rPr>
        <w:t>, reacción a fármacos con eosinofilia y síntomas sistémicos (DRESS) (rara)</w:t>
      </w:r>
      <w:r w:rsidR="00A07361" w:rsidRPr="00C52C4C">
        <w:rPr>
          <w:sz w:val="22"/>
          <w:szCs w:val="22"/>
          <w:lang w:val="es-ES_tradnl"/>
        </w:rPr>
        <w:t xml:space="preserve"> </w:t>
      </w:r>
      <w:r w:rsidRPr="00C52C4C">
        <w:rPr>
          <w:sz w:val="22"/>
          <w:szCs w:val="22"/>
          <w:lang w:val="es-ES_tradnl"/>
        </w:rPr>
        <w:t>y eritema multiforme</w:t>
      </w:r>
      <w:r w:rsidR="00A07361" w:rsidRPr="00C52C4C">
        <w:rPr>
          <w:sz w:val="22"/>
          <w:szCs w:val="22"/>
          <w:lang w:val="es-ES_tradnl"/>
        </w:rPr>
        <w:t xml:space="preserve"> (rara)</w:t>
      </w:r>
      <w:r w:rsidR="00AD1C5E">
        <w:rPr>
          <w:sz w:val="22"/>
          <w:szCs w:val="22"/>
          <w:lang w:val="es-ES_tradnl"/>
        </w:rPr>
        <w:t xml:space="preserve"> (ver sección 4.4).</w:t>
      </w:r>
      <w:r w:rsidRPr="00C52C4C">
        <w:rPr>
          <w:sz w:val="22"/>
          <w:szCs w:val="22"/>
          <w:lang w:val="es-ES_tradnl"/>
        </w:rPr>
        <w:t>.</w:t>
      </w:r>
    </w:p>
    <w:p w14:paraId="2B8AABDF" w14:textId="77777777" w:rsidR="00D061AA" w:rsidRPr="00C52C4C" w:rsidRDefault="00D061AA" w:rsidP="00D061AA">
      <w:pPr>
        <w:tabs>
          <w:tab w:val="left" w:pos="567"/>
        </w:tabs>
        <w:rPr>
          <w:sz w:val="22"/>
          <w:szCs w:val="22"/>
          <w:lang w:val="es-ES_tradnl"/>
        </w:rPr>
      </w:pPr>
    </w:p>
    <w:p w14:paraId="01F04C7A"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Si un paciente desarrolla una erupción cutánea, debe ser monitorizado cuidadosamente y suspenderse el tratamiento con </w:t>
      </w:r>
      <w:r w:rsidR="008D11BB" w:rsidRPr="00C52C4C">
        <w:rPr>
          <w:sz w:val="22"/>
          <w:szCs w:val="22"/>
        </w:rPr>
        <w:t>Voriconazol</w:t>
      </w:r>
      <w:r w:rsidR="00C636A4" w:rsidRPr="00C52C4C">
        <w:rPr>
          <w:sz w:val="22"/>
          <w:szCs w:val="22"/>
        </w:rPr>
        <w:t xml:space="preserve"> Accord </w:t>
      </w:r>
      <w:r w:rsidRPr="00C52C4C">
        <w:rPr>
          <w:sz w:val="22"/>
          <w:szCs w:val="22"/>
          <w:lang w:val="es-ES_tradnl"/>
        </w:rPr>
        <w:t>si las lesiones progresan. Se han registrado reacciones de fotosensibilidad</w:t>
      </w:r>
      <w:r w:rsidR="000649C4" w:rsidRPr="00C52C4C">
        <w:rPr>
          <w:sz w:val="22"/>
          <w:szCs w:val="22"/>
          <w:lang w:val="es-ES_tradnl"/>
        </w:rPr>
        <w:t xml:space="preserve"> incluidas reacciones tales como efélides, lentigo y</w:t>
      </w:r>
      <w:r w:rsidR="000649C4" w:rsidRPr="00C52C4C">
        <w:rPr>
          <w:sz w:val="22"/>
          <w:szCs w:val="22"/>
        </w:rPr>
        <w:t xml:space="preserve"> queratosis actínica</w:t>
      </w:r>
      <w:r w:rsidRPr="00C52C4C">
        <w:rPr>
          <w:sz w:val="22"/>
          <w:szCs w:val="22"/>
          <w:lang w:val="es-ES_tradnl"/>
        </w:rPr>
        <w:t>, especialmente durante tratamientos prolongados (ver sección 4.4).</w:t>
      </w:r>
    </w:p>
    <w:p w14:paraId="7AB29C37" w14:textId="77777777" w:rsidR="00E74298" w:rsidRPr="00C52C4C" w:rsidRDefault="00E74298" w:rsidP="00E74298">
      <w:pPr>
        <w:tabs>
          <w:tab w:val="left" w:pos="567"/>
        </w:tabs>
        <w:rPr>
          <w:sz w:val="22"/>
          <w:szCs w:val="22"/>
          <w:lang w:val="es-ES_tradnl"/>
        </w:rPr>
      </w:pPr>
    </w:p>
    <w:p w14:paraId="311FD728" w14:textId="51C6DCC3" w:rsidR="00E74298" w:rsidRPr="00C52C4C" w:rsidRDefault="00E74298" w:rsidP="009A6F05">
      <w:pPr>
        <w:tabs>
          <w:tab w:val="left" w:pos="567"/>
        </w:tabs>
        <w:rPr>
          <w:sz w:val="22"/>
          <w:szCs w:val="22"/>
          <w:lang w:val="es-ES_tradnl"/>
        </w:rPr>
      </w:pPr>
      <w:r w:rsidRPr="00C52C4C">
        <w:rPr>
          <w:sz w:val="22"/>
          <w:szCs w:val="22"/>
          <w:lang w:val="es-ES_tradnl"/>
        </w:rPr>
        <w:t xml:space="preserve">Ha habido notificaciones de carcinoma de células escamosas en la piel </w:t>
      </w:r>
      <w:r w:rsidR="009A6F05" w:rsidRPr="009A6F05">
        <w:rPr>
          <w:sz w:val="22"/>
          <w:szCs w:val="22"/>
          <w:lang w:val="es-ES_tradnl"/>
        </w:rPr>
        <w:t xml:space="preserve">(incluido el CCE cutáneo </w:t>
      </w:r>
      <w:r w:rsidR="009A6F05" w:rsidRPr="00F82335">
        <w:rPr>
          <w:i/>
          <w:iCs/>
          <w:sz w:val="22"/>
          <w:szCs w:val="22"/>
          <w:lang w:val="es-ES_tradnl"/>
        </w:rPr>
        <w:t>in situ</w:t>
      </w:r>
      <w:r w:rsidR="009A6F05" w:rsidRPr="009A6F05">
        <w:rPr>
          <w:sz w:val="22"/>
          <w:szCs w:val="22"/>
          <w:lang w:val="es-ES_tradnl"/>
        </w:rPr>
        <w:t xml:space="preserve"> o enfermedad de Bowen)</w:t>
      </w:r>
      <w:r w:rsidR="009A6F05">
        <w:rPr>
          <w:sz w:val="22"/>
          <w:szCs w:val="22"/>
          <w:lang w:val="es-ES_tradnl"/>
        </w:rPr>
        <w:t xml:space="preserve"> </w:t>
      </w:r>
      <w:r w:rsidRPr="00C52C4C">
        <w:rPr>
          <w:sz w:val="22"/>
          <w:szCs w:val="22"/>
          <w:lang w:val="es-ES_tradnl"/>
        </w:rPr>
        <w:t>en pacientes tratados con Voriconazol Accord durante largos períodos de tiempo; no se ha establecido el mecanismo (ver sección 4.4).</w:t>
      </w:r>
    </w:p>
    <w:p w14:paraId="2D8DD699" w14:textId="77777777" w:rsidR="00D061AA" w:rsidRPr="00C52C4C" w:rsidRDefault="00D061AA" w:rsidP="00D061AA">
      <w:pPr>
        <w:tabs>
          <w:tab w:val="left" w:pos="567"/>
        </w:tabs>
        <w:rPr>
          <w:sz w:val="22"/>
          <w:szCs w:val="22"/>
          <w:u w:val="single"/>
          <w:lang w:val="es-ES_tradnl"/>
        </w:rPr>
      </w:pPr>
    </w:p>
    <w:p w14:paraId="356E86D8" w14:textId="77777777" w:rsidR="00D061AA" w:rsidRPr="00C52C4C" w:rsidRDefault="00D061AA" w:rsidP="00D061AA">
      <w:pPr>
        <w:tabs>
          <w:tab w:val="left" w:pos="567"/>
        </w:tabs>
        <w:rPr>
          <w:i/>
          <w:sz w:val="22"/>
          <w:szCs w:val="22"/>
          <w:lang w:val="es-ES_tradnl"/>
        </w:rPr>
      </w:pPr>
      <w:r w:rsidRPr="00C52C4C">
        <w:rPr>
          <w:i/>
          <w:sz w:val="22"/>
          <w:szCs w:val="22"/>
          <w:lang w:val="es-ES_tradnl"/>
        </w:rPr>
        <w:t>Pruebas de función hepática</w:t>
      </w:r>
    </w:p>
    <w:p w14:paraId="6C37EF72" w14:textId="77777777" w:rsidR="00A07361" w:rsidRPr="00C52C4C" w:rsidRDefault="00D061AA" w:rsidP="00D061AA">
      <w:pPr>
        <w:tabs>
          <w:tab w:val="left" w:pos="567"/>
        </w:tabs>
        <w:rPr>
          <w:sz w:val="22"/>
          <w:szCs w:val="22"/>
          <w:lang w:val="es-ES_tradnl"/>
        </w:rPr>
      </w:pPr>
      <w:r w:rsidRPr="00C52C4C">
        <w:rPr>
          <w:sz w:val="22"/>
          <w:szCs w:val="22"/>
          <w:lang w:val="es-ES_tradnl"/>
        </w:rPr>
        <w:t>En el programa clínico de voriconazol, la incidencia global de</w:t>
      </w:r>
      <w:r w:rsidR="00A07361" w:rsidRPr="00C52C4C">
        <w:rPr>
          <w:sz w:val="22"/>
          <w:szCs w:val="22"/>
          <w:lang w:val="es-ES_tradnl"/>
        </w:rPr>
        <w:t xml:space="preserve">l aumento </w:t>
      </w:r>
      <w:r w:rsidRPr="00C52C4C">
        <w:rPr>
          <w:sz w:val="22"/>
          <w:szCs w:val="22"/>
          <w:lang w:val="es-ES_tradnl"/>
        </w:rPr>
        <w:t>de transaminasas</w:t>
      </w:r>
      <w:r w:rsidR="00A07361" w:rsidRPr="00C52C4C">
        <w:rPr>
          <w:sz w:val="22"/>
          <w:szCs w:val="22"/>
          <w:lang w:val="es-ES_tradnl"/>
        </w:rPr>
        <w:t xml:space="preserve"> &gt; 3 x LSN (que no constituían necesariamente un acontecimiento adverso) fue del </w:t>
      </w:r>
      <w:r w:rsidR="00A07361" w:rsidRPr="00C52C4C" w:rsidDel="00E04C26">
        <w:rPr>
          <w:sz w:val="22"/>
          <w:szCs w:val="22"/>
          <w:lang w:val="es-ES_tradnl"/>
        </w:rPr>
        <w:t>1</w:t>
      </w:r>
      <w:r w:rsidR="00A07361" w:rsidRPr="00C52C4C">
        <w:rPr>
          <w:sz w:val="22"/>
          <w:szCs w:val="22"/>
          <w:lang w:val="es-ES_tradnl"/>
        </w:rPr>
        <w:t>8,0% (319/1.768) en los adultos y del 25,8% (73/283) en los sujetos pediátricos que recibieron</w:t>
      </w:r>
      <w:r w:rsidR="00A07361" w:rsidRPr="00C52C4C" w:rsidDel="00E04C26">
        <w:rPr>
          <w:sz w:val="22"/>
          <w:szCs w:val="22"/>
          <w:lang w:val="es-ES_tradnl"/>
        </w:rPr>
        <w:t xml:space="preserve"> </w:t>
      </w:r>
      <w:r w:rsidR="00A07361" w:rsidRPr="00C52C4C">
        <w:rPr>
          <w:sz w:val="22"/>
          <w:szCs w:val="22"/>
          <w:lang w:val="es-ES_tradnl"/>
        </w:rPr>
        <w:t xml:space="preserve">voriconazol para los usos terapéutico y profiláctico agrupados. </w:t>
      </w:r>
      <w:r w:rsidRPr="00C52C4C">
        <w:rPr>
          <w:sz w:val="22"/>
          <w:szCs w:val="22"/>
          <w:lang w:val="es-ES_tradnl"/>
        </w:rPr>
        <w:t xml:space="preserve">Las alteraciones de las pruebas de función hepática pueden estar asociadas a mayores concentraciones plasmáticas y/o dosis. </w:t>
      </w:r>
    </w:p>
    <w:p w14:paraId="38E9E698" w14:textId="77777777" w:rsidR="00A07361" w:rsidRPr="00C52C4C" w:rsidRDefault="00A07361" w:rsidP="00D061AA">
      <w:pPr>
        <w:tabs>
          <w:tab w:val="left" w:pos="567"/>
        </w:tabs>
        <w:rPr>
          <w:sz w:val="22"/>
          <w:szCs w:val="22"/>
          <w:lang w:val="es-ES_tradnl"/>
        </w:rPr>
      </w:pPr>
    </w:p>
    <w:p w14:paraId="00402A91" w14:textId="77777777" w:rsidR="00D061AA" w:rsidRPr="00C52C4C" w:rsidRDefault="00D061AA" w:rsidP="00D061AA">
      <w:pPr>
        <w:tabs>
          <w:tab w:val="left" w:pos="567"/>
        </w:tabs>
        <w:rPr>
          <w:sz w:val="22"/>
          <w:szCs w:val="22"/>
          <w:lang w:val="es-ES_tradnl"/>
        </w:rPr>
      </w:pPr>
      <w:r w:rsidRPr="00C52C4C">
        <w:rPr>
          <w:sz w:val="22"/>
          <w:szCs w:val="22"/>
          <w:lang w:val="es-ES_tradnl"/>
        </w:rPr>
        <w:t>En la mayoría de los casos se resolvieron durante el tratamiento con o sin ajuste de dosis, siendo necesaria, en algunos casos, la suspensión del tratamiento.</w:t>
      </w:r>
    </w:p>
    <w:p w14:paraId="38ADABE2" w14:textId="77777777" w:rsidR="00D061AA" w:rsidRPr="00C52C4C" w:rsidRDefault="00D061AA" w:rsidP="00D061AA">
      <w:pPr>
        <w:tabs>
          <w:tab w:val="left" w:pos="567"/>
        </w:tabs>
        <w:rPr>
          <w:sz w:val="22"/>
          <w:szCs w:val="22"/>
          <w:lang w:val="es-ES_tradnl"/>
        </w:rPr>
      </w:pPr>
    </w:p>
    <w:p w14:paraId="79A7C136" w14:textId="77777777" w:rsidR="00D061AA" w:rsidRPr="00C52C4C" w:rsidRDefault="00D061AA" w:rsidP="00D061AA">
      <w:pPr>
        <w:tabs>
          <w:tab w:val="left" w:pos="567"/>
        </w:tabs>
        <w:rPr>
          <w:sz w:val="22"/>
          <w:szCs w:val="22"/>
          <w:lang w:val="es-ES_tradnl"/>
        </w:rPr>
      </w:pPr>
      <w:r w:rsidRPr="00C52C4C">
        <w:rPr>
          <w:sz w:val="22"/>
          <w:szCs w:val="22"/>
          <w:lang w:val="es-ES_tradnl"/>
        </w:rPr>
        <w:t>En pacientes con otros trastornos subyacentes graves se ha asociado voriconazol a casos de toxicidad hepática grave, incluyendo ictericia</w:t>
      </w:r>
      <w:r w:rsidR="00A07361" w:rsidRPr="00C52C4C">
        <w:rPr>
          <w:sz w:val="22"/>
          <w:szCs w:val="22"/>
          <w:lang w:val="es-ES_tradnl"/>
        </w:rPr>
        <w:t>,</w:t>
      </w:r>
      <w:r w:rsidRPr="00C52C4C">
        <w:rPr>
          <w:sz w:val="22"/>
          <w:szCs w:val="22"/>
          <w:lang w:val="es-ES_tradnl"/>
        </w:rPr>
        <w:t xml:space="preserve"> hepatitis y fallo hepático letales (ver sección 4.4).</w:t>
      </w:r>
    </w:p>
    <w:p w14:paraId="33AC211D" w14:textId="77777777" w:rsidR="00D061AA" w:rsidRPr="00C52C4C" w:rsidRDefault="00D061AA" w:rsidP="00D061AA">
      <w:pPr>
        <w:tabs>
          <w:tab w:val="left" w:pos="567"/>
        </w:tabs>
        <w:ind w:left="567" w:hanging="567"/>
        <w:rPr>
          <w:sz w:val="22"/>
          <w:szCs w:val="22"/>
          <w:u w:val="single"/>
          <w:lang w:val="es-ES_tradnl"/>
        </w:rPr>
      </w:pPr>
    </w:p>
    <w:p w14:paraId="6D7F2FF9" w14:textId="77777777" w:rsidR="000D76A2" w:rsidRPr="00C52C4C" w:rsidRDefault="000D76A2" w:rsidP="000D76A2">
      <w:pPr>
        <w:tabs>
          <w:tab w:val="left" w:pos="567"/>
        </w:tabs>
        <w:rPr>
          <w:i/>
          <w:sz w:val="22"/>
          <w:szCs w:val="22"/>
          <w:lang w:val="es-ES_tradnl"/>
        </w:rPr>
      </w:pPr>
      <w:r w:rsidRPr="00C52C4C">
        <w:rPr>
          <w:i/>
          <w:sz w:val="22"/>
          <w:szCs w:val="22"/>
          <w:lang w:val="es-ES_tradnl"/>
        </w:rPr>
        <w:t>Profilaxis</w:t>
      </w:r>
    </w:p>
    <w:p w14:paraId="43604683" w14:textId="77777777" w:rsidR="000D76A2" w:rsidRPr="00C52C4C" w:rsidRDefault="000D76A2" w:rsidP="000D76A2">
      <w:pPr>
        <w:tabs>
          <w:tab w:val="left" w:pos="567"/>
        </w:tabs>
        <w:rPr>
          <w:sz w:val="22"/>
          <w:szCs w:val="22"/>
          <w:lang w:val="es-ES_tradnl"/>
        </w:rPr>
      </w:pPr>
      <w:r w:rsidRPr="00C52C4C">
        <w:rPr>
          <w:sz w:val="22"/>
          <w:szCs w:val="22"/>
          <w:lang w:val="es-ES_tradnl"/>
        </w:rPr>
        <w:t>En un ensayo abierto, comparativo, multicéntrico, que comparó voriconazol e itraconazol como profilaxis primaria en adultos y adolescentes receptores de TCMH alogénicos sin IFI probada o probable previa, se notificó la suspensión permanente del tratamiento con voriconazol debido a acontecimientos adversos en el 39,3% de los sujetos, frente al 39,6% de los sujetos en el brazo de tratamiento con itraconazol. Los acontecimientos adversos hepáticos emergentes durante el tratamiento, provocaron la suspensión permanente de la medicación del estudio en 50 sujetos (21,4%) tratados con voriconazol y en 18 sujetos (7,1%) tratados con itraconazol.</w:t>
      </w:r>
    </w:p>
    <w:p w14:paraId="5F7DEE86" w14:textId="77777777" w:rsidR="000D76A2" w:rsidRPr="00C52C4C" w:rsidRDefault="000D76A2" w:rsidP="00D061AA">
      <w:pPr>
        <w:tabs>
          <w:tab w:val="left" w:pos="567"/>
        </w:tabs>
        <w:ind w:left="567" w:hanging="567"/>
        <w:rPr>
          <w:sz w:val="22"/>
          <w:szCs w:val="22"/>
          <w:u w:val="single"/>
          <w:lang w:val="es-ES_tradnl"/>
        </w:rPr>
      </w:pPr>
    </w:p>
    <w:p w14:paraId="7D3469D6" w14:textId="77777777" w:rsidR="00D061AA" w:rsidRPr="00C52C4C" w:rsidRDefault="00D061AA" w:rsidP="00D061AA">
      <w:pPr>
        <w:tabs>
          <w:tab w:val="left" w:pos="567"/>
        </w:tabs>
        <w:ind w:left="567" w:hanging="567"/>
        <w:rPr>
          <w:sz w:val="22"/>
          <w:szCs w:val="22"/>
          <w:u w:val="single"/>
          <w:lang w:val="es-ES_tradnl"/>
        </w:rPr>
      </w:pPr>
      <w:r w:rsidRPr="00C52C4C">
        <w:rPr>
          <w:i/>
          <w:sz w:val="22"/>
          <w:szCs w:val="22"/>
          <w:lang w:val="es-ES_tradnl"/>
        </w:rPr>
        <w:t>Población pediátrica</w:t>
      </w:r>
    </w:p>
    <w:p w14:paraId="5ECD2ACE" w14:textId="77777777" w:rsidR="00D061AA" w:rsidRPr="00C52C4C" w:rsidRDefault="00D061AA" w:rsidP="00D061AA">
      <w:pPr>
        <w:tabs>
          <w:tab w:val="left" w:pos="567"/>
        </w:tabs>
        <w:rPr>
          <w:sz w:val="22"/>
          <w:szCs w:val="22"/>
          <w:lang w:val="es-ES_tradnl"/>
        </w:rPr>
      </w:pPr>
      <w:r w:rsidRPr="00C52C4C">
        <w:rPr>
          <w:sz w:val="22"/>
          <w:szCs w:val="22"/>
          <w:lang w:val="es-ES_tradnl"/>
        </w:rPr>
        <w:t>Se ha investigado la seguridad de voriconazol en 28</w:t>
      </w:r>
      <w:r w:rsidR="00A07361" w:rsidRPr="00C52C4C">
        <w:rPr>
          <w:sz w:val="22"/>
          <w:szCs w:val="22"/>
          <w:lang w:val="es-ES_tradnl"/>
        </w:rPr>
        <w:t>8</w:t>
      </w:r>
      <w:r w:rsidRPr="00C52C4C">
        <w:rPr>
          <w:sz w:val="22"/>
          <w:szCs w:val="22"/>
          <w:lang w:val="es-ES_tradnl"/>
        </w:rPr>
        <w:t xml:space="preserve"> </w:t>
      </w:r>
      <w:smartTag w:uri="urn:schemas-microsoft-com:office:smarttags" w:element="PersonName">
        <w:r w:rsidRPr="00C52C4C">
          <w:rPr>
            <w:sz w:val="22"/>
            <w:szCs w:val="22"/>
            <w:lang w:val="es-ES_tradnl"/>
          </w:rPr>
          <w:t>pa</w:t>
        </w:r>
      </w:smartTag>
      <w:r w:rsidRPr="00C52C4C">
        <w:rPr>
          <w:sz w:val="22"/>
          <w:szCs w:val="22"/>
          <w:lang w:val="es-ES_tradnl"/>
        </w:rPr>
        <w:t xml:space="preserve">cientes pediátricos de </w:t>
      </w:r>
      <w:smartTag w:uri="urn:schemas-microsoft-com:office:smarttags" w:element="metricconverter">
        <w:smartTagPr>
          <w:attr w:name="ProductID" w:val="2 a"/>
        </w:smartTagPr>
        <w:r w:rsidRPr="00C52C4C">
          <w:rPr>
            <w:sz w:val="22"/>
            <w:szCs w:val="22"/>
            <w:lang w:val="es-ES_tradnl"/>
          </w:rPr>
          <w:t>2 a</w:t>
        </w:r>
      </w:smartTag>
      <w:r w:rsidRPr="00C52C4C">
        <w:rPr>
          <w:sz w:val="22"/>
          <w:szCs w:val="22"/>
          <w:lang w:val="es-ES_tradnl"/>
        </w:rPr>
        <w:t xml:space="preserve"> &lt;12 años de edad</w:t>
      </w:r>
      <w:r w:rsidR="00A07361" w:rsidRPr="00C52C4C">
        <w:rPr>
          <w:sz w:val="22"/>
          <w:szCs w:val="22"/>
          <w:lang w:val="es-ES_tradnl"/>
        </w:rPr>
        <w:t xml:space="preserve"> (169) y de 12 a &lt;18 años de edad (119) que recibieron voriconazol para uso profiláctico (183) y uso terapéutico (105</w:t>
      </w:r>
      <w:r w:rsidR="00A07361" w:rsidRPr="00C52C4C" w:rsidDel="00912103">
        <w:rPr>
          <w:sz w:val="22"/>
          <w:szCs w:val="22"/>
          <w:lang w:val="es-ES_tradnl"/>
        </w:rPr>
        <w:t>). El</w:t>
      </w:r>
      <w:r w:rsidR="00A07361" w:rsidRPr="00C52C4C">
        <w:rPr>
          <w:sz w:val="22"/>
          <w:szCs w:val="22"/>
          <w:lang w:val="es-ES_tradnl"/>
        </w:rPr>
        <w:t xml:space="preserve">) en ensayos clínicos. La seguridad de voriconazol también se evaluó en otros 158 pacientes pediátricos de 2 a &lt;12 años de edad en programas de uso compasivo. En general, el perfil de </w:t>
      </w:r>
      <w:r w:rsidR="00A07361" w:rsidRPr="00C52C4C" w:rsidDel="008E7304">
        <w:rPr>
          <w:sz w:val="22"/>
          <w:szCs w:val="22"/>
          <w:lang w:val="es-ES_tradnl"/>
        </w:rPr>
        <w:t>reacciones adversas</w:t>
      </w:r>
      <w:r w:rsidR="00A07361" w:rsidRPr="00C52C4C">
        <w:rPr>
          <w:sz w:val="22"/>
          <w:szCs w:val="22"/>
          <w:lang w:val="es-ES_tradnl"/>
        </w:rPr>
        <w:t>seguridad de voriconazol en</w:t>
      </w:r>
      <w:r w:rsidR="00A07361" w:rsidRPr="00C52C4C" w:rsidDel="008E7304">
        <w:rPr>
          <w:sz w:val="22"/>
          <w:szCs w:val="22"/>
          <w:lang w:val="es-ES_tradnl"/>
        </w:rPr>
        <w:t xml:space="preserve"> </w:t>
      </w:r>
      <w:r w:rsidR="00A07361" w:rsidRPr="00C52C4C">
        <w:rPr>
          <w:sz w:val="22"/>
          <w:szCs w:val="22"/>
          <w:lang w:val="es-ES_tradnl"/>
        </w:rPr>
        <w:t>la población pediátric</w:t>
      </w:r>
      <w:r w:rsidR="00A07361" w:rsidRPr="00C52C4C" w:rsidDel="008E7304">
        <w:rPr>
          <w:sz w:val="22"/>
          <w:szCs w:val="22"/>
          <w:lang w:val="es-ES_tradnl"/>
        </w:rPr>
        <w:t>os</w:t>
      </w:r>
      <w:r w:rsidR="00A07361" w:rsidRPr="00C52C4C">
        <w:rPr>
          <w:sz w:val="22"/>
          <w:szCs w:val="22"/>
          <w:lang w:val="es-ES_tradnl"/>
        </w:rPr>
        <w:t>a fue similar al de los adultos. No obstante, se observó una mayor tendencia de aumentos en la frecuencia de las enzimas hepáticas,</w:t>
      </w:r>
      <w:r w:rsidR="00A07361" w:rsidRPr="00C52C4C" w:rsidDel="007D7FAF">
        <w:rPr>
          <w:sz w:val="22"/>
          <w:szCs w:val="22"/>
          <w:lang w:val="es-ES_tradnl"/>
        </w:rPr>
        <w:t xml:space="preserve"> </w:t>
      </w:r>
      <w:r w:rsidR="00A07361" w:rsidRPr="00C52C4C">
        <w:rPr>
          <w:sz w:val="22"/>
          <w:szCs w:val="22"/>
          <w:lang w:val="es-ES_tradnl"/>
        </w:rPr>
        <w:t>notificadas en ensayos clínicos en los pacientes pediatricos</w:t>
      </w:r>
      <w:r w:rsidR="00265337" w:rsidRPr="00C52C4C">
        <w:rPr>
          <w:sz w:val="22"/>
          <w:szCs w:val="22"/>
          <w:lang w:val="es-ES_tradnl"/>
        </w:rPr>
        <w:t xml:space="preserve"> </w:t>
      </w:r>
      <w:r w:rsidR="00A07361" w:rsidRPr="00C52C4C">
        <w:rPr>
          <w:sz w:val="22"/>
          <w:szCs w:val="22"/>
          <w:lang w:val="es-ES_tradnl"/>
        </w:rPr>
        <w:t>en comparación con los adultos (14,2% de transaminasas elevadas en los pacientes pediátricos frente al 5,3% en los adultos</w:t>
      </w:r>
      <w:r w:rsidR="00A07361" w:rsidRPr="00C52C4C" w:rsidDel="00B1155F">
        <w:rPr>
          <w:sz w:val="22"/>
          <w:szCs w:val="22"/>
          <w:lang w:val="es-ES_tradnl"/>
        </w:rPr>
        <w:t>).</w:t>
      </w:r>
      <w:r w:rsidR="00265337" w:rsidRPr="00C52C4C">
        <w:rPr>
          <w:sz w:val="22"/>
          <w:szCs w:val="22"/>
          <w:lang w:val="es-ES_tradnl"/>
        </w:rPr>
        <w:t xml:space="preserve"> </w:t>
      </w:r>
      <w:r w:rsidRPr="00C52C4C">
        <w:rPr>
          <w:sz w:val="22"/>
          <w:szCs w:val="22"/>
          <w:lang w:val="es-ES_tradnl"/>
        </w:rPr>
        <w:t xml:space="preserve">Los datos de la experiencia post-comercialización sugieren que podría haber una </w:t>
      </w:r>
      <w:smartTag w:uri="urn:schemas-microsoft-com:office:smarttags" w:element="PersonName">
        <w:r w:rsidRPr="00C52C4C">
          <w:rPr>
            <w:sz w:val="22"/>
            <w:szCs w:val="22"/>
            <w:lang w:val="es-ES_tradnl"/>
          </w:rPr>
          <w:t>ma</w:t>
        </w:r>
      </w:smartTag>
      <w:r w:rsidRPr="00C52C4C">
        <w:rPr>
          <w:sz w:val="22"/>
          <w:szCs w:val="22"/>
          <w:lang w:val="es-ES_tradnl"/>
        </w:rPr>
        <w:t>yor incidencia de reacciones cutáneas (especialmente erite</w:t>
      </w:r>
      <w:smartTag w:uri="urn:schemas-microsoft-com:office:smarttags" w:element="PersonName">
        <w:r w:rsidRPr="00C52C4C">
          <w:rPr>
            <w:sz w:val="22"/>
            <w:szCs w:val="22"/>
            <w:lang w:val="es-ES_tradnl"/>
          </w:rPr>
          <w:t>ma</w:t>
        </w:r>
      </w:smartTag>
      <w:r w:rsidRPr="00C52C4C">
        <w:rPr>
          <w:sz w:val="22"/>
          <w:szCs w:val="22"/>
          <w:lang w:val="es-ES_tradnl"/>
        </w:rPr>
        <w:t>) en la población pediátrica en com</w:t>
      </w:r>
      <w:smartTag w:uri="urn:schemas-microsoft-com:office:smarttags" w:element="PersonName">
        <w:r w:rsidRPr="00C52C4C">
          <w:rPr>
            <w:sz w:val="22"/>
            <w:szCs w:val="22"/>
            <w:lang w:val="es-ES_tradnl"/>
          </w:rPr>
          <w:t>pa</w:t>
        </w:r>
      </w:smartTag>
      <w:r w:rsidRPr="00C52C4C">
        <w:rPr>
          <w:sz w:val="22"/>
          <w:szCs w:val="22"/>
          <w:lang w:val="es-ES_tradnl"/>
        </w:rPr>
        <w:t xml:space="preserve">ración con los adultos. En 22 </w:t>
      </w:r>
      <w:smartTag w:uri="urn:schemas-microsoft-com:office:smarttags" w:element="PersonName">
        <w:r w:rsidRPr="00C52C4C">
          <w:rPr>
            <w:sz w:val="22"/>
            <w:szCs w:val="22"/>
            <w:lang w:val="es-ES_tradnl"/>
          </w:rPr>
          <w:lastRenderedPageBreak/>
          <w:t>pa</w:t>
        </w:r>
      </w:smartTag>
      <w:r w:rsidRPr="00C52C4C">
        <w:rPr>
          <w:sz w:val="22"/>
          <w:szCs w:val="22"/>
          <w:lang w:val="es-ES_tradnl"/>
        </w:rPr>
        <w:t>cientes de menos de 2 años de edad que recibieron voriconazol bajo uso com</w:t>
      </w:r>
      <w:smartTag w:uri="urn:schemas-microsoft-com:office:smarttags" w:element="PersonName">
        <w:r w:rsidRPr="00C52C4C">
          <w:rPr>
            <w:sz w:val="22"/>
            <w:szCs w:val="22"/>
            <w:lang w:val="es-ES_tradnl"/>
          </w:rPr>
          <w:t>pa</w:t>
        </w:r>
      </w:smartTag>
      <w:r w:rsidRPr="00C52C4C">
        <w:rPr>
          <w:sz w:val="22"/>
          <w:szCs w:val="22"/>
          <w:lang w:val="es-ES_tradnl"/>
        </w:rPr>
        <w:t>sivo, se notificaron las siguientes reacciones adversas (</w:t>
      </w:r>
      <w:smartTag w:uri="urn:schemas-microsoft-com:office:smarttags" w:element="PersonName">
        <w:r w:rsidRPr="00C52C4C">
          <w:rPr>
            <w:sz w:val="22"/>
            <w:szCs w:val="22"/>
            <w:lang w:val="es-ES_tradnl"/>
          </w:rPr>
          <w:t>pa</w:t>
        </w:r>
      </w:smartTag>
      <w:r w:rsidRPr="00C52C4C">
        <w:rPr>
          <w:sz w:val="22"/>
          <w:szCs w:val="22"/>
          <w:lang w:val="es-ES_tradnl"/>
        </w:rPr>
        <w:t xml:space="preserve">ra las que no se excluye una posible relación con voriconazol): reacción de fotosensibilidad (1), arritmia (1), </w:t>
      </w:r>
      <w:smartTag w:uri="urn:schemas-microsoft-com:office:smarttags" w:element="PersonName">
        <w:r w:rsidRPr="00C52C4C">
          <w:rPr>
            <w:sz w:val="22"/>
            <w:szCs w:val="22"/>
            <w:lang w:val="es-ES_tradnl"/>
          </w:rPr>
          <w:t>pa</w:t>
        </w:r>
      </w:smartTag>
      <w:r w:rsidRPr="00C52C4C">
        <w:rPr>
          <w:sz w:val="22"/>
          <w:szCs w:val="22"/>
          <w:lang w:val="es-ES_tradnl"/>
        </w:rPr>
        <w:t>ncreatitis (1), niv</w:t>
      </w:r>
      <w:smartTag w:uri="urn:schemas-microsoft-com:office:smarttags" w:element="PersonName">
        <w:r w:rsidRPr="00C52C4C">
          <w:rPr>
            <w:sz w:val="22"/>
            <w:szCs w:val="22"/>
            <w:lang w:val="es-ES_tradnl"/>
          </w:rPr>
          <w:t>ele</w:t>
        </w:r>
      </w:smartTag>
      <w:r w:rsidRPr="00C52C4C">
        <w:rPr>
          <w:sz w:val="22"/>
          <w:szCs w:val="22"/>
          <w:lang w:val="es-ES_tradnl"/>
        </w:rPr>
        <w:t xml:space="preserve">s aumentados de bilirrubina en sangre (1), </w:t>
      </w:r>
      <w:smartTag w:uri="urn:schemas-microsoft-com:office:smarttags" w:element="PersonName">
        <w:r w:rsidRPr="00C52C4C">
          <w:rPr>
            <w:sz w:val="22"/>
            <w:szCs w:val="22"/>
            <w:lang w:val="es-ES_tradnl"/>
          </w:rPr>
          <w:t>ele</w:t>
        </w:r>
      </w:smartTag>
      <w:r w:rsidRPr="00C52C4C">
        <w:rPr>
          <w:sz w:val="22"/>
          <w:szCs w:val="22"/>
          <w:lang w:val="es-ES_tradnl"/>
        </w:rPr>
        <w:t>vación de enzi</w:t>
      </w:r>
      <w:smartTag w:uri="urn:schemas-microsoft-com:office:smarttags" w:element="PersonName">
        <w:r w:rsidRPr="00C52C4C">
          <w:rPr>
            <w:sz w:val="22"/>
            <w:szCs w:val="22"/>
            <w:lang w:val="es-ES_tradnl"/>
          </w:rPr>
          <w:t>ma</w:t>
        </w:r>
      </w:smartTag>
      <w:r w:rsidRPr="00C52C4C">
        <w:rPr>
          <w:sz w:val="22"/>
          <w:szCs w:val="22"/>
          <w:lang w:val="es-ES_tradnl"/>
        </w:rPr>
        <w:t xml:space="preserve">s hepáticas (1), </w:t>
      </w:r>
      <w:r w:rsidR="00E74298" w:rsidRPr="00C52C4C">
        <w:rPr>
          <w:sz w:val="22"/>
          <w:szCs w:val="22"/>
          <w:lang w:val="es-ES_tradnl"/>
        </w:rPr>
        <w:t>erupción cutánea</w:t>
      </w:r>
      <w:r w:rsidRPr="00C52C4C">
        <w:rPr>
          <w:sz w:val="22"/>
          <w:szCs w:val="22"/>
          <w:lang w:val="es-ES_tradnl"/>
        </w:rPr>
        <w:t xml:space="preserve"> (1) y </w:t>
      </w:r>
      <w:smartTag w:uri="urn:schemas-microsoft-com:office:smarttags" w:element="PersonName">
        <w:r w:rsidRPr="00C52C4C">
          <w:rPr>
            <w:sz w:val="22"/>
            <w:szCs w:val="22"/>
            <w:lang w:val="es-ES_tradnl"/>
          </w:rPr>
          <w:t>pa</w:t>
        </w:r>
      </w:smartTag>
      <w:r w:rsidRPr="00C52C4C">
        <w:rPr>
          <w:sz w:val="22"/>
          <w:szCs w:val="22"/>
          <w:lang w:val="es-ES_tradnl"/>
        </w:rPr>
        <w:t>pilede</w:t>
      </w:r>
      <w:smartTag w:uri="urn:schemas-microsoft-com:office:smarttags" w:element="PersonName">
        <w:r w:rsidRPr="00C52C4C">
          <w:rPr>
            <w:sz w:val="22"/>
            <w:szCs w:val="22"/>
            <w:lang w:val="es-ES_tradnl"/>
          </w:rPr>
          <w:t>ma</w:t>
        </w:r>
      </w:smartTag>
      <w:r w:rsidRPr="00C52C4C">
        <w:rPr>
          <w:sz w:val="22"/>
          <w:szCs w:val="22"/>
          <w:lang w:val="es-ES_tradnl"/>
        </w:rPr>
        <w:t xml:space="preserve"> (1). Durante la experiencia post-comercialización se han notificado casos de </w:t>
      </w:r>
      <w:smartTag w:uri="urn:schemas-microsoft-com:office:smarttags" w:element="PersonName">
        <w:r w:rsidRPr="00C52C4C">
          <w:rPr>
            <w:sz w:val="22"/>
            <w:szCs w:val="22"/>
            <w:lang w:val="es-ES_tradnl"/>
          </w:rPr>
          <w:t>pa</w:t>
        </w:r>
      </w:smartTag>
      <w:r w:rsidRPr="00C52C4C">
        <w:rPr>
          <w:sz w:val="22"/>
          <w:szCs w:val="22"/>
          <w:lang w:val="es-ES_tradnl"/>
        </w:rPr>
        <w:t xml:space="preserve">ncreatitis en </w:t>
      </w:r>
      <w:smartTag w:uri="urn:schemas-microsoft-com:office:smarttags" w:element="PersonName">
        <w:r w:rsidRPr="00C52C4C">
          <w:rPr>
            <w:sz w:val="22"/>
            <w:szCs w:val="22"/>
            <w:lang w:val="es-ES_tradnl"/>
          </w:rPr>
          <w:t>pa</w:t>
        </w:r>
      </w:smartTag>
      <w:r w:rsidRPr="00C52C4C">
        <w:rPr>
          <w:sz w:val="22"/>
          <w:szCs w:val="22"/>
          <w:lang w:val="es-ES_tradnl"/>
        </w:rPr>
        <w:t>cientes pediátricos.</w:t>
      </w:r>
    </w:p>
    <w:p w14:paraId="7FF0089C" w14:textId="77777777" w:rsidR="00280B51" w:rsidRPr="00C52C4C" w:rsidRDefault="00280B51" w:rsidP="00D061AA">
      <w:pPr>
        <w:tabs>
          <w:tab w:val="left" w:pos="567"/>
        </w:tabs>
        <w:rPr>
          <w:sz w:val="22"/>
          <w:szCs w:val="22"/>
          <w:lang w:val="es-ES_tradnl"/>
        </w:rPr>
      </w:pPr>
    </w:p>
    <w:p w14:paraId="36873877" w14:textId="77777777" w:rsidR="00280B51" w:rsidRPr="002869DC" w:rsidRDefault="00280B51" w:rsidP="00280B51">
      <w:pPr>
        <w:autoSpaceDE w:val="0"/>
        <w:autoSpaceDN w:val="0"/>
        <w:adjustRightInd w:val="0"/>
        <w:jc w:val="both"/>
        <w:rPr>
          <w:bCs/>
          <w:sz w:val="22"/>
          <w:szCs w:val="22"/>
          <w:u w:val="single"/>
          <w:lang w:val="es-ES_tradnl"/>
        </w:rPr>
      </w:pPr>
      <w:r w:rsidRPr="002869DC">
        <w:rPr>
          <w:bCs/>
          <w:sz w:val="22"/>
          <w:szCs w:val="22"/>
          <w:u w:val="single"/>
          <w:lang w:val="es-ES_tradnl"/>
        </w:rPr>
        <w:t>Notificación de sospechas de reacciones adversas</w:t>
      </w:r>
    </w:p>
    <w:p w14:paraId="7C8E075E" w14:textId="77777777" w:rsidR="00280B51" w:rsidRPr="00C52C4C" w:rsidRDefault="00280B51" w:rsidP="00280B51">
      <w:pPr>
        <w:autoSpaceDE w:val="0"/>
        <w:autoSpaceDN w:val="0"/>
        <w:adjustRightInd w:val="0"/>
        <w:jc w:val="both"/>
        <w:rPr>
          <w:sz w:val="22"/>
          <w:szCs w:val="22"/>
          <w:lang w:val="es-ES_tradnl"/>
        </w:rPr>
      </w:pPr>
      <w:r w:rsidRPr="00C52C4C">
        <w:rPr>
          <w:sz w:val="22"/>
          <w:szCs w:val="22"/>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w:t>
      </w:r>
      <w:r w:rsidRPr="00D37975">
        <w:rPr>
          <w:sz w:val="22"/>
          <w:szCs w:val="22"/>
          <w:highlight w:val="lightGray"/>
          <w:lang w:val="es-ES_tradnl"/>
        </w:rPr>
        <w:t xml:space="preserve">del </w:t>
      </w:r>
      <w:r w:rsidRPr="00D37975">
        <w:rPr>
          <w:sz w:val="22"/>
          <w:szCs w:val="22"/>
          <w:highlight w:val="lightGray"/>
          <w:lang w:eastAsia="en-US"/>
        </w:rPr>
        <w:t xml:space="preserve">sistema nacional de notificación  incluido en el </w:t>
      </w:r>
      <w:hyperlink r:id="rId12" w:history="1">
        <w:r w:rsidRPr="005C32BD">
          <w:rPr>
            <w:rStyle w:val="Hipervnculo"/>
            <w:rFonts w:eastAsia="MS Mincho"/>
            <w:sz w:val="22"/>
            <w:szCs w:val="22"/>
            <w:highlight w:val="lightGray"/>
            <w:lang w:eastAsia="en-US"/>
          </w:rPr>
          <w:t>A</w:t>
        </w:r>
        <w:r w:rsidR="002A519C">
          <w:rPr>
            <w:rStyle w:val="Hipervnculo"/>
            <w:rFonts w:eastAsia="MS Mincho"/>
            <w:sz w:val="22"/>
            <w:szCs w:val="22"/>
            <w:highlight w:val="lightGray"/>
            <w:lang w:eastAsia="en-US"/>
          </w:rPr>
          <w:t>péndice</w:t>
        </w:r>
        <w:r w:rsidRPr="005C32BD">
          <w:rPr>
            <w:rStyle w:val="Hipervnculo"/>
            <w:rFonts w:eastAsia="MS Mincho"/>
            <w:sz w:val="22"/>
            <w:szCs w:val="22"/>
            <w:highlight w:val="lightGray"/>
            <w:lang w:eastAsia="en-US"/>
          </w:rPr>
          <w:t>V</w:t>
        </w:r>
      </w:hyperlink>
      <w:r w:rsidRPr="00D37975">
        <w:rPr>
          <w:sz w:val="22"/>
          <w:szCs w:val="22"/>
          <w:highlight w:val="lightGray"/>
          <w:lang w:val="es-ES_tradnl"/>
        </w:rPr>
        <w:t>.</w:t>
      </w:r>
    </w:p>
    <w:p w14:paraId="6FBD8EB1" w14:textId="77777777" w:rsidR="00D061AA" w:rsidRPr="00C52C4C" w:rsidRDefault="00D061AA" w:rsidP="00D061AA">
      <w:pPr>
        <w:tabs>
          <w:tab w:val="left" w:pos="567"/>
        </w:tabs>
        <w:ind w:left="567" w:hanging="567"/>
        <w:rPr>
          <w:sz w:val="22"/>
          <w:szCs w:val="22"/>
          <w:lang w:val="es-ES_tradnl"/>
        </w:rPr>
      </w:pPr>
    </w:p>
    <w:p w14:paraId="56180BB8" w14:textId="77777777" w:rsidR="00D061AA" w:rsidRPr="00C52C4C" w:rsidRDefault="00D061AA" w:rsidP="00D061AA">
      <w:pPr>
        <w:tabs>
          <w:tab w:val="left" w:pos="567"/>
        </w:tabs>
        <w:ind w:left="567" w:hanging="567"/>
        <w:rPr>
          <w:sz w:val="22"/>
          <w:szCs w:val="22"/>
          <w:lang w:val="es-ES_tradnl"/>
        </w:rPr>
      </w:pPr>
      <w:r w:rsidRPr="00C52C4C">
        <w:rPr>
          <w:b/>
          <w:sz w:val="22"/>
          <w:szCs w:val="22"/>
          <w:lang w:val="es-ES_tradnl"/>
        </w:rPr>
        <w:t>4.9</w:t>
      </w:r>
      <w:r w:rsidRPr="00C52C4C">
        <w:rPr>
          <w:b/>
          <w:sz w:val="22"/>
          <w:szCs w:val="22"/>
          <w:lang w:val="es-ES_tradnl"/>
        </w:rPr>
        <w:tab/>
        <w:t>Sobredosis</w:t>
      </w:r>
    </w:p>
    <w:p w14:paraId="73866F94" w14:textId="77777777" w:rsidR="00D061AA" w:rsidRPr="00C52C4C" w:rsidRDefault="00D061AA" w:rsidP="00D061AA">
      <w:pPr>
        <w:tabs>
          <w:tab w:val="left" w:pos="567"/>
        </w:tabs>
        <w:rPr>
          <w:sz w:val="22"/>
          <w:szCs w:val="22"/>
          <w:lang w:val="es-ES_tradnl"/>
        </w:rPr>
      </w:pPr>
    </w:p>
    <w:p w14:paraId="07736386" w14:textId="77777777" w:rsidR="00D061AA" w:rsidRPr="00C52C4C" w:rsidRDefault="00D061AA" w:rsidP="00D061AA">
      <w:pPr>
        <w:tabs>
          <w:tab w:val="left" w:pos="567"/>
        </w:tabs>
        <w:rPr>
          <w:snapToGrid w:val="0"/>
          <w:sz w:val="22"/>
          <w:szCs w:val="22"/>
          <w:lang w:val="es-ES_tradnl"/>
        </w:rPr>
      </w:pPr>
      <w:r w:rsidRPr="00C52C4C">
        <w:rPr>
          <w:snapToGrid w:val="0"/>
          <w:sz w:val="22"/>
          <w:szCs w:val="22"/>
          <w:lang w:val="es-ES_tradnl"/>
        </w:rPr>
        <w:t>En los ensayos clínicos hubo 3 casos de sobredosis accidental. Todos ocurrieron en niños, que recibieron una dosis de voriconazol por vía intravenosa hasta cinco veces mayor que la recomendada. Se notificó una única reacción adversa de fotofobia, de 10 minutos de duración.</w:t>
      </w:r>
    </w:p>
    <w:p w14:paraId="70BDCEBD" w14:textId="77777777" w:rsidR="00D061AA" w:rsidRPr="00C52C4C" w:rsidRDefault="00D061AA" w:rsidP="00D061AA">
      <w:pPr>
        <w:tabs>
          <w:tab w:val="left" w:pos="567"/>
        </w:tabs>
        <w:rPr>
          <w:snapToGrid w:val="0"/>
          <w:sz w:val="22"/>
          <w:szCs w:val="22"/>
          <w:lang w:val="es-ES_tradnl"/>
        </w:rPr>
      </w:pPr>
    </w:p>
    <w:p w14:paraId="3CB1184E" w14:textId="77777777" w:rsidR="00D061AA" w:rsidRPr="00C52C4C" w:rsidRDefault="00D061AA" w:rsidP="00D061AA">
      <w:pPr>
        <w:tabs>
          <w:tab w:val="left" w:pos="567"/>
        </w:tabs>
        <w:rPr>
          <w:snapToGrid w:val="0"/>
          <w:sz w:val="22"/>
          <w:szCs w:val="22"/>
          <w:lang w:val="es-ES_tradnl"/>
        </w:rPr>
      </w:pPr>
      <w:r w:rsidRPr="00C52C4C">
        <w:rPr>
          <w:snapToGrid w:val="0"/>
          <w:sz w:val="22"/>
          <w:szCs w:val="22"/>
          <w:lang w:val="es-ES_tradnl"/>
        </w:rPr>
        <w:t>No se conoce ningún antídoto frente a voriconazol.</w:t>
      </w:r>
    </w:p>
    <w:p w14:paraId="70FE34AF" w14:textId="77777777" w:rsidR="00D061AA" w:rsidRPr="00C52C4C" w:rsidRDefault="00D061AA" w:rsidP="00D061AA">
      <w:pPr>
        <w:tabs>
          <w:tab w:val="left" w:pos="567"/>
        </w:tabs>
        <w:rPr>
          <w:snapToGrid w:val="0"/>
          <w:sz w:val="22"/>
          <w:szCs w:val="22"/>
          <w:lang w:val="es-ES_tradnl"/>
        </w:rPr>
      </w:pPr>
    </w:p>
    <w:p w14:paraId="6338214C" w14:textId="77777777" w:rsidR="00D061AA" w:rsidRPr="00C52C4C" w:rsidRDefault="00D061AA" w:rsidP="00D061AA">
      <w:pPr>
        <w:tabs>
          <w:tab w:val="left" w:pos="567"/>
        </w:tabs>
        <w:rPr>
          <w:sz w:val="22"/>
          <w:szCs w:val="22"/>
          <w:lang w:val="es-ES_tradnl"/>
        </w:rPr>
      </w:pPr>
      <w:r w:rsidRPr="00C52C4C">
        <w:rPr>
          <w:sz w:val="22"/>
          <w:szCs w:val="22"/>
          <w:lang w:val="es-ES_tradnl"/>
        </w:rPr>
        <w:t>Voriconazol es hemodializado con un aclaramiento de 121 ml/min. En caso de sobredosis, la hemodiálisis puede ayudar a eliminar voriconazol del organismo.</w:t>
      </w:r>
    </w:p>
    <w:p w14:paraId="7B624708" w14:textId="77777777" w:rsidR="00D061AA" w:rsidRPr="00C52C4C" w:rsidRDefault="00D061AA" w:rsidP="00D061AA">
      <w:pPr>
        <w:tabs>
          <w:tab w:val="left" w:pos="567"/>
        </w:tabs>
        <w:rPr>
          <w:sz w:val="22"/>
          <w:szCs w:val="22"/>
          <w:lang w:val="es-ES_tradnl"/>
        </w:rPr>
      </w:pPr>
    </w:p>
    <w:p w14:paraId="044C09BA" w14:textId="77777777" w:rsidR="00D061AA" w:rsidRPr="00C52C4C" w:rsidRDefault="00D061AA" w:rsidP="00D061AA">
      <w:pPr>
        <w:tabs>
          <w:tab w:val="left" w:pos="567"/>
        </w:tabs>
        <w:rPr>
          <w:sz w:val="22"/>
          <w:szCs w:val="22"/>
          <w:lang w:val="es-ES_tradnl"/>
        </w:rPr>
      </w:pPr>
    </w:p>
    <w:p w14:paraId="741DD5F2" w14:textId="77777777" w:rsidR="00D061AA" w:rsidRPr="00C52C4C" w:rsidRDefault="00D061AA" w:rsidP="00D061AA">
      <w:pPr>
        <w:tabs>
          <w:tab w:val="left" w:pos="567"/>
        </w:tabs>
        <w:ind w:left="567" w:hanging="567"/>
        <w:rPr>
          <w:sz w:val="22"/>
          <w:szCs w:val="22"/>
          <w:lang w:val="es-ES_tradnl"/>
        </w:rPr>
      </w:pPr>
      <w:r w:rsidRPr="00C52C4C">
        <w:rPr>
          <w:b/>
          <w:sz w:val="22"/>
          <w:szCs w:val="22"/>
          <w:lang w:val="es-ES_tradnl"/>
        </w:rPr>
        <w:t>5.</w:t>
      </w:r>
      <w:r w:rsidRPr="00C52C4C">
        <w:rPr>
          <w:b/>
          <w:sz w:val="22"/>
          <w:szCs w:val="22"/>
          <w:lang w:val="es-ES_tradnl"/>
        </w:rPr>
        <w:tab/>
        <w:t>P</w:t>
      </w:r>
      <w:smartTag w:uri="urn:schemas-microsoft-com:office:smarttags" w:element="PersonName">
        <w:r w:rsidRPr="00C52C4C">
          <w:rPr>
            <w:b/>
            <w:sz w:val="22"/>
            <w:szCs w:val="22"/>
            <w:lang w:val="es-ES_tradnl"/>
          </w:rPr>
          <w:t>RO</w:t>
        </w:r>
      </w:smartTag>
      <w:r w:rsidRPr="00C52C4C">
        <w:rPr>
          <w:b/>
          <w:sz w:val="22"/>
          <w:szCs w:val="22"/>
          <w:lang w:val="es-ES_tradnl"/>
        </w:rPr>
        <w:t>PIEDA</w:t>
      </w:r>
      <w:smartTag w:uri="urn:schemas-microsoft-com:office:smarttags" w:element="PersonName">
        <w:r w:rsidRPr="00C52C4C">
          <w:rPr>
            <w:b/>
            <w:sz w:val="22"/>
            <w:szCs w:val="22"/>
            <w:lang w:val="es-ES_tradnl"/>
          </w:rPr>
          <w:t>DE</w:t>
        </w:r>
      </w:smartTag>
      <w:r w:rsidRPr="00C52C4C">
        <w:rPr>
          <w:b/>
          <w:sz w:val="22"/>
          <w:szCs w:val="22"/>
          <w:lang w:val="es-ES_tradnl"/>
        </w:rPr>
        <w:t>S FARMACOLÓGICAS</w:t>
      </w:r>
    </w:p>
    <w:p w14:paraId="37A599A7" w14:textId="77777777" w:rsidR="00D061AA" w:rsidRPr="00C52C4C" w:rsidRDefault="00D061AA" w:rsidP="00D061AA">
      <w:pPr>
        <w:tabs>
          <w:tab w:val="left" w:pos="567"/>
        </w:tabs>
        <w:rPr>
          <w:b/>
          <w:sz w:val="22"/>
          <w:szCs w:val="22"/>
          <w:lang w:val="es-ES_tradnl"/>
        </w:rPr>
      </w:pPr>
    </w:p>
    <w:p w14:paraId="67047581" w14:textId="77777777" w:rsidR="00D061AA" w:rsidRPr="00C52C4C" w:rsidRDefault="00D061AA" w:rsidP="00D061AA">
      <w:pPr>
        <w:tabs>
          <w:tab w:val="left" w:pos="567"/>
        </w:tabs>
        <w:ind w:left="567" w:hanging="567"/>
        <w:rPr>
          <w:sz w:val="22"/>
          <w:szCs w:val="22"/>
          <w:lang w:val="es-ES_tradnl"/>
        </w:rPr>
      </w:pPr>
      <w:r w:rsidRPr="00C52C4C">
        <w:rPr>
          <w:b/>
          <w:sz w:val="22"/>
          <w:szCs w:val="22"/>
          <w:lang w:val="es-ES_tradnl"/>
        </w:rPr>
        <w:t xml:space="preserve">5.1 </w:t>
      </w:r>
      <w:r w:rsidRPr="00C52C4C">
        <w:rPr>
          <w:b/>
          <w:sz w:val="22"/>
          <w:szCs w:val="22"/>
          <w:lang w:val="es-ES_tradnl"/>
        </w:rPr>
        <w:tab/>
        <w:t>Propiedades farmacodinámicas</w:t>
      </w:r>
    </w:p>
    <w:p w14:paraId="311CCDE6" w14:textId="77777777" w:rsidR="00D061AA" w:rsidRPr="00C52C4C" w:rsidRDefault="00D061AA" w:rsidP="00D061AA">
      <w:pPr>
        <w:pStyle w:val="Textonotaalfinal"/>
        <w:rPr>
          <w:szCs w:val="22"/>
          <w:lang w:val="es-ES_tradnl"/>
        </w:rPr>
      </w:pPr>
    </w:p>
    <w:p w14:paraId="3913C9F2" w14:textId="46CFEBFF" w:rsidR="00D061AA" w:rsidRPr="00C52C4C" w:rsidRDefault="00D061AA" w:rsidP="00D061AA">
      <w:pPr>
        <w:tabs>
          <w:tab w:val="left" w:pos="567"/>
        </w:tabs>
        <w:rPr>
          <w:sz w:val="22"/>
          <w:szCs w:val="22"/>
          <w:lang w:val="es-ES_tradnl"/>
        </w:rPr>
      </w:pPr>
      <w:r w:rsidRPr="00C52C4C">
        <w:rPr>
          <w:sz w:val="22"/>
          <w:szCs w:val="22"/>
          <w:lang w:val="es-ES_tradnl"/>
        </w:rPr>
        <w:t>Grupo farmacoterapéutico: Antimicóticos de uso sistémico, derivados triazólicos</w:t>
      </w:r>
      <w:r w:rsidR="001C4D9E">
        <w:rPr>
          <w:sz w:val="22"/>
          <w:szCs w:val="22"/>
          <w:lang w:val="es-ES_tradnl"/>
        </w:rPr>
        <w:t xml:space="preserve"> y tetrazólicos</w:t>
      </w:r>
      <w:r w:rsidRPr="00C52C4C">
        <w:rPr>
          <w:sz w:val="22"/>
          <w:szCs w:val="22"/>
          <w:lang w:val="es-ES_tradnl"/>
        </w:rPr>
        <w:t>, ATC: J02A C03</w:t>
      </w:r>
    </w:p>
    <w:p w14:paraId="47371724" w14:textId="77777777" w:rsidR="00D061AA" w:rsidRPr="00C52C4C" w:rsidRDefault="00D061AA" w:rsidP="00D061AA">
      <w:pPr>
        <w:pStyle w:val="Textonotaalfinal"/>
        <w:rPr>
          <w:szCs w:val="22"/>
          <w:lang w:val="es-ES_tradnl"/>
        </w:rPr>
      </w:pPr>
    </w:p>
    <w:p w14:paraId="277F8BD5" w14:textId="77777777" w:rsidR="00D061AA" w:rsidRPr="00C52C4C" w:rsidRDefault="00D061AA" w:rsidP="00D061AA">
      <w:pPr>
        <w:tabs>
          <w:tab w:val="left" w:pos="567"/>
        </w:tabs>
        <w:rPr>
          <w:sz w:val="22"/>
          <w:szCs w:val="22"/>
          <w:u w:val="single"/>
          <w:lang w:val="es-ES_tradnl"/>
        </w:rPr>
      </w:pPr>
      <w:r w:rsidRPr="00C52C4C">
        <w:rPr>
          <w:sz w:val="22"/>
          <w:szCs w:val="22"/>
          <w:u w:val="single"/>
          <w:lang w:val="es-ES_tradnl"/>
        </w:rPr>
        <w:t>Mecanismo de acción</w:t>
      </w:r>
    </w:p>
    <w:p w14:paraId="6324365B" w14:textId="77777777" w:rsidR="00D061AA" w:rsidRPr="00C52C4C" w:rsidRDefault="00D061AA" w:rsidP="00D061AA">
      <w:pPr>
        <w:tabs>
          <w:tab w:val="left" w:pos="567"/>
        </w:tabs>
        <w:rPr>
          <w:sz w:val="22"/>
          <w:szCs w:val="22"/>
          <w:lang w:val="es-ES_tradnl"/>
        </w:rPr>
      </w:pPr>
      <w:r w:rsidRPr="00C52C4C">
        <w:rPr>
          <w:sz w:val="22"/>
          <w:szCs w:val="22"/>
          <w:lang w:val="es-ES_tradnl"/>
        </w:rPr>
        <w:t>Voriconazol es un agente antifúngico triazólico. El mecanismo de acción principal del voriconazol es la inhibición de la desmetilación del 14 alfa-lanosterol mediado por el citocromo P-450 fúngico, que constituye un paso esencial en la biosíntesis de ergosterol fúngico. La acumulación de 14 alfa-metil esteroles se correlaciona con la subsiguiente pérdida de ergosterol en la membrana celular fúngica y puede ser responsable de la actividad antifúngica de voriconazol. Voriconazol ha demostrado ser más selectivo para las enzimas del citocromo P-450 fúngico que para los sistemas enzimáticos del citocromo P-450 de varios mamíferos.</w:t>
      </w:r>
    </w:p>
    <w:p w14:paraId="7F4621F0" w14:textId="77777777" w:rsidR="00AC5BF4" w:rsidRPr="00C52C4C" w:rsidRDefault="00AC5BF4" w:rsidP="00D061AA">
      <w:pPr>
        <w:tabs>
          <w:tab w:val="left" w:pos="567"/>
        </w:tabs>
        <w:rPr>
          <w:sz w:val="22"/>
          <w:szCs w:val="22"/>
          <w:lang w:val="es-ES_tradnl"/>
        </w:rPr>
      </w:pPr>
    </w:p>
    <w:p w14:paraId="4090EF12" w14:textId="77777777" w:rsidR="00D061AA" w:rsidRPr="00C52C4C" w:rsidRDefault="00D061AA" w:rsidP="00D061AA">
      <w:pPr>
        <w:tabs>
          <w:tab w:val="left" w:pos="567"/>
        </w:tabs>
        <w:rPr>
          <w:sz w:val="22"/>
          <w:szCs w:val="22"/>
          <w:u w:val="single"/>
          <w:lang w:val="es-ES_tradnl"/>
        </w:rPr>
      </w:pPr>
      <w:r w:rsidRPr="00C52C4C">
        <w:rPr>
          <w:sz w:val="22"/>
          <w:szCs w:val="22"/>
          <w:u w:val="single"/>
          <w:lang w:val="es-ES_tradnl"/>
        </w:rPr>
        <w:t>Relación farmacocinética/farmacodinámica</w:t>
      </w:r>
    </w:p>
    <w:p w14:paraId="13305B2F" w14:textId="77777777" w:rsidR="00AC5BF4" w:rsidRPr="00C52C4C" w:rsidRDefault="00D061AA" w:rsidP="00D061AA">
      <w:pPr>
        <w:tabs>
          <w:tab w:val="left" w:pos="567"/>
        </w:tabs>
        <w:rPr>
          <w:sz w:val="22"/>
          <w:szCs w:val="22"/>
          <w:lang w:val="es-ES_tradnl"/>
        </w:rPr>
      </w:pPr>
      <w:r w:rsidRPr="00C52C4C">
        <w:rPr>
          <w:sz w:val="22"/>
          <w:szCs w:val="22"/>
          <w:lang w:val="es-ES_tradnl"/>
        </w:rPr>
        <w:t>En 10 ensayos terapéuticos, la mediana de las concentraciones plasmáticas media y máxima en cada</w:t>
      </w:r>
    </w:p>
    <w:p w14:paraId="4126E527"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sujeto en los ensayos fue de 2425 ng/ml (rango intercuartil </w:t>
      </w:r>
      <w:smartTag w:uri="urn:schemas-microsoft-com:office:smarttags" w:element="metricconverter">
        <w:smartTagPr>
          <w:attr w:name="ProductID" w:val="1193 a"/>
        </w:smartTagPr>
        <w:r w:rsidRPr="00C52C4C">
          <w:rPr>
            <w:sz w:val="22"/>
            <w:szCs w:val="22"/>
            <w:lang w:val="es-ES_tradnl"/>
          </w:rPr>
          <w:t>1193 a</w:t>
        </w:r>
      </w:smartTag>
      <w:r w:rsidRPr="00C52C4C">
        <w:rPr>
          <w:sz w:val="22"/>
          <w:szCs w:val="22"/>
          <w:lang w:val="es-ES_tradnl"/>
        </w:rPr>
        <w:t xml:space="preserve"> 4380 ng/ml) y 3742 ng/ml (rango intercuartil </w:t>
      </w:r>
      <w:smartTag w:uri="urn:schemas-microsoft-com:office:smarttags" w:element="metricconverter">
        <w:smartTagPr>
          <w:attr w:name="ProductID" w:val="2027 a"/>
        </w:smartTagPr>
        <w:r w:rsidRPr="00C52C4C">
          <w:rPr>
            <w:sz w:val="22"/>
            <w:szCs w:val="22"/>
            <w:lang w:val="es-ES_tradnl"/>
          </w:rPr>
          <w:t>2027 a</w:t>
        </w:r>
      </w:smartTag>
      <w:r w:rsidRPr="00C52C4C">
        <w:rPr>
          <w:sz w:val="22"/>
          <w:szCs w:val="22"/>
          <w:lang w:val="es-ES_tradnl"/>
        </w:rPr>
        <w:t xml:space="preserve"> 6302 ng/ml), respectivamente. </w:t>
      </w:r>
      <w:r w:rsidRPr="00C52C4C">
        <w:rPr>
          <w:caps/>
          <w:sz w:val="22"/>
          <w:szCs w:val="22"/>
          <w:lang w:val="es-ES_tradnl"/>
        </w:rPr>
        <w:t>e</w:t>
      </w:r>
      <w:r w:rsidRPr="00C52C4C">
        <w:rPr>
          <w:sz w:val="22"/>
          <w:szCs w:val="22"/>
          <w:lang w:val="es-ES_tradnl"/>
        </w:rPr>
        <w:t>n los ensayos terapéuticos no se encontró una asociación positiva entre las concentraciones plasmáticas media, máxima o mínima de voriconazol y la eficacia</w:t>
      </w:r>
      <w:r w:rsidR="000D76A2" w:rsidRPr="00C52C4C">
        <w:rPr>
          <w:sz w:val="22"/>
          <w:szCs w:val="22"/>
          <w:lang w:val="es-ES_tradnl"/>
        </w:rPr>
        <w:t xml:space="preserve"> de voriconazol y dicha relación no se ha estudiado en los ensayos de profilaxis</w:t>
      </w:r>
      <w:r w:rsidRPr="00C52C4C">
        <w:rPr>
          <w:sz w:val="22"/>
          <w:szCs w:val="22"/>
          <w:lang w:val="es-ES_tradnl"/>
        </w:rPr>
        <w:t>.</w:t>
      </w:r>
    </w:p>
    <w:p w14:paraId="0C31E329" w14:textId="77777777" w:rsidR="00D061AA" w:rsidRPr="00C52C4C" w:rsidRDefault="00D061AA" w:rsidP="00D061AA">
      <w:pPr>
        <w:tabs>
          <w:tab w:val="left" w:pos="567"/>
        </w:tabs>
        <w:rPr>
          <w:sz w:val="22"/>
          <w:szCs w:val="22"/>
          <w:lang w:val="es-ES_tradnl"/>
        </w:rPr>
      </w:pPr>
    </w:p>
    <w:p w14:paraId="70E45523" w14:textId="77777777" w:rsidR="00D061AA" w:rsidRPr="00C52C4C" w:rsidRDefault="00D061AA" w:rsidP="00D061AA">
      <w:pPr>
        <w:tabs>
          <w:tab w:val="left" w:pos="567"/>
        </w:tabs>
        <w:rPr>
          <w:sz w:val="22"/>
          <w:szCs w:val="22"/>
          <w:lang w:val="es-ES_tradnl"/>
        </w:rPr>
      </w:pPr>
      <w:r w:rsidRPr="00C52C4C">
        <w:rPr>
          <w:sz w:val="22"/>
          <w:szCs w:val="22"/>
          <w:lang w:val="es-ES_tradnl"/>
        </w:rPr>
        <w:t>Los análisis farmacocinéticos-farmacodinámicos de los datos de los ensayos clínicos identificaron asociaciones positivas entre las concentraciones plasmáticas de voriconazol y las alteraciones tanto de las pruebas de función hepática como de la visión.</w:t>
      </w:r>
      <w:r w:rsidR="000D76A2" w:rsidRPr="00C52C4C">
        <w:rPr>
          <w:sz w:val="22"/>
          <w:szCs w:val="22"/>
          <w:lang w:val="es-ES_tradnl"/>
        </w:rPr>
        <w:t xml:space="preserve"> No se han estudiado los ajustes de dosis en los ensayos de profilaxis.</w:t>
      </w:r>
    </w:p>
    <w:p w14:paraId="02A3173B" w14:textId="77777777" w:rsidR="00D061AA" w:rsidRPr="00C52C4C" w:rsidRDefault="00D061AA" w:rsidP="00D061AA">
      <w:pPr>
        <w:tabs>
          <w:tab w:val="left" w:pos="567"/>
        </w:tabs>
        <w:rPr>
          <w:sz w:val="22"/>
          <w:szCs w:val="22"/>
          <w:u w:val="single"/>
          <w:lang w:val="es-ES_tradnl"/>
        </w:rPr>
      </w:pPr>
    </w:p>
    <w:p w14:paraId="45BEDB1F" w14:textId="77777777" w:rsidR="00D061AA" w:rsidRPr="00C52C4C" w:rsidRDefault="00D061AA" w:rsidP="00D061AA">
      <w:pPr>
        <w:tabs>
          <w:tab w:val="left" w:pos="567"/>
        </w:tabs>
        <w:rPr>
          <w:sz w:val="22"/>
          <w:szCs w:val="22"/>
          <w:u w:val="single"/>
          <w:lang w:val="es-ES_tradnl"/>
        </w:rPr>
      </w:pPr>
      <w:r w:rsidRPr="00C52C4C">
        <w:rPr>
          <w:sz w:val="22"/>
          <w:szCs w:val="22"/>
          <w:u w:val="single"/>
          <w:lang w:val="es-ES_tradnl"/>
        </w:rPr>
        <w:t>Eficacia clínica y seguridad</w:t>
      </w:r>
    </w:p>
    <w:p w14:paraId="45E8FFF1"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Voriconazol muestra un amplio espectro de actividad </w:t>
      </w:r>
      <w:r w:rsidRPr="00C52C4C">
        <w:rPr>
          <w:i/>
          <w:sz w:val="22"/>
          <w:szCs w:val="22"/>
          <w:lang w:val="es-ES_tradnl"/>
        </w:rPr>
        <w:t>in vitro</w:t>
      </w:r>
      <w:r w:rsidRPr="00C52C4C">
        <w:rPr>
          <w:sz w:val="22"/>
          <w:szCs w:val="22"/>
          <w:lang w:val="es-ES_tradnl"/>
        </w:rPr>
        <w:t xml:space="preserve">, con actividad antifúngica frente a especies de </w:t>
      </w:r>
      <w:r w:rsidRPr="00C52C4C">
        <w:rPr>
          <w:i/>
          <w:sz w:val="22"/>
          <w:szCs w:val="22"/>
          <w:lang w:val="es-ES_tradnl"/>
        </w:rPr>
        <w:t>Candida</w:t>
      </w:r>
      <w:r w:rsidRPr="00C52C4C">
        <w:rPr>
          <w:sz w:val="22"/>
          <w:szCs w:val="22"/>
          <w:lang w:val="es-ES_tradnl"/>
        </w:rPr>
        <w:t xml:space="preserve"> (incluyendo </w:t>
      </w:r>
      <w:r w:rsidRPr="00C52C4C">
        <w:rPr>
          <w:i/>
          <w:sz w:val="22"/>
          <w:szCs w:val="22"/>
          <w:lang w:val="es-ES_tradnl"/>
        </w:rPr>
        <w:t>C. krusei</w:t>
      </w:r>
      <w:r w:rsidRPr="00C52C4C">
        <w:rPr>
          <w:sz w:val="22"/>
          <w:szCs w:val="22"/>
          <w:lang w:val="es-ES_tradnl"/>
        </w:rPr>
        <w:t xml:space="preserve"> resistente a fluconazol y cepas resistentes de </w:t>
      </w:r>
      <w:r w:rsidRPr="00C52C4C">
        <w:rPr>
          <w:i/>
          <w:sz w:val="22"/>
          <w:szCs w:val="22"/>
          <w:lang w:val="es-ES_tradnl"/>
        </w:rPr>
        <w:t>C. glabrata</w:t>
      </w:r>
      <w:r w:rsidRPr="00C52C4C">
        <w:rPr>
          <w:sz w:val="22"/>
          <w:szCs w:val="22"/>
          <w:lang w:val="es-ES_tradnl"/>
        </w:rPr>
        <w:t xml:space="preserve"> y </w:t>
      </w:r>
      <w:r w:rsidRPr="00C52C4C">
        <w:rPr>
          <w:i/>
          <w:sz w:val="22"/>
          <w:szCs w:val="22"/>
          <w:lang w:val="es-ES_tradnl"/>
        </w:rPr>
        <w:t>C. albicans</w:t>
      </w:r>
      <w:r w:rsidRPr="00C52C4C">
        <w:rPr>
          <w:sz w:val="22"/>
          <w:szCs w:val="22"/>
          <w:lang w:val="es-ES_tradnl"/>
        </w:rPr>
        <w:t xml:space="preserve">) y una actividad fungicida frente a todas las especies de </w:t>
      </w:r>
      <w:r w:rsidRPr="00C52C4C">
        <w:rPr>
          <w:i/>
          <w:sz w:val="22"/>
          <w:szCs w:val="22"/>
          <w:lang w:val="es-ES_tradnl"/>
        </w:rPr>
        <w:t xml:space="preserve">Aspergillus </w:t>
      </w:r>
      <w:r w:rsidRPr="00C52C4C">
        <w:rPr>
          <w:sz w:val="22"/>
          <w:szCs w:val="22"/>
          <w:lang w:val="es-ES_tradnl"/>
        </w:rPr>
        <w:t xml:space="preserve">estudiadas. Además, </w:t>
      </w:r>
      <w:r w:rsidRPr="00C52C4C">
        <w:rPr>
          <w:sz w:val="22"/>
          <w:szCs w:val="22"/>
          <w:lang w:val="es-ES_tradnl"/>
        </w:rPr>
        <w:lastRenderedPageBreak/>
        <w:t xml:space="preserve">voriconazol muestra actividad fungicida </w:t>
      </w:r>
      <w:r w:rsidRPr="00C52C4C">
        <w:rPr>
          <w:i/>
          <w:sz w:val="22"/>
          <w:szCs w:val="22"/>
          <w:lang w:val="es-ES_tradnl"/>
        </w:rPr>
        <w:t>in vitro</w:t>
      </w:r>
      <w:r w:rsidRPr="00C52C4C">
        <w:rPr>
          <w:sz w:val="22"/>
          <w:szCs w:val="22"/>
          <w:lang w:val="es-ES_tradnl"/>
        </w:rPr>
        <w:t xml:space="preserve"> frente a patógenos fúngicos emergentes, incluyendo </w:t>
      </w:r>
      <w:r w:rsidRPr="00C52C4C">
        <w:rPr>
          <w:i/>
          <w:sz w:val="22"/>
          <w:szCs w:val="22"/>
          <w:lang w:val="es-ES_tradnl"/>
        </w:rPr>
        <w:t xml:space="preserve">Scedosporium </w:t>
      </w:r>
      <w:r w:rsidRPr="00C52C4C">
        <w:rPr>
          <w:sz w:val="22"/>
          <w:szCs w:val="22"/>
          <w:lang w:val="es-ES_tradnl"/>
        </w:rPr>
        <w:t>o</w:t>
      </w:r>
      <w:r w:rsidRPr="00C52C4C">
        <w:rPr>
          <w:i/>
          <w:sz w:val="22"/>
          <w:szCs w:val="22"/>
          <w:lang w:val="es-ES_tradnl"/>
        </w:rPr>
        <w:t xml:space="preserve"> Fusarium </w:t>
      </w:r>
      <w:r w:rsidRPr="00C52C4C">
        <w:rPr>
          <w:sz w:val="22"/>
          <w:szCs w:val="22"/>
          <w:lang w:val="es-ES_tradnl"/>
        </w:rPr>
        <w:t xml:space="preserve">de sensibilidad limitada a los fármacos antifúngicos existentes. </w:t>
      </w:r>
    </w:p>
    <w:p w14:paraId="16AF9C91" w14:textId="77777777" w:rsidR="00D061AA" w:rsidRPr="00C52C4C" w:rsidRDefault="00D061AA" w:rsidP="00D061AA">
      <w:pPr>
        <w:tabs>
          <w:tab w:val="left" w:pos="567"/>
        </w:tabs>
        <w:rPr>
          <w:sz w:val="22"/>
          <w:szCs w:val="22"/>
          <w:lang w:val="es-ES_tradnl"/>
        </w:rPr>
      </w:pPr>
    </w:p>
    <w:p w14:paraId="6A161C3F" w14:textId="77777777" w:rsidR="00D061AA" w:rsidRPr="00C52C4C" w:rsidRDefault="00D061AA" w:rsidP="00D061AA">
      <w:pPr>
        <w:tabs>
          <w:tab w:val="left" w:pos="567"/>
        </w:tabs>
        <w:rPr>
          <w:sz w:val="22"/>
          <w:szCs w:val="22"/>
          <w:lang w:val="es-ES_tradnl"/>
        </w:rPr>
      </w:pPr>
      <w:r w:rsidRPr="00C52C4C">
        <w:rPr>
          <w:sz w:val="22"/>
          <w:szCs w:val="22"/>
          <w:lang w:val="es-ES_tradnl"/>
        </w:rPr>
        <w:t>Se ha demostrado eficacia clínica</w:t>
      </w:r>
      <w:r w:rsidR="000D76A2" w:rsidRPr="00C52C4C">
        <w:rPr>
          <w:sz w:val="22"/>
          <w:szCs w:val="22"/>
          <w:lang w:val="es-ES_tradnl"/>
        </w:rPr>
        <w:t>, definida como</w:t>
      </w:r>
      <w:r w:rsidRPr="00C52C4C">
        <w:rPr>
          <w:sz w:val="22"/>
          <w:szCs w:val="22"/>
          <w:lang w:val="es-ES_tradnl"/>
        </w:rPr>
        <w:t xml:space="preserve"> respuesta parcial o completa,frente a </w:t>
      </w:r>
      <w:r w:rsidRPr="00C52C4C">
        <w:rPr>
          <w:i/>
          <w:sz w:val="22"/>
          <w:szCs w:val="22"/>
          <w:lang w:val="es-ES_tradnl"/>
        </w:rPr>
        <w:t>Aspergillus</w:t>
      </w:r>
      <w:r w:rsidRPr="00C52C4C">
        <w:rPr>
          <w:sz w:val="22"/>
          <w:szCs w:val="22"/>
          <w:lang w:val="es-ES_tradnl"/>
        </w:rPr>
        <w:t xml:space="preserve"> spp., incluyendo</w:t>
      </w:r>
      <w:r w:rsidRPr="00C52C4C">
        <w:rPr>
          <w:i/>
          <w:sz w:val="22"/>
          <w:szCs w:val="22"/>
          <w:lang w:val="es-ES_tradnl"/>
        </w:rPr>
        <w:t xml:space="preserve"> A. flavus, A. fumigatus, A. terreus, A. niger, A. nidulans; Candida </w:t>
      </w:r>
      <w:r w:rsidRPr="00C52C4C">
        <w:rPr>
          <w:sz w:val="22"/>
          <w:szCs w:val="22"/>
          <w:lang w:val="es-ES_tradnl"/>
        </w:rPr>
        <w:t>spp.</w:t>
      </w:r>
      <w:r w:rsidRPr="00C52C4C">
        <w:rPr>
          <w:i/>
          <w:sz w:val="22"/>
          <w:szCs w:val="22"/>
          <w:lang w:val="es-ES_tradnl"/>
        </w:rPr>
        <w:t xml:space="preserve">, </w:t>
      </w:r>
      <w:r w:rsidRPr="00C52C4C">
        <w:rPr>
          <w:sz w:val="22"/>
          <w:szCs w:val="22"/>
          <w:lang w:val="es-ES_tradnl"/>
        </w:rPr>
        <w:t>incluyendo</w:t>
      </w:r>
      <w:r w:rsidRPr="00C52C4C">
        <w:rPr>
          <w:i/>
          <w:sz w:val="22"/>
          <w:szCs w:val="22"/>
          <w:lang w:val="es-ES_tradnl"/>
        </w:rPr>
        <w:t xml:space="preserve"> C. albicans, C. glabrata, C. Krusei, C.parapsilosis y C. tropicalis  </w:t>
      </w:r>
      <w:r w:rsidRPr="00C52C4C">
        <w:rPr>
          <w:sz w:val="22"/>
          <w:szCs w:val="22"/>
          <w:lang w:val="es-ES_tradnl"/>
        </w:rPr>
        <w:t xml:space="preserve">y frente a un número limitado de </w:t>
      </w:r>
      <w:r w:rsidRPr="00C52C4C">
        <w:rPr>
          <w:i/>
          <w:sz w:val="22"/>
          <w:szCs w:val="22"/>
          <w:lang w:val="es-ES_tradnl"/>
        </w:rPr>
        <w:t xml:space="preserve">C. dubliniensis, C. inconspicua, </w:t>
      </w:r>
      <w:r w:rsidRPr="00C52C4C">
        <w:rPr>
          <w:sz w:val="22"/>
          <w:szCs w:val="22"/>
          <w:lang w:val="es-ES_tradnl"/>
        </w:rPr>
        <w:t>y</w:t>
      </w:r>
      <w:r w:rsidRPr="00C52C4C">
        <w:rPr>
          <w:i/>
          <w:sz w:val="22"/>
          <w:szCs w:val="22"/>
          <w:lang w:val="es-ES_tradnl"/>
        </w:rPr>
        <w:t xml:space="preserve"> C. guilliermondii; Scedosporium</w:t>
      </w:r>
      <w:r w:rsidRPr="00C52C4C">
        <w:rPr>
          <w:sz w:val="22"/>
          <w:szCs w:val="22"/>
          <w:lang w:val="es-ES_tradnl"/>
        </w:rPr>
        <w:t xml:space="preserve"> spp., incluyendo</w:t>
      </w:r>
      <w:r w:rsidRPr="00C52C4C">
        <w:rPr>
          <w:i/>
          <w:sz w:val="22"/>
          <w:szCs w:val="22"/>
          <w:lang w:val="es-ES_tradnl"/>
        </w:rPr>
        <w:t xml:space="preserve"> S. apiospermum, S. prolificans </w:t>
      </w:r>
      <w:r w:rsidRPr="00C52C4C">
        <w:rPr>
          <w:sz w:val="22"/>
          <w:szCs w:val="22"/>
          <w:lang w:val="es-ES_tradnl"/>
        </w:rPr>
        <w:t>y</w:t>
      </w:r>
      <w:r w:rsidRPr="00C52C4C">
        <w:rPr>
          <w:i/>
          <w:sz w:val="22"/>
          <w:szCs w:val="22"/>
          <w:lang w:val="es-ES_tradnl"/>
        </w:rPr>
        <w:t xml:space="preserve"> Fusarium</w:t>
      </w:r>
      <w:r w:rsidRPr="00C52C4C">
        <w:rPr>
          <w:sz w:val="22"/>
          <w:szCs w:val="22"/>
          <w:lang w:val="es-ES_tradnl"/>
        </w:rPr>
        <w:t xml:space="preserve"> spp. </w:t>
      </w:r>
    </w:p>
    <w:p w14:paraId="6D469837" w14:textId="77777777" w:rsidR="00D061AA" w:rsidRPr="00C52C4C" w:rsidRDefault="00D061AA" w:rsidP="00D061AA">
      <w:pPr>
        <w:tabs>
          <w:tab w:val="left" w:pos="567"/>
        </w:tabs>
        <w:rPr>
          <w:sz w:val="22"/>
          <w:szCs w:val="22"/>
          <w:lang w:val="es-ES_tradnl"/>
        </w:rPr>
      </w:pPr>
    </w:p>
    <w:p w14:paraId="484A756F" w14:textId="77777777" w:rsidR="00D061AA" w:rsidRPr="00C52C4C" w:rsidRDefault="00D061AA" w:rsidP="00D061AA">
      <w:pPr>
        <w:tabs>
          <w:tab w:val="left" w:pos="567"/>
        </w:tabs>
        <w:rPr>
          <w:i/>
          <w:sz w:val="22"/>
          <w:szCs w:val="22"/>
          <w:lang w:val="es-ES_tradnl"/>
        </w:rPr>
      </w:pPr>
      <w:r w:rsidRPr="00C52C4C">
        <w:rPr>
          <w:sz w:val="22"/>
          <w:szCs w:val="22"/>
          <w:lang w:val="es-ES_tradnl"/>
        </w:rPr>
        <w:t>Otras infecciones micóticas tratadas (</w:t>
      </w:r>
      <w:r w:rsidR="000D76A2" w:rsidRPr="00C52C4C">
        <w:rPr>
          <w:sz w:val="22"/>
          <w:szCs w:val="22"/>
          <w:lang w:val="es-ES_tradnl"/>
        </w:rPr>
        <w:t xml:space="preserve">a menudo, </w:t>
      </w:r>
      <w:r w:rsidRPr="00C52C4C">
        <w:rPr>
          <w:sz w:val="22"/>
          <w:szCs w:val="22"/>
          <w:lang w:val="es-ES_tradnl"/>
        </w:rPr>
        <w:t xml:space="preserve">con respuesta parcial o completa) incluyeron casos aislados producidos por </w:t>
      </w:r>
      <w:r w:rsidRPr="00C52C4C">
        <w:rPr>
          <w:i/>
          <w:sz w:val="22"/>
          <w:szCs w:val="22"/>
          <w:lang w:val="es-ES_tradnl"/>
        </w:rPr>
        <w:t xml:space="preserve">Alternaria </w:t>
      </w:r>
      <w:r w:rsidRPr="00C52C4C">
        <w:rPr>
          <w:sz w:val="22"/>
          <w:szCs w:val="22"/>
          <w:lang w:val="es-ES_tradnl"/>
        </w:rPr>
        <w:t xml:space="preserve">spp., </w:t>
      </w:r>
      <w:r w:rsidRPr="00C52C4C">
        <w:rPr>
          <w:i/>
          <w:sz w:val="22"/>
          <w:szCs w:val="22"/>
          <w:lang w:val="es-ES_tradnl"/>
        </w:rPr>
        <w:t>Blastomyces dermatitidis,</w:t>
      </w:r>
      <w:r w:rsidRPr="00C52C4C">
        <w:rPr>
          <w:sz w:val="22"/>
          <w:szCs w:val="22"/>
          <w:lang w:val="es-ES_tradnl"/>
        </w:rPr>
        <w:t xml:space="preserve"> </w:t>
      </w:r>
      <w:r w:rsidRPr="00C52C4C">
        <w:rPr>
          <w:i/>
          <w:sz w:val="22"/>
          <w:szCs w:val="22"/>
          <w:lang w:val="es-ES_tradnl"/>
        </w:rPr>
        <w:t xml:space="preserve">Blastoschizomyces capitatus, Cladosporium </w:t>
      </w:r>
      <w:r w:rsidRPr="00C52C4C">
        <w:rPr>
          <w:sz w:val="22"/>
          <w:szCs w:val="22"/>
          <w:lang w:val="es-ES_tradnl"/>
        </w:rPr>
        <w:t>spp.</w:t>
      </w:r>
      <w:r w:rsidRPr="00C52C4C">
        <w:rPr>
          <w:i/>
          <w:sz w:val="22"/>
          <w:szCs w:val="22"/>
          <w:lang w:val="es-ES_tradnl"/>
        </w:rPr>
        <w:t xml:space="preserve">, Coccidioides immitis, Conidiobolus coronatus, Cryptococcus neoformans, Exserohilum rostratum, Exophiala spinifera, Fonsecaea pedrosoi, Madurella mycetomatis, Paecilomyces lilacinus, Penicillium spp. </w:t>
      </w:r>
      <w:r w:rsidRPr="00C52C4C">
        <w:rPr>
          <w:sz w:val="22"/>
          <w:szCs w:val="22"/>
          <w:lang w:val="es-ES_tradnl"/>
        </w:rPr>
        <w:t xml:space="preserve">incluyendo </w:t>
      </w:r>
      <w:r w:rsidRPr="00C52C4C">
        <w:rPr>
          <w:i/>
          <w:sz w:val="22"/>
          <w:szCs w:val="22"/>
          <w:lang w:val="es-ES_tradnl"/>
        </w:rPr>
        <w:t xml:space="preserve">P. marneffei, Phialophora richardsiae, Scopulariopsis brevicaulis y Trichosporon </w:t>
      </w:r>
      <w:r w:rsidRPr="00C52C4C">
        <w:rPr>
          <w:sz w:val="22"/>
          <w:szCs w:val="22"/>
          <w:lang w:val="es-ES_tradnl"/>
        </w:rPr>
        <w:t>spp.,</w:t>
      </w:r>
      <w:r w:rsidRPr="00C52C4C">
        <w:rPr>
          <w:i/>
          <w:sz w:val="22"/>
          <w:szCs w:val="22"/>
          <w:lang w:val="es-ES_tradnl"/>
        </w:rPr>
        <w:t xml:space="preserve"> </w:t>
      </w:r>
      <w:r w:rsidRPr="00C52C4C">
        <w:rPr>
          <w:sz w:val="22"/>
          <w:szCs w:val="22"/>
          <w:lang w:val="es-ES_tradnl"/>
        </w:rPr>
        <w:t>incluyendo infecciones por</w:t>
      </w:r>
      <w:r w:rsidRPr="00C52C4C">
        <w:rPr>
          <w:i/>
          <w:sz w:val="22"/>
          <w:szCs w:val="22"/>
          <w:lang w:val="es-ES_tradnl"/>
        </w:rPr>
        <w:t xml:space="preserve"> T. beigelii</w:t>
      </w:r>
      <w:r w:rsidRPr="00C52C4C">
        <w:rPr>
          <w:sz w:val="22"/>
          <w:szCs w:val="22"/>
          <w:lang w:val="es-ES_tradnl"/>
        </w:rPr>
        <w:t>.</w:t>
      </w:r>
    </w:p>
    <w:p w14:paraId="6B87FC1D" w14:textId="77777777" w:rsidR="00D061AA" w:rsidRPr="00C52C4C" w:rsidRDefault="00D061AA" w:rsidP="00D061AA">
      <w:pPr>
        <w:tabs>
          <w:tab w:val="left" w:pos="567"/>
        </w:tabs>
        <w:rPr>
          <w:sz w:val="22"/>
          <w:szCs w:val="22"/>
          <w:lang w:val="es-ES_tradnl"/>
        </w:rPr>
      </w:pPr>
    </w:p>
    <w:p w14:paraId="5ADFC7BD"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Se ha observado actividad </w:t>
      </w:r>
      <w:r w:rsidRPr="00C52C4C">
        <w:rPr>
          <w:i/>
          <w:sz w:val="22"/>
          <w:szCs w:val="22"/>
          <w:lang w:val="es-ES_tradnl"/>
        </w:rPr>
        <w:t>in vitro</w:t>
      </w:r>
      <w:r w:rsidRPr="00C52C4C">
        <w:rPr>
          <w:sz w:val="22"/>
          <w:szCs w:val="22"/>
          <w:lang w:val="es-ES_tradnl"/>
        </w:rPr>
        <w:t xml:space="preserve"> frente a aislados clínicos de </w:t>
      </w:r>
      <w:r w:rsidRPr="00C52C4C">
        <w:rPr>
          <w:i/>
          <w:sz w:val="22"/>
          <w:szCs w:val="22"/>
          <w:lang w:val="es-ES_tradnl"/>
        </w:rPr>
        <w:t xml:space="preserve">Acremonium </w:t>
      </w:r>
      <w:r w:rsidRPr="00C52C4C">
        <w:rPr>
          <w:sz w:val="22"/>
          <w:szCs w:val="22"/>
          <w:lang w:val="es-ES_tradnl"/>
        </w:rPr>
        <w:t xml:space="preserve">spp., </w:t>
      </w:r>
      <w:r w:rsidRPr="00C52C4C">
        <w:rPr>
          <w:i/>
          <w:sz w:val="22"/>
          <w:szCs w:val="22"/>
          <w:lang w:val="es-ES_tradnl"/>
        </w:rPr>
        <w:t>Alternaria</w:t>
      </w:r>
      <w:r w:rsidRPr="00C52C4C">
        <w:rPr>
          <w:sz w:val="22"/>
          <w:szCs w:val="22"/>
          <w:lang w:val="es-ES_tradnl"/>
        </w:rPr>
        <w:t xml:space="preserve"> spp., </w:t>
      </w:r>
      <w:r w:rsidRPr="00C52C4C">
        <w:rPr>
          <w:i/>
          <w:sz w:val="22"/>
          <w:szCs w:val="22"/>
          <w:lang w:val="es-ES_tradnl"/>
        </w:rPr>
        <w:t>Bipolaris</w:t>
      </w:r>
      <w:r w:rsidRPr="00C52C4C">
        <w:rPr>
          <w:sz w:val="22"/>
          <w:szCs w:val="22"/>
          <w:lang w:val="es-ES_tradnl"/>
        </w:rPr>
        <w:t xml:space="preserve"> spp., </w:t>
      </w:r>
      <w:r w:rsidRPr="00C52C4C">
        <w:rPr>
          <w:i/>
          <w:sz w:val="22"/>
          <w:szCs w:val="22"/>
          <w:lang w:val="es-ES_tradnl"/>
        </w:rPr>
        <w:t>Cladophialophora</w:t>
      </w:r>
      <w:r w:rsidRPr="00C52C4C">
        <w:rPr>
          <w:sz w:val="22"/>
          <w:szCs w:val="22"/>
          <w:lang w:val="es-ES_tradnl"/>
        </w:rPr>
        <w:t xml:space="preserve"> spp., </w:t>
      </w:r>
      <w:r w:rsidR="002C3804" w:rsidRPr="00C52C4C">
        <w:rPr>
          <w:sz w:val="22"/>
          <w:szCs w:val="22"/>
          <w:lang w:val="es-ES_tradnl"/>
        </w:rPr>
        <w:t xml:space="preserve">e </w:t>
      </w:r>
      <w:r w:rsidRPr="00C52C4C">
        <w:rPr>
          <w:i/>
          <w:sz w:val="22"/>
          <w:szCs w:val="22"/>
          <w:lang w:val="es-ES_tradnl"/>
        </w:rPr>
        <w:t>Histoplasma capsulatum</w:t>
      </w:r>
      <w:r w:rsidRPr="00C52C4C">
        <w:rPr>
          <w:sz w:val="22"/>
          <w:szCs w:val="22"/>
          <w:lang w:val="es-ES_tradnl"/>
        </w:rPr>
        <w:t>, siendo inhibidas la mayoría de las cepas por concentraciones de voriconazol entre 0,05 y 2 μg/ml.</w:t>
      </w:r>
    </w:p>
    <w:p w14:paraId="55FE8A61" w14:textId="77777777" w:rsidR="00D061AA" w:rsidRPr="00C52C4C" w:rsidRDefault="00D061AA" w:rsidP="00D061AA">
      <w:pPr>
        <w:tabs>
          <w:tab w:val="left" w:pos="567"/>
        </w:tabs>
        <w:rPr>
          <w:i/>
          <w:sz w:val="22"/>
          <w:szCs w:val="22"/>
          <w:lang w:val="es-ES_tradnl"/>
        </w:rPr>
      </w:pPr>
    </w:p>
    <w:p w14:paraId="210F9A95"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Se ha demostrado actividad </w:t>
      </w:r>
      <w:r w:rsidRPr="00C52C4C">
        <w:rPr>
          <w:i/>
          <w:sz w:val="22"/>
          <w:szCs w:val="22"/>
          <w:lang w:val="es-ES_tradnl"/>
        </w:rPr>
        <w:t xml:space="preserve">in vitro </w:t>
      </w:r>
      <w:r w:rsidRPr="00C52C4C">
        <w:rPr>
          <w:sz w:val="22"/>
          <w:szCs w:val="22"/>
          <w:lang w:val="es-ES_tradnl"/>
        </w:rPr>
        <w:t xml:space="preserve">frente a los patógenos siguientes, si bien se desconoce el significado clínico: </w:t>
      </w:r>
      <w:r w:rsidRPr="00C52C4C">
        <w:rPr>
          <w:i/>
          <w:sz w:val="22"/>
          <w:szCs w:val="22"/>
          <w:lang w:val="es-ES_tradnl"/>
        </w:rPr>
        <w:t>Curvularia</w:t>
      </w:r>
      <w:r w:rsidRPr="00C52C4C">
        <w:rPr>
          <w:sz w:val="22"/>
          <w:szCs w:val="22"/>
          <w:lang w:val="es-ES_tradnl"/>
        </w:rPr>
        <w:t xml:space="preserve"> spp.y</w:t>
      </w:r>
      <w:r w:rsidRPr="00C52C4C">
        <w:rPr>
          <w:i/>
          <w:sz w:val="22"/>
          <w:szCs w:val="22"/>
          <w:lang w:val="es-ES_tradnl"/>
        </w:rPr>
        <w:t xml:space="preserve"> Sporothrix</w:t>
      </w:r>
      <w:r w:rsidRPr="00C52C4C">
        <w:rPr>
          <w:sz w:val="22"/>
          <w:szCs w:val="22"/>
          <w:lang w:val="es-ES_tradnl"/>
        </w:rPr>
        <w:t xml:space="preserve"> spp.</w:t>
      </w:r>
    </w:p>
    <w:p w14:paraId="6EAA1CD2" w14:textId="77777777" w:rsidR="00D061AA" w:rsidRPr="00C52C4C" w:rsidRDefault="00D061AA" w:rsidP="00D061AA">
      <w:pPr>
        <w:tabs>
          <w:tab w:val="left" w:pos="567"/>
        </w:tabs>
        <w:rPr>
          <w:snapToGrid w:val="0"/>
          <w:sz w:val="22"/>
          <w:szCs w:val="22"/>
          <w:u w:val="single"/>
          <w:lang w:val="es-ES_tradnl"/>
        </w:rPr>
      </w:pPr>
    </w:p>
    <w:p w14:paraId="0F208433" w14:textId="77777777" w:rsidR="00D061AA" w:rsidRPr="00C52C4C" w:rsidRDefault="00D061AA" w:rsidP="00D061AA">
      <w:pPr>
        <w:tabs>
          <w:tab w:val="left" w:pos="567"/>
        </w:tabs>
        <w:rPr>
          <w:snapToGrid w:val="0"/>
          <w:sz w:val="22"/>
          <w:szCs w:val="22"/>
          <w:u w:val="single"/>
          <w:lang w:val="es-ES_tradnl"/>
        </w:rPr>
      </w:pPr>
      <w:r w:rsidRPr="00C52C4C">
        <w:rPr>
          <w:snapToGrid w:val="0"/>
          <w:sz w:val="22"/>
          <w:szCs w:val="22"/>
          <w:u w:val="single"/>
          <w:lang w:val="es-ES_tradnl"/>
        </w:rPr>
        <w:t>Puntos de corte</w:t>
      </w:r>
    </w:p>
    <w:p w14:paraId="6D7C5F2F" w14:textId="77777777" w:rsidR="00D061AA" w:rsidRPr="00C52C4C" w:rsidRDefault="00D061AA" w:rsidP="00D061AA">
      <w:pPr>
        <w:tabs>
          <w:tab w:val="left" w:pos="567"/>
        </w:tabs>
        <w:rPr>
          <w:snapToGrid w:val="0"/>
          <w:sz w:val="22"/>
          <w:szCs w:val="22"/>
          <w:lang w:val="es-ES_tradnl"/>
        </w:rPr>
      </w:pPr>
    </w:p>
    <w:p w14:paraId="575C72ED" w14:textId="77777777" w:rsidR="00D061AA" w:rsidRPr="00C52C4C" w:rsidRDefault="00D061AA" w:rsidP="00D061AA">
      <w:pPr>
        <w:tabs>
          <w:tab w:val="left" w:pos="567"/>
        </w:tabs>
        <w:rPr>
          <w:snapToGrid w:val="0"/>
          <w:sz w:val="22"/>
          <w:szCs w:val="22"/>
          <w:lang w:val="es-ES_tradnl"/>
        </w:rPr>
      </w:pPr>
      <w:r w:rsidRPr="00C52C4C">
        <w:rPr>
          <w:snapToGrid w:val="0"/>
          <w:sz w:val="22"/>
          <w:szCs w:val="22"/>
          <w:lang w:val="es-ES_tradnl"/>
        </w:rPr>
        <w:t>Deben obtenerse muestras para cultivo de hongos y otros estudios de laboratorio relevantes (serología, histopatología) antes de comenzar el tratamiento con el fin de aislar e identificar el microorganismo causal. Puede instaurarse el tratamiento antes de disponer del resultado de los cultivos y de los otros estudios de laboratorio pero, una vez que se disponga de estos resultados, el tratamiento antiinfeccioso debe ajustarse de acuerdo con ellos.</w:t>
      </w:r>
    </w:p>
    <w:p w14:paraId="10B1DAD2" w14:textId="77777777" w:rsidR="00D061AA" w:rsidRPr="00C52C4C" w:rsidRDefault="00D061AA" w:rsidP="00D061AA">
      <w:pPr>
        <w:tabs>
          <w:tab w:val="left" w:pos="567"/>
        </w:tabs>
        <w:rPr>
          <w:sz w:val="22"/>
          <w:szCs w:val="22"/>
          <w:lang w:val="es-ES_tradnl"/>
        </w:rPr>
      </w:pPr>
    </w:p>
    <w:p w14:paraId="12247346" w14:textId="69544A4D" w:rsidR="00D061AA" w:rsidRPr="00C52C4C" w:rsidRDefault="00D061AA" w:rsidP="00D061AA">
      <w:pPr>
        <w:pStyle w:val="Paragraph"/>
        <w:rPr>
          <w:sz w:val="22"/>
          <w:szCs w:val="22"/>
          <w:lang w:val="es-ES_tradnl"/>
        </w:rPr>
      </w:pPr>
      <w:r w:rsidRPr="00C52C4C">
        <w:rPr>
          <w:sz w:val="22"/>
          <w:szCs w:val="22"/>
          <w:lang w:val="es-ES_tradnl"/>
        </w:rPr>
        <w:t xml:space="preserve">Las especies que están implicadas más frecuentemente en infecciones humanas incluyen </w:t>
      </w:r>
      <w:r w:rsidRPr="00C52C4C">
        <w:rPr>
          <w:i/>
          <w:sz w:val="22"/>
          <w:szCs w:val="22"/>
          <w:lang w:val="es-ES_tradnl"/>
        </w:rPr>
        <w:t xml:space="preserve">C. albicans, C. parapsilosis, C. tropicalis, C. glabrata </w:t>
      </w:r>
      <w:r w:rsidR="00356EE5">
        <w:rPr>
          <w:sz w:val="22"/>
          <w:szCs w:val="22"/>
          <w:lang w:val="es-ES_tradnl"/>
        </w:rPr>
        <w:t>y</w:t>
      </w:r>
      <w:r w:rsidR="00356EE5" w:rsidRPr="00C52C4C">
        <w:rPr>
          <w:i/>
          <w:sz w:val="22"/>
          <w:szCs w:val="22"/>
          <w:lang w:val="es-ES_tradnl"/>
        </w:rPr>
        <w:t xml:space="preserve"> </w:t>
      </w:r>
      <w:r w:rsidRPr="00C52C4C">
        <w:rPr>
          <w:i/>
          <w:sz w:val="22"/>
          <w:szCs w:val="22"/>
          <w:lang w:val="es-ES_tradnl"/>
        </w:rPr>
        <w:t>C. krusei</w:t>
      </w:r>
      <w:r w:rsidRPr="00C52C4C">
        <w:rPr>
          <w:sz w:val="22"/>
          <w:szCs w:val="22"/>
          <w:lang w:val="es-ES_tradnl"/>
        </w:rPr>
        <w:t xml:space="preserve">, todas ellas especies que normalmente muestran </w:t>
      </w:r>
      <w:r w:rsidR="00A92BB8" w:rsidRPr="00C52C4C">
        <w:rPr>
          <w:sz w:val="22"/>
          <w:szCs w:val="22"/>
          <w:lang w:val="es-ES_tradnl"/>
        </w:rPr>
        <w:t>concentraciones mínimas inhibidoras (</w:t>
      </w:r>
      <w:r w:rsidRPr="00C52C4C">
        <w:rPr>
          <w:sz w:val="22"/>
          <w:szCs w:val="22"/>
          <w:lang w:val="es-ES_tradnl"/>
        </w:rPr>
        <w:t>CMI</w:t>
      </w:r>
      <w:r w:rsidR="00A92BB8" w:rsidRPr="00C52C4C">
        <w:rPr>
          <w:sz w:val="22"/>
          <w:szCs w:val="22"/>
          <w:lang w:val="es-ES_tradnl"/>
        </w:rPr>
        <w:t>s)</w:t>
      </w:r>
      <w:r w:rsidRPr="00C52C4C">
        <w:rPr>
          <w:sz w:val="22"/>
          <w:szCs w:val="22"/>
          <w:lang w:val="es-ES_tradnl"/>
        </w:rPr>
        <w:t xml:space="preserve"> menores de 1 mg/L para voriconazol.  </w:t>
      </w:r>
    </w:p>
    <w:p w14:paraId="1B66F4C3" w14:textId="77777777" w:rsidR="00D061AA" w:rsidRDefault="00D061AA" w:rsidP="00D061AA">
      <w:pPr>
        <w:pStyle w:val="Paragraph"/>
        <w:rPr>
          <w:sz w:val="22"/>
          <w:szCs w:val="22"/>
          <w:lang w:val="es-ES"/>
        </w:rPr>
      </w:pPr>
      <w:r w:rsidRPr="00C52C4C">
        <w:rPr>
          <w:sz w:val="22"/>
          <w:szCs w:val="22"/>
          <w:lang w:val="es-ES"/>
        </w:rPr>
        <w:t xml:space="preserve">Sin embargo, la actividad </w:t>
      </w:r>
      <w:r w:rsidRPr="00C52C4C">
        <w:rPr>
          <w:i/>
          <w:sz w:val="22"/>
          <w:szCs w:val="22"/>
          <w:lang w:val="es-ES"/>
        </w:rPr>
        <w:t>in vitro</w:t>
      </w:r>
      <w:r w:rsidRPr="00C52C4C">
        <w:rPr>
          <w:sz w:val="22"/>
          <w:szCs w:val="22"/>
          <w:lang w:val="es-ES"/>
        </w:rPr>
        <w:t xml:space="preserve"> de voriconazol frente a especies de </w:t>
      </w:r>
      <w:r w:rsidRPr="00C52C4C">
        <w:rPr>
          <w:i/>
          <w:sz w:val="22"/>
          <w:szCs w:val="22"/>
          <w:lang w:val="es-ES"/>
        </w:rPr>
        <w:t xml:space="preserve">Candida </w:t>
      </w:r>
      <w:r w:rsidRPr="00C52C4C">
        <w:rPr>
          <w:sz w:val="22"/>
          <w:szCs w:val="22"/>
          <w:lang w:val="es-ES"/>
        </w:rPr>
        <w:t xml:space="preserve">no es uniforme. Específicamente, para </w:t>
      </w:r>
      <w:r w:rsidRPr="00C52C4C">
        <w:rPr>
          <w:i/>
          <w:sz w:val="22"/>
          <w:szCs w:val="22"/>
          <w:lang w:val="es-ES"/>
        </w:rPr>
        <w:t xml:space="preserve">C. glabrata, </w:t>
      </w:r>
      <w:r w:rsidRPr="00C52C4C">
        <w:rPr>
          <w:sz w:val="22"/>
          <w:szCs w:val="22"/>
          <w:lang w:val="es-ES"/>
        </w:rPr>
        <w:t xml:space="preserve">las CMIs de voriconazol para aislados resistentes a fluconazol son proporcionalmente más altas que las correspondientes a las de aislados sensibles a fluconazol. Por tanto, se deben realizar todos los esfuerzos posibles para identificar la especie de </w:t>
      </w:r>
      <w:r w:rsidRPr="00C52C4C">
        <w:rPr>
          <w:i/>
          <w:sz w:val="22"/>
          <w:szCs w:val="22"/>
          <w:lang w:val="es-ES"/>
        </w:rPr>
        <w:t>Candida</w:t>
      </w:r>
      <w:r w:rsidRPr="00C52C4C">
        <w:rPr>
          <w:sz w:val="22"/>
          <w:szCs w:val="22"/>
          <w:lang w:val="es-ES"/>
        </w:rPr>
        <w:t xml:space="preserve">. Si se dispone del test de sensibilidad antifúngico, </w:t>
      </w:r>
      <w:smartTag w:uri="urn:schemas-microsoft-com:office:smarttags" w:element="PersonName">
        <w:smartTagPr>
          <w:attr w:name="ProductID" w:val="la CMI"/>
        </w:smartTagPr>
        <w:r w:rsidRPr="00C52C4C">
          <w:rPr>
            <w:sz w:val="22"/>
            <w:szCs w:val="22"/>
            <w:lang w:val="es-ES"/>
          </w:rPr>
          <w:t>la CMI</w:t>
        </w:r>
      </w:smartTag>
      <w:r w:rsidRPr="00C52C4C">
        <w:rPr>
          <w:sz w:val="22"/>
          <w:szCs w:val="22"/>
          <w:lang w:val="es-ES"/>
        </w:rPr>
        <w:t xml:space="preserve"> resultante debe interpretarse utilizando los criterios de los puntos de corte establecidos por el Comité Europeo de Ensayos de Susceptibilidad a Antimicrobianos (EUCAST).</w:t>
      </w:r>
    </w:p>
    <w:p w14:paraId="3CE7058F" w14:textId="77777777" w:rsidR="00544486" w:rsidRPr="002869DC" w:rsidRDefault="00544486" w:rsidP="00544486">
      <w:pPr>
        <w:pStyle w:val="Paragraph"/>
        <w:rPr>
          <w:sz w:val="22"/>
          <w:szCs w:val="22"/>
          <w:u w:val="single"/>
          <w:lang w:val="es-ES"/>
        </w:rPr>
      </w:pPr>
      <w:r w:rsidRPr="002869DC">
        <w:rPr>
          <w:sz w:val="22"/>
          <w:szCs w:val="22"/>
          <w:u w:val="single"/>
          <w:lang w:val="es-ES"/>
        </w:rPr>
        <w:t xml:space="preserve">Valores críticos de las pruebas de sensibilidad </w:t>
      </w:r>
    </w:p>
    <w:p w14:paraId="3E687D15" w14:textId="74A1CA01" w:rsidR="00742390" w:rsidRPr="00C52C4C" w:rsidRDefault="00544486" w:rsidP="00544486">
      <w:pPr>
        <w:pStyle w:val="Paragraph"/>
        <w:rPr>
          <w:sz w:val="22"/>
          <w:szCs w:val="22"/>
          <w:lang w:val="es-ES"/>
        </w:rPr>
      </w:pPr>
      <w:r w:rsidRPr="00544486">
        <w:rPr>
          <w:sz w:val="22"/>
          <w:szCs w:val="22"/>
          <w:lang w:val="es-ES"/>
        </w:rPr>
        <w:t xml:space="preserve">Los criterios interpretativos de la CMI (concentración mínima inhibitoria) para las pruebas de sensibilidad han sido establecidos por el Comité Antibiogramas (EUCAST) para </w:t>
      </w:r>
      <w:ins w:id="1" w:author="MAH Review_LL" w:date="2025-07-11T11:23:00Z" w16du:dateUtc="2025-07-11T09:23:00Z">
        <w:r w:rsidR="00742390">
          <w:rPr>
            <w:sz w:val="22"/>
            <w:szCs w:val="22"/>
            <w:lang w:val="es-ES"/>
          </w:rPr>
          <w:t>voriconazol</w:t>
        </w:r>
      </w:ins>
      <w:del w:id="2" w:author="MAH Review_LL" w:date="2025-07-11T11:23:00Z" w16du:dateUtc="2025-07-11T09:23:00Z">
        <w:r w:rsidRPr="00544486" w:rsidDel="00742390">
          <w:rPr>
            <w:sz w:val="22"/>
            <w:szCs w:val="22"/>
            <w:lang w:val="es-ES"/>
          </w:rPr>
          <w:delText>&lt;INN&gt;</w:delText>
        </w:r>
      </w:del>
      <w:r w:rsidRPr="00544486">
        <w:rPr>
          <w:sz w:val="22"/>
          <w:szCs w:val="22"/>
          <w:lang w:val="es-ES"/>
        </w:rPr>
        <w:t xml:space="preserve"> y se enumeran aquí: </w:t>
      </w:r>
      <w:ins w:id="3" w:author="MAH Review_LL" w:date="2025-07-11T11:23:00Z" w16du:dateUtc="2025-07-11T09:23:00Z">
        <w:r w:rsidR="00742390">
          <w:rPr>
            <w:sz w:val="22"/>
            <w:szCs w:val="22"/>
            <w:lang w:val="es-ES"/>
          </w:rPr>
          <w:fldChar w:fldCharType="begin"/>
        </w:r>
        <w:r w:rsidR="00742390">
          <w:rPr>
            <w:sz w:val="22"/>
            <w:szCs w:val="22"/>
            <w:lang w:val="es-ES"/>
          </w:rPr>
          <w:instrText>HYPERLINK "</w:instrText>
        </w:r>
      </w:ins>
      <w:r w:rsidR="00742390" w:rsidRPr="00544486">
        <w:rPr>
          <w:sz w:val="22"/>
          <w:szCs w:val="22"/>
          <w:lang w:val="es-ES"/>
        </w:rPr>
        <w:instrText>https://www.ema.europa.eu/documents/other/minimum-inhibitory-concentration-mic-breakpoints_en.xlsx</w:instrText>
      </w:r>
      <w:ins w:id="4" w:author="MAH Review_LL" w:date="2025-07-11T11:23:00Z" w16du:dateUtc="2025-07-11T09:23:00Z">
        <w:r w:rsidR="00742390">
          <w:rPr>
            <w:sz w:val="22"/>
            <w:szCs w:val="22"/>
            <w:lang w:val="es-ES"/>
          </w:rPr>
          <w:instrText>"</w:instrText>
        </w:r>
        <w:r w:rsidR="00742390">
          <w:rPr>
            <w:sz w:val="22"/>
            <w:szCs w:val="22"/>
            <w:lang w:val="es-ES"/>
          </w:rPr>
          <w:fldChar w:fldCharType="separate"/>
        </w:r>
      </w:ins>
      <w:r w:rsidR="00742390" w:rsidRPr="00B14C43">
        <w:rPr>
          <w:rStyle w:val="Hipervnculo"/>
          <w:sz w:val="22"/>
          <w:szCs w:val="22"/>
          <w:lang w:val="es-ES"/>
        </w:rPr>
        <w:t>https://www.ema.europa.eu/documents/other/minimum-inhibitory-concentration-mic-breakpoints_en.xlsx</w:t>
      </w:r>
      <w:ins w:id="5" w:author="MAH Review_LL" w:date="2025-07-11T11:23:00Z" w16du:dateUtc="2025-07-11T09:23:00Z">
        <w:r w:rsidR="00742390">
          <w:rPr>
            <w:sz w:val="22"/>
            <w:szCs w:val="22"/>
            <w:lang w:val="es-ES"/>
          </w:rPr>
          <w:fldChar w:fldCharType="end"/>
        </w:r>
      </w:ins>
    </w:p>
    <w:p w14:paraId="1A6BB2E5" w14:textId="77777777" w:rsidR="00D061AA" w:rsidRPr="00C52C4C" w:rsidRDefault="00D061AA" w:rsidP="00D061AA">
      <w:pPr>
        <w:tabs>
          <w:tab w:val="left" w:pos="567"/>
        </w:tabs>
        <w:rPr>
          <w:sz w:val="22"/>
          <w:szCs w:val="22"/>
          <w:u w:val="single"/>
        </w:rPr>
      </w:pPr>
    </w:p>
    <w:p w14:paraId="30BAAF45" w14:textId="77777777" w:rsidR="00D061AA" w:rsidRPr="00C52C4C" w:rsidRDefault="00D061AA" w:rsidP="00D061AA">
      <w:pPr>
        <w:tabs>
          <w:tab w:val="left" w:pos="567"/>
        </w:tabs>
        <w:rPr>
          <w:sz w:val="22"/>
          <w:szCs w:val="22"/>
          <w:u w:val="single"/>
          <w:lang w:val="es-ES_tradnl"/>
        </w:rPr>
      </w:pPr>
      <w:r w:rsidRPr="00C52C4C">
        <w:rPr>
          <w:sz w:val="22"/>
          <w:szCs w:val="22"/>
          <w:u w:val="single"/>
          <w:lang w:val="es-ES_tradnl"/>
        </w:rPr>
        <w:t>Experiencia clínica</w:t>
      </w:r>
    </w:p>
    <w:p w14:paraId="04E2A6C3"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En este apartado se define el resultado satisfactorio como respuesta completa o parcial. </w:t>
      </w:r>
    </w:p>
    <w:p w14:paraId="06243F44" w14:textId="77777777" w:rsidR="00D061AA" w:rsidRPr="00C52C4C" w:rsidRDefault="00D061AA" w:rsidP="00D061AA">
      <w:pPr>
        <w:tabs>
          <w:tab w:val="left" w:pos="567"/>
        </w:tabs>
        <w:rPr>
          <w:b/>
          <w:sz w:val="22"/>
          <w:szCs w:val="22"/>
          <w:lang w:val="es-ES_tradnl"/>
        </w:rPr>
      </w:pPr>
    </w:p>
    <w:p w14:paraId="379BBE90" w14:textId="77777777" w:rsidR="00D061AA" w:rsidRPr="00C52C4C" w:rsidRDefault="00D061AA" w:rsidP="00D061AA">
      <w:pPr>
        <w:pStyle w:val="Ttulo5"/>
        <w:keepNext w:val="0"/>
        <w:rPr>
          <w:noProof w:val="0"/>
          <w:szCs w:val="22"/>
          <w:u w:val="single"/>
          <w:lang w:val="es-ES_tradnl"/>
        </w:rPr>
      </w:pPr>
      <w:r w:rsidRPr="00C52C4C">
        <w:rPr>
          <w:noProof w:val="0"/>
          <w:szCs w:val="22"/>
          <w:u w:val="single"/>
          <w:lang w:val="es-ES_tradnl"/>
        </w:rPr>
        <w:t xml:space="preserve">Infecciones por </w:t>
      </w:r>
      <w:r w:rsidRPr="00C52C4C">
        <w:rPr>
          <w:i/>
          <w:noProof w:val="0"/>
          <w:szCs w:val="22"/>
          <w:u w:val="single"/>
          <w:lang w:val="es-ES_tradnl"/>
        </w:rPr>
        <w:t>Aspergillus</w:t>
      </w:r>
      <w:r w:rsidRPr="00C52C4C">
        <w:rPr>
          <w:noProof w:val="0"/>
          <w:szCs w:val="22"/>
          <w:u w:val="single"/>
          <w:lang w:val="es-ES_tradnl"/>
        </w:rPr>
        <w:t xml:space="preserve"> – eficacia en pacientes con aspergilosis de mal pronóstico</w:t>
      </w:r>
    </w:p>
    <w:p w14:paraId="6CEA7041"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Voriconazol presenta actividad fungicida </w:t>
      </w:r>
      <w:r w:rsidRPr="00C52C4C">
        <w:rPr>
          <w:i/>
          <w:sz w:val="22"/>
          <w:szCs w:val="22"/>
          <w:lang w:val="es-ES_tradnl"/>
        </w:rPr>
        <w:t>in vitro</w:t>
      </w:r>
      <w:r w:rsidRPr="00C52C4C">
        <w:rPr>
          <w:sz w:val="22"/>
          <w:szCs w:val="22"/>
          <w:lang w:val="es-ES_tradnl"/>
        </w:rPr>
        <w:t xml:space="preserve"> frente a </w:t>
      </w:r>
      <w:r w:rsidRPr="00C52C4C">
        <w:rPr>
          <w:i/>
          <w:sz w:val="22"/>
          <w:szCs w:val="22"/>
          <w:lang w:val="es-ES_tradnl"/>
        </w:rPr>
        <w:t>Aspergillus spp</w:t>
      </w:r>
      <w:r w:rsidRPr="00C52C4C">
        <w:rPr>
          <w:sz w:val="22"/>
          <w:szCs w:val="22"/>
          <w:lang w:val="es-ES_tradnl"/>
        </w:rPr>
        <w:t xml:space="preserve">. Se demostró la eficacia y beneficio en la supervivencia de voriconazol frente a anfotericina B convencional en el tratamiento </w:t>
      </w:r>
      <w:r w:rsidRPr="00C52C4C">
        <w:rPr>
          <w:sz w:val="22"/>
          <w:szCs w:val="22"/>
          <w:lang w:val="es-ES_tradnl"/>
        </w:rPr>
        <w:lastRenderedPageBreak/>
        <w:t>primario de la aspergilosis invasiva aguda en un ensayo abierto, randomizado, multicéntrico en 277 pacientes inmunodeprimidos tratados durante 12 semanas. Voriconazol se administró por vía intravenosa con una dosis de carga de 6mg/kg cada 12 horas durante las primeras 24 horas, seguido de una dosis de mantenimiento de 4 mg/kg cada 12 horas durante 7 días como mínimo. A continuación, la terapia se podía cambiar a una formulación oral a dosis de 200 mg cada 12 horas. La duración media de la terapia intravenosa de voriconazol fue de 10 días (rango 2 – 85 días). Tras la terapia intravenosa, la duración media de la terapia oral de voriconazol fue de 76 días (rango 2 – 232 días).</w:t>
      </w:r>
    </w:p>
    <w:p w14:paraId="78E15490" w14:textId="77777777" w:rsidR="00D061AA" w:rsidRPr="00C52C4C" w:rsidRDefault="00D061AA" w:rsidP="00D061AA">
      <w:pPr>
        <w:tabs>
          <w:tab w:val="left" w:pos="567"/>
        </w:tabs>
        <w:rPr>
          <w:sz w:val="22"/>
          <w:szCs w:val="22"/>
          <w:lang w:val="es-ES_tradnl"/>
        </w:rPr>
      </w:pPr>
    </w:p>
    <w:p w14:paraId="77760854" w14:textId="77777777" w:rsidR="00D061AA" w:rsidRPr="00C52C4C" w:rsidRDefault="00D061AA" w:rsidP="00D061AA">
      <w:pPr>
        <w:tabs>
          <w:tab w:val="left" w:pos="567"/>
        </w:tabs>
        <w:rPr>
          <w:sz w:val="22"/>
          <w:szCs w:val="22"/>
          <w:lang w:val="es-ES_tradnl"/>
        </w:rPr>
      </w:pPr>
      <w:r w:rsidRPr="00C52C4C">
        <w:rPr>
          <w:sz w:val="22"/>
          <w:szCs w:val="22"/>
          <w:lang w:val="es-ES_tradnl"/>
        </w:rPr>
        <w:t>Se observó una respuesta global satisfactoria (resolución completa o parcial de todos los síntomas y signos atribuibles, y de las alteraciones radiográficas/broncoscópicas presentes al inicio del tratamiento) en el 53% de los pacientes tratados con voriconazol frente al 31% en pacientes tratados con el fármaco comparador. La tasa de supervivencia con voriconazol en el día 84 fue superior de forma estadísticamente significativa a la obtenida con el fármaco comparador y se demostró un beneficio estadística y clínicamente significativo a favor de voriconazol tanto en lo relativo al tiempo hasta el fallecimiento o hasta el abandono debido a la toxicidad.</w:t>
      </w:r>
    </w:p>
    <w:p w14:paraId="062A6DA3" w14:textId="77777777" w:rsidR="00D061AA" w:rsidRPr="00C52C4C" w:rsidRDefault="00D061AA" w:rsidP="00D061AA">
      <w:pPr>
        <w:tabs>
          <w:tab w:val="left" w:pos="567"/>
        </w:tabs>
        <w:rPr>
          <w:sz w:val="22"/>
          <w:szCs w:val="22"/>
          <w:lang w:val="es-ES_tradnl"/>
        </w:rPr>
      </w:pPr>
    </w:p>
    <w:p w14:paraId="24BCC814" w14:textId="77777777" w:rsidR="00D061AA" w:rsidRPr="00C52C4C" w:rsidRDefault="00D061AA" w:rsidP="00D061AA">
      <w:pPr>
        <w:tabs>
          <w:tab w:val="left" w:pos="567"/>
        </w:tabs>
        <w:rPr>
          <w:sz w:val="22"/>
          <w:szCs w:val="22"/>
          <w:lang w:val="es-ES_tradnl"/>
        </w:rPr>
      </w:pPr>
      <w:r w:rsidRPr="00C52C4C">
        <w:rPr>
          <w:sz w:val="22"/>
          <w:szCs w:val="22"/>
          <w:lang w:val="es-ES_tradnl"/>
        </w:rPr>
        <w:t>Este ensayo confirmó hallazgos de un ensayo anterior prospectivo, que obtuvo un resultado positivo en los pacientes con factores de riesgo para un mal pronóstico, incluyendo enfermedad de injerto contra huésped, y, en particular, infecciones cerebrales (asociadas normalmente con una mortalidad cercana al 100%).</w:t>
      </w:r>
    </w:p>
    <w:p w14:paraId="79547424" w14:textId="77777777" w:rsidR="00D061AA" w:rsidRPr="00C52C4C" w:rsidRDefault="00D061AA" w:rsidP="00D061AA">
      <w:pPr>
        <w:tabs>
          <w:tab w:val="left" w:pos="567"/>
        </w:tabs>
        <w:rPr>
          <w:sz w:val="22"/>
          <w:szCs w:val="22"/>
          <w:lang w:val="es-ES_tradnl"/>
        </w:rPr>
      </w:pPr>
    </w:p>
    <w:p w14:paraId="37F870DB"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Los ensayos incluyeron casos de aspergilosis cerebral, sinusal, pulmonar y diseminada en pacientes con trasplante de médula ósea y de órganos sólidos, neoplasias hematológicas, cáncer y </w:t>
      </w:r>
      <w:smartTag w:uri="urn:schemas-microsoft-com:office:smarttags" w:element="PersonName">
        <w:r w:rsidRPr="00C52C4C">
          <w:rPr>
            <w:sz w:val="22"/>
            <w:szCs w:val="22"/>
            <w:lang w:val="es-ES_tradnl"/>
          </w:rPr>
          <w:t>SI</w:t>
        </w:r>
      </w:smartTag>
      <w:r w:rsidRPr="00C52C4C">
        <w:rPr>
          <w:sz w:val="22"/>
          <w:szCs w:val="22"/>
          <w:lang w:val="es-ES_tradnl"/>
        </w:rPr>
        <w:t>DA.</w:t>
      </w:r>
    </w:p>
    <w:p w14:paraId="510E4B10" w14:textId="77777777" w:rsidR="00D061AA" w:rsidRPr="00C52C4C" w:rsidRDefault="00D061AA" w:rsidP="00D061AA">
      <w:pPr>
        <w:tabs>
          <w:tab w:val="left" w:pos="567"/>
        </w:tabs>
        <w:rPr>
          <w:sz w:val="22"/>
          <w:szCs w:val="22"/>
          <w:lang w:val="es-ES_tradnl"/>
        </w:rPr>
      </w:pPr>
    </w:p>
    <w:p w14:paraId="2C6285EC" w14:textId="77777777" w:rsidR="00D061AA" w:rsidRPr="00C52C4C" w:rsidRDefault="00D061AA" w:rsidP="00D061AA">
      <w:pPr>
        <w:tabs>
          <w:tab w:val="left" w:pos="567"/>
        </w:tabs>
        <w:rPr>
          <w:sz w:val="22"/>
          <w:szCs w:val="22"/>
          <w:u w:val="single"/>
          <w:lang w:val="es-ES_tradnl"/>
        </w:rPr>
      </w:pPr>
      <w:r w:rsidRPr="00C52C4C">
        <w:rPr>
          <w:sz w:val="22"/>
          <w:szCs w:val="22"/>
          <w:u w:val="single"/>
          <w:lang w:val="es-ES_tradnl"/>
        </w:rPr>
        <w:t>Candidemia en pacientes no neutropénicos</w:t>
      </w:r>
    </w:p>
    <w:p w14:paraId="5AB871CB"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La eficacia de voriconazol comparada con el régimen de anfotericina B seguido de fluconazol en el tratamiento primario de candidemia fue demostrada en un ensayo abierto y comparativo. Trescientos setenta pacientes no neutropénicos (mayores de 12 años de edad) con candidemia documentada fueron incluidos en el ensayo, de los cuales 248 fueron tratados con voriconazol. Nueve sujetos en el grupo de voriconazol y </w:t>
      </w:r>
      <w:r w:rsidR="00A92BB8" w:rsidRPr="00C52C4C">
        <w:rPr>
          <w:sz w:val="22"/>
          <w:szCs w:val="22"/>
          <w:lang w:val="es-ES_tradnl"/>
        </w:rPr>
        <w:t xml:space="preserve">5 </w:t>
      </w:r>
      <w:r w:rsidRPr="00C52C4C">
        <w:rPr>
          <w:sz w:val="22"/>
          <w:szCs w:val="22"/>
          <w:lang w:val="es-ES_tradnl"/>
        </w:rPr>
        <w:t xml:space="preserve">en el grupo de anfotericina B seguido de fluconazol tuvieron también diagnóstico micológico confirmado de infección en tejidos profundos. Fueron excluidos de este ensayo los pacientes con insuficiencia renal. La duración media del tratamiento fue de 15 días en ambos brazos de tratamiento. En el análisis primario, la respuesta favorable, tal cual fue evaluada por el Comité de Revisión de Datos (CRD) ciego a la medicación del ensayo, se definió como resolución/mejoría de todos los signos clínicos y síntomas de la infección con  erradicación de </w:t>
      </w:r>
      <w:r w:rsidRPr="00C52C4C">
        <w:rPr>
          <w:rStyle w:val="nfasis"/>
          <w:sz w:val="22"/>
          <w:szCs w:val="22"/>
          <w:lang w:val="es-ES_tradnl"/>
        </w:rPr>
        <w:t xml:space="preserve">Candida </w:t>
      </w:r>
      <w:r w:rsidRPr="00C52C4C">
        <w:rPr>
          <w:sz w:val="22"/>
          <w:szCs w:val="22"/>
          <w:lang w:val="es-ES_tradnl"/>
        </w:rPr>
        <w:t xml:space="preserve">de la sangre y tejidos profundos a las 12 semanas tras la finalización del tratamiento (EOT). Los pacientes que no fueron evaluados 12 semanas después del EOT se contabilizaron como fallos. En este análisis se encontró una respuesta favorable en el 41% de los pacientes en ambos brazos de tratamiento. </w:t>
      </w:r>
    </w:p>
    <w:p w14:paraId="70F26863" w14:textId="77777777" w:rsidR="00D061AA" w:rsidRPr="00C52C4C" w:rsidRDefault="00D061AA" w:rsidP="00D061AA">
      <w:pPr>
        <w:tabs>
          <w:tab w:val="left" w:pos="567"/>
        </w:tabs>
        <w:rPr>
          <w:sz w:val="22"/>
          <w:szCs w:val="22"/>
          <w:lang w:val="es-ES_tradnl"/>
        </w:rPr>
      </w:pPr>
    </w:p>
    <w:p w14:paraId="1E9B9088" w14:textId="77777777" w:rsidR="00D061AA" w:rsidRPr="00C52C4C" w:rsidRDefault="00D061AA" w:rsidP="00D061AA">
      <w:pPr>
        <w:pStyle w:val="Textoindependiente"/>
        <w:tabs>
          <w:tab w:val="left" w:pos="567"/>
        </w:tabs>
        <w:rPr>
          <w:szCs w:val="22"/>
        </w:rPr>
      </w:pPr>
      <w:r w:rsidRPr="00C52C4C">
        <w:rPr>
          <w:szCs w:val="22"/>
        </w:rPr>
        <w:t xml:space="preserve">En un análisis secundario, que utilizó las evaluaciones del CRD para el último tiempo de medida evaluable (EOT, ó 2, 6, ó 12 semanas después del EOT) voriconazol y el régimen de anfotericina B seguido de fluconazol mostraron una tasa de respuesta favorable del 65% y del 71% respectivamente. La evaluación por parte del investigador del resultado favorable para cada uno de esos tiempos de evaluación se muestra en la siguiente tabla: </w:t>
      </w:r>
    </w:p>
    <w:p w14:paraId="510480E8" w14:textId="77777777" w:rsidR="00D061AA" w:rsidRPr="00C52C4C" w:rsidRDefault="00D061AA" w:rsidP="00D061AA">
      <w:pPr>
        <w:tabs>
          <w:tab w:val="left" w:pos="567"/>
        </w:tabs>
        <w:rPr>
          <w:sz w:val="22"/>
          <w:szCs w:val="22"/>
          <w:lang w:val="es-ES_tradnl"/>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0"/>
        <w:gridCol w:w="1800"/>
        <w:gridCol w:w="2640"/>
      </w:tblGrid>
      <w:tr w:rsidR="00D061AA" w:rsidRPr="00C52C4C" w14:paraId="75BC3D5B" w14:textId="77777777" w:rsidTr="00EE4A64">
        <w:tc>
          <w:tcPr>
            <w:tcW w:w="3000" w:type="dxa"/>
            <w:tcBorders>
              <w:top w:val="single" w:sz="12" w:space="0" w:color="auto"/>
              <w:left w:val="single" w:sz="12" w:space="0" w:color="auto"/>
              <w:bottom w:val="single" w:sz="12" w:space="0" w:color="auto"/>
              <w:right w:val="single" w:sz="4" w:space="0" w:color="auto"/>
            </w:tcBorders>
          </w:tcPr>
          <w:p w14:paraId="34D21368" w14:textId="77777777" w:rsidR="00D061AA" w:rsidRPr="00C52C4C" w:rsidRDefault="00D061AA" w:rsidP="00EE4A64">
            <w:pPr>
              <w:pStyle w:val="Textonotaalfinal"/>
              <w:spacing w:before="40" w:after="20"/>
              <w:rPr>
                <w:b/>
                <w:bCs/>
                <w:i/>
                <w:szCs w:val="22"/>
                <w:lang w:val="es-ES_tradnl" w:eastAsia="es-ES"/>
              </w:rPr>
            </w:pPr>
            <w:r w:rsidRPr="00C52C4C">
              <w:rPr>
                <w:b/>
                <w:bCs/>
                <w:i/>
                <w:szCs w:val="22"/>
                <w:lang w:val="es-ES_tradnl" w:eastAsia="es-ES"/>
              </w:rPr>
              <w:t xml:space="preserve">Tiempo de evaluación </w:t>
            </w:r>
          </w:p>
        </w:tc>
        <w:tc>
          <w:tcPr>
            <w:tcW w:w="1800" w:type="dxa"/>
            <w:tcBorders>
              <w:top w:val="single" w:sz="12" w:space="0" w:color="auto"/>
              <w:left w:val="single" w:sz="4" w:space="0" w:color="auto"/>
              <w:bottom w:val="single" w:sz="12" w:space="0" w:color="auto"/>
              <w:right w:val="single" w:sz="4" w:space="0" w:color="auto"/>
            </w:tcBorders>
          </w:tcPr>
          <w:p w14:paraId="7A3F4F6D" w14:textId="77777777" w:rsidR="00D061AA" w:rsidRPr="00C52C4C" w:rsidRDefault="00D061AA" w:rsidP="00EE4A64">
            <w:pPr>
              <w:pStyle w:val="Textonotaalfinal"/>
              <w:spacing w:before="40" w:after="20"/>
              <w:rPr>
                <w:b/>
                <w:bCs/>
                <w:i/>
                <w:szCs w:val="22"/>
                <w:lang w:val="pt-PT" w:eastAsia="es-ES"/>
              </w:rPr>
            </w:pPr>
            <w:r w:rsidRPr="00C52C4C">
              <w:rPr>
                <w:b/>
                <w:bCs/>
                <w:i/>
                <w:szCs w:val="22"/>
                <w:lang w:val="pt-PT" w:eastAsia="es-ES"/>
              </w:rPr>
              <w:t>Voriconazol (N=248)</w:t>
            </w:r>
          </w:p>
        </w:tc>
        <w:tc>
          <w:tcPr>
            <w:tcW w:w="2640" w:type="dxa"/>
            <w:tcBorders>
              <w:top w:val="single" w:sz="12" w:space="0" w:color="auto"/>
              <w:left w:val="single" w:sz="4" w:space="0" w:color="auto"/>
              <w:bottom w:val="single" w:sz="12" w:space="0" w:color="auto"/>
              <w:right w:val="single" w:sz="12" w:space="0" w:color="auto"/>
            </w:tcBorders>
          </w:tcPr>
          <w:p w14:paraId="69D6EFD9" w14:textId="77777777" w:rsidR="00D061AA" w:rsidRPr="00C52C4C" w:rsidRDefault="00D061AA" w:rsidP="00EE4A64">
            <w:pPr>
              <w:pStyle w:val="Textonotaalfinal"/>
              <w:spacing w:before="40" w:after="20"/>
              <w:rPr>
                <w:b/>
                <w:bCs/>
                <w:i/>
                <w:szCs w:val="22"/>
                <w:lang w:val="pt-PT" w:eastAsia="es-ES"/>
              </w:rPr>
            </w:pPr>
            <w:r w:rsidRPr="00C52C4C">
              <w:rPr>
                <w:b/>
                <w:bCs/>
                <w:i/>
                <w:szCs w:val="22"/>
                <w:lang w:val="pt-PT" w:eastAsia="es-ES"/>
              </w:rPr>
              <w:t>Anfotericina B</w:t>
            </w:r>
            <w:r w:rsidRPr="00C52C4C">
              <w:rPr>
                <w:b/>
                <w:bCs/>
                <w:i/>
                <w:szCs w:val="22"/>
                <w:lang w:val="es-ES_tradnl" w:eastAsia="es-ES"/>
              </w:rPr>
              <w:sym w:font="Wingdings 3" w:char="F022"/>
            </w:r>
            <w:r w:rsidRPr="00C52C4C">
              <w:rPr>
                <w:b/>
                <w:bCs/>
                <w:i/>
                <w:szCs w:val="22"/>
                <w:lang w:val="pt-PT" w:eastAsia="es-ES"/>
              </w:rPr>
              <w:t>fluconazol (N=122)</w:t>
            </w:r>
          </w:p>
        </w:tc>
      </w:tr>
      <w:tr w:rsidR="00D061AA" w:rsidRPr="00C52C4C" w14:paraId="09052178" w14:textId="77777777" w:rsidTr="00EE4A64">
        <w:tc>
          <w:tcPr>
            <w:tcW w:w="3000" w:type="dxa"/>
            <w:tcBorders>
              <w:top w:val="single" w:sz="12" w:space="0" w:color="auto"/>
              <w:left w:val="single" w:sz="12" w:space="0" w:color="auto"/>
            </w:tcBorders>
          </w:tcPr>
          <w:p w14:paraId="518AD0FB" w14:textId="77777777" w:rsidR="00D061AA" w:rsidRPr="00C52C4C" w:rsidRDefault="00D061AA" w:rsidP="00EE4A64">
            <w:pPr>
              <w:pStyle w:val="Textonotaalfinal"/>
              <w:spacing w:before="40" w:after="20"/>
              <w:rPr>
                <w:b/>
                <w:i/>
                <w:szCs w:val="22"/>
                <w:lang w:val="es-ES_tradnl" w:eastAsia="es-ES"/>
              </w:rPr>
            </w:pPr>
            <w:r w:rsidRPr="00C52C4C">
              <w:rPr>
                <w:b/>
                <w:i/>
                <w:szCs w:val="22"/>
                <w:lang w:val="es-ES_tradnl" w:eastAsia="es-ES"/>
              </w:rPr>
              <w:t>EOT</w:t>
            </w:r>
          </w:p>
        </w:tc>
        <w:tc>
          <w:tcPr>
            <w:tcW w:w="1800" w:type="dxa"/>
            <w:tcBorders>
              <w:top w:val="single" w:sz="12" w:space="0" w:color="auto"/>
            </w:tcBorders>
            <w:vAlign w:val="center"/>
          </w:tcPr>
          <w:p w14:paraId="55801003" w14:textId="77777777" w:rsidR="00D061AA" w:rsidRPr="00C52C4C" w:rsidRDefault="00D061AA" w:rsidP="00EE4A64">
            <w:pPr>
              <w:pStyle w:val="Textonotaalfinal"/>
              <w:spacing w:before="40" w:after="20"/>
              <w:jc w:val="center"/>
              <w:rPr>
                <w:szCs w:val="22"/>
                <w:lang w:val="es-ES_tradnl" w:eastAsia="es-ES"/>
              </w:rPr>
            </w:pPr>
            <w:r w:rsidRPr="00C52C4C">
              <w:rPr>
                <w:szCs w:val="22"/>
                <w:lang w:val="es-ES_tradnl" w:eastAsia="es-ES"/>
              </w:rPr>
              <w:t>178 (72%)</w:t>
            </w:r>
          </w:p>
        </w:tc>
        <w:tc>
          <w:tcPr>
            <w:tcW w:w="2640" w:type="dxa"/>
            <w:tcBorders>
              <w:top w:val="single" w:sz="12" w:space="0" w:color="auto"/>
              <w:right w:val="single" w:sz="12" w:space="0" w:color="auto"/>
            </w:tcBorders>
            <w:vAlign w:val="center"/>
          </w:tcPr>
          <w:p w14:paraId="2CF33355" w14:textId="77777777" w:rsidR="00D061AA" w:rsidRPr="00C52C4C" w:rsidRDefault="00D061AA" w:rsidP="00EE4A64">
            <w:pPr>
              <w:pStyle w:val="Textonotaalfinal"/>
              <w:spacing w:before="40" w:after="20"/>
              <w:jc w:val="center"/>
              <w:rPr>
                <w:szCs w:val="22"/>
                <w:lang w:val="es-ES_tradnl" w:eastAsia="es-ES"/>
              </w:rPr>
            </w:pPr>
            <w:r w:rsidRPr="00C52C4C">
              <w:rPr>
                <w:szCs w:val="22"/>
                <w:lang w:val="es-ES_tradnl" w:eastAsia="es-ES"/>
              </w:rPr>
              <w:t>88 (72%)</w:t>
            </w:r>
          </w:p>
        </w:tc>
      </w:tr>
      <w:tr w:rsidR="00D061AA" w:rsidRPr="00C52C4C" w14:paraId="2AE0AA85" w14:textId="77777777" w:rsidTr="00EE4A64">
        <w:tc>
          <w:tcPr>
            <w:tcW w:w="3000" w:type="dxa"/>
            <w:tcBorders>
              <w:left w:val="single" w:sz="12" w:space="0" w:color="auto"/>
            </w:tcBorders>
          </w:tcPr>
          <w:p w14:paraId="24E1A70D" w14:textId="77777777" w:rsidR="00D061AA" w:rsidRPr="00C52C4C" w:rsidRDefault="00D061AA" w:rsidP="00EE4A64">
            <w:pPr>
              <w:pStyle w:val="Textonotaalfinal"/>
              <w:spacing w:before="40" w:after="20"/>
              <w:rPr>
                <w:szCs w:val="22"/>
                <w:lang w:val="es-ES_tradnl" w:eastAsia="es-ES"/>
              </w:rPr>
            </w:pPr>
            <w:r w:rsidRPr="00C52C4C">
              <w:rPr>
                <w:szCs w:val="22"/>
                <w:lang w:val="es-ES_tradnl" w:eastAsia="es-ES"/>
              </w:rPr>
              <w:t>2 semanas después del EOT</w:t>
            </w:r>
          </w:p>
        </w:tc>
        <w:tc>
          <w:tcPr>
            <w:tcW w:w="1800" w:type="dxa"/>
            <w:vAlign w:val="center"/>
          </w:tcPr>
          <w:p w14:paraId="7FD268DF" w14:textId="77777777" w:rsidR="00D061AA" w:rsidRPr="00C52C4C" w:rsidRDefault="00D061AA" w:rsidP="00EE4A64">
            <w:pPr>
              <w:pStyle w:val="Textonotaalfinal"/>
              <w:spacing w:before="40" w:after="20"/>
              <w:jc w:val="center"/>
              <w:rPr>
                <w:szCs w:val="22"/>
                <w:lang w:val="es-ES_tradnl" w:eastAsia="es-ES"/>
              </w:rPr>
            </w:pPr>
            <w:r w:rsidRPr="00C52C4C">
              <w:rPr>
                <w:szCs w:val="22"/>
                <w:lang w:val="es-ES_tradnl" w:eastAsia="es-ES"/>
              </w:rPr>
              <w:t>125 (50%)</w:t>
            </w:r>
          </w:p>
        </w:tc>
        <w:tc>
          <w:tcPr>
            <w:tcW w:w="2640" w:type="dxa"/>
            <w:tcBorders>
              <w:right w:val="single" w:sz="12" w:space="0" w:color="auto"/>
            </w:tcBorders>
            <w:vAlign w:val="center"/>
          </w:tcPr>
          <w:p w14:paraId="460E3A55" w14:textId="77777777" w:rsidR="00D061AA" w:rsidRPr="00C52C4C" w:rsidRDefault="00D061AA" w:rsidP="00EE4A64">
            <w:pPr>
              <w:pStyle w:val="Textonotaalfinal"/>
              <w:spacing w:before="40" w:after="20"/>
              <w:jc w:val="center"/>
              <w:rPr>
                <w:szCs w:val="22"/>
                <w:lang w:val="es-ES_tradnl" w:eastAsia="es-ES"/>
              </w:rPr>
            </w:pPr>
            <w:r w:rsidRPr="00C52C4C">
              <w:rPr>
                <w:szCs w:val="22"/>
                <w:lang w:val="es-ES_tradnl" w:eastAsia="es-ES"/>
              </w:rPr>
              <w:t>62 (51%)</w:t>
            </w:r>
          </w:p>
        </w:tc>
      </w:tr>
      <w:tr w:rsidR="00D061AA" w:rsidRPr="00C52C4C" w14:paraId="57B445C5" w14:textId="77777777" w:rsidTr="00EE4A64">
        <w:tc>
          <w:tcPr>
            <w:tcW w:w="3000" w:type="dxa"/>
            <w:tcBorders>
              <w:left w:val="single" w:sz="12" w:space="0" w:color="auto"/>
            </w:tcBorders>
          </w:tcPr>
          <w:p w14:paraId="07FA696A" w14:textId="77777777" w:rsidR="00D061AA" w:rsidRPr="00C52C4C" w:rsidRDefault="00D061AA" w:rsidP="00EE4A64">
            <w:pPr>
              <w:pStyle w:val="Textonotaalfinal"/>
              <w:spacing w:before="40" w:after="20"/>
              <w:rPr>
                <w:szCs w:val="22"/>
                <w:lang w:val="es-ES_tradnl" w:eastAsia="es-ES"/>
              </w:rPr>
            </w:pPr>
            <w:r w:rsidRPr="00C52C4C">
              <w:rPr>
                <w:szCs w:val="22"/>
                <w:lang w:val="es-ES_tradnl" w:eastAsia="es-ES"/>
              </w:rPr>
              <w:t>6 semanas después del EOT</w:t>
            </w:r>
          </w:p>
        </w:tc>
        <w:tc>
          <w:tcPr>
            <w:tcW w:w="1800" w:type="dxa"/>
            <w:vAlign w:val="center"/>
          </w:tcPr>
          <w:p w14:paraId="2CAACAB8" w14:textId="77777777" w:rsidR="00D061AA" w:rsidRPr="00C52C4C" w:rsidRDefault="00D061AA" w:rsidP="00EE4A64">
            <w:pPr>
              <w:pStyle w:val="Textonotaalfinal"/>
              <w:spacing w:before="40" w:after="20"/>
              <w:jc w:val="center"/>
              <w:rPr>
                <w:szCs w:val="22"/>
                <w:lang w:val="es-ES_tradnl" w:eastAsia="es-ES"/>
              </w:rPr>
            </w:pPr>
            <w:r w:rsidRPr="00C52C4C">
              <w:rPr>
                <w:szCs w:val="22"/>
                <w:lang w:val="es-ES_tradnl" w:eastAsia="es-ES"/>
              </w:rPr>
              <w:t>104 (42%)</w:t>
            </w:r>
          </w:p>
        </w:tc>
        <w:tc>
          <w:tcPr>
            <w:tcW w:w="2640" w:type="dxa"/>
            <w:tcBorders>
              <w:right w:val="single" w:sz="12" w:space="0" w:color="auto"/>
            </w:tcBorders>
            <w:vAlign w:val="center"/>
          </w:tcPr>
          <w:p w14:paraId="2F2FCC10" w14:textId="77777777" w:rsidR="00D061AA" w:rsidRPr="00C52C4C" w:rsidRDefault="00D061AA" w:rsidP="00EE4A64">
            <w:pPr>
              <w:pStyle w:val="Textonotaalfinal"/>
              <w:spacing w:before="40" w:after="20"/>
              <w:jc w:val="center"/>
              <w:rPr>
                <w:szCs w:val="22"/>
                <w:lang w:val="es-ES_tradnl" w:eastAsia="es-ES"/>
              </w:rPr>
            </w:pPr>
            <w:r w:rsidRPr="00C52C4C">
              <w:rPr>
                <w:szCs w:val="22"/>
                <w:lang w:val="es-ES_tradnl" w:eastAsia="es-ES"/>
              </w:rPr>
              <w:t>55 (45%)</w:t>
            </w:r>
          </w:p>
        </w:tc>
      </w:tr>
      <w:tr w:rsidR="00D061AA" w:rsidRPr="00C52C4C" w14:paraId="2C5DAB4B" w14:textId="77777777" w:rsidTr="00EE4A64">
        <w:tc>
          <w:tcPr>
            <w:tcW w:w="3000" w:type="dxa"/>
            <w:tcBorders>
              <w:left w:val="single" w:sz="12" w:space="0" w:color="auto"/>
              <w:bottom w:val="single" w:sz="12" w:space="0" w:color="auto"/>
            </w:tcBorders>
          </w:tcPr>
          <w:p w14:paraId="39E58D1B" w14:textId="77777777" w:rsidR="00D061AA" w:rsidRPr="00C52C4C" w:rsidRDefault="00D061AA" w:rsidP="00EE4A64">
            <w:pPr>
              <w:pStyle w:val="Textonotaalfinal"/>
              <w:spacing w:before="40" w:after="20"/>
              <w:rPr>
                <w:szCs w:val="22"/>
                <w:lang w:val="es-ES_tradnl" w:eastAsia="es-ES"/>
              </w:rPr>
            </w:pPr>
            <w:r w:rsidRPr="00C52C4C">
              <w:rPr>
                <w:szCs w:val="22"/>
                <w:lang w:val="es-ES_tradnl" w:eastAsia="es-ES"/>
              </w:rPr>
              <w:t>12 semanas después del EOT</w:t>
            </w:r>
          </w:p>
        </w:tc>
        <w:tc>
          <w:tcPr>
            <w:tcW w:w="1800" w:type="dxa"/>
            <w:tcBorders>
              <w:bottom w:val="single" w:sz="12" w:space="0" w:color="auto"/>
            </w:tcBorders>
            <w:vAlign w:val="center"/>
          </w:tcPr>
          <w:p w14:paraId="366305EC" w14:textId="77777777" w:rsidR="00D061AA" w:rsidRPr="00C52C4C" w:rsidRDefault="00D061AA" w:rsidP="00EE4A64">
            <w:pPr>
              <w:pStyle w:val="Textonotaalfinal"/>
              <w:spacing w:before="40" w:after="20"/>
              <w:jc w:val="center"/>
              <w:rPr>
                <w:szCs w:val="22"/>
                <w:lang w:val="es-ES_tradnl" w:eastAsia="es-ES"/>
              </w:rPr>
            </w:pPr>
            <w:r w:rsidRPr="00C52C4C">
              <w:rPr>
                <w:szCs w:val="22"/>
                <w:lang w:val="es-ES_tradnl" w:eastAsia="es-ES"/>
              </w:rPr>
              <w:t>105 (42%)</w:t>
            </w:r>
          </w:p>
        </w:tc>
        <w:tc>
          <w:tcPr>
            <w:tcW w:w="2640" w:type="dxa"/>
            <w:tcBorders>
              <w:bottom w:val="single" w:sz="12" w:space="0" w:color="auto"/>
              <w:right w:val="single" w:sz="12" w:space="0" w:color="auto"/>
            </w:tcBorders>
            <w:vAlign w:val="center"/>
          </w:tcPr>
          <w:p w14:paraId="0FE702A8" w14:textId="77777777" w:rsidR="00D061AA" w:rsidRPr="00C52C4C" w:rsidRDefault="00D061AA" w:rsidP="00EE4A64">
            <w:pPr>
              <w:pStyle w:val="Textonotaalfinal"/>
              <w:spacing w:before="40" w:after="20"/>
              <w:jc w:val="center"/>
              <w:rPr>
                <w:szCs w:val="22"/>
                <w:lang w:val="es-ES_tradnl" w:eastAsia="es-ES"/>
              </w:rPr>
            </w:pPr>
            <w:r w:rsidRPr="00C52C4C">
              <w:rPr>
                <w:szCs w:val="22"/>
                <w:lang w:val="es-ES_tradnl" w:eastAsia="es-ES"/>
              </w:rPr>
              <w:t>51 (42%)</w:t>
            </w:r>
          </w:p>
        </w:tc>
      </w:tr>
    </w:tbl>
    <w:p w14:paraId="208121EF" w14:textId="77777777" w:rsidR="00D061AA" w:rsidRDefault="00D061AA" w:rsidP="00D061AA">
      <w:pPr>
        <w:tabs>
          <w:tab w:val="left" w:pos="567"/>
        </w:tabs>
        <w:rPr>
          <w:sz w:val="22"/>
          <w:szCs w:val="22"/>
          <w:u w:val="single"/>
          <w:lang w:val="es-ES_tradnl"/>
        </w:rPr>
      </w:pPr>
    </w:p>
    <w:p w14:paraId="14FF7E75" w14:textId="77777777" w:rsidR="00D061AA" w:rsidRPr="00C52C4C" w:rsidRDefault="00D061AA" w:rsidP="00D061AA">
      <w:pPr>
        <w:tabs>
          <w:tab w:val="left" w:pos="567"/>
        </w:tabs>
        <w:rPr>
          <w:sz w:val="22"/>
          <w:szCs w:val="22"/>
          <w:u w:val="single"/>
          <w:lang w:val="es-ES_tradnl"/>
        </w:rPr>
      </w:pPr>
      <w:r w:rsidRPr="00C52C4C">
        <w:rPr>
          <w:sz w:val="22"/>
          <w:szCs w:val="22"/>
          <w:u w:val="single"/>
          <w:lang w:val="es-ES_tradnl"/>
        </w:rPr>
        <w:t xml:space="preserve">Infecciones refractarias graves por </w:t>
      </w:r>
      <w:r w:rsidRPr="00C52C4C">
        <w:rPr>
          <w:i/>
          <w:sz w:val="22"/>
          <w:szCs w:val="22"/>
          <w:u w:val="single"/>
          <w:lang w:val="es-ES_tradnl"/>
        </w:rPr>
        <w:t>Candida</w:t>
      </w:r>
    </w:p>
    <w:p w14:paraId="28A2FD90"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El ensayo incluyó a 55 pacientes con infecciones sistémicas refractarias graves por </w:t>
      </w:r>
      <w:r w:rsidRPr="00C52C4C">
        <w:rPr>
          <w:i/>
          <w:sz w:val="22"/>
          <w:szCs w:val="22"/>
          <w:lang w:val="es-ES_tradnl"/>
        </w:rPr>
        <w:t>Candida</w:t>
      </w:r>
      <w:r w:rsidRPr="00C52C4C">
        <w:rPr>
          <w:sz w:val="22"/>
          <w:szCs w:val="22"/>
          <w:lang w:val="es-ES_tradnl"/>
        </w:rPr>
        <w:t xml:space="preserve"> (incluyendo candidemia, candidiasis diseminada y otras candidiasis invasivas) en las que el </w:t>
      </w:r>
      <w:r w:rsidRPr="00C52C4C">
        <w:rPr>
          <w:sz w:val="22"/>
          <w:szCs w:val="22"/>
          <w:lang w:val="es-ES_tradnl"/>
        </w:rPr>
        <w:lastRenderedPageBreak/>
        <w:t xml:space="preserve">tratamiento antifúngico previo, en particular con fluconazol, fue ineficaz. Se observaron resultados favorables en 24 pacientes (15 respuestas completas y 9 respuestas parciales). En especies no </w:t>
      </w:r>
      <w:r w:rsidRPr="00C52C4C">
        <w:rPr>
          <w:i/>
          <w:sz w:val="22"/>
          <w:szCs w:val="22"/>
          <w:lang w:val="es-ES_tradnl"/>
        </w:rPr>
        <w:t>albicans</w:t>
      </w:r>
      <w:r w:rsidRPr="00C52C4C">
        <w:rPr>
          <w:sz w:val="22"/>
          <w:szCs w:val="22"/>
          <w:lang w:val="es-ES_tradnl"/>
        </w:rPr>
        <w:t xml:space="preserve"> resistentes a fluconazol se observó un resultado favorable en 3/3 en el caso de infecciones por </w:t>
      </w:r>
      <w:r w:rsidRPr="00C52C4C">
        <w:rPr>
          <w:sz w:val="22"/>
          <w:szCs w:val="22"/>
          <w:lang w:val="es-ES_tradnl"/>
        </w:rPr>
        <w:br/>
      </w:r>
      <w:r w:rsidRPr="00C52C4C">
        <w:rPr>
          <w:i/>
          <w:sz w:val="22"/>
          <w:szCs w:val="22"/>
          <w:lang w:val="es-ES_tradnl"/>
        </w:rPr>
        <w:t>C.</w:t>
      </w:r>
      <w:r w:rsidRPr="00C52C4C">
        <w:rPr>
          <w:sz w:val="22"/>
          <w:szCs w:val="22"/>
          <w:lang w:val="es-ES_tradnl"/>
        </w:rPr>
        <w:t xml:space="preserve"> </w:t>
      </w:r>
      <w:r w:rsidRPr="00C52C4C">
        <w:rPr>
          <w:i/>
          <w:sz w:val="22"/>
          <w:szCs w:val="22"/>
          <w:lang w:val="es-ES_tradnl"/>
        </w:rPr>
        <w:t>krusei</w:t>
      </w:r>
      <w:r w:rsidRPr="00C52C4C">
        <w:rPr>
          <w:sz w:val="22"/>
          <w:szCs w:val="22"/>
          <w:lang w:val="es-ES_tradnl"/>
        </w:rPr>
        <w:t xml:space="preserve"> (respuestas completas) y en 6/8 en el caso de infecciones por </w:t>
      </w:r>
      <w:r w:rsidRPr="00C52C4C">
        <w:rPr>
          <w:i/>
          <w:sz w:val="22"/>
          <w:szCs w:val="22"/>
          <w:lang w:val="es-ES_tradnl"/>
        </w:rPr>
        <w:t>C. glabrata</w:t>
      </w:r>
      <w:r w:rsidRPr="00C52C4C">
        <w:rPr>
          <w:sz w:val="22"/>
          <w:szCs w:val="22"/>
          <w:lang w:val="es-ES_tradnl"/>
        </w:rPr>
        <w:t xml:space="preserve"> (5 respuestas completas, 1 respuesta parcial). Los datos de eficacia clínica estaban apoyados por datos limitados de sensibilidad.</w:t>
      </w:r>
    </w:p>
    <w:p w14:paraId="0FE6337D" w14:textId="77777777" w:rsidR="00D061AA" w:rsidRPr="00C52C4C" w:rsidRDefault="00D061AA" w:rsidP="00D061AA">
      <w:pPr>
        <w:tabs>
          <w:tab w:val="left" w:pos="567"/>
        </w:tabs>
        <w:rPr>
          <w:sz w:val="22"/>
          <w:szCs w:val="22"/>
          <w:lang w:val="es-ES_tradnl"/>
        </w:rPr>
      </w:pPr>
    </w:p>
    <w:p w14:paraId="0D520267" w14:textId="77777777" w:rsidR="00D061AA" w:rsidRPr="00C52C4C" w:rsidRDefault="00D061AA" w:rsidP="00D061AA">
      <w:pPr>
        <w:tabs>
          <w:tab w:val="left" w:pos="567"/>
        </w:tabs>
        <w:rPr>
          <w:b/>
          <w:sz w:val="22"/>
          <w:szCs w:val="22"/>
          <w:lang w:val="es-ES_tradnl"/>
        </w:rPr>
      </w:pPr>
      <w:r w:rsidRPr="00C52C4C">
        <w:rPr>
          <w:sz w:val="22"/>
          <w:szCs w:val="22"/>
          <w:u w:val="single"/>
          <w:lang w:val="es-ES_tradnl"/>
        </w:rPr>
        <w:t xml:space="preserve">Infecciones por </w:t>
      </w:r>
      <w:r w:rsidRPr="00C52C4C">
        <w:rPr>
          <w:i/>
          <w:sz w:val="22"/>
          <w:szCs w:val="22"/>
          <w:u w:val="single"/>
          <w:lang w:val="es-ES_tradnl"/>
        </w:rPr>
        <w:t xml:space="preserve">Scedosporium </w:t>
      </w:r>
      <w:r w:rsidRPr="00C52C4C">
        <w:rPr>
          <w:sz w:val="22"/>
          <w:szCs w:val="22"/>
          <w:u w:val="single"/>
          <w:lang w:val="es-ES_tradnl"/>
        </w:rPr>
        <w:t>y</w:t>
      </w:r>
      <w:r w:rsidRPr="00C52C4C">
        <w:rPr>
          <w:i/>
          <w:sz w:val="22"/>
          <w:szCs w:val="22"/>
          <w:u w:val="single"/>
          <w:lang w:val="es-ES_tradnl"/>
        </w:rPr>
        <w:t xml:space="preserve"> Fusarium</w:t>
      </w:r>
    </w:p>
    <w:p w14:paraId="1E32E18B" w14:textId="77777777" w:rsidR="00D061AA" w:rsidRPr="00C52C4C" w:rsidRDefault="00D061AA" w:rsidP="00D061AA">
      <w:pPr>
        <w:tabs>
          <w:tab w:val="left" w:pos="567"/>
        </w:tabs>
        <w:rPr>
          <w:sz w:val="22"/>
          <w:szCs w:val="22"/>
          <w:lang w:val="es-ES_tradnl"/>
        </w:rPr>
      </w:pPr>
      <w:r w:rsidRPr="00C52C4C">
        <w:rPr>
          <w:sz w:val="22"/>
          <w:szCs w:val="22"/>
          <w:lang w:val="es-ES_tradnl"/>
        </w:rPr>
        <w:t>Se ha demostrado que voriconazol es eficaz frente a los siguientes patógenos fúngicos poco frecuentes:</w:t>
      </w:r>
    </w:p>
    <w:p w14:paraId="210346D9" w14:textId="77777777" w:rsidR="00D061AA" w:rsidRPr="00C52C4C" w:rsidRDefault="00D061AA" w:rsidP="00D061AA">
      <w:pPr>
        <w:tabs>
          <w:tab w:val="left" w:pos="567"/>
        </w:tabs>
        <w:rPr>
          <w:sz w:val="22"/>
          <w:szCs w:val="22"/>
          <w:lang w:val="es-ES_tradnl"/>
        </w:rPr>
      </w:pPr>
    </w:p>
    <w:p w14:paraId="15C1B2E6" w14:textId="77777777" w:rsidR="00C50156" w:rsidRDefault="00D061AA" w:rsidP="00D061AA">
      <w:pPr>
        <w:tabs>
          <w:tab w:val="left" w:pos="567"/>
        </w:tabs>
        <w:rPr>
          <w:sz w:val="22"/>
          <w:szCs w:val="22"/>
          <w:lang w:val="es-ES_tradnl"/>
        </w:rPr>
      </w:pPr>
      <w:r w:rsidRPr="00C52C4C">
        <w:rPr>
          <w:i/>
          <w:sz w:val="22"/>
          <w:szCs w:val="22"/>
          <w:lang w:val="es-ES_tradnl"/>
        </w:rPr>
        <w:t>Scedosporium</w:t>
      </w:r>
      <w:r w:rsidRPr="00C52C4C">
        <w:rPr>
          <w:sz w:val="22"/>
          <w:szCs w:val="22"/>
          <w:lang w:val="es-ES_tradnl"/>
        </w:rPr>
        <w:t xml:space="preserve"> spp</w:t>
      </w:r>
    </w:p>
    <w:p w14:paraId="42F8E0A5"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Se observó una respuesta favorable a voriconazol en 16 (6 respuestas completas, 10 respuestas parciales) de 28 pacientes con infección por </w:t>
      </w:r>
      <w:r w:rsidRPr="00C52C4C">
        <w:rPr>
          <w:i/>
          <w:sz w:val="22"/>
          <w:szCs w:val="22"/>
          <w:lang w:val="es-ES_tradnl"/>
        </w:rPr>
        <w:t>S. apiospermum</w:t>
      </w:r>
      <w:r w:rsidRPr="00C52C4C">
        <w:rPr>
          <w:sz w:val="22"/>
          <w:szCs w:val="22"/>
          <w:lang w:val="es-ES_tradnl"/>
        </w:rPr>
        <w:t xml:space="preserve"> y en 2 (ambas respuestas parciales) de 7 pacientes con infección por </w:t>
      </w:r>
      <w:r w:rsidRPr="00C52C4C">
        <w:rPr>
          <w:i/>
          <w:sz w:val="22"/>
          <w:szCs w:val="22"/>
          <w:lang w:val="es-ES_tradnl"/>
        </w:rPr>
        <w:t>S. prolificans</w:t>
      </w:r>
      <w:r w:rsidRPr="00C52C4C">
        <w:rPr>
          <w:sz w:val="22"/>
          <w:szCs w:val="22"/>
          <w:lang w:val="es-ES_tradnl"/>
        </w:rPr>
        <w:t xml:space="preserve">. Además, se observó una respuesta satisfactoria en 1 de 3 pacientes con infecciones causadas por más de un  microorganismo incluyendo </w:t>
      </w:r>
      <w:r w:rsidRPr="00C52C4C">
        <w:rPr>
          <w:i/>
          <w:sz w:val="22"/>
          <w:szCs w:val="22"/>
          <w:lang w:val="es-ES_tradnl"/>
        </w:rPr>
        <w:t xml:space="preserve">Scedosporium </w:t>
      </w:r>
      <w:r w:rsidRPr="00C52C4C">
        <w:rPr>
          <w:sz w:val="22"/>
          <w:szCs w:val="22"/>
          <w:lang w:val="es-ES_tradnl"/>
        </w:rPr>
        <w:t>spp.</w:t>
      </w:r>
    </w:p>
    <w:p w14:paraId="60CEF188" w14:textId="77777777" w:rsidR="00D061AA" w:rsidRPr="00C52C4C" w:rsidRDefault="00D061AA" w:rsidP="00D061AA">
      <w:pPr>
        <w:tabs>
          <w:tab w:val="left" w:pos="567"/>
        </w:tabs>
        <w:rPr>
          <w:i/>
          <w:sz w:val="22"/>
          <w:szCs w:val="22"/>
          <w:lang w:val="es-ES_tradnl"/>
        </w:rPr>
      </w:pPr>
    </w:p>
    <w:p w14:paraId="7E14D534" w14:textId="77777777" w:rsidR="00C50156" w:rsidRDefault="00D061AA" w:rsidP="00D061AA">
      <w:pPr>
        <w:tabs>
          <w:tab w:val="left" w:pos="567"/>
        </w:tabs>
        <w:rPr>
          <w:sz w:val="22"/>
          <w:szCs w:val="22"/>
          <w:lang w:val="es-ES_tradnl"/>
        </w:rPr>
      </w:pPr>
      <w:r w:rsidRPr="00C52C4C">
        <w:rPr>
          <w:i/>
          <w:sz w:val="22"/>
          <w:szCs w:val="22"/>
          <w:lang w:val="es-ES_tradnl"/>
        </w:rPr>
        <w:t>Fusarium</w:t>
      </w:r>
      <w:r w:rsidRPr="00C52C4C">
        <w:rPr>
          <w:sz w:val="22"/>
          <w:szCs w:val="22"/>
          <w:lang w:val="es-ES_tradnl"/>
        </w:rPr>
        <w:t xml:space="preserve"> spp</w:t>
      </w:r>
    </w:p>
    <w:p w14:paraId="00443430"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El tratamiento con voriconazol tuvo éxito en 7 (3 respuestas completas, 4 respuestas parciales) de 17 pacientes. De estos 7 pacientes, 3 presentaron infecciones oculares, 1 sinusal y 3 diseminadas. Otros  4 pacientes adicionales con fusariosis padecían una infección por varios microorganismos; en </w:t>
      </w:r>
      <w:r w:rsidR="00002E8F" w:rsidRPr="00C52C4C">
        <w:rPr>
          <w:sz w:val="22"/>
          <w:szCs w:val="22"/>
          <w:lang w:val="es-ES_tradnl"/>
        </w:rPr>
        <w:t xml:space="preserve">2 </w:t>
      </w:r>
      <w:r w:rsidRPr="00C52C4C">
        <w:rPr>
          <w:sz w:val="22"/>
          <w:szCs w:val="22"/>
          <w:lang w:val="es-ES_tradnl"/>
        </w:rPr>
        <w:t xml:space="preserve">de ellos el resultado fue favorable. </w:t>
      </w:r>
    </w:p>
    <w:p w14:paraId="5392D87F" w14:textId="77777777" w:rsidR="00D061AA" w:rsidRPr="00C52C4C" w:rsidRDefault="00D061AA" w:rsidP="00D061AA">
      <w:pPr>
        <w:tabs>
          <w:tab w:val="left" w:pos="567"/>
        </w:tabs>
        <w:rPr>
          <w:sz w:val="22"/>
          <w:szCs w:val="22"/>
          <w:lang w:val="es-ES_tradnl"/>
        </w:rPr>
      </w:pPr>
    </w:p>
    <w:p w14:paraId="43886FC8" w14:textId="77777777" w:rsidR="00D061AA" w:rsidRPr="00C52C4C" w:rsidRDefault="00D061AA" w:rsidP="00D061AA">
      <w:pPr>
        <w:tabs>
          <w:tab w:val="left" w:pos="567"/>
        </w:tabs>
        <w:rPr>
          <w:sz w:val="22"/>
          <w:szCs w:val="22"/>
          <w:lang w:val="es-ES_tradnl"/>
        </w:rPr>
      </w:pPr>
      <w:r w:rsidRPr="00C52C4C">
        <w:rPr>
          <w:sz w:val="22"/>
          <w:szCs w:val="22"/>
          <w:lang w:val="es-ES_tradnl"/>
        </w:rPr>
        <w:t>La mayoría de los pacientes que recibían el tratamiento con voriconazol para las infecciones raras mencionadas anteriormente habían sido intolerantes o refractarios a tratamientos antifúngicos previos.</w:t>
      </w:r>
    </w:p>
    <w:p w14:paraId="6435263E" w14:textId="77777777" w:rsidR="00D061AA" w:rsidRPr="00C52C4C" w:rsidRDefault="00D061AA" w:rsidP="00D061AA">
      <w:pPr>
        <w:pStyle w:val="Textoindependiente2"/>
        <w:tabs>
          <w:tab w:val="left" w:pos="567"/>
        </w:tabs>
        <w:rPr>
          <w:sz w:val="22"/>
          <w:szCs w:val="22"/>
          <w:lang w:val="es-ES_tradnl"/>
        </w:rPr>
      </w:pPr>
    </w:p>
    <w:p w14:paraId="66090983" w14:textId="77777777" w:rsidR="00002E8F" w:rsidRPr="00C52C4C" w:rsidRDefault="00002E8F" w:rsidP="00002E8F">
      <w:pPr>
        <w:rPr>
          <w:bCs/>
          <w:sz w:val="22"/>
          <w:szCs w:val="22"/>
          <w:u w:val="single"/>
          <w:lang w:val="es-ES_tradnl"/>
        </w:rPr>
      </w:pPr>
      <w:r w:rsidRPr="00C52C4C">
        <w:rPr>
          <w:bCs/>
          <w:sz w:val="22"/>
          <w:szCs w:val="22"/>
          <w:u w:val="single"/>
          <w:lang w:val="es-ES_tradnl"/>
        </w:rPr>
        <w:t>Profilaxis primaria de infecciones fúngicas invasivas: eficacia en receptores de TCMH sin IFI probada o probable previa</w:t>
      </w:r>
    </w:p>
    <w:p w14:paraId="03BEE380" w14:textId="77777777" w:rsidR="00002E8F" w:rsidRPr="00C52C4C" w:rsidRDefault="00002E8F" w:rsidP="00002E8F">
      <w:pPr>
        <w:pStyle w:val="Default"/>
        <w:rPr>
          <w:sz w:val="22"/>
          <w:szCs w:val="22"/>
          <w:lang w:val="es-ES_tradnl"/>
        </w:rPr>
      </w:pPr>
      <w:r w:rsidRPr="00C52C4C">
        <w:rPr>
          <w:sz w:val="22"/>
          <w:szCs w:val="22"/>
          <w:lang w:val="es-ES_tradnl"/>
        </w:rPr>
        <w:t>Voriconazol se comparó con itraconazol como profilaxis primaria en un estudio abierto, comparativo, multicéntrico, en adultos y adolescentes receptores de TCMH alogénico sin IFI probada o probable previa. El resultado satisfactorio se definió como la capacidad para mantener la profilaxis con el fármaco del estudio durante 100 días tras el TCMH (sin interrupción durante &gt; 14 días) y la supervivencia sin IFI probada o probable  durante 180 días tras el TCMH. El grupo por intención de tratar modificado (IDTm) estaba compuesto por 465 receptores de un TCMH alogénico, el 45% de los cuales padecía leucemia mieloide aguda (LMA). El 58% del total de pacientes estaba sometido a un regimen en condiciones mielosupresoras. La profilaxis con el fármaco del estudio se inició inmediatamente después del TCMH: 224 pacientes recibieron voriconazol y 241 recibieron itraconazol. La mediana de duración de la profilaxis con el fármaco del estudio fue de 96 días en el caso del voriconazol y de 68 días en el caso del itraconazol en el grupo de análisis por intencion de tratar.</w:t>
      </w:r>
    </w:p>
    <w:p w14:paraId="4D2A511C" w14:textId="77777777" w:rsidR="00002E8F" w:rsidRPr="00C52C4C" w:rsidRDefault="00002E8F" w:rsidP="00002E8F">
      <w:pPr>
        <w:pStyle w:val="Default"/>
        <w:rPr>
          <w:sz w:val="22"/>
          <w:szCs w:val="22"/>
          <w:lang w:val="es-ES_tradnl"/>
        </w:rPr>
      </w:pPr>
    </w:p>
    <w:p w14:paraId="6B766E12" w14:textId="77777777" w:rsidR="00002E8F" w:rsidRPr="00C52C4C" w:rsidRDefault="00002E8F" w:rsidP="00002E8F">
      <w:pPr>
        <w:pStyle w:val="Default"/>
        <w:keepNext/>
        <w:widowControl/>
        <w:rPr>
          <w:sz w:val="22"/>
          <w:szCs w:val="22"/>
          <w:lang w:val="es-ES_tradnl"/>
        </w:rPr>
      </w:pPr>
      <w:r w:rsidRPr="00C52C4C">
        <w:rPr>
          <w:sz w:val="22"/>
          <w:szCs w:val="22"/>
          <w:lang w:val="es-ES_tradnl"/>
        </w:rPr>
        <w:lastRenderedPageBreak/>
        <w:t>En la tabla siguiente se presentan las tasas de resultado satisfactorio y otras variables secundarias:</w:t>
      </w:r>
    </w:p>
    <w:p w14:paraId="39698CA5" w14:textId="77777777" w:rsidR="00002E8F" w:rsidRPr="00C52C4C" w:rsidRDefault="00002E8F" w:rsidP="00002E8F">
      <w:pPr>
        <w:pStyle w:val="CM55"/>
        <w:keepNext/>
        <w:widowControl/>
        <w:spacing w:after="0"/>
        <w:rPr>
          <w:sz w:val="22"/>
          <w:szCs w:val="22"/>
          <w:u w:val="single"/>
          <w:lang w:val="es-ES_tradn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40"/>
        <w:gridCol w:w="1530"/>
        <w:gridCol w:w="1440"/>
        <w:gridCol w:w="2430"/>
        <w:gridCol w:w="1080"/>
      </w:tblGrid>
      <w:tr w:rsidR="00002E8F" w:rsidRPr="00C52C4C" w14:paraId="55D5D2C5" w14:textId="77777777" w:rsidTr="0059417B">
        <w:tc>
          <w:tcPr>
            <w:tcW w:w="324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1456332" w14:textId="77777777" w:rsidR="00002E8F" w:rsidRPr="00C52C4C" w:rsidRDefault="00002E8F" w:rsidP="0059417B">
            <w:pPr>
              <w:pStyle w:val="Default"/>
              <w:keepNext/>
              <w:widowControl/>
              <w:jc w:val="center"/>
              <w:rPr>
                <w:b/>
                <w:sz w:val="22"/>
                <w:szCs w:val="22"/>
                <w:lang w:val="es-ES_tradnl"/>
              </w:rPr>
            </w:pPr>
            <w:r w:rsidRPr="00C52C4C">
              <w:rPr>
                <w:b/>
                <w:sz w:val="22"/>
                <w:szCs w:val="22"/>
                <w:lang w:val="es-ES_tradnl"/>
              </w:rPr>
              <w:t>Variables del estudio</w:t>
            </w:r>
          </w:p>
        </w:tc>
        <w:tc>
          <w:tcPr>
            <w:tcW w:w="153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DFB330D" w14:textId="77777777" w:rsidR="00002E8F" w:rsidRPr="00C52C4C" w:rsidRDefault="00002E8F" w:rsidP="0059417B">
            <w:pPr>
              <w:pStyle w:val="Default"/>
              <w:keepNext/>
              <w:widowControl/>
              <w:jc w:val="center"/>
              <w:rPr>
                <w:b/>
                <w:sz w:val="22"/>
                <w:szCs w:val="22"/>
              </w:rPr>
            </w:pPr>
            <w:r w:rsidRPr="00C52C4C">
              <w:rPr>
                <w:b/>
                <w:sz w:val="22"/>
                <w:szCs w:val="22"/>
              </w:rPr>
              <w:t>Voriconazol</w:t>
            </w:r>
            <w:r w:rsidRPr="00C52C4C">
              <w:rPr>
                <w:b/>
                <w:sz w:val="22"/>
                <w:szCs w:val="22"/>
              </w:rPr>
              <w:br/>
              <w:t>N=224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8E27B47" w14:textId="77777777" w:rsidR="00002E8F" w:rsidRPr="00C52C4C" w:rsidRDefault="00002E8F" w:rsidP="0059417B">
            <w:pPr>
              <w:pStyle w:val="Default"/>
              <w:keepNext/>
              <w:widowControl/>
              <w:jc w:val="center"/>
              <w:rPr>
                <w:b/>
                <w:sz w:val="22"/>
                <w:szCs w:val="22"/>
              </w:rPr>
            </w:pPr>
            <w:r w:rsidRPr="00C52C4C">
              <w:rPr>
                <w:b/>
                <w:sz w:val="22"/>
                <w:szCs w:val="22"/>
              </w:rPr>
              <w:t>Itraconazol</w:t>
            </w:r>
            <w:r w:rsidRPr="00C52C4C">
              <w:rPr>
                <w:b/>
                <w:sz w:val="22"/>
                <w:szCs w:val="22"/>
              </w:rPr>
              <w:br/>
              <w:t>N=241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3A00885" w14:textId="77777777" w:rsidR="00002E8F" w:rsidRPr="00C52C4C" w:rsidRDefault="00002E8F" w:rsidP="0059417B">
            <w:pPr>
              <w:pStyle w:val="Default"/>
              <w:keepNext/>
              <w:widowControl/>
              <w:jc w:val="center"/>
              <w:rPr>
                <w:b/>
                <w:sz w:val="22"/>
                <w:szCs w:val="22"/>
                <w:lang w:val="es-ES_tradnl"/>
              </w:rPr>
            </w:pPr>
            <w:r w:rsidRPr="00C52C4C">
              <w:rPr>
                <w:b/>
                <w:sz w:val="22"/>
                <w:szCs w:val="22"/>
                <w:lang w:val="es-ES_tradnl"/>
              </w:rPr>
              <w:t>Diferencia en las proporciones e intervalo de confianza (IC) del 95%</w:t>
            </w:r>
          </w:p>
        </w:tc>
        <w:tc>
          <w:tcPr>
            <w:tcW w:w="108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D7392DB" w14:textId="77777777" w:rsidR="00002E8F" w:rsidRPr="00C52C4C" w:rsidRDefault="00002E8F" w:rsidP="0059417B">
            <w:pPr>
              <w:pStyle w:val="Default"/>
              <w:keepNext/>
              <w:widowControl/>
              <w:jc w:val="center"/>
              <w:rPr>
                <w:b/>
                <w:sz w:val="22"/>
                <w:szCs w:val="22"/>
              </w:rPr>
            </w:pPr>
            <w:r w:rsidRPr="00C52C4C">
              <w:rPr>
                <w:b/>
                <w:sz w:val="22"/>
                <w:szCs w:val="22"/>
              </w:rPr>
              <w:t xml:space="preserve">Valor de </w:t>
            </w:r>
            <w:r w:rsidRPr="00C52C4C">
              <w:rPr>
                <w:b/>
                <w:i/>
                <w:sz w:val="22"/>
                <w:szCs w:val="22"/>
              </w:rPr>
              <w:t>P</w:t>
            </w:r>
          </w:p>
        </w:tc>
      </w:tr>
      <w:tr w:rsidR="00002E8F" w:rsidRPr="00C52C4C" w14:paraId="773F1EA8" w14:textId="77777777" w:rsidTr="0059417B">
        <w:tc>
          <w:tcPr>
            <w:tcW w:w="3240" w:type="dxa"/>
            <w:tcBorders>
              <w:top w:val="single" w:sz="4" w:space="0" w:color="000000"/>
              <w:left w:val="single" w:sz="4" w:space="0" w:color="000000"/>
              <w:bottom w:val="single" w:sz="4" w:space="0" w:color="000000"/>
              <w:right w:val="single" w:sz="4" w:space="0" w:color="000000"/>
            </w:tcBorders>
            <w:vAlign w:val="center"/>
          </w:tcPr>
          <w:p w14:paraId="0703A91C" w14:textId="77777777" w:rsidR="00002E8F" w:rsidRPr="00C52C4C" w:rsidRDefault="00002E8F" w:rsidP="0059417B">
            <w:pPr>
              <w:pStyle w:val="Default"/>
              <w:keepNext/>
              <w:widowControl/>
              <w:rPr>
                <w:sz w:val="22"/>
                <w:szCs w:val="22"/>
              </w:rPr>
            </w:pPr>
            <w:r w:rsidRPr="00C52C4C">
              <w:rPr>
                <w:sz w:val="22"/>
                <w:szCs w:val="22"/>
              </w:rPr>
              <w:t>Resultado satisfactorio el día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327B4CF9" w14:textId="77777777" w:rsidR="00002E8F" w:rsidRPr="00C52C4C" w:rsidRDefault="00002E8F" w:rsidP="0059417B">
            <w:pPr>
              <w:pStyle w:val="Default"/>
              <w:keepNext/>
              <w:widowControl/>
              <w:jc w:val="center"/>
              <w:rPr>
                <w:sz w:val="22"/>
                <w:szCs w:val="22"/>
              </w:rPr>
            </w:pPr>
            <w:r w:rsidRPr="00C52C4C">
              <w:rPr>
                <w:sz w:val="22"/>
                <w:szCs w:val="22"/>
              </w:rPr>
              <w:t>109 (48,7%)</w:t>
            </w:r>
          </w:p>
        </w:tc>
        <w:tc>
          <w:tcPr>
            <w:tcW w:w="1440" w:type="dxa"/>
            <w:tcBorders>
              <w:top w:val="single" w:sz="4" w:space="0" w:color="000000"/>
              <w:left w:val="single" w:sz="4" w:space="0" w:color="000000"/>
              <w:bottom w:val="single" w:sz="4" w:space="0" w:color="000000"/>
              <w:right w:val="single" w:sz="4" w:space="0" w:color="000000"/>
            </w:tcBorders>
            <w:vAlign w:val="center"/>
          </w:tcPr>
          <w:p w14:paraId="3F44AFF8" w14:textId="77777777" w:rsidR="00002E8F" w:rsidRPr="00C52C4C" w:rsidRDefault="00002E8F" w:rsidP="0059417B">
            <w:pPr>
              <w:pStyle w:val="Default"/>
              <w:keepNext/>
              <w:widowControl/>
              <w:jc w:val="center"/>
              <w:rPr>
                <w:sz w:val="22"/>
                <w:szCs w:val="22"/>
              </w:rPr>
            </w:pPr>
            <w:r w:rsidRPr="00C52C4C">
              <w:rPr>
                <w:sz w:val="22"/>
                <w:szCs w:val="22"/>
              </w:rPr>
              <w:t>80 (33,2%)</w:t>
            </w:r>
          </w:p>
        </w:tc>
        <w:tc>
          <w:tcPr>
            <w:tcW w:w="2430" w:type="dxa"/>
            <w:tcBorders>
              <w:top w:val="single" w:sz="4" w:space="0" w:color="000000"/>
              <w:left w:val="single" w:sz="4" w:space="0" w:color="000000"/>
              <w:bottom w:val="single" w:sz="4" w:space="0" w:color="000000"/>
              <w:right w:val="single" w:sz="4" w:space="0" w:color="000000"/>
            </w:tcBorders>
            <w:vAlign w:val="center"/>
          </w:tcPr>
          <w:p w14:paraId="491F89D2" w14:textId="77777777" w:rsidR="00002E8F" w:rsidRPr="00C52C4C" w:rsidRDefault="00002E8F" w:rsidP="0059417B">
            <w:pPr>
              <w:pStyle w:val="Default"/>
              <w:keepNext/>
              <w:widowControl/>
              <w:jc w:val="center"/>
              <w:rPr>
                <w:sz w:val="22"/>
                <w:szCs w:val="22"/>
              </w:rPr>
            </w:pPr>
            <w:r w:rsidRPr="00C52C4C">
              <w:rPr>
                <w:sz w:val="22"/>
                <w:szCs w:val="22"/>
              </w:rPr>
              <w:t>16,4% (7,7%, 25,1%)**</w:t>
            </w:r>
          </w:p>
        </w:tc>
        <w:tc>
          <w:tcPr>
            <w:tcW w:w="1080" w:type="dxa"/>
            <w:tcBorders>
              <w:top w:val="single" w:sz="4" w:space="0" w:color="000000"/>
              <w:left w:val="single" w:sz="4" w:space="0" w:color="000000"/>
              <w:bottom w:val="single" w:sz="4" w:space="0" w:color="000000"/>
              <w:right w:val="single" w:sz="4" w:space="0" w:color="000000"/>
            </w:tcBorders>
            <w:vAlign w:val="center"/>
          </w:tcPr>
          <w:p w14:paraId="59F71720" w14:textId="77777777" w:rsidR="00002E8F" w:rsidRPr="00C52C4C" w:rsidRDefault="00002E8F" w:rsidP="0059417B">
            <w:pPr>
              <w:pStyle w:val="Default"/>
              <w:keepNext/>
              <w:widowControl/>
              <w:jc w:val="center"/>
              <w:rPr>
                <w:sz w:val="22"/>
                <w:szCs w:val="22"/>
              </w:rPr>
            </w:pPr>
            <w:r w:rsidRPr="00C52C4C">
              <w:rPr>
                <w:sz w:val="22"/>
                <w:szCs w:val="22"/>
              </w:rPr>
              <w:t>0,0002**</w:t>
            </w:r>
          </w:p>
        </w:tc>
      </w:tr>
      <w:tr w:rsidR="00002E8F" w:rsidRPr="00C52C4C" w14:paraId="5B79197B" w14:textId="77777777" w:rsidTr="0059417B">
        <w:tc>
          <w:tcPr>
            <w:tcW w:w="3240" w:type="dxa"/>
            <w:tcBorders>
              <w:top w:val="single" w:sz="4" w:space="0" w:color="000000"/>
              <w:left w:val="single" w:sz="4" w:space="0" w:color="000000"/>
              <w:bottom w:val="single" w:sz="4" w:space="0" w:color="000000"/>
              <w:right w:val="single" w:sz="4" w:space="0" w:color="000000"/>
            </w:tcBorders>
            <w:vAlign w:val="center"/>
          </w:tcPr>
          <w:p w14:paraId="4B8812C9" w14:textId="77777777" w:rsidR="00002E8F" w:rsidRPr="00C52C4C" w:rsidRDefault="00002E8F" w:rsidP="0059417B">
            <w:pPr>
              <w:pStyle w:val="Default"/>
              <w:keepNext/>
              <w:widowControl/>
              <w:rPr>
                <w:sz w:val="22"/>
                <w:szCs w:val="22"/>
              </w:rPr>
            </w:pPr>
            <w:r w:rsidRPr="00C52C4C">
              <w:rPr>
                <w:sz w:val="22"/>
                <w:szCs w:val="22"/>
              </w:rPr>
              <w:t>Resultado satisfactorio el día 100</w:t>
            </w:r>
          </w:p>
        </w:tc>
        <w:tc>
          <w:tcPr>
            <w:tcW w:w="1530" w:type="dxa"/>
            <w:tcBorders>
              <w:top w:val="single" w:sz="4" w:space="0" w:color="000000"/>
              <w:left w:val="single" w:sz="4" w:space="0" w:color="000000"/>
              <w:bottom w:val="single" w:sz="4" w:space="0" w:color="000000"/>
              <w:right w:val="single" w:sz="4" w:space="0" w:color="000000"/>
            </w:tcBorders>
            <w:vAlign w:val="center"/>
          </w:tcPr>
          <w:p w14:paraId="3E457752" w14:textId="77777777" w:rsidR="00002E8F" w:rsidRPr="00C52C4C" w:rsidRDefault="00002E8F" w:rsidP="0059417B">
            <w:pPr>
              <w:pStyle w:val="Default"/>
              <w:keepNext/>
              <w:widowControl/>
              <w:jc w:val="center"/>
              <w:rPr>
                <w:sz w:val="22"/>
                <w:szCs w:val="22"/>
              </w:rPr>
            </w:pPr>
            <w:r w:rsidRPr="00C52C4C">
              <w:rPr>
                <w:sz w:val="22"/>
                <w:szCs w:val="22"/>
              </w:rPr>
              <w:t>121 (54,0%)</w:t>
            </w:r>
          </w:p>
        </w:tc>
        <w:tc>
          <w:tcPr>
            <w:tcW w:w="1440" w:type="dxa"/>
            <w:tcBorders>
              <w:top w:val="single" w:sz="4" w:space="0" w:color="000000"/>
              <w:left w:val="single" w:sz="4" w:space="0" w:color="000000"/>
              <w:bottom w:val="single" w:sz="4" w:space="0" w:color="000000"/>
              <w:right w:val="single" w:sz="4" w:space="0" w:color="000000"/>
            </w:tcBorders>
            <w:vAlign w:val="center"/>
          </w:tcPr>
          <w:p w14:paraId="09FF5783" w14:textId="77777777" w:rsidR="00002E8F" w:rsidRPr="00C52C4C" w:rsidRDefault="00002E8F" w:rsidP="0059417B">
            <w:pPr>
              <w:pStyle w:val="Default"/>
              <w:keepNext/>
              <w:widowControl/>
              <w:jc w:val="center"/>
              <w:rPr>
                <w:sz w:val="22"/>
                <w:szCs w:val="22"/>
              </w:rPr>
            </w:pPr>
            <w:r w:rsidRPr="00C52C4C">
              <w:rPr>
                <w:sz w:val="22"/>
                <w:szCs w:val="22"/>
              </w:rPr>
              <w:t>96 (39,8%)</w:t>
            </w:r>
          </w:p>
        </w:tc>
        <w:tc>
          <w:tcPr>
            <w:tcW w:w="2430" w:type="dxa"/>
            <w:tcBorders>
              <w:top w:val="single" w:sz="4" w:space="0" w:color="000000"/>
              <w:left w:val="single" w:sz="4" w:space="0" w:color="000000"/>
              <w:bottom w:val="single" w:sz="4" w:space="0" w:color="000000"/>
              <w:right w:val="single" w:sz="4" w:space="0" w:color="000000"/>
            </w:tcBorders>
            <w:vAlign w:val="center"/>
          </w:tcPr>
          <w:p w14:paraId="23CD0473" w14:textId="77777777" w:rsidR="00002E8F" w:rsidRPr="00C52C4C" w:rsidRDefault="00002E8F" w:rsidP="0059417B">
            <w:pPr>
              <w:pStyle w:val="Default"/>
              <w:keepNext/>
              <w:widowControl/>
              <w:jc w:val="center"/>
              <w:rPr>
                <w:sz w:val="22"/>
                <w:szCs w:val="22"/>
              </w:rPr>
            </w:pPr>
            <w:r w:rsidRPr="00C52C4C">
              <w:rPr>
                <w:sz w:val="22"/>
                <w:szCs w:val="22"/>
              </w:rPr>
              <w:t>15,4% (6,6%, 24,2%)**</w:t>
            </w:r>
          </w:p>
        </w:tc>
        <w:tc>
          <w:tcPr>
            <w:tcW w:w="1080" w:type="dxa"/>
            <w:tcBorders>
              <w:top w:val="single" w:sz="4" w:space="0" w:color="000000"/>
              <w:left w:val="single" w:sz="4" w:space="0" w:color="000000"/>
              <w:bottom w:val="single" w:sz="4" w:space="0" w:color="000000"/>
              <w:right w:val="single" w:sz="4" w:space="0" w:color="000000"/>
            </w:tcBorders>
            <w:vAlign w:val="center"/>
          </w:tcPr>
          <w:p w14:paraId="0B306AAD" w14:textId="77777777" w:rsidR="00002E8F" w:rsidRPr="00C52C4C" w:rsidRDefault="00002E8F" w:rsidP="0059417B">
            <w:pPr>
              <w:pStyle w:val="Default"/>
              <w:keepNext/>
              <w:widowControl/>
              <w:jc w:val="center"/>
              <w:rPr>
                <w:sz w:val="22"/>
                <w:szCs w:val="22"/>
              </w:rPr>
            </w:pPr>
            <w:r w:rsidRPr="00C52C4C">
              <w:rPr>
                <w:sz w:val="22"/>
                <w:szCs w:val="22"/>
              </w:rPr>
              <w:t>0,0006**</w:t>
            </w:r>
          </w:p>
        </w:tc>
      </w:tr>
      <w:tr w:rsidR="00002E8F" w:rsidRPr="00C52C4C" w14:paraId="20A8F3C8" w14:textId="77777777" w:rsidTr="0059417B">
        <w:tc>
          <w:tcPr>
            <w:tcW w:w="3240" w:type="dxa"/>
            <w:tcBorders>
              <w:top w:val="single" w:sz="4" w:space="0" w:color="000000"/>
              <w:left w:val="single" w:sz="4" w:space="0" w:color="000000"/>
              <w:bottom w:val="single" w:sz="4" w:space="0" w:color="000000"/>
              <w:right w:val="single" w:sz="4" w:space="0" w:color="000000"/>
            </w:tcBorders>
            <w:vAlign w:val="center"/>
          </w:tcPr>
          <w:p w14:paraId="4FD36B16" w14:textId="77777777" w:rsidR="00002E8F" w:rsidRPr="00C52C4C" w:rsidRDefault="00002E8F" w:rsidP="0059417B">
            <w:pPr>
              <w:pStyle w:val="Default"/>
              <w:keepNext/>
              <w:widowControl/>
              <w:rPr>
                <w:sz w:val="22"/>
                <w:szCs w:val="22"/>
                <w:lang w:val="es-ES_tradnl"/>
              </w:rPr>
            </w:pPr>
            <w:r w:rsidRPr="00C52C4C">
              <w:rPr>
                <w:sz w:val="22"/>
                <w:szCs w:val="22"/>
                <w:lang w:val="es-ES_tradnl"/>
              </w:rPr>
              <w:t>Completados al menos 100 días de profilaxis con el fármaco del estudio</w:t>
            </w:r>
          </w:p>
        </w:tc>
        <w:tc>
          <w:tcPr>
            <w:tcW w:w="1530" w:type="dxa"/>
            <w:tcBorders>
              <w:top w:val="single" w:sz="4" w:space="0" w:color="000000"/>
              <w:left w:val="single" w:sz="4" w:space="0" w:color="000000"/>
              <w:bottom w:val="single" w:sz="4" w:space="0" w:color="000000"/>
              <w:right w:val="single" w:sz="4" w:space="0" w:color="000000"/>
            </w:tcBorders>
            <w:vAlign w:val="center"/>
          </w:tcPr>
          <w:p w14:paraId="7CBFF7F1" w14:textId="77777777" w:rsidR="00002E8F" w:rsidRPr="00C52C4C" w:rsidRDefault="00002E8F" w:rsidP="0059417B">
            <w:pPr>
              <w:pStyle w:val="Default"/>
              <w:keepNext/>
              <w:widowControl/>
              <w:jc w:val="center"/>
              <w:rPr>
                <w:sz w:val="22"/>
                <w:szCs w:val="22"/>
              </w:rPr>
            </w:pPr>
            <w:r w:rsidRPr="00C52C4C">
              <w:rPr>
                <w:sz w:val="22"/>
                <w:szCs w:val="22"/>
              </w:rPr>
              <w:t>120 (53,6%)</w:t>
            </w:r>
          </w:p>
        </w:tc>
        <w:tc>
          <w:tcPr>
            <w:tcW w:w="1440" w:type="dxa"/>
            <w:tcBorders>
              <w:top w:val="single" w:sz="4" w:space="0" w:color="000000"/>
              <w:left w:val="single" w:sz="4" w:space="0" w:color="000000"/>
              <w:bottom w:val="single" w:sz="4" w:space="0" w:color="000000"/>
              <w:right w:val="single" w:sz="4" w:space="0" w:color="000000"/>
            </w:tcBorders>
            <w:vAlign w:val="center"/>
          </w:tcPr>
          <w:p w14:paraId="6B97C74B" w14:textId="77777777" w:rsidR="00002E8F" w:rsidRPr="00C52C4C" w:rsidRDefault="00002E8F" w:rsidP="0059417B">
            <w:pPr>
              <w:pStyle w:val="Default"/>
              <w:keepNext/>
              <w:widowControl/>
              <w:jc w:val="center"/>
              <w:rPr>
                <w:sz w:val="22"/>
                <w:szCs w:val="22"/>
              </w:rPr>
            </w:pPr>
            <w:r w:rsidRPr="00C52C4C">
              <w:rPr>
                <w:sz w:val="22"/>
                <w:szCs w:val="22"/>
              </w:rPr>
              <w:t>94 (39,0%)</w:t>
            </w:r>
          </w:p>
        </w:tc>
        <w:tc>
          <w:tcPr>
            <w:tcW w:w="2430" w:type="dxa"/>
            <w:tcBorders>
              <w:top w:val="single" w:sz="4" w:space="0" w:color="000000"/>
              <w:left w:val="single" w:sz="4" w:space="0" w:color="000000"/>
              <w:bottom w:val="single" w:sz="4" w:space="0" w:color="000000"/>
              <w:right w:val="single" w:sz="4" w:space="0" w:color="000000"/>
            </w:tcBorders>
            <w:vAlign w:val="center"/>
          </w:tcPr>
          <w:p w14:paraId="38C57412" w14:textId="77777777" w:rsidR="00002E8F" w:rsidRPr="00C52C4C" w:rsidRDefault="00002E8F" w:rsidP="0059417B">
            <w:pPr>
              <w:pStyle w:val="Default"/>
              <w:keepNext/>
              <w:widowControl/>
              <w:jc w:val="center"/>
              <w:rPr>
                <w:sz w:val="22"/>
                <w:szCs w:val="22"/>
              </w:rPr>
            </w:pPr>
            <w:r w:rsidRPr="00C52C4C">
              <w:rPr>
                <w:sz w:val="22"/>
                <w:szCs w:val="22"/>
              </w:rPr>
              <w:t>14,6% (5,6%, 23,5%)</w:t>
            </w:r>
          </w:p>
        </w:tc>
        <w:tc>
          <w:tcPr>
            <w:tcW w:w="1080" w:type="dxa"/>
            <w:tcBorders>
              <w:top w:val="single" w:sz="4" w:space="0" w:color="000000"/>
              <w:left w:val="single" w:sz="4" w:space="0" w:color="000000"/>
              <w:bottom w:val="single" w:sz="4" w:space="0" w:color="000000"/>
              <w:right w:val="single" w:sz="4" w:space="0" w:color="000000"/>
            </w:tcBorders>
            <w:vAlign w:val="center"/>
          </w:tcPr>
          <w:p w14:paraId="0A0298B4" w14:textId="77777777" w:rsidR="00002E8F" w:rsidRPr="00C52C4C" w:rsidRDefault="00002E8F" w:rsidP="0059417B">
            <w:pPr>
              <w:pStyle w:val="Default"/>
              <w:keepNext/>
              <w:widowControl/>
              <w:jc w:val="center"/>
              <w:rPr>
                <w:sz w:val="22"/>
                <w:szCs w:val="22"/>
              </w:rPr>
            </w:pPr>
            <w:r w:rsidRPr="00C52C4C">
              <w:rPr>
                <w:sz w:val="22"/>
                <w:szCs w:val="22"/>
              </w:rPr>
              <w:t>0,0015</w:t>
            </w:r>
          </w:p>
        </w:tc>
      </w:tr>
      <w:tr w:rsidR="00002E8F" w:rsidRPr="00C52C4C" w14:paraId="01038A8F" w14:textId="77777777" w:rsidTr="0059417B">
        <w:tc>
          <w:tcPr>
            <w:tcW w:w="3240" w:type="dxa"/>
            <w:tcBorders>
              <w:top w:val="single" w:sz="4" w:space="0" w:color="000000"/>
              <w:left w:val="single" w:sz="4" w:space="0" w:color="000000"/>
              <w:bottom w:val="single" w:sz="4" w:space="0" w:color="000000"/>
              <w:right w:val="single" w:sz="4" w:space="0" w:color="000000"/>
            </w:tcBorders>
            <w:vAlign w:val="center"/>
          </w:tcPr>
          <w:p w14:paraId="0C9CF097" w14:textId="77777777" w:rsidR="00002E8F" w:rsidRPr="00C52C4C" w:rsidRDefault="00002E8F" w:rsidP="0059417B">
            <w:pPr>
              <w:pStyle w:val="Default"/>
              <w:keepNext/>
              <w:widowControl/>
              <w:rPr>
                <w:sz w:val="22"/>
                <w:szCs w:val="22"/>
              </w:rPr>
            </w:pPr>
            <w:r w:rsidRPr="00C52C4C">
              <w:rPr>
                <w:sz w:val="22"/>
                <w:szCs w:val="22"/>
              </w:rPr>
              <w:t>Supervivencia hasta el día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7BC6756B" w14:textId="77777777" w:rsidR="00002E8F" w:rsidRPr="00C52C4C" w:rsidRDefault="00002E8F" w:rsidP="0059417B">
            <w:pPr>
              <w:pStyle w:val="Default"/>
              <w:keepNext/>
              <w:widowControl/>
              <w:jc w:val="center"/>
              <w:rPr>
                <w:sz w:val="22"/>
                <w:szCs w:val="22"/>
              </w:rPr>
            </w:pPr>
            <w:r w:rsidRPr="00C52C4C">
              <w:rPr>
                <w:sz w:val="22"/>
                <w:szCs w:val="22"/>
              </w:rPr>
              <w:t>184 (82,1%)</w:t>
            </w:r>
          </w:p>
        </w:tc>
        <w:tc>
          <w:tcPr>
            <w:tcW w:w="1440" w:type="dxa"/>
            <w:tcBorders>
              <w:top w:val="single" w:sz="4" w:space="0" w:color="000000"/>
              <w:left w:val="single" w:sz="4" w:space="0" w:color="000000"/>
              <w:bottom w:val="single" w:sz="4" w:space="0" w:color="000000"/>
              <w:right w:val="single" w:sz="4" w:space="0" w:color="000000"/>
            </w:tcBorders>
            <w:vAlign w:val="center"/>
          </w:tcPr>
          <w:p w14:paraId="07937C4A" w14:textId="77777777" w:rsidR="00002E8F" w:rsidRPr="00C52C4C" w:rsidRDefault="00002E8F" w:rsidP="0059417B">
            <w:pPr>
              <w:pStyle w:val="Default"/>
              <w:keepNext/>
              <w:widowControl/>
              <w:jc w:val="center"/>
              <w:rPr>
                <w:sz w:val="22"/>
                <w:szCs w:val="22"/>
              </w:rPr>
            </w:pPr>
            <w:r w:rsidRPr="00C52C4C">
              <w:rPr>
                <w:sz w:val="22"/>
                <w:szCs w:val="22"/>
              </w:rPr>
              <w:t>197 (81,7%)</w:t>
            </w:r>
          </w:p>
        </w:tc>
        <w:tc>
          <w:tcPr>
            <w:tcW w:w="2430" w:type="dxa"/>
            <w:tcBorders>
              <w:top w:val="single" w:sz="4" w:space="0" w:color="000000"/>
              <w:left w:val="single" w:sz="4" w:space="0" w:color="000000"/>
              <w:bottom w:val="single" w:sz="4" w:space="0" w:color="000000"/>
              <w:right w:val="single" w:sz="4" w:space="0" w:color="000000"/>
            </w:tcBorders>
            <w:vAlign w:val="center"/>
          </w:tcPr>
          <w:p w14:paraId="4013E472" w14:textId="77777777" w:rsidR="00002E8F" w:rsidRPr="00C52C4C" w:rsidRDefault="00002E8F" w:rsidP="0059417B">
            <w:pPr>
              <w:pStyle w:val="Default"/>
              <w:keepNext/>
              <w:widowControl/>
              <w:jc w:val="center"/>
              <w:rPr>
                <w:sz w:val="22"/>
                <w:szCs w:val="22"/>
              </w:rPr>
            </w:pPr>
            <w:r w:rsidRPr="00C52C4C">
              <w:rPr>
                <w:sz w:val="22"/>
                <w:szCs w:val="22"/>
              </w:rPr>
              <w:t>0,4% (-6,6%, 7,4%)</w:t>
            </w:r>
          </w:p>
        </w:tc>
        <w:tc>
          <w:tcPr>
            <w:tcW w:w="1080" w:type="dxa"/>
            <w:tcBorders>
              <w:top w:val="single" w:sz="4" w:space="0" w:color="000000"/>
              <w:left w:val="single" w:sz="4" w:space="0" w:color="000000"/>
              <w:bottom w:val="single" w:sz="4" w:space="0" w:color="000000"/>
              <w:right w:val="single" w:sz="4" w:space="0" w:color="000000"/>
            </w:tcBorders>
            <w:vAlign w:val="center"/>
          </w:tcPr>
          <w:p w14:paraId="562FC0C8" w14:textId="77777777" w:rsidR="00002E8F" w:rsidRPr="00C52C4C" w:rsidRDefault="00002E8F" w:rsidP="0059417B">
            <w:pPr>
              <w:pStyle w:val="Default"/>
              <w:keepNext/>
              <w:widowControl/>
              <w:jc w:val="center"/>
              <w:rPr>
                <w:sz w:val="22"/>
                <w:szCs w:val="22"/>
              </w:rPr>
            </w:pPr>
            <w:r w:rsidRPr="00C52C4C">
              <w:rPr>
                <w:sz w:val="22"/>
                <w:szCs w:val="22"/>
              </w:rPr>
              <w:t>0,9107</w:t>
            </w:r>
          </w:p>
        </w:tc>
      </w:tr>
      <w:tr w:rsidR="00002E8F" w:rsidRPr="00C52C4C" w14:paraId="04CB85B5" w14:textId="77777777" w:rsidTr="0059417B">
        <w:tc>
          <w:tcPr>
            <w:tcW w:w="3240" w:type="dxa"/>
            <w:tcBorders>
              <w:top w:val="single" w:sz="4" w:space="0" w:color="000000"/>
              <w:left w:val="single" w:sz="4" w:space="0" w:color="000000"/>
              <w:bottom w:val="single" w:sz="4" w:space="0" w:color="000000"/>
              <w:right w:val="single" w:sz="4" w:space="0" w:color="000000"/>
            </w:tcBorders>
            <w:vAlign w:val="center"/>
          </w:tcPr>
          <w:p w14:paraId="7FE73183" w14:textId="77777777" w:rsidR="00002E8F" w:rsidRPr="00C52C4C" w:rsidRDefault="00002E8F" w:rsidP="0059417B">
            <w:pPr>
              <w:pStyle w:val="Default"/>
              <w:keepNext/>
              <w:widowControl/>
              <w:rPr>
                <w:sz w:val="22"/>
                <w:szCs w:val="22"/>
                <w:lang w:val="es-ES_tradnl"/>
              </w:rPr>
            </w:pPr>
            <w:r w:rsidRPr="00C52C4C">
              <w:rPr>
                <w:sz w:val="22"/>
                <w:szCs w:val="22"/>
                <w:lang w:val="es-ES_tradnl"/>
              </w:rPr>
              <w:t>Desarrollo de IFI probada o probable hasta el día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63637D2D" w14:textId="77777777" w:rsidR="00002E8F" w:rsidRPr="00C52C4C" w:rsidRDefault="00002E8F" w:rsidP="0059417B">
            <w:pPr>
              <w:pStyle w:val="Default"/>
              <w:keepNext/>
              <w:widowControl/>
              <w:jc w:val="center"/>
              <w:rPr>
                <w:sz w:val="22"/>
                <w:szCs w:val="22"/>
              </w:rPr>
            </w:pPr>
            <w:r w:rsidRPr="00C52C4C">
              <w:rPr>
                <w:sz w:val="22"/>
                <w:szCs w:val="22"/>
              </w:rPr>
              <w:t>3 (1,3%)</w:t>
            </w:r>
          </w:p>
        </w:tc>
        <w:tc>
          <w:tcPr>
            <w:tcW w:w="1440" w:type="dxa"/>
            <w:tcBorders>
              <w:top w:val="single" w:sz="4" w:space="0" w:color="000000"/>
              <w:left w:val="single" w:sz="4" w:space="0" w:color="000000"/>
              <w:bottom w:val="single" w:sz="4" w:space="0" w:color="000000"/>
              <w:right w:val="single" w:sz="4" w:space="0" w:color="000000"/>
            </w:tcBorders>
            <w:vAlign w:val="center"/>
          </w:tcPr>
          <w:p w14:paraId="7AC62633" w14:textId="77777777" w:rsidR="00002E8F" w:rsidRPr="00C52C4C" w:rsidRDefault="00002E8F" w:rsidP="0059417B">
            <w:pPr>
              <w:pStyle w:val="Default"/>
              <w:keepNext/>
              <w:widowControl/>
              <w:jc w:val="center"/>
              <w:rPr>
                <w:sz w:val="22"/>
                <w:szCs w:val="22"/>
              </w:rPr>
            </w:pPr>
            <w:r w:rsidRPr="00C52C4C">
              <w:rPr>
                <w:sz w:val="22"/>
                <w:szCs w:val="22"/>
              </w:rPr>
              <w:t>5 (2,1%)</w:t>
            </w:r>
          </w:p>
        </w:tc>
        <w:tc>
          <w:tcPr>
            <w:tcW w:w="2430" w:type="dxa"/>
            <w:tcBorders>
              <w:top w:val="single" w:sz="4" w:space="0" w:color="000000"/>
              <w:left w:val="single" w:sz="4" w:space="0" w:color="000000"/>
              <w:bottom w:val="single" w:sz="4" w:space="0" w:color="000000"/>
              <w:right w:val="single" w:sz="4" w:space="0" w:color="000000"/>
            </w:tcBorders>
            <w:vAlign w:val="center"/>
          </w:tcPr>
          <w:p w14:paraId="1EB4603A" w14:textId="77777777" w:rsidR="00002E8F" w:rsidRPr="00C52C4C" w:rsidRDefault="00002E8F" w:rsidP="0059417B">
            <w:pPr>
              <w:pStyle w:val="Default"/>
              <w:keepNext/>
              <w:widowControl/>
              <w:jc w:val="center"/>
              <w:rPr>
                <w:sz w:val="22"/>
                <w:szCs w:val="22"/>
              </w:rPr>
            </w:pPr>
            <w:r w:rsidRPr="00C52C4C">
              <w:rPr>
                <w:sz w:val="22"/>
                <w:szCs w:val="22"/>
              </w:rPr>
              <w:t>-0,7% (-3,1%, 1,6%)</w:t>
            </w:r>
          </w:p>
        </w:tc>
        <w:tc>
          <w:tcPr>
            <w:tcW w:w="1080" w:type="dxa"/>
            <w:tcBorders>
              <w:top w:val="single" w:sz="4" w:space="0" w:color="000000"/>
              <w:left w:val="single" w:sz="4" w:space="0" w:color="000000"/>
              <w:bottom w:val="single" w:sz="4" w:space="0" w:color="000000"/>
              <w:right w:val="single" w:sz="4" w:space="0" w:color="000000"/>
            </w:tcBorders>
            <w:vAlign w:val="center"/>
          </w:tcPr>
          <w:p w14:paraId="08DC418D" w14:textId="77777777" w:rsidR="00002E8F" w:rsidRPr="00C52C4C" w:rsidRDefault="00002E8F" w:rsidP="0059417B">
            <w:pPr>
              <w:pStyle w:val="Default"/>
              <w:keepNext/>
              <w:widowControl/>
              <w:jc w:val="center"/>
              <w:rPr>
                <w:sz w:val="22"/>
                <w:szCs w:val="22"/>
              </w:rPr>
            </w:pPr>
            <w:r w:rsidRPr="00C52C4C">
              <w:rPr>
                <w:sz w:val="22"/>
                <w:szCs w:val="22"/>
              </w:rPr>
              <w:t>0,5390</w:t>
            </w:r>
          </w:p>
        </w:tc>
      </w:tr>
      <w:tr w:rsidR="00002E8F" w:rsidRPr="00C52C4C" w14:paraId="04B5FBF8" w14:textId="77777777" w:rsidTr="0059417B">
        <w:tc>
          <w:tcPr>
            <w:tcW w:w="3240" w:type="dxa"/>
            <w:tcBorders>
              <w:top w:val="single" w:sz="4" w:space="0" w:color="000000"/>
              <w:left w:val="single" w:sz="4" w:space="0" w:color="000000"/>
              <w:bottom w:val="single" w:sz="4" w:space="0" w:color="000000"/>
              <w:right w:val="single" w:sz="4" w:space="0" w:color="000000"/>
            </w:tcBorders>
            <w:vAlign w:val="center"/>
          </w:tcPr>
          <w:p w14:paraId="0ED52F2C" w14:textId="77777777" w:rsidR="00002E8F" w:rsidRPr="00C52C4C" w:rsidRDefault="00002E8F" w:rsidP="0059417B">
            <w:pPr>
              <w:pStyle w:val="Default"/>
              <w:keepNext/>
              <w:widowControl/>
              <w:rPr>
                <w:sz w:val="22"/>
                <w:szCs w:val="22"/>
                <w:lang w:val="es-ES_tradnl"/>
              </w:rPr>
            </w:pPr>
            <w:r w:rsidRPr="00C52C4C">
              <w:rPr>
                <w:sz w:val="22"/>
                <w:szCs w:val="22"/>
                <w:lang w:val="es-ES_tradnl"/>
              </w:rPr>
              <w:t>Desarrollo de IFI probada o probable hasta el día 100</w:t>
            </w:r>
          </w:p>
        </w:tc>
        <w:tc>
          <w:tcPr>
            <w:tcW w:w="1530" w:type="dxa"/>
            <w:tcBorders>
              <w:top w:val="single" w:sz="4" w:space="0" w:color="000000"/>
              <w:left w:val="single" w:sz="4" w:space="0" w:color="000000"/>
              <w:bottom w:val="single" w:sz="4" w:space="0" w:color="000000"/>
              <w:right w:val="single" w:sz="4" w:space="0" w:color="000000"/>
            </w:tcBorders>
            <w:vAlign w:val="center"/>
          </w:tcPr>
          <w:p w14:paraId="237F6A3A" w14:textId="77777777" w:rsidR="00002E8F" w:rsidRPr="00C52C4C" w:rsidRDefault="00002E8F" w:rsidP="0059417B">
            <w:pPr>
              <w:pStyle w:val="Default"/>
              <w:keepNext/>
              <w:widowControl/>
              <w:jc w:val="center"/>
              <w:rPr>
                <w:sz w:val="22"/>
                <w:szCs w:val="22"/>
              </w:rPr>
            </w:pPr>
            <w:r w:rsidRPr="00C52C4C">
              <w:rPr>
                <w:sz w:val="22"/>
                <w:szCs w:val="22"/>
              </w:rPr>
              <w:t>2 (0,9%)</w:t>
            </w:r>
          </w:p>
        </w:tc>
        <w:tc>
          <w:tcPr>
            <w:tcW w:w="1440" w:type="dxa"/>
            <w:tcBorders>
              <w:top w:val="single" w:sz="4" w:space="0" w:color="000000"/>
              <w:left w:val="single" w:sz="4" w:space="0" w:color="000000"/>
              <w:bottom w:val="single" w:sz="4" w:space="0" w:color="000000"/>
              <w:right w:val="single" w:sz="4" w:space="0" w:color="000000"/>
            </w:tcBorders>
            <w:vAlign w:val="center"/>
          </w:tcPr>
          <w:p w14:paraId="6A1AF23C" w14:textId="77777777" w:rsidR="00002E8F" w:rsidRPr="00C52C4C" w:rsidRDefault="00002E8F" w:rsidP="0059417B">
            <w:pPr>
              <w:pStyle w:val="Default"/>
              <w:keepNext/>
              <w:widowControl/>
              <w:jc w:val="center"/>
              <w:rPr>
                <w:sz w:val="22"/>
                <w:szCs w:val="22"/>
              </w:rPr>
            </w:pPr>
            <w:r w:rsidRPr="00C52C4C">
              <w:rPr>
                <w:sz w:val="22"/>
                <w:szCs w:val="22"/>
              </w:rPr>
              <w:t>4 (1,7%)</w:t>
            </w:r>
          </w:p>
        </w:tc>
        <w:tc>
          <w:tcPr>
            <w:tcW w:w="2430" w:type="dxa"/>
            <w:tcBorders>
              <w:top w:val="single" w:sz="4" w:space="0" w:color="000000"/>
              <w:left w:val="single" w:sz="4" w:space="0" w:color="000000"/>
              <w:bottom w:val="single" w:sz="4" w:space="0" w:color="000000"/>
              <w:right w:val="single" w:sz="4" w:space="0" w:color="000000"/>
            </w:tcBorders>
            <w:vAlign w:val="center"/>
          </w:tcPr>
          <w:p w14:paraId="26CBC65C" w14:textId="77777777" w:rsidR="00002E8F" w:rsidRPr="00C52C4C" w:rsidRDefault="00002E8F" w:rsidP="0059417B">
            <w:pPr>
              <w:pStyle w:val="Default"/>
              <w:keepNext/>
              <w:widowControl/>
              <w:jc w:val="center"/>
              <w:rPr>
                <w:sz w:val="22"/>
                <w:szCs w:val="22"/>
              </w:rPr>
            </w:pPr>
            <w:r w:rsidRPr="00C52C4C">
              <w:rPr>
                <w:sz w:val="22"/>
                <w:szCs w:val="22"/>
              </w:rPr>
              <w:t>-0,8% (-2,8%, 1,3%)</w:t>
            </w:r>
          </w:p>
        </w:tc>
        <w:tc>
          <w:tcPr>
            <w:tcW w:w="1080" w:type="dxa"/>
            <w:tcBorders>
              <w:top w:val="single" w:sz="4" w:space="0" w:color="000000"/>
              <w:left w:val="single" w:sz="4" w:space="0" w:color="000000"/>
              <w:bottom w:val="single" w:sz="4" w:space="0" w:color="000000"/>
              <w:right w:val="single" w:sz="4" w:space="0" w:color="000000"/>
            </w:tcBorders>
            <w:vAlign w:val="center"/>
          </w:tcPr>
          <w:p w14:paraId="728573BD" w14:textId="77777777" w:rsidR="00002E8F" w:rsidRPr="00C52C4C" w:rsidRDefault="00002E8F" w:rsidP="0059417B">
            <w:pPr>
              <w:pStyle w:val="Default"/>
              <w:keepNext/>
              <w:widowControl/>
              <w:jc w:val="center"/>
              <w:rPr>
                <w:sz w:val="22"/>
                <w:szCs w:val="22"/>
              </w:rPr>
            </w:pPr>
            <w:r w:rsidRPr="00C52C4C">
              <w:rPr>
                <w:sz w:val="22"/>
                <w:szCs w:val="22"/>
              </w:rPr>
              <w:t>0,4589</w:t>
            </w:r>
          </w:p>
        </w:tc>
      </w:tr>
      <w:tr w:rsidR="00002E8F" w:rsidRPr="00C52C4C" w14:paraId="4D18A133" w14:textId="77777777" w:rsidTr="0059417B">
        <w:tc>
          <w:tcPr>
            <w:tcW w:w="3240" w:type="dxa"/>
            <w:tcBorders>
              <w:top w:val="single" w:sz="4" w:space="0" w:color="000000"/>
              <w:left w:val="single" w:sz="4" w:space="0" w:color="000000"/>
              <w:bottom w:val="single" w:sz="4" w:space="0" w:color="000000"/>
              <w:right w:val="single" w:sz="4" w:space="0" w:color="000000"/>
            </w:tcBorders>
            <w:vAlign w:val="center"/>
          </w:tcPr>
          <w:p w14:paraId="5490188F" w14:textId="77777777" w:rsidR="00002E8F" w:rsidRPr="00C52C4C" w:rsidRDefault="00002E8F" w:rsidP="0059417B">
            <w:pPr>
              <w:pStyle w:val="Default"/>
              <w:keepNext/>
              <w:widowControl/>
              <w:rPr>
                <w:sz w:val="22"/>
                <w:szCs w:val="22"/>
                <w:lang w:val="es-ES_tradnl"/>
              </w:rPr>
            </w:pPr>
            <w:r w:rsidRPr="00C52C4C">
              <w:rPr>
                <w:sz w:val="22"/>
                <w:szCs w:val="22"/>
                <w:lang w:val="es-ES_tradnl"/>
              </w:rPr>
              <w:t>Desarrollo de IFI probada o probable mientras tomaban el fármaco del estudio</w:t>
            </w:r>
          </w:p>
        </w:tc>
        <w:tc>
          <w:tcPr>
            <w:tcW w:w="1530" w:type="dxa"/>
            <w:tcBorders>
              <w:top w:val="single" w:sz="4" w:space="0" w:color="000000"/>
              <w:left w:val="single" w:sz="4" w:space="0" w:color="000000"/>
              <w:bottom w:val="single" w:sz="4" w:space="0" w:color="000000"/>
              <w:right w:val="single" w:sz="4" w:space="0" w:color="000000"/>
            </w:tcBorders>
            <w:vAlign w:val="center"/>
          </w:tcPr>
          <w:p w14:paraId="370AFA05" w14:textId="77777777" w:rsidR="00002E8F" w:rsidRPr="00C52C4C" w:rsidRDefault="00002E8F" w:rsidP="0059417B">
            <w:pPr>
              <w:pStyle w:val="Default"/>
              <w:keepNext/>
              <w:widowControl/>
              <w:jc w:val="center"/>
              <w:rPr>
                <w:sz w:val="22"/>
                <w:szCs w:val="22"/>
              </w:rPr>
            </w:pPr>
            <w:r w:rsidRPr="00C52C4C">
              <w:rPr>
                <w:sz w:val="22"/>
                <w:szCs w:val="22"/>
              </w:rPr>
              <w:t>0</w:t>
            </w:r>
          </w:p>
        </w:tc>
        <w:tc>
          <w:tcPr>
            <w:tcW w:w="1440" w:type="dxa"/>
            <w:tcBorders>
              <w:top w:val="single" w:sz="4" w:space="0" w:color="000000"/>
              <w:left w:val="single" w:sz="4" w:space="0" w:color="000000"/>
              <w:bottom w:val="single" w:sz="4" w:space="0" w:color="000000"/>
              <w:right w:val="single" w:sz="4" w:space="0" w:color="000000"/>
            </w:tcBorders>
            <w:vAlign w:val="center"/>
          </w:tcPr>
          <w:p w14:paraId="3B266403" w14:textId="77777777" w:rsidR="00002E8F" w:rsidRPr="00C52C4C" w:rsidRDefault="00002E8F" w:rsidP="0059417B">
            <w:pPr>
              <w:pStyle w:val="Default"/>
              <w:keepNext/>
              <w:widowControl/>
              <w:jc w:val="center"/>
              <w:rPr>
                <w:sz w:val="22"/>
                <w:szCs w:val="22"/>
              </w:rPr>
            </w:pPr>
            <w:r w:rsidRPr="00C52C4C">
              <w:rPr>
                <w:sz w:val="22"/>
                <w:szCs w:val="22"/>
              </w:rPr>
              <w:t>3 (1,2%)</w:t>
            </w:r>
          </w:p>
        </w:tc>
        <w:tc>
          <w:tcPr>
            <w:tcW w:w="2430" w:type="dxa"/>
            <w:tcBorders>
              <w:top w:val="single" w:sz="4" w:space="0" w:color="000000"/>
              <w:left w:val="single" w:sz="4" w:space="0" w:color="000000"/>
              <w:bottom w:val="single" w:sz="4" w:space="0" w:color="000000"/>
              <w:right w:val="single" w:sz="4" w:space="0" w:color="000000"/>
            </w:tcBorders>
            <w:vAlign w:val="center"/>
          </w:tcPr>
          <w:p w14:paraId="4AD7AAE5" w14:textId="77777777" w:rsidR="00002E8F" w:rsidRPr="00C52C4C" w:rsidRDefault="00002E8F" w:rsidP="0059417B">
            <w:pPr>
              <w:pStyle w:val="Default"/>
              <w:keepNext/>
              <w:widowControl/>
              <w:jc w:val="center"/>
              <w:rPr>
                <w:sz w:val="22"/>
                <w:szCs w:val="22"/>
              </w:rPr>
            </w:pPr>
            <w:r w:rsidRPr="00C52C4C">
              <w:rPr>
                <w:sz w:val="22"/>
                <w:szCs w:val="22"/>
              </w:rPr>
              <w:t>-1,2% (-2,6%, 0,2%)</w:t>
            </w:r>
          </w:p>
        </w:tc>
        <w:tc>
          <w:tcPr>
            <w:tcW w:w="1080" w:type="dxa"/>
            <w:tcBorders>
              <w:top w:val="single" w:sz="4" w:space="0" w:color="000000"/>
              <w:left w:val="single" w:sz="4" w:space="0" w:color="000000"/>
              <w:bottom w:val="single" w:sz="4" w:space="0" w:color="000000"/>
              <w:right w:val="single" w:sz="4" w:space="0" w:color="000000"/>
            </w:tcBorders>
            <w:vAlign w:val="center"/>
          </w:tcPr>
          <w:p w14:paraId="4EC3EAEF" w14:textId="77777777" w:rsidR="00002E8F" w:rsidRPr="00C52C4C" w:rsidRDefault="00002E8F" w:rsidP="0059417B">
            <w:pPr>
              <w:pStyle w:val="Default"/>
              <w:keepNext/>
              <w:widowControl/>
              <w:jc w:val="center"/>
              <w:rPr>
                <w:sz w:val="22"/>
                <w:szCs w:val="22"/>
              </w:rPr>
            </w:pPr>
            <w:r w:rsidRPr="00C52C4C">
              <w:rPr>
                <w:sz w:val="22"/>
                <w:szCs w:val="22"/>
              </w:rPr>
              <w:t>0,0813</w:t>
            </w:r>
          </w:p>
        </w:tc>
      </w:tr>
    </w:tbl>
    <w:p w14:paraId="44ECFB37" w14:textId="77777777" w:rsidR="00002E8F" w:rsidRPr="00C52C4C" w:rsidRDefault="00002E8F" w:rsidP="00002E8F">
      <w:pPr>
        <w:pStyle w:val="Default"/>
        <w:rPr>
          <w:sz w:val="22"/>
          <w:szCs w:val="22"/>
          <w:lang w:val="es-ES_tradnl"/>
        </w:rPr>
      </w:pPr>
      <w:r w:rsidRPr="00C52C4C">
        <w:rPr>
          <w:sz w:val="22"/>
          <w:szCs w:val="22"/>
          <w:lang w:val="es-ES_tradnl"/>
        </w:rPr>
        <w:t>* Variable principal del estudio</w:t>
      </w:r>
    </w:p>
    <w:p w14:paraId="526E5714" w14:textId="77777777" w:rsidR="00002E8F" w:rsidRPr="00C52C4C" w:rsidRDefault="00002E8F" w:rsidP="00002E8F">
      <w:pPr>
        <w:pStyle w:val="Default"/>
        <w:rPr>
          <w:sz w:val="22"/>
          <w:szCs w:val="22"/>
          <w:lang w:val="es-ES_tradnl"/>
        </w:rPr>
      </w:pPr>
      <w:r w:rsidRPr="00C52C4C">
        <w:rPr>
          <w:sz w:val="22"/>
          <w:szCs w:val="22"/>
          <w:lang w:val="es-ES_tradnl"/>
        </w:rPr>
        <w:t xml:space="preserve">** Diferencia de proporciones, IC del 95% y valores de </w:t>
      </w:r>
      <w:r w:rsidRPr="00C52C4C">
        <w:rPr>
          <w:i/>
          <w:sz w:val="22"/>
          <w:szCs w:val="22"/>
          <w:lang w:val="es-ES_tradnl"/>
        </w:rPr>
        <w:t>p</w:t>
      </w:r>
      <w:r w:rsidRPr="00C52C4C">
        <w:rPr>
          <w:sz w:val="22"/>
          <w:szCs w:val="22"/>
          <w:lang w:val="es-ES_tradnl"/>
        </w:rPr>
        <w:t xml:space="preserve"> obtenidos tras el ajuste para la aleatorización</w:t>
      </w:r>
    </w:p>
    <w:p w14:paraId="6E0F7BE5" w14:textId="77777777" w:rsidR="00002E8F" w:rsidRPr="00C52C4C" w:rsidRDefault="00002E8F" w:rsidP="00002E8F">
      <w:pPr>
        <w:pStyle w:val="Default"/>
        <w:rPr>
          <w:sz w:val="22"/>
          <w:szCs w:val="22"/>
          <w:lang w:val="es-ES_tradnl"/>
        </w:rPr>
      </w:pPr>
    </w:p>
    <w:p w14:paraId="6310F407" w14:textId="77777777" w:rsidR="00002E8F" w:rsidRPr="00C52C4C" w:rsidRDefault="00002E8F" w:rsidP="00002E8F">
      <w:pPr>
        <w:pStyle w:val="Default"/>
        <w:rPr>
          <w:sz w:val="22"/>
          <w:szCs w:val="22"/>
          <w:lang w:val="es-ES_tradnl"/>
        </w:rPr>
      </w:pPr>
      <w:r w:rsidRPr="00C52C4C">
        <w:rPr>
          <w:sz w:val="22"/>
          <w:szCs w:val="22"/>
          <w:lang w:val="es-ES_tradnl"/>
        </w:rPr>
        <w:t>En la tabla siguiente se presentan el avance de la tasa de IFI el día 180 y la variable principal del estudio (resultado satisfactorio el día 180) para pacientes con LMA y regímenes en condiciones</w:t>
      </w:r>
      <w:r w:rsidRPr="00C52C4C" w:rsidDel="009A62CF">
        <w:rPr>
          <w:sz w:val="22"/>
          <w:szCs w:val="22"/>
          <w:lang w:val="es-ES_tradnl"/>
        </w:rPr>
        <w:t xml:space="preserve"> </w:t>
      </w:r>
      <w:r w:rsidRPr="00C52C4C">
        <w:rPr>
          <w:sz w:val="22"/>
          <w:szCs w:val="22"/>
          <w:lang w:val="es-ES_tradnl"/>
        </w:rPr>
        <w:t>mielosupresoras, respectivamente:</w:t>
      </w:r>
    </w:p>
    <w:p w14:paraId="1C6EA9DB" w14:textId="77777777" w:rsidR="00002E8F" w:rsidRPr="00C52C4C" w:rsidRDefault="00002E8F" w:rsidP="00002E8F">
      <w:pPr>
        <w:pStyle w:val="Default"/>
        <w:rPr>
          <w:b/>
          <w:sz w:val="22"/>
          <w:szCs w:val="22"/>
          <w:lang w:val="es-ES_tradnl"/>
        </w:rPr>
      </w:pPr>
    </w:p>
    <w:p w14:paraId="5C76ECF5" w14:textId="77777777" w:rsidR="00002E8F" w:rsidRPr="00C52C4C" w:rsidRDefault="00002E8F" w:rsidP="00002E8F">
      <w:pPr>
        <w:pStyle w:val="Default"/>
        <w:keepNext/>
        <w:keepLines/>
        <w:rPr>
          <w:sz w:val="22"/>
          <w:szCs w:val="22"/>
        </w:rPr>
      </w:pPr>
      <w:r w:rsidRPr="00C52C4C">
        <w:rPr>
          <w:b/>
          <w:sz w:val="22"/>
          <w:szCs w:val="22"/>
        </w:rPr>
        <w:t>LMA</w:t>
      </w:r>
    </w:p>
    <w:p w14:paraId="596D47E5" w14:textId="77777777" w:rsidR="00002E8F" w:rsidRPr="00C52C4C" w:rsidRDefault="00002E8F" w:rsidP="00002E8F">
      <w:pPr>
        <w:pStyle w:val="Default"/>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90"/>
        <w:gridCol w:w="1530"/>
        <w:gridCol w:w="1440"/>
        <w:gridCol w:w="3060"/>
      </w:tblGrid>
      <w:tr w:rsidR="00002E8F" w:rsidRPr="00C52C4C" w14:paraId="7BC3199C" w14:textId="77777777" w:rsidTr="0059417B">
        <w:tc>
          <w:tcPr>
            <w:tcW w:w="27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06C14AD" w14:textId="77777777" w:rsidR="00002E8F" w:rsidRPr="00C52C4C" w:rsidRDefault="00002E8F" w:rsidP="0059417B">
            <w:pPr>
              <w:pStyle w:val="Default"/>
              <w:jc w:val="center"/>
              <w:rPr>
                <w:b/>
                <w:sz w:val="22"/>
                <w:szCs w:val="22"/>
                <w:lang w:val="es-ES_tradnl"/>
              </w:rPr>
            </w:pPr>
            <w:r w:rsidRPr="00C52C4C">
              <w:rPr>
                <w:b/>
                <w:sz w:val="22"/>
                <w:szCs w:val="22"/>
                <w:lang w:val="es-ES_tradnl"/>
              </w:rPr>
              <w:t>Variables del estudio</w:t>
            </w:r>
          </w:p>
        </w:tc>
        <w:tc>
          <w:tcPr>
            <w:tcW w:w="153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D620DAF" w14:textId="77777777" w:rsidR="00002E8F" w:rsidRPr="00C52C4C" w:rsidRDefault="00002E8F" w:rsidP="0059417B">
            <w:pPr>
              <w:pStyle w:val="Default"/>
              <w:jc w:val="center"/>
              <w:rPr>
                <w:b/>
                <w:sz w:val="22"/>
                <w:szCs w:val="22"/>
              </w:rPr>
            </w:pPr>
            <w:r w:rsidRPr="00C52C4C">
              <w:rPr>
                <w:b/>
                <w:sz w:val="22"/>
                <w:szCs w:val="22"/>
              </w:rPr>
              <w:t>Voriconazol</w:t>
            </w:r>
          </w:p>
          <w:p w14:paraId="15B3CE70" w14:textId="77777777" w:rsidR="00002E8F" w:rsidRPr="00C52C4C" w:rsidRDefault="00002E8F" w:rsidP="0059417B">
            <w:pPr>
              <w:pStyle w:val="Default"/>
              <w:jc w:val="center"/>
              <w:rPr>
                <w:b/>
                <w:sz w:val="22"/>
                <w:szCs w:val="22"/>
              </w:rPr>
            </w:pPr>
            <w:r w:rsidRPr="00C52C4C">
              <w:rPr>
                <w:b/>
                <w:sz w:val="22"/>
                <w:szCs w:val="22"/>
              </w:rPr>
              <w:t>(N=98)</w:t>
            </w:r>
          </w:p>
          <w:p w14:paraId="2E036CB0" w14:textId="77777777" w:rsidR="00002E8F" w:rsidRPr="00C52C4C" w:rsidRDefault="00002E8F" w:rsidP="0059417B">
            <w:pPr>
              <w:pStyle w:val="Default"/>
              <w:jc w:val="center"/>
              <w:rPr>
                <w:b/>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46D7926" w14:textId="77777777" w:rsidR="00002E8F" w:rsidRPr="00C52C4C" w:rsidRDefault="00002E8F" w:rsidP="0059417B">
            <w:pPr>
              <w:pStyle w:val="Default"/>
              <w:jc w:val="center"/>
              <w:rPr>
                <w:b/>
                <w:sz w:val="22"/>
                <w:szCs w:val="22"/>
              </w:rPr>
            </w:pPr>
            <w:r w:rsidRPr="00C52C4C">
              <w:rPr>
                <w:b/>
                <w:sz w:val="22"/>
                <w:szCs w:val="22"/>
              </w:rPr>
              <w:t>Itraconazol</w:t>
            </w:r>
          </w:p>
          <w:p w14:paraId="06CD7F26" w14:textId="77777777" w:rsidR="00002E8F" w:rsidRPr="00C52C4C" w:rsidRDefault="00002E8F" w:rsidP="0059417B">
            <w:pPr>
              <w:pStyle w:val="Default"/>
              <w:jc w:val="center"/>
              <w:rPr>
                <w:b/>
                <w:sz w:val="22"/>
                <w:szCs w:val="22"/>
              </w:rPr>
            </w:pPr>
            <w:r w:rsidRPr="00C52C4C">
              <w:rPr>
                <w:b/>
                <w:sz w:val="22"/>
                <w:szCs w:val="22"/>
              </w:rPr>
              <w:t>(N=109)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4938E34" w14:textId="77777777" w:rsidR="00002E8F" w:rsidRPr="00C52C4C" w:rsidRDefault="00002E8F" w:rsidP="0059417B">
            <w:pPr>
              <w:pStyle w:val="Default"/>
              <w:jc w:val="center"/>
              <w:rPr>
                <w:b/>
                <w:sz w:val="22"/>
                <w:szCs w:val="22"/>
                <w:lang w:val="es-ES_tradnl"/>
              </w:rPr>
            </w:pPr>
            <w:r w:rsidRPr="00C52C4C">
              <w:rPr>
                <w:b/>
                <w:sz w:val="22"/>
                <w:szCs w:val="22"/>
                <w:lang w:val="es-ES_tradnl"/>
              </w:rPr>
              <w:t>Diferencia en las proporciones proporciones e intervalo de confianza (IC) del 95%</w:t>
            </w:r>
          </w:p>
        </w:tc>
      </w:tr>
      <w:tr w:rsidR="00002E8F" w:rsidRPr="00C52C4C" w14:paraId="35C5237B" w14:textId="77777777" w:rsidTr="0059417B">
        <w:tc>
          <w:tcPr>
            <w:tcW w:w="2790" w:type="dxa"/>
            <w:tcBorders>
              <w:top w:val="single" w:sz="4" w:space="0" w:color="000000"/>
              <w:left w:val="single" w:sz="4" w:space="0" w:color="000000"/>
              <w:bottom w:val="single" w:sz="4" w:space="0" w:color="000000"/>
              <w:right w:val="single" w:sz="4" w:space="0" w:color="000000"/>
            </w:tcBorders>
            <w:vAlign w:val="center"/>
          </w:tcPr>
          <w:p w14:paraId="06BA62C5" w14:textId="77777777" w:rsidR="00002E8F" w:rsidRPr="00C52C4C" w:rsidRDefault="00002E8F" w:rsidP="0059417B">
            <w:pPr>
              <w:pStyle w:val="Default"/>
              <w:rPr>
                <w:sz w:val="22"/>
                <w:szCs w:val="22"/>
                <w:lang w:val="es-ES_tradnl"/>
              </w:rPr>
            </w:pPr>
            <w:r w:rsidRPr="00C52C4C">
              <w:rPr>
                <w:sz w:val="22"/>
                <w:szCs w:val="22"/>
                <w:lang w:val="es-ES_tradnl"/>
              </w:rPr>
              <w:t>Avance del IFI, día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376BE507" w14:textId="77777777" w:rsidR="00002E8F" w:rsidRPr="00C52C4C" w:rsidRDefault="00002E8F" w:rsidP="0059417B">
            <w:pPr>
              <w:pStyle w:val="Default"/>
              <w:jc w:val="center"/>
              <w:rPr>
                <w:sz w:val="22"/>
                <w:szCs w:val="22"/>
              </w:rPr>
            </w:pPr>
            <w:r w:rsidRPr="00C52C4C">
              <w:rPr>
                <w:sz w:val="22"/>
                <w:szCs w:val="22"/>
              </w:rPr>
              <w:t>1 (1,0%)</w:t>
            </w:r>
          </w:p>
        </w:tc>
        <w:tc>
          <w:tcPr>
            <w:tcW w:w="1440" w:type="dxa"/>
            <w:tcBorders>
              <w:top w:val="single" w:sz="4" w:space="0" w:color="000000"/>
              <w:left w:val="single" w:sz="4" w:space="0" w:color="000000"/>
              <w:bottom w:val="single" w:sz="4" w:space="0" w:color="000000"/>
              <w:right w:val="single" w:sz="4" w:space="0" w:color="000000"/>
            </w:tcBorders>
            <w:vAlign w:val="center"/>
          </w:tcPr>
          <w:p w14:paraId="413DFFA1" w14:textId="77777777" w:rsidR="00002E8F" w:rsidRPr="00C52C4C" w:rsidRDefault="00002E8F" w:rsidP="0059417B">
            <w:pPr>
              <w:pStyle w:val="Default"/>
              <w:jc w:val="center"/>
              <w:rPr>
                <w:sz w:val="22"/>
                <w:szCs w:val="22"/>
              </w:rPr>
            </w:pPr>
            <w:r w:rsidRPr="00C52C4C">
              <w:rPr>
                <w:sz w:val="22"/>
                <w:szCs w:val="22"/>
              </w:rPr>
              <w:t>2 (1,8%)</w:t>
            </w:r>
          </w:p>
        </w:tc>
        <w:tc>
          <w:tcPr>
            <w:tcW w:w="3060" w:type="dxa"/>
            <w:tcBorders>
              <w:top w:val="single" w:sz="4" w:space="0" w:color="000000"/>
              <w:left w:val="single" w:sz="4" w:space="0" w:color="000000"/>
              <w:bottom w:val="single" w:sz="4" w:space="0" w:color="000000"/>
              <w:right w:val="single" w:sz="4" w:space="0" w:color="000000"/>
            </w:tcBorders>
            <w:vAlign w:val="center"/>
          </w:tcPr>
          <w:p w14:paraId="0284A546" w14:textId="77777777" w:rsidR="00002E8F" w:rsidRPr="00C52C4C" w:rsidRDefault="00002E8F" w:rsidP="0059417B">
            <w:pPr>
              <w:pStyle w:val="Paragraph"/>
              <w:jc w:val="center"/>
              <w:rPr>
                <w:sz w:val="22"/>
                <w:szCs w:val="22"/>
              </w:rPr>
            </w:pPr>
            <w:r w:rsidRPr="00C52C4C">
              <w:rPr>
                <w:sz w:val="22"/>
                <w:szCs w:val="22"/>
              </w:rPr>
              <w:t>-0,8% (-4,0%, 2,4%) **</w:t>
            </w:r>
          </w:p>
        </w:tc>
      </w:tr>
      <w:tr w:rsidR="00002E8F" w:rsidRPr="00C52C4C" w14:paraId="425A6412" w14:textId="77777777" w:rsidTr="0059417B">
        <w:tc>
          <w:tcPr>
            <w:tcW w:w="2790" w:type="dxa"/>
            <w:tcBorders>
              <w:top w:val="single" w:sz="4" w:space="0" w:color="000000"/>
              <w:left w:val="single" w:sz="4" w:space="0" w:color="000000"/>
              <w:bottom w:val="single" w:sz="4" w:space="0" w:color="000000"/>
              <w:right w:val="single" w:sz="4" w:space="0" w:color="000000"/>
            </w:tcBorders>
            <w:vAlign w:val="center"/>
          </w:tcPr>
          <w:p w14:paraId="66EEF03D" w14:textId="77777777" w:rsidR="00002E8F" w:rsidRPr="00C52C4C" w:rsidRDefault="00002E8F" w:rsidP="0059417B">
            <w:pPr>
              <w:pStyle w:val="Default"/>
              <w:rPr>
                <w:sz w:val="22"/>
                <w:szCs w:val="22"/>
              </w:rPr>
            </w:pPr>
            <w:r w:rsidRPr="00C52C4C">
              <w:rPr>
                <w:sz w:val="22"/>
                <w:szCs w:val="22"/>
              </w:rPr>
              <w:t>Resultado satisfactorio el día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77833ABC" w14:textId="77777777" w:rsidR="00002E8F" w:rsidRPr="00C52C4C" w:rsidRDefault="00002E8F" w:rsidP="0059417B">
            <w:pPr>
              <w:pStyle w:val="Default"/>
              <w:jc w:val="center"/>
              <w:rPr>
                <w:sz w:val="22"/>
                <w:szCs w:val="22"/>
              </w:rPr>
            </w:pPr>
            <w:r w:rsidRPr="00C52C4C">
              <w:rPr>
                <w:sz w:val="22"/>
                <w:szCs w:val="22"/>
              </w:rPr>
              <w:t>55 (56,1%)</w:t>
            </w:r>
          </w:p>
        </w:tc>
        <w:tc>
          <w:tcPr>
            <w:tcW w:w="1440" w:type="dxa"/>
            <w:tcBorders>
              <w:top w:val="single" w:sz="4" w:space="0" w:color="000000"/>
              <w:left w:val="single" w:sz="4" w:space="0" w:color="000000"/>
              <w:bottom w:val="single" w:sz="4" w:space="0" w:color="000000"/>
              <w:right w:val="single" w:sz="4" w:space="0" w:color="000000"/>
            </w:tcBorders>
            <w:vAlign w:val="center"/>
          </w:tcPr>
          <w:p w14:paraId="007131B1" w14:textId="77777777" w:rsidR="00002E8F" w:rsidRPr="00C52C4C" w:rsidRDefault="00002E8F" w:rsidP="0059417B">
            <w:pPr>
              <w:pStyle w:val="Default"/>
              <w:jc w:val="center"/>
              <w:rPr>
                <w:sz w:val="22"/>
                <w:szCs w:val="22"/>
              </w:rPr>
            </w:pPr>
            <w:r w:rsidRPr="00C52C4C">
              <w:rPr>
                <w:sz w:val="22"/>
                <w:szCs w:val="22"/>
              </w:rPr>
              <w:t>45 (41,3%)</w:t>
            </w:r>
          </w:p>
        </w:tc>
        <w:tc>
          <w:tcPr>
            <w:tcW w:w="3060" w:type="dxa"/>
            <w:tcBorders>
              <w:top w:val="single" w:sz="4" w:space="0" w:color="000000"/>
              <w:left w:val="single" w:sz="4" w:space="0" w:color="000000"/>
              <w:bottom w:val="single" w:sz="4" w:space="0" w:color="000000"/>
              <w:right w:val="single" w:sz="4" w:space="0" w:color="000000"/>
            </w:tcBorders>
            <w:vAlign w:val="center"/>
          </w:tcPr>
          <w:p w14:paraId="118BFC4A" w14:textId="77777777" w:rsidR="00002E8F" w:rsidRPr="00C52C4C" w:rsidRDefault="00002E8F" w:rsidP="0059417B">
            <w:pPr>
              <w:pStyle w:val="Paragraph"/>
              <w:widowControl w:val="0"/>
              <w:autoSpaceDE w:val="0"/>
              <w:autoSpaceDN w:val="0"/>
              <w:adjustRightInd w:val="0"/>
              <w:jc w:val="center"/>
              <w:rPr>
                <w:sz w:val="22"/>
                <w:szCs w:val="22"/>
                <w:lang w:val="en-GB"/>
              </w:rPr>
            </w:pPr>
            <w:r w:rsidRPr="00C52C4C">
              <w:rPr>
                <w:sz w:val="22"/>
                <w:szCs w:val="22"/>
              </w:rPr>
              <w:t>14,7% (1,7%, 27,7%)***</w:t>
            </w:r>
          </w:p>
        </w:tc>
      </w:tr>
    </w:tbl>
    <w:p w14:paraId="20BDECEE" w14:textId="77777777" w:rsidR="00002E8F" w:rsidRPr="00C52C4C" w:rsidRDefault="00002E8F" w:rsidP="00002E8F">
      <w:pPr>
        <w:pStyle w:val="Default"/>
        <w:rPr>
          <w:sz w:val="22"/>
          <w:szCs w:val="22"/>
          <w:lang w:val="es-ES_tradnl"/>
        </w:rPr>
      </w:pPr>
      <w:r w:rsidRPr="00C52C4C">
        <w:rPr>
          <w:sz w:val="22"/>
          <w:szCs w:val="22"/>
          <w:lang w:val="es-ES_tradnl"/>
        </w:rPr>
        <w:t>*   Variable principal del estudio</w:t>
      </w:r>
    </w:p>
    <w:p w14:paraId="31373549" w14:textId="77777777" w:rsidR="00002E8F" w:rsidRPr="00C52C4C" w:rsidRDefault="00002E8F" w:rsidP="00002E8F">
      <w:pPr>
        <w:pStyle w:val="Default"/>
        <w:rPr>
          <w:sz w:val="22"/>
          <w:szCs w:val="22"/>
          <w:lang w:val="es-ES_tradnl"/>
        </w:rPr>
      </w:pPr>
      <w:r w:rsidRPr="00C52C4C">
        <w:rPr>
          <w:sz w:val="22"/>
          <w:szCs w:val="22"/>
          <w:lang w:val="es-ES_tradnl"/>
        </w:rPr>
        <w:t>** Se demuestra la no inferioridad usando un margen del 5%.</w:t>
      </w:r>
    </w:p>
    <w:p w14:paraId="2E040EA8" w14:textId="77777777" w:rsidR="00002E8F" w:rsidRPr="00C52C4C" w:rsidRDefault="00002E8F" w:rsidP="00002E8F">
      <w:pPr>
        <w:pStyle w:val="Default"/>
        <w:rPr>
          <w:sz w:val="22"/>
          <w:szCs w:val="22"/>
          <w:lang w:val="es-ES_tradnl"/>
        </w:rPr>
      </w:pPr>
      <w:r w:rsidRPr="00C52C4C">
        <w:rPr>
          <w:sz w:val="22"/>
          <w:szCs w:val="22"/>
          <w:lang w:val="es-ES_tradnl"/>
        </w:rPr>
        <w:t>*** Diferencia de proporciones, IC del 95% obtenidos tras el ajuste para la aleatorización</w:t>
      </w:r>
    </w:p>
    <w:p w14:paraId="6CB31467" w14:textId="77777777" w:rsidR="00002E8F" w:rsidRPr="00C52C4C" w:rsidRDefault="00002E8F" w:rsidP="00002E8F">
      <w:pPr>
        <w:pStyle w:val="CM55"/>
        <w:spacing w:after="0"/>
        <w:rPr>
          <w:sz w:val="22"/>
          <w:szCs w:val="22"/>
          <w:lang w:val="es-ES_tradnl"/>
        </w:rPr>
      </w:pPr>
    </w:p>
    <w:p w14:paraId="2D22974D" w14:textId="77777777" w:rsidR="00002E8F" w:rsidRPr="00C52C4C" w:rsidRDefault="00002E8F" w:rsidP="00002E8F">
      <w:pPr>
        <w:rPr>
          <w:b/>
          <w:sz w:val="22"/>
          <w:szCs w:val="22"/>
        </w:rPr>
      </w:pPr>
      <w:r w:rsidRPr="00C52C4C">
        <w:rPr>
          <w:b/>
          <w:sz w:val="22"/>
          <w:szCs w:val="22"/>
        </w:rPr>
        <w:t>Tratamientos de acondicionamiento mielosupresor</w:t>
      </w:r>
    </w:p>
    <w:p w14:paraId="37190FF0" w14:textId="77777777" w:rsidR="00D30A8E" w:rsidRPr="00C52C4C" w:rsidRDefault="00D30A8E" w:rsidP="00002E8F">
      <w:pPr>
        <w:rPr>
          <w:b/>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90"/>
        <w:gridCol w:w="1530"/>
        <w:gridCol w:w="1440"/>
        <w:gridCol w:w="3060"/>
      </w:tblGrid>
      <w:tr w:rsidR="00002E8F" w:rsidRPr="00C52C4C" w14:paraId="3B4D7086" w14:textId="77777777" w:rsidTr="0059417B">
        <w:tc>
          <w:tcPr>
            <w:tcW w:w="2790" w:type="dxa"/>
            <w:tcBorders>
              <w:top w:val="single" w:sz="4" w:space="0" w:color="auto"/>
              <w:left w:val="single" w:sz="4" w:space="0" w:color="000000"/>
              <w:bottom w:val="single" w:sz="4" w:space="0" w:color="000000"/>
              <w:right w:val="single" w:sz="4" w:space="0" w:color="000000"/>
            </w:tcBorders>
            <w:shd w:val="clear" w:color="auto" w:fill="EEECE1"/>
            <w:vAlign w:val="center"/>
          </w:tcPr>
          <w:p w14:paraId="57854B4B" w14:textId="77777777" w:rsidR="00002E8F" w:rsidRPr="00C52C4C" w:rsidRDefault="00002E8F" w:rsidP="0059417B">
            <w:pPr>
              <w:pStyle w:val="Default"/>
              <w:jc w:val="center"/>
              <w:rPr>
                <w:b/>
                <w:sz w:val="22"/>
                <w:szCs w:val="22"/>
                <w:lang w:val="es-ES_tradnl"/>
              </w:rPr>
            </w:pPr>
            <w:r w:rsidRPr="00C52C4C">
              <w:rPr>
                <w:b/>
                <w:sz w:val="22"/>
                <w:szCs w:val="22"/>
                <w:lang w:val="es-ES_tradnl"/>
              </w:rPr>
              <w:t>Variables del estudio</w:t>
            </w:r>
          </w:p>
        </w:tc>
        <w:tc>
          <w:tcPr>
            <w:tcW w:w="1530" w:type="dxa"/>
            <w:tcBorders>
              <w:top w:val="single" w:sz="4" w:space="0" w:color="auto"/>
              <w:left w:val="single" w:sz="4" w:space="0" w:color="000000"/>
              <w:bottom w:val="single" w:sz="4" w:space="0" w:color="000000"/>
              <w:right w:val="single" w:sz="4" w:space="0" w:color="000000"/>
            </w:tcBorders>
            <w:shd w:val="clear" w:color="auto" w:fill="EEECE1"/>
            <w:vAlign w:val="center"/>
          </w:tcPr>
          <w:p w14:paraId="2FA665AC" w14:textId="77777777" w:rsidR="00002E8F" w:rsidRPr="00C52C4C" w:rsidRDefault="00002E8F" w:rsidP="0059417B">
            <w:pPr>
              <w:pStyle w:val="Default"/>
              <w:jc w:val="center"/>
              <w:rPr>
                <w:b/>
                <w:sz w:val="22"/>
                <w:szCs w:val="22"/>
              </w:rPr>
            </w:pPr>
            <w:r w:rsidRPr="00C52C4C">
              <w:rPr>
                <w:b/>
                <w:sz w:val="22"/>
                <w:szCs w:val="22"/>
              </w:rPr>
              <w:t>Voriconazol</w:t>
            </w:r>
          </w:p>
          <w:p w14:paraId="1D9740C4" w14:textId="77777777" w:rsidR="00002E8F" w:rsidRPr="00C52C4C" w:rsidRDefault="00002E8F" w:rsidP="0059417B">
            <w:pPr>
              <w:pStyle w:val="Default"/>
              <w:jc w:val="center"/>
              <w:rPr>
                <w:b/>
                <w:sz w:val="22"/>
                <w:szCs w:val="22"/>
              </w:rPr>
            </w:pPr>
            <w:r w:rsidRPr="00C52C4C">
              <w:rPr>
                <w:b/>
                <w:sz w:val="22"/>
                <w:szCs w:val="22"/>
              </w:rPr>
              <w:t>(N=125)</w:t>
            </w:r>
          </w:p>
          <w:p w14:paraId="4E9C6B68" w14:textId="77777777" w:rsidR="00002E8F" w:rsidRPr="00C52C4C" w:rsidRDefault="00002E8F" w:rsidP="0059417B">
            <w:pPr>
              <w:pStyle w:val="Default"/>
              <w:jc w:val="center"/>
              <w:rPr>
                <w:b/>
                <w:sz w:val="22"/>
                <w:szCs w:val="22"/>
              </w:rPr>
            </w:pPr>
          </w:p>
        </w:tc>
        <w:tc>
          <w:tcPr>
            <w:tcW w:w="1440" w:type="dxa"/>
            <w:tcBorders>
              <w:top w:val="single" w:sz="4" w:space="0" w:color="auto"/>
              <w:left w:val="single" w:sz="4" w:space="0" w:color="000000"/>
              <w:bottom w:val="single" w:sz="4" w:space="0" w:color="000000"/>
              <w:right w:val="single" w:sz="4" w:space="0" w:color="000000"/>
            </w:tcBorders>
            <w:shd w:val="clear" w:color="auto" w:fill="EEECE1"/>
            <w:vAlign w:val="center"/>
          </w:tcPr>
          <w:p w14:paraId="61D14434" w14:textId="77777777" w:rsidR="00002E8F" w:rsidRPr="00C52C4C" w:rsidRDefault="00002E8F" w:rsidP="0059417B">
            <w:pPr>
              <w:pStyle w:val="Default"/>
              <w:jc w:val="center"/>
              <w:rPr>
                <w:b/>
                <w:sz w:val="22"/>
                <w:szCs w:val="22"/>
              </w:rPr>
            </w:pPr>
            <w:r w:rsidRPr="00C52C4C">
              <w:rPr>
                <w:b/>
                <w:sz w:val="22"/>
                <w:szCs w:val="22"/>
              </w:rPr>
              <w:t>Itraconazol</w:t>
            </w:r>
          </w:p>
          <w:p w14:paraId="34326D69" w14:textId="77777777" w:rsidR="00002E8F" w:rsidRPr="00C52C4C" w:rsidRDefault="00002E8F" w:rsidP="0059417B">
            <w:pPr>
              <w:pStyle w:val="Default"/>
              <w:jc w:val="center"/>
              <w:rPr>
                <w:b/>
                <w:sz w:val="22"/>
                <w:szCs w:val="22"/>
              </w:rPr>
            </w:pPr>
            <w:r w:rsidRPr="00C52C4C">
              <w:rPr>
                <w:b/>
                <w:sz w:val="22"/>
                <w:szCs w:val="22"/>
              </w:rPr>
              <w:t>(N=143)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vAlign w:val="center"/>
          </w:tcPr>
          <w:p w14:paraId="0D9C2BEA" w14:textId="77777777" w:rsidR="00002E8F" w:rsidRPr="00C52C4C" w:rsidRDefault="00002E8F" w:rsidP="0059417B">
            <w:pPr>
              <w:pStyle w:val="Default"/>
              <w:jc w:val="center"/>
              <w:rPr>
                <w:b/>
                <w:sz w:val="22"/>
                <w:szCs w:val="22"/>
                <w:lang w:val="es-ES_tradnl"/>
              </w:rPr>
            </w:pPr>
            <w:r w:rsidRPr="00C52C4C">
              <w:rPr>
                <w:b/>
                <w:sz w:val="22"/>
                <w:szCs w:val="22"/>
                <w:lang w:val="es-ES_tradnl"/>
              </w:rPr>
              <w:t>Diferencia en las proporciones proporciones e intervalo de confianza (IC) del 95%</w:t>
            </w:r>
          </w:p>
        </w:tc>
      </w:tr>
      <w:tr w:rsidR="00002E8F" w:rsidRPr="00C52C4C" w14:paraId="68D99885" w14:textId="77777777" w:rsidTr="0059417B">
        <w:tc>
          <w:tcPr>
            <w:tcW w:w="2790" w:type="dxa"/>
            <w:tcBorders>
              <w:top w:val="single" w:sz="4" w:space="0" w:color="000000"/>
              <w:left w:val="single" w:sz="4" w:space="0" w:color="000000"/>
              <w:bottom w:val="single" w:sz="4" w:space="0" w:color="000000"/>
              <w:right w:val="single" w:sz="4" w:space="0" w:color="000000"/>
            </w:tcBorders>
            <w:vAlign w:val="center"/>
          </w:tcPr>
          <w:p w14:paraId="24E28738" w14:textId="77777777" w:rsidR="00002E8F" w:rsidRPr="00C52C4C" w:rsidRDefault="00002E8F" w:rsidP="0059417B">
            <w:pPr>
              <w:pStyle w:val="Default"/>
              <w:rPr>
                <w:sz w:val="22"/>
                <w:szCs w:val="22"/>
              </w:rPr>
            </w:pPr>
            <w:r w:rsidRPr="00C52C4C">
              <w:rPr>
                <w:sz w:val="22"/>
                <w:szCs w:val="22"/>
              </w:rPr>
              <w:t>IFI intercurrente, día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216A2E36" w14:textId="77777777" w:rsidR="00002E8F" w:rsidRPr="00C52C4C" w:rsidRDefault="00002E8F" w:rsidP="0059417B">
            <w:pPr>
              <w:pStyle w:val="Default"/>
              <w:jc w:val="center"/>
              <w:rPr>
                <w:sz w:val="22"/>
                <w:szCs w:val="22"/>
              </w:rPr>
            </w:pPr>
            <w:r w:rsidRPr="00C52C4C">
              <w:rPr>
                <w:sz w:val="22"/>
                <w:szCs w:val="22"/>
              </w:rPr>
              <w:t>2 (1,6%)</w:t>
            </w:r>
          </w:p>
        </w:tc>
        <w:tc>
          <w:tcPr>
            <w:tcW w:w="1440" w:type="dxa"/>
            <w:tcBorders>
              <w:top w:val="single" w:sz="4" w:space="0" w:color="000000"/>
              <w:left w:val="single" w:sz="4" w:space="0" w:color="000000"/>
              <w:bottom w:val="single" w:sz="4" w:space="0" w:color="000000"/>
              <w:right w:val="single" w:sz="4" w:space="0" w:color="000000"/>
            </w:tcBorders>
            <w:vAlign w:val="center"/>
          </w:tcPr>
          <w:p w14:paraId="017B904F" w14:textId="77777777" w:rsidR="00002E8F" w:rsidRPr="00C52C4C" w:rsidRDefault="00002E8F" w:rsidP="0059417B">
            <w:pPr>
              <w:pStyle w:val="Default"/>
              <w:jc w:val="center"/>
              <w:rPr>
                <w:sz w:val="22"/>
                <w:szCs w:val="22"/>
              </w:rPr>
            </w:pPr>
            <w:r w:rsidRPr="00C52C4C">
              <w:rPr>
                <w:sz w:val="22"/>
                <w:szCs w:val="22"/>
              </w:rPr>
              <w:t>3 (2,1%)</w:t>
            </w:r>
          </w:p>
        </w:tc>
        <w:tc>
          <w:tcPr>
            <w:tcW w:w="3060" w:type="dxa"/>
            <w:tcBorders>
              <w:top w:val="single" w:sz="4" w:space="0" w:color="000000"/>
              <w:left w:val="single" w:sz="4" w:space="0" w:color="000000"/>
              <w:bottom w:val="single" w:sz="4" w:space="0" w:color="000000"/>
              <w:right w:val="single" w:sz="4" w:space="0" w:color="000000"/>
            </w:tcBorders>
            <w:vAlign w:val="center"/>
          </w:tcPr>
          <w:p w14:paraId="7C5BCD22" w14:textId="77777777" w:rsidR="00002E8F" w:rsidRPr="00C52C4C" w:rsidRDefault="00002E8F" w:rsidP="0059417B">
            <w:pPr>
              <w:pStyle w:val="Paragraph"/>
              <w:jc w:val="center"/>
              <w:rPr>
                <w:sz w:val="22"/>
                <w:szCs w:val="22"/>
              </w:rPr>
            </w:pPr>
            <w:r w:rsidRPr="00C52C4C">
              <w:rPr>
                <w:sz w:val="22"/>
                <w:szCs w:val="22"/>
              </w:rPr>
              <w:t>-0,5% (-3,7%, 2,7%) **</w:t>
            </w:r>
          </w:p>
        </w:tc>
      </w:tr>
      <w:tr w:rsidR="00002E8F" w:rsidRPr="00C52C4C" w14:paraId="7C17DA96" w14:textId="77777777" w:rsidTr="0059417B">
        <w:tc>
          <w:tcPr>
            <w:tcW w:w="2790" w:type="dxa"/>
            <w:tcBorders>
              <w:top w:val="single" w:sz="4" w:space="0" w:color="000000"/>
              <w:left w:val="single" w:sz="4" w:space="0" w:color="000000"/>
              <w:bottom w:val="single" w:sz="4" w:space="0" w:color="000000"/>
              <w:right w:val="single" w:sz="4" w:space="0" w:color="000000"/>
            </w:tcBorders>
            <w:vAlign w:val="center"/>
          </w:tcPr>
          <w:p w14:paraId="7EBD25C4" w14:textId="77777777" w:rsidR="00002E8F" w:rsidRPr="00C52C4C" w:rsidRDefault="00002E8F" w:rsidP="0059417B">
            <w:pPr>
              <w:pStyle w:val="Default"/>
              <w:rPr>
                <w:sz w:val="22"/>
                <w:szCs w:val="22"/>
              </w:rPr>
            </w:pPr>
            <w:r w:rsidRPr="00C52C4C">
              <w:rPr>
                <w:sz w:val="22"/>
                <w:szCs w:val="22"/>
              </w:rPr>
              <w:t>Resultado satisfactorio el día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395ECF48" w14:textId="77777777" w:rsidR="00002E8F" w:rsidRPr="00C52C4C" w:rsidRDefault="00002E8F" w:rsidP="0059417B">
            <w:pPr>
              <w:pStyle w:val="Default"/>
              <w:jc w:val="center"/>
              <w:rPr>
                <w:sz w:val="22"/>
                <w:szCs w:val="22"/>
              </w:rPr>
            </w:pPr>
            <w:r w:rsidRPr="00C52C4C">
              <w:rPr>
                <w:sz w:val="22"/>
                <w:szCs w:val="22"/>
              </w:rPr>
              <w:t>70 (56,0%)</w:t>
            </w:r>
          </w:p>
        </w:tc>
        <w:tc>
          <w:tcPr>
            <w:tcW w:w="1440" w:type="dxa"/>
            <w:tcBorders>
              <w:top w:val="single" w:sz="4" w:space="0" w:color="000000"/>
              <w:left w:val="single" w:sz="4" w:space="0" w:color="000000"/>
              <w:bottom w:val="single" w:sz="4" w:space="0" w:color="000000"/>
              <w:right w:val="single" w:sz="4" w:space="0" w:color="000000"/>
            </w:tcBorders>
            <w:vAlign w:val="center"/>
          </w:tcPr>
          <w:p w14:paraId="0542D966" w14:textId="77777777" w:rsidR="00002E8F" w:rsidRPr="00C52C4C" w:rsidRDefault="00002E8F" w:rsidP="0059417B">
            <w:pPr>
              <w:pStyle w:val="Default"/>
              <w:jc w:val="center"/>
              <w:rPr>
                <w:sz w:val="22"/>
                <w:szCs w:val="22"/>
              </w:rPr>
            </w:pPr>
            <w:r w:rsidRPr="00C52C4C">
              <w:rPr>
                <w:sz w:val="22"/>
                <w:szCs w:val="22"/>
              </w:rPr>
              <w:t>53 (37,1%)</w:t>
            </w:r>
          </w:p>
        </w:tc>
        <w:tc>
          <w:tcPr>
            <w:tcW w:w="3060" w:type="dxa"/>
            <w:tcBorders>
              <w:top w:val="single" w:sz="4" w:space="0" w:color="000000"/>
              <w:left w:val="single" w:sz="4" w:space="0" w:color="000000"/>
              <w:bottom w:val="single" w:sz="4" w:space="0" w:color="000000"/>
              <w:right w:val="single" w:sz="4" w:space="0" w:color="000000"/>
            </w:tcBorders>
            <w:vAlign w:val="center"/>
          </w:tcPr>
          <w:p w14:paraId="709AC22B" w14:textId="77777777" w:rsidR="00002E8F" w:rsidRPr="00C52C4C" w:rsidRDefault="00002E8F" w:rsidP="0059417B">
            <w:pPr>
              <w:pStyle w:val="Paragraph"/>
              <w:jc w:val="center"/>
              <w:rPr>
                <w:sz w:val="22"/>
                <w:szCs w:val="22"/>
              </w:rPr>
            </w:pPr>
            <w:r w:rsidRPr="00C52C4C">
              <w:rPr>
                <w:sz w:val="22"/>
                <w:szCs w:val="22"/>
              </w:rPr>
              <w:t>20,1% (8,5%, 31,7%)***</w:t>
            </w:r>
          </w:p>
        </w:tc>
      </w:tr>
    </w:tbl>
    <w:p w14:paraId="3A29AD25" w14:textId="77777777" w:rsidR="00002E8F" w:rsidRPr="00C52C4C" w:rsidRDefault="00002E8F" w:rsidP="00002E8F">
      <w:pPr>
        <w:pStyle w:val="Default"/>
        <w:rPr>
          <w:sz w:val="22"/>
          <w:szCs w:val="22"/>
          <w:lang w:val="es-ES_tradnl"/>
        </w:rPr>
      </w:pPr>
      <w:r w:rsidRPr="00C52C4C">
        <w:rPr>
          <w:sz w:val="22"/>
          <w:szCs w:val="22"/>
          <w:lang w:val="es-ES_tradnl"/>
        </w:rPr>
        <w:t>*   Variable principal del estudio</w:t>
      </w:r>
    </w:p>
    <w:p w14:paraId="6BE439A2" w14:textId="77777777" w:rsidR="00002E8F" w:rsidRPr="00C52C4C" w:rsidRDefault="00002E8F" w:rsidP="00002E8F">
      <w:pPr>
        <w:pStyle w:val="Default"/>
        <w:rPr>
          <w:sz w:val="22"/>
          <w:szCs w:val="22"/>
          <w:lang w:val="es-ES_tradnl"/>
        </w:rPr>
      </w:pPr>
      <w:r w:rsidRPr="00C52C4C">
        <w:rPr>
          <w:sz w:val="22"/>
          <w:szCs w:val="22"/>
          <w:lang w:val="es-ES_tradnl"/>
        </w:rPr>
        <w:t>** Se demuestra la no inferioridad usando un margen del 5.</w:t>
      </w:r>
    </w:p>
    <w:p w14:paraId="2D83E9D9" w14:textId="77777777" w:rsidR="00002E8F" w:rsidRPr="00C52C4C" w:rsidRDefault="00002E8F" w:rsidP="00002E8F">
      <w:pPr>
        <w:pStyle w:val="Default"/>
        <w:rPr>
          <w:sz w:val="22"/>
          <w:szCs w:val="22"/>
          <w:lang w:val="es-ES_tradnl"/>
        </w:rPr>
      </w:pPr>
      <w:r w:rsidRPr="00C52C4C">
        <w:rPr>
          <w:sz w:val="22"/>
          <w:szCs w:val="22"/>
          <w:lang w:val="es-ES_tradnl"/>
        </w:rPr>
        <w:t>*** Diferencia de proporciones, IC del 95% y obtenidos tras el ajuste para la aleatorización</w:t>
      </w:r>
    </w:p>
    <w:p w14:paraId="38AEF62F" w14:textId="77777777" w:rsidR="00002E8F" w:rsidRPr="00C52C4C" w:rsidRDefault="00002E8F" w:rsidP="00002E8F">
      <w:pPr>
        <w:pStyle w:val="Default"/>
        <w:rPr>
          <w:bCs/>
          <w:sz w:val="22"/>
          <w:szCs w:val="22"/>
          <w:u w:val="single"/>
          <w:lang w:val="es-ES_tradnl"/>
        </w:rPr>
      </w:pPr>
    </w:p>
    <w:p w14:paraId="2B274670" w14:textId="77777777" w:rsidR="00002E8F" w:rsidRPr="00C52C4C" w:rsidRDefault="00002E8F" w:rsidP="00002E8F">
      <w:pPr>
        <w:pStyle w:val="Default"/>
        <w:keepNext/>
        <w:widowControl/>
        <w:rPr>
          <w:bCs/>
          <w:sz w:val="22"/>
          <w:szCs w:val="22"/>
          <w:u w:val="single"/>
          <w:lang w:val="es-ES_tradnl"/>
        </w:rPr>
      </w:pPr>
      <w:r w:rsidRPr="00C52C4C">
        <w:rPr>
          <w:bCs/>
          <w:sz w:val="22"/>
          <w:szCs w:val="22"/>
          <w:u w:val="single"/>
          <w:lang w:val="es-ES_tradnl"/>
        </w:rPr>
        <w:lastRenderedPageBreak/>
        <w:t>La profilaxis secundaria de IFI: eficacia en receptores de TCMH con IFI probada o probable previa</w:t>
      </w:r>
    </w:p>
    <w:p w14:paraId="1CC5F69B" w14:textId="77777777" w:rsidR="00002E8F" w:rsidRPr="00C52C4C" w:rsidRDefault="007E3592" w:rsidP="00002E8F">
      <w:pPr>
        <w:pStyle w:val="CM55"/>
        <w:keepNext/>
        <w:widowControl/>
        <w:spacing w:after="0"/>
        <w:rPr>
          <w:sz w:val="22"/>
          <w:szCs w:val="22"/>
          <w:lang w:val="es-ES_tradnl"/>
        </w:rPr>
      </w:pPr>
      <w:r w:rsidRPr="00C52C4C">
        <w:rPr>
          <w:sz w:val="22"/>
          <w:szCs w:val="22"/>
          <w:lang w:val="es-ES_tradnl"/>
        </w:rPr>
        <w:t>v</w:t>
      </w:r>
      <w:r w:rsidR="00002E8F" w:rsidRPr="00C52C4C">
        <w:rPr>
          <w:sz w:val="22"/>
          <w:szCs w:val="22"/>
          <w:lang w:val="es-ES_tradnl"/>
        </w:rPr>
        <w:t>oriconazol se estudió en profilaxis secundaria en un estudio abierto, no comparativo, multicéntrico, en adultos receptores de un TCMH alogénico con IFI probada o probable previa. La variable principal del estudio fue la tasa de aparición de IFI probada o probable durante el primer año tras el TCMH. El grupo por intención de tratar estaba compuesto por 40 pacientes con IFI previa, incluyendo: 31 con aspergilosis, 5 con candidiasis y 4 con otro tipo de IFI . La mediana de duración de la profilaxis con el fármaco del estudio fue de 95,5 días en el grupo de análisis por intencion de tratar.</w:t>
      </w:r>
    </w:p>
    <w:p w14:paraId="71924975" w14:textId="77777777" w:rsidR="00002E8F" w:rsidRPr="00C52C4C" w:rsidRDefault="00002E8F" w:rsidP="00002E8F">
      <w:pPr>
        <w:pStyle w:val="CM55"/>
        <w:spacing w:after="0"/>
        <w:rPr>
          <w:sz w:val="22"/>
          <w:szCs w:val="22"/>
          <w:lang w:val="es-ES_tradnl"/>
        </w:rPr>
      </w:pPr>
    </w:p>
    <w:p w14:paraId="141913B4" w14:textId="77777777" w:rsidR="00002E8F" w:rsidRPr="00C52C4C" w:rsidRDefault="00002E8F" w:rsidP="00002E8F">
      <w:pPr>
        <w:pStyle w:val="Default"/>
        <w:rPr>
          <w:sz w:val="22"/>
          <w:szCs w:val="22"/>
          <w:lang w:val="es-ES_tradnl"/>
        </w:rPr>
      </w:pPr>
      <w:r w:rsidRPr="00C52C4C">
        <w:rPr>
          <w:sz w:val="22"/>
          <w:szCs w:val="22"/>
          <w:lang w:val="es-ES_tradnl"/>
        </w:rPr>
        <w:t>Durante el primer año posterior al TCMH, el 7,5% de los pacientes (3/40) desarrollaron IFI probada o probable, incluyendo: una candidemia, una scedosporiosis (ambas recidivas de una IFI anterior) y una cigomicosis. La tasa de supervivencia el día 180 fue del 80,0% (32/40) y a un año, del 70,0% (28/40).</w:t>
      </w:r>
    </w:p>
    <w:p w14:paraId="2115A028" w14:textId="77777777" w:rsidR="00002E8F" w:rsidRPr="00C52C4C" w:rsidRDefault="00002E8F" w:rsidP="00D061AA">
      <w:pPr>
        <w:pStyle w:val="Textoindependiente2"/>
        <w:tabs>
          <w:tab w:val="left" w:pos="567"/>
        </w:tabs>
        <w:rPr>
          <w:sz w:val="22"/>
          <w:szCs w:val="22"/>
          <w:lang w:val="es-ES_tradnl"/>
        </w:rPr>
      </w:pPr>
    </w:p>
    <w:p w14:paraId="55ADE81C" w14:textId="77777777" w:rsidR="00D061AA" w:rsidRPr="00C52C4C" w:rsidRDefault="00D061AA" w:rsidP="00D061AA">
      <w:pPr>
        <w:tabs>
          <w:tab w:val="left" w:pos="567"/>
        </w:tabs>
        <w:rPr>
          <w:sz w:val="22"/>
          <w:szCs w:val="22"/>
          <w:u w:val="single"/>
          <w:lang w:val="es-ES_tradnl"/>
        </w:rPr>
      </w:pPr>
      <w:r w:rsidRPr="00C52C4C">
        <w:rPr>
          <w:sz w:val="22"/>
          <w:szCs w:val="22"/>
          <w:u w:val="single"/>
          <w:lang w:val="es-ES_tradnl"/>
        </w:rPr>
        <w:t xml:space="preserve">Duración del tratamiento </w:t>
      </w:r>
    </w:p>
    <w:p w14:paraId="0BAE6240"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En los ensayos clínicos, </w:t>
      </w:r>
      <w:r w:rsidR="00002E8F" w:rsidRPr="00C52C4C">
        <w:rPr>
          <w:sz w:val="22"/>
          <w:szCs w:val="22"/>
          <w:lang w:val="es-ES_tradnl"/>
        </w:rPr>
        <w:t xml:space="preserve">705 </w:t>
      </w:r>
      <w:r w:rsidRPr="00C52C4C">
        <w:rPr>
          <w:sz w:val="22"/>
          <w:szCs w:val="22"/>
          <w:lang w:val="es-ES_tradnl"/>
        </w:rPr>
        <w:t xml:space="preserve">pacientes recibieron tratamiento con voriconazol durante más de 12 semanas y </w:t>
      </w:r>
      <w:r w:rsidR="00002E8F" w:rsidRPr="00C52C4C">
        <w:rPr>
          <w:sz w:val="22"/>
          <w:szCs w:val="22"/>
          <w:lang w:val="es-ES_tradnl"/>
        </w:rPr>
        <w:t xml:space="preserve">164 </w:t>
      </w:r>
      <w:r w:rsidRPr="00C52C4C">
        <w:rPr>
          <w:sz w:val="22"/>
          <w:szCs w:val="22"/>
          <w:lang w:val="es-ES_tradnl"/>
        </w:rPr>
        <w:t>pacientes lo recibieron durante más de 6 meses.</w:t>
      </w:r>
    </w:p>
    <w:p w14:paraId="3BFBF031" w14:textId="77777777" w:rsidR="00D061AA" w:rsidRPr="00C52C4C" w:rsidRDefault="00D061AA" w:rsidP="00D061AA">
      <w:pPr>
        <w:tabs>
          <w:tab w:val="left" w:pos="567"/>
        </w:tabs>
        <w:rPr>
          <w:sz w:val="22"/>
          <w:szCs w:val="22"/>
          <w:lang w:val="es-ES_tradnl"/>
        </w:rPr>
      </w:pPr>
    </w:p>
    <w:p w14:paraId="4B3A5174" w14:textId="77777777" w:rsidR="00D061AA" w:rsidRPr="00C52C4C" w:rsidRDefault="00D061AA" w:rsidP="00D061AA">
      <w:pPr>
        <w:keepNext/>
        <w:tabs>
          <w:tab w:val="left" w:pos="567"/>
        </w:tabs>
        <w:rPr>
          <w:b/>
          <w:caps/>
          <w:sz w:val="22"/>
          <w:szCs w:val="22"/>
          <w:lang w:val="es-ES_tradnl"/>
        </w:rPr>
      </w:pPr>
      <w:r w:rsidRPr="00C52C4C">
        <w:rPr>
          <w:sz w:val="22"/>
          <w:szCs w:val="22"/>
          <w:u w:val="single"/>
          <w:lang w:val="es-ES_tradnl"/>
        </w:rPr>
        <w:t>Población pediátrica</w:t>
      </w:r>
    </w:p>
    <w:p w14:paraId="1753BE30" w14:textId="77777777" w:rsidR="00D061AA" w:rsidRPr="00C52C4C" w:rsidRDefault="00265337" w:rsidP="00D061AA">
      <w:pPr>
        <w:tabs>
          <w:tab w:val="left" w:pos="567"/>
        </w:tabs>
        <w:rPr>
          <w:sz w:val="22"/>
          <w:szCs w:val="22"/>
          <w:lang w:val="es-ES_tradnl"/>
        </w:rPr>
      </w:pPr>
      <w:r w:rsidRPr="00C52C4C">
        <w:rPr>
          <w:sz w:val="22"/>
          <w:szCs w:val="22"/>
          <w:lang w:val="es-ES_tradnl"/>
        </w:rPr>
        <w:t>Cincuenta y tres pacientes pediátricos de 2 a &lt;18 años de edad fueron tratados</w:t>
      </w:r>
      <w:r w:rsidRPr="00C52C4C" w:rsidDel="00722EC4">
        <w:rPr>
          <w:sz w:val="22"/>
          <w:szCs w:val="22"/>
          <w:lang w:val="es-ES_tradnl"/>
        </w:rPr>
        <w:t xml:space="preserve"> </w:t>
      </w:r>
      <w:r w:rsidRPr="00C52C4C">
        <w:rPr>
          <w:sz w:val="22"/>
          <w:szCs w:val="22"/>
          <w:lang w:val="es-ES_tradnl"/>
        </w:rPr>
        <w:t xml:space="preserve">con voriconazol en dos ensayos clínicos prospectivos, abiertos, no comparativos, multicéntricos. En uno de los estudios se incluyó a 31 pacientes con aspergilosis invasiva (AI) posible, probada o probable, 14 de los cuales tenían AI probada o probable y fueron incluidos en los análisis de la eficacia por intención de tratar. El segundo estudio incluyó a 22 pacientes con candidiasis invasiva, como candidemia (CIC) y candidiasis esofágica (CE) que precisó tratamiento primario o de rescate, 17 de los cuales fueron incluidos en los análisis de la eficacia por intención de tratar. </w:t>
      </w:r>
      <w:r w:rsidRPr="00C52C4C">
        <w:rPr>
          <w:iCs/>
          <w:sz w:val="22"/>
          <w:szCs w:val="22"/>
        </w:rPr>
        <w:t>En los pacientes con AI</w:t>
      </w:r>
      <w:r w:rsidRPr="00C52C4C" w:rsidDel="0082011F">
        <w:rPr>
          <w:iCs/>
          <w:sz w:val="22"/>
          <w:szCs w:val="22"/>
        </w:rPr>
        <w:t xml:space="preserve"> </w:t>
      </w:r>
      <w:r w:rsidRPr="00C52C4C">
        <w:rPr>
          <w:iCs/>
          <w:sz w:val="22"/>
          <w:szCs w:val="22"/>
        </w:rPr>
        <w:t>las tasas generales de respuesta global a las 6 semanas fueron del 64,3% (9/14</w:t>
      </w:r>
      <w:r w:rsidRPr="00C52C4C" w:rsidDel="0082011F">
        <w:rPr>
          <w:iCs/>
          <w:sz w:val="22"/>
          <w:szCs w:val="22"/>
        </w:rPr>
        <w:t>) a las</w:t>
      </w:r>
      <w:r w:rsidRPr="00C52C4C">
        <w:rPr>
          <w:iCs/>
          <w:sz w:val="22"/>
          <w:szCs w:val="22"/>
        </w:rPr>
        <w:t xml:space="preserve"> 6 semanas, la tasa de </w:t>
      </w:r>
      <w:r w:rsidRPr="00C52C4C" w:rsidDel="0082011F">
        <w:rPr>
          <w:iCs/>
          <w:sz w:val="22"/>
          <w:szCs w:val="22"/>
        </w:rPr>
        <w:t>éxito</w:t>
      </w:r>
      <w:r w:rsidRPr="00C52C4C" w:rsidDel="00B840BA">
        <w:rPr>
          <w:iCs/>
          <w:sz w:val="22"/>
          <w:szCs w:val="22"/>
        </w:rPr>
        <w:t xml:space="preserve">de </w:t>
      </w:r>
      <w:r w:rsidRPr="00C52C4C">
        <w:rPr>
          <w:iCs/>
          <w:sz w:val="22"/>
          <w:szCs w:val="22"/>
        </w:rPr>
        <w:t>respuesta global fue del 40% (2/5) en los pacientes de 2 a &lt;12 años de edad y del 77,8% (7/9) en los pacientes de 12 a &lt;18 años de edad. En los pacientes con CIC la tasa de respuesta global en el momento del EOT fue del 85,7% (6/7) y en los pacientes con CE la tasa de respuesta global en el momento del EOT fue del 70% (7/10). La tasa general de respuesta (CIC y CE combinadas) fue del 88,9% (8/9) en los pacientes de 2 a &lt;12 años de edad y del 62,5% (5/8) en los pacientes de 12 a &lt;18 años de edad.</w:t>
      </w:r>
    </w:p>
    <w:p w14:paraId="02B3F243" w14:textId="77777777" w:rsidR="00D061AA" w:rsidRPr="00C52C4C" w:rsidRDefault="00D061AA" w:rsidP="00D061AA">
      <w:pPr>
        <w:tabs>
          <w:tab w:val="left" w:pos="567"/>
        </w:tabs>
        <w:rPr>
          <w:sz w:val="22"/>
          <w:szCs w:val="22"/>
          <w:lang w:val="es-ES_tradnl"/>
        </w:rPr>
      </w:pPr>
    </w:p>
    <w:p w14:paraId="4C619801" w14:textId="77777777" w:rsidR="00D061AA" w:rsidRPr="00C52C4C" w:rsidRDefault="00D061AA" w:rsidP="00D061AA">
      <w:pPr>
        <w:tabs>
          <w:tab w:val="left" w:pos="567"/>
        </w:tabs>
        <w:rPr>
          <w:sz w:val="22"/>
          <w:szCs w:val="22"/>
          <w:u w:val="single"/>
          <w:lang w:val="es-ES_tradnl"/>
        </w:rPr>
      </w:pPr>
      <w:r w:rsidRPr="00C52C4C">
        <w:rPr>
          <w:sz w:val="22"/>
          <w:szCs w:val="22"/>
          <w:u w:val="single"/>
          <w:lang w:val="es-ES_tradnl"/>
        </w:rPr>
        <w:t>Ensayo clínico acerca del efecto sobre el intervalo QT</w:t>
      </w:r>
      <w:r w:rsidR="00002E8F" w:rsidRPr="00C52C4C">
        <w:rPr>
          <w:sz w:val="22"/>
          <w:szCs w:val="22"/>
          <w:u w:val="single"/>
          <w:lang w:val="es-ES_tradnl"/>
        </w:rPr>
        <w:t>c</w:t>
      </w:r>
    </w:p>
    <w:p w14:paraId="571149E3" w14:textId="77777777" w:rsidR="00D061AA" w:rsidRPr="00C52C4C" w:rsidRDefault="00D061AA" w:rsidP="00D061AA">
      <w:pPr>
        <w:tabs>
          <w:tab w:val="left" w:pos="567"/>
        </w:tabs>
        <w:rPr>
          <w:sz w:val="22"/>
          <w:szCs w:val="22"/>
          <w:lang w:val="es-ES_tradnl"/>
        </w:rPr>
      </w:pPr>
      <w:r w:rsidRPr="00C52C4C">
        <w:rPr>
          <w:sz w:val="22"/>
          <w:szCs w:val="22"/>
          <w:lang w:val="es-ES_tradnl"/>
        </w:rPr>
        <w:t>Se realizó un ensayo a dosis única, cruzado, aleatorizado y controlado con placebo, con el fin de evaluar el efecto sobre el intervalo QT</w:t>
      </w:r>
      <w:r w:rsidR="007D3F20" w:rsidRPr="00C52C4C">
        <w:rPr>
          <w:sz w:val="22"/>
          <w:szCs w:val="22"/>
          <w:lang w:val="es-ES_tradnl"/>
        </w:rPr>
        <w:t>c</w:t>
      </w:r>
      <w:r w:rsidRPr="00C52C4C">
        <w:rPr>
          <w:sz w:val="22"/>
          <w:szCs w:val="22"/>
          <w:lang w:val="es-ES_tradnl"/>
        </w:rPr>
        <w:t xml:space="preserve"> en voluntarios sanos, con tres dosis de voriconazol y una de ketoconazol administradas por vía oral. Después de la administración de 800, 1.200 y 1.600 mg de voriconazol, se obtuvieron unos incrementos máximos medios ajustados frente a placebo en el QTc desde el inicio de 5,1; 4,8 y 8,2 mseg, respectivamente, y de 7,0 mseg para una dosis de 800 mg de ketoconazol. De todos los grupos, ningún individuo presentó un incremento en el QTc </w:t>
      </w:r>
      <w:r w:rsidRPr="00C52C4C">
        <w:rPr>
          <w:sz w:val="22"/>
          <w:szCs w:val="22"/>
        </w:rPr>
        <w:sym w:font="Symbol" w:char="F0B3"/>
      </w:r>
      <w:r w:rsidRPr="00C52C4C">
        <w:rPr>
          <w:sz w:val="22"/>
          <w:szCs w:val="22"/>
          <w:lang w:val="es-ES_tradnl"/>
        </w:rPr>
        <w:t>60 mseg desde el nivel basal. En ningún individuo se registró un intervalo que excediese el umbral de 500 mseg, considerado como de potencial relevancia clínica.</w:t>
      </w:r>
    </w:p>
    <w:p w14:paraId="4D4C6D0B" w14:textId="77777777" w:rsidR="00D061AA" w:rsidRPr="00C52C4C" w:rsidRDefault="00D061AA" w:rsidP="00D061AA">
      <w:pPr>
        <w:pStyle w:val="Textonotaalfinal"/>
        <w:spacing w:line="260" w:lineRule="exact"/>
        <w:rPr>
          <w:szCs w:val="22"/>
          <w:lang w:val="es-ES_tradnl"/>
        </w:rPr>
      </w:pPr>
    </w:p>
    <w:p w14:paraId="08002833" w14:textId="77777777" w:rsidR="00D061AA" w:rsidRPr="00C52C4C" w:rsidRDefault="00D061AA" w:rsidP="00D061AA">
      <w:pPr>
        <w:tabs>
          <w:tab w:val="left" w:pos="567"/>
        </w:tabs>
        <w:ind w:left="567" w:hanging="567"/>
        <w:rPr>
          <w:sz w:val="22"/>
          <w:szCs w:val="22"/>
          <w:lang w:val="es-ES_tradnl"/>
        </w:rPr>
      </w:pPr>
      <w:r w:rsidRPr="00C52C4C">
        <w:rPr>
          <w:b/>
          <w:sz w:val="22"/>
          <w:szCs w:val="22"/>
          <w:lang w:val="es-ES_tradnl"/>
        </w:rPr>
        <w:t>5.2</w:t>
      </w:r>
      <w:r w:rsidRPr="00C52C4C">
        <w:rPr>
          <w:b/>
          <w:sz w:val="22"/>
          <w:szCs w:val="22"/>
          <w:lang w:val="es-ES_tradnl"/>
        </w:rPr>
        <w:tab/>
        <w:t>Propiedades farmacocinéticas</w:t>
      </w:r>
    </w:p>
    <w:p w14:paraId="0912E0E8" w14:textId="77777777" w:rsidR="00D061AA" w:rsidRPr="00C52C4C" w:rsidRDefault="00D061AA" w:rsidP="00D061AA">
      <w:pPr>
        <w:pStyle w:val="Textonotaalfinal"/>
        <w:rPr>
          <w:b/>
          <w:szCs w:val="22"/>
          <w:lang w:val="es-ES_tradnl"/>
        </w:rPr>
      </w:pPr>
    </w:p>
    <w:p w14:paraId="344AD67C" w14:textId="77777777" w:rsidR="00D061AA" w:rsidRPr="00C52C4C" w:rsidRDefault="00D061AA" w:rsidP="00D061AA">
      <w:pPr>
        <w:pStyle w:val="Textonotaalfinal"/>
        <w:rPr>
          <w:szCs w:val="22"/>
          <w:u w:val="single"/>
          <w:lang w:val="es-ES_tradnl"/>
        </w:rPr>
      </w:pPr>
      <w:r w:rsidRPr="00C52C4C">
        <w:rPr>
          <w:szCs w:val="22"/>
          <w:u w:val="single"/>
          <w:lang w:val="es-ES_tradnl"/>
        </w:rPr>
        <w:t>Características farmacocinéticas generales</w:t>
      </w:r>
    </w:p>
    <w:p w14:paraId="36132159" w14:textId="77777777" w:rsidR="00D061AA" w:rsidRPr="00C52C4C" w:rsidRDefault="00D061AA" w:rsidP="00D061AA">
      <w:pPr>
        <w:tabs>
          <w:tab w:val="left" w:pos="567"/>
        </w:tabs>
        <w:rPr>
          <w:sz w:val="22"/>
          <w:szCs w:val="22"/>
          <w:lang w:val="es-ES_tradnl"/>
        </w:rPr>
      </w:pPr>
      <w:r w:rsidRPr="00C52C4C">
        <w:rPr>
          <w:sz w:val="22"/>
          <w:szCs w:val="22"/>
          <w:lang w:val="es-ES_tradnl"/>
        </w:rPr>
        <w:t>La farmacocinética de voriconazol se ha estudiado en voluntarios sanos, poblaciones especiales y pacientes. Durante la administración oral de 200 mg o 300 mg dos veces al día durante 14 días en pacientes con riesgo de aspergilosis (principalmente pacientes con neoplasias malignas del tejido linfático o hematopoyético), las características farmacocinéticas observadas de absorción rápida y uniforme, acumulación y farmacocinética no lineal concordaron con las observadas en los sujetos sanos.</w:t>
      </w:r>
    </w:p>
    <w:p w14:paraId="16F3260E" w14:textId="77777777" w:rsidR="00D061AA" w:rsidRPr="00C52C4C" w:rsidRDefault="00D061AA" w:rsidP="00D061AA">
      <w:pPr>
        <w:tabs>
          <w:tab w:val="left" w:pos="567"/>
        </w:tabs>
        <w:rPr>
          <w:sz w:val="22"/>
          <w:szCs w:val="22"/>
          <w:lang w:val="es-ES_tradnl"/>
        </w:rPr>
      </w:pPr>
    </w:p>
    <w:p w14:paraId="0907AEF2" w14:textId="77777777" w:rsidR="00D061AA" w:rsidRPr="00C52C4C" w:rsidRDefault="00D061AA" w:rsidP="00D061AA">
      <w:pPr>
        <w:pStyle w:val="Textonotaalfinal"/>
        <w:rPr>
          <w:szCs w:val="22"/>
          <w:lang w:val="es-ES_tradnl"/>
        </w:rPr>
      </w:pPr>
      <w:r w:rsidRPr="00C52C4C">
        <w:rPr>
          <w:szCs w:val="22"/>
          <w:lang w:val="es-ES_tradnl"/>
        </w:rPr>
        <w:t>La farmacocinética de voriconazol es no lineal debido a la saturación de su metabolismo. Al aumentar la dosis se obtienen incrementos de la exposición superiores a los proporcionales. Se estima, como media, que el incremento de la dosis por vía oral de 200 mg dos veces al día a 300 mg dos veces al día se traduce en una exposición 2,5 veces mayor (AUC</w:t>
      </w:r>
      <w:r w:rsidRPr="00C52C4C">
        <w:rPr>
          <w:szCs w:val="22"/>
          <w:lang w:val="es-ES_tradnl"/>
        </w:rPr>
        <w:sym w:font="Symbol" w:char="F074"/>
      </w:r>
      <w:r w:rsidRPr="00C52C4C">
        <w:rPr>
          <w:szCs w:val="22"/>
          <w:lang w:val="es-ES_tradnl"/>
        </w:rPr>
        <w:t xml:space="preserve">). La dosis oral de mantenimiento de 200 mg (100 mg para los pacientes con un peso inferior a </w:t>
      </w:r>
      <w:smartTag w:uri="urn:schemas-microsoft-com:office:smarttags" w:element="metricconverter">
        <w:smartTagPr>
          <w:attr w:name="ProductID" w:val="40 kg"/>
        </w:smartTagPr>
        <w:r w:rsidRPr="00C52C4C">
          <w:rPr>
            <w:szCs w:val="22"/>
            <w:lang w:val="es-ES_tradnl"/>
          </w:rPr>
          <w:t>40 kg</w:t>
        </w:r>
      </w:smartTag>
      <w:r w:rsidRPr="00C52C4C">
        <w:rPr>
          <w:szCs w:val="22"/>
          <w:lang w:val="es-ES_tradnl"/>
        </w:rPr>
        <w:t xml:space="preserve">) consigue una exposición similar a la dosis intravenosa de 3 mg/kg. Una dosis de 300 mg (150 mg para los pacientes con un peso inferior a </w:t>
      </w:r>
      <w:smartTag w:uri="urn:schemas-microsoft-com:office:smarttags" w:element="metricconverter">
        <w:smartTagPr>
          <w:attr w:name="ProductID" w:val="40 kg"/>
        </w:smartTagPr>
        <w:r w:rsidRPr="00C52C4C">
          <w:rPr>
            <w:szCs w:val="22"/>
            <w:lang w:val="es-ES_tradnl"/>
          </w:rPr>
          <w:t>40 kg</w:t>
        </w:r>
      </w:smartTag>
      <w:r w:rsidRPr="00C52C4C">
        <w:rPr>
          <w:szCs w:val="22"/>
          <w:lang w:val="es-ES_tradnl"/>
        </w:rPr>
        <w:t xml:space="preserve">) </w:t>
      </w:r>
      <w:r w:rsidRPr="00C52C4C">
        <w:rPr>
          <w:szCs w:val="22"/>
          <w:lang w:val="es-ES_tradnl"/>
        </w:rPr>
        <w:lastRenderedPageBreak/>
        <w:t xml:space="preserve">consigue una exposición similar a la dosis intravenosa de 4 mg/kg. Cuando se administran las dosis de carga recomendadas, por vía intravenosa u oral, se alcanzan concentraciones plasmáticas próximas al equilibrio estacionario en las primeras 24 horas de administración. Cuando no se administra la dosis de carga, se produce acumulación con dosis múltiples, dos veces al día, alcanzándose las concentraciones plasmáticas de voriconazol del equilibrio estacionario en el </w:t>
      </w:r>
      <w:r w:rsidR="00002E8F" w:rsidRPr="00C52C4C">
        <w:rPr>
          <w:szCs w:val="22"/>
          <w:lang w:val="es-ES_tradnl"/>
        </w:rPr>
        <w:t xml:space="preserve">Día </w:t>
      </w:r>
      <w:r w:rsidRPr="00C52C4C">
        <w:rPr>
          <w:szCs w:val="22"/>
          <w:lang w:val="es-ES_tradnl"/>
        </w:rPr>
        <w:t>6 en la mayoría de los sujetos.</w:t>
      </w:r>
    </w:p>
    <w:p w14:paraId="06CF34D0" w14:textId="77777777" w:rsidR="00D061AA" w:rsidRPr="00C52C4C" w:rsidRDefault="00D061AA" w:rsidP="00D061AA">
      <w:pPr>
        <w:pStyle w:val="Textonotaalfinal"/>
        <w:rPr>
          <w:b/>
          <w:szCs w:val="22"/>
          <w:lang w:val="es-ES_tradnl"/>
        </w:rPr>
      </w:pPr>
    </w:p>
    <w:p w14:paraId="5629BA32" w14:textId="77777777" w:rsidR="00D061AA" w:rsidRPr="00C52C4C" w:rsidRDefault="00D061AA" w:rsidP="00D061AA">
      <w:pPr>
        <w:pStyle w:val="Textonotaalfinal"/>
        <w:rPr>
          <w:szCs w:val="22"/>
          <w:u w:val="single"/>
          <w:lang w:val="es-ES_tradnl"/>
        </w:rPr>
      </w:pPr>
      <w:r w:rsidRPr="00C52C4C">
        <w:rPr>
          <w:szCs w:val="22"/>
          <w:u w:val="single"/>
          <w:lang w:val="es-ES_tradnl"/>
        </w:rPr>
        <w:t>Absorción</w:t>
      </w:r>
    </w:p>
    <w:p w14:paraId="19D8F791" w14:textId="77777777" w:rsidR="00D061AA" w:rsidRPr="00C52C4C" w:rsidRDefault="00D061AA" w:rsidP="00D061AA">
      <w:pPr>
        <w:tabs>
          <w:tab w:val="left" w:pos="567"/>
        </w:tabs>
        <w:rPr>
          <w:sz w:val="22"/>
          <w:szCs w:val="22"/>
          <w:lang w:val="es-ES_tradnl"/>
        </w:rPr>
      </w:pPr>
      <w:r w:rsidRPr="00C52C4C">
        <w:rPr>
          <w:sz w:val="22"/>
          <w:szCs w:val="22"/>
          <w:lang w:val="es-ES_tradnl"/>
        </w:rPr>
        <w:t>Voriconazol se absorbe rápida y casi completamente tras la administración oral, alcanzándose concentraciones plasmáticas máximas (C</w:t>
      </w:r>
      <w:r w:rsidRPr="00C52C4C">
        <w:rPr>
          <w:sz w:val="22"/>
          <w:szCs w:val="22"/>
          <w:vertAlign w:val="subscript"/>
          <w:lang w:val="es-ES_tradnl"/>
        </w:rPr>
        <w:t>max</w:t>
      </w:r>
      <w:r w:rsidRPr="00C52C4C">
        <w:rPr>
          <w:sz w:val="22"/>
          <w:szCs w:val="22"/>
          <w:lang w:val="es-ES_tradnl"/>
        </w:rPr>
        <w:t xml:space="preserve">) en 1-2 horas tras la administración. La biodisponibilidad absoluta de voriconazol tras la administración oral se calcula que es del 96%. Cuando se administran dosis múltiples de voriconazol con comidas ricas en grasas </w:t>
      </w:r>
      <w:smartTag w:uri="urn:schemas-microsoft-com:office:smarttags" w:element="PersonName">
        <w:smartTagPr>
          <w:attr w:name="ProductID" w:val="la Cmax"/>
        </w:smartTagPr>
        <w:r w:rsidRPr="00C52C4C">
          <w:rPr>
            <w:sz w:val="22"/>
            <w:szCs w:val="22"/>
            <w:lang w:val="es-ES_tradnl"/>
          </w:rPr>
          <w:t>la C</w:t>
        </w:r>
        <w:r w:rsidRPr="00C52C4C">
          <w:rPr>
            <w:sz w:val="22"/>
            <w:szCs w:val="22"/>
            <w:vertAlign w:val="subscript"/>
            <w:lang w:val="es-ES_tradnl"/>
          </w:rPr>
          <w:t>max</w:t>
        </w:r>
      </w:smartTag>
      <w:r w:rsidRPr="00C52C4C">
        <w:rPr>
          <w:sz w:val="22"/>
          <w:szCs w:val="22"/>
          <w:vertAlign w:val="subscript"/>
          <w:lang w:val="es-ES_tradnl"/>
        </w:rPr>
        <w:t xml:space="preserve"> </w:t>
      </w:r>
      <w:r w:rsidRPr="00C52C4C">
        <w:rPr>
          <w:sz w:val="22"/>
          <w:szCs w:val="22"/>
          <w:lang w:val="es-ES_tradnl"/>
        </w:rPr>
        <w:t>y el AUC</w:t>
      </w:r>
      <w:r w:rsidRPr="00C52C4C">
        <w:rPr>
          <w:sz w:val="22"/>
          <w:szCs w:val="22"/>
          <w:vertAlign w:val="subscript"/>
          <w:lang w:val="es-ES_tradnl"/>
        </w:rPr>
        <w:sym w:font="Symbol" w:char="F074"/>
      </w:r>
      <w:r w:rsidRPr="00C52C4C">
        <w:rPr>
          <w:sz w:val="22"/>
          <w:szCs w:val="22"/>
          <w:lang w:val="es-ES_tradnl"/>
        </w:rPr>
        <w:t xml:space="preserve">  se reducen en un 34% y 24%, respectivamente. La absorción de voriconazol no se ve afectada por los cambios del pH gástrico.</w:t>
      </w:r>
    </w:p>
    <w:p w14:paraId="339E42A1" w14:textId="77777777" w:rsidR="00D061AA" w:rsidRPr="00C52C4C" w:rsidRDefault="00D061AA" w:rsidP="00D061AA">
      <w:pPr>
        <w:tabs>
          <w:tab w:val="left" w:pos="567"/>
        </w:tabs>
        <w:rPr>
          <w:sz w:val="22"/>
          <w:szCs w:val="22"/>
          <w:lang w:val="es-ES_tradnl"/>
        </w:rPr>
      </w:pPr>
    </w:p>
    <w:p w14:paraId="596EE2DE" w14:textId="77777777" w:rsidR="00D061AA" w:rsidRPr="00C52C4C" w:rsidRDefault="00D061AA" w:rsidP="00D061AA">
      <w:pPr>
        <w:tabs>
          <w:tab w:val="left" w:pos="567"/>
        </w:tabs>
        <w:rPr>
          <w:sz w:val="22"/>
          <w:szCs w:val="22"/>
          <w:u w:val="single"/>
          <w:lang w:val="es-ES_tradnl"/>
        </w:rPr>
      </w:pPr>
      <w:r w:rsidRPr="00C52C4C">
        <w:rPr>
          <w:sz w:val="22"/>
          <w:szCs w:val="22"/>
          <w:u w:val="single"/>
          <w:lang w:val="es-ES_tradnl"/>
        </w:rPr>
        <w:t>Distribución</w:t>
      </w:r>
    </w:p>
    <w:p w14:paraId="0E024A53" w14:textId="77777777" w:rsidR="00D061AA" w:rsidRPr="00C52C4C" w:rsidRDefault="00D061AA" w:rsidP="00D061AA">
      <w:pPr>
        <w:tabs>
          <w:tab w:val="left" w:pos="567"/>
        </w:tabs>
        <w:rPr>
          <w:b/>
          <w:sz w:val="22"/>
          <w:szCs w:val="22"/>
          <w:lang w:val="es-ES_tradnl"/>
        </w:rPr>
      </w:pPr>
      <w:r w:rsidRPr="00C52C4C">
        <w:rPr>
          <w:sz w:val="22"/>
          <w:szCs w:val="22"/>
          <w:lang w:val="es-ES_tradnl"/>
        </w:rPr>
        <w:t>Se calcula que el volumen de distribución de voriconazol en el equilibrio estacionario es de 4,6l/kg, lo que indica una extensa distribución en los tejidos. Se estima que la unión a proteínas plasmáticas es del 58%. Muestras de líquido cefalorraquídeo de 8 pacientes incluidos en un programa de uso compasivo mostraron concentraciones detectables de voriconazol en todos ellos.</w:t>
      </w:r>
    </w:p>
    <w:p w14:paraId="08EA064E" w14:textId="77777777" w:rsidR="00D061AA" w:rsidRPr="00C52C4C" w:rsidRDefault="00D061AA" w:rsidP="00D061AA">
      <w:pPr>
        <w:pStyle w:val="Textonotaalfinal"/>
        <w:rPr>
          <w:szCs w:val="22"/>
          <w:u w:val="single"/>
          <w:lang w:val="es-ES_tradnl"/>
        </w:rPr>
      </w:pPr>
    </w:p>
    <w:p w14:paraId="1500A200" w14:textId="77777777" w:rsidR="00D061AA" w:rsidRPr="00C52C4C" w:rsidRDefault="00D061AA" w:rsidP="00D061AA">
      <w:pPr>
        <w:pStyle w:val="Textonotaalfinal"/>
        <w:keepNext/>
        <w:rPr>
          <w:szCs w:val="22"/>
          <w:u w:val="single"/>
          <w:lang w:val="es-ES_tradnl"/>
        </w:rPr>
      </w:pPr>
      <w:r w:rsidRPr="00C52C4C">
        <w:rPr>
          <w:szCs w:val="22"/>
          <w:u w:val="single"/>
          <w:lang w:val="es-ES_tradnl"/>
        </w:rPr>
        <w:t>Biotransformación</w:t>
      </w:r>
    </w:p>
    <w:p w14:paraId="54538E4D" w14:textId="77777777" w:rsidR="00D061AA" w:rsidRPr="00C52C4C" w:rsidRDefault="00D061AA" w:rsidP="00D061AA">
      <w:pPr>
        <w:keepNext/>
        <w:tabs>
          <w:tab w:val="left" w:pos="567"/>
        </w:tabs>
        <w:rPr>
          <w:b/>
          <w:sz w:val="22"/>
          <w:szCs w:val="22"/>
          <w:lang w:val="es-ES_tradnl"/>
        </w:rPr>
      </w:pPr>
      <w:r w:rsidRPr="00C52C4C">
        <w:rPr>
          <w:sz w:val="22"/>
          <w:szCs w:val="22"/>
          <w:lang w:val="es-ES_tradnl"/>
        </w:rPr>
        <w:t xml:space="preserve">Estudios </w:t>
      </w:r>
      <w:r w:rsidRPr="00C52C4C">
        <w:rPr>
          <w:i/>
          <w:sz w:val="22"/>
          <w:szCs w:val="22"/>
          <w:lang w:val="es-ES_tradnl"/>
        </w:rPr>
        <w:t>in vitro</w:t>
      </w:r>
      <w:r w:rsidRPr="00C52C4C">
        <w:rPr>
          <w:sz w:val="22"/>
          <w:szCs w:val="22"/>
          <w:lang w:val="es-ES_tradnl"/>
        </w:rPr>
        <w:t xml:space="preserve"> han demostrado que voriconazol se metaboliza a través de las isoenzimas del citocromo P450 hepático </w:t>
      </w:r>
      <w:smartTag w:uri="urn:schemas-microsoft-com:office:smarttags" w:element="PersonName">
        <w:r w:rsidRPr="00C52C4C">
          <w:rPr>
            <w:sz w:val="22"/>
            <w:szCs w:val="22"/>
            <w:lang w:val="es-ES_tradnl"/>
          </w:rPr>
          <w:t>CY</w:t>
        </w:r>
      </w:smartTag>
      <w:r w:rsidRPr="00C52C4C">
        <w:rPr>
          <w:sz w:val="22"/>
          <w:szCs w:val="22"/>
          <w:lang w:val="es-ES_tradnl"/>
        </w:rPr>
        <w:t xml:space="preserve">P2C19, </w:t>
      </w:r>
      <w:smartTag w:uri="urn:schemas-microsoft-com:office:smarttags" w:element="PersonName">
        <w:r w:rsidRPr="00C52C4C">
          <w:rPr>
            <w:sz w:val="22"/>
            <w:szCs w:val="22"/>
            <w:lang w:val="es-ES_tradnl"/>
          </w:rPr>
          <w:t>CY</w:t>
        </w:r>
      </w:smartTag>
      <w:r w:rsidRPr="00C52C4C">
        <w:rPr>
          <w:sz w:val="22"/>
          <w:szCs w:val="22"/>
          <w:lang w:val="es-ES_tradnl"/>
        </w:rPr>
        <w:t xml:space="preserve">P2C9 y </w:t>
      </w:r>
      <w:smartTag w:uri="urn:schemas-microsoft-com:office:smarttags" w:element="PersonName">
        <w:r w:rsidRPr="00C52C4C">
          <w:rPr>
            <w:sz w:val="22"/>
            <w:szCs w:val="22"/>
            <w:lang w:val="es-ES_tradnl"/>
          </w:rPr>
          <w:t>CY</w:t>
        </w:r>
      </w:smartTag>
      <w:r w:rsidRPr="00C52C4C">
        <w:rPr>
          <w:sz w:val="22"/>
          <w:szCs w:val="22"/>
          <w:lang w:val="es-ES_tradnl"/>
        </w:rPr>
        <w:t>P3A4.</w:t>
      </w:r>
      <w:r w:rsidRPr="00C52C4C">
        <w:rPr>
          <w:b/>
          <w:sz w:val="22"/>
          <w:szCs w:val="22"/>
          <w:lang w:val="es-ES_tradnl"/>
        </w:rPr>
        <w:t xml:space="preserve"> </w:t>
      </w:r>
    </w:p>
    <w:p w14:paraId="2486F192" w14:textId="77777777" w:rsidR="00D061AA" w:rsidRPr="00C52C4C" w:rsidRDefault="00D061AA" w:rsidP="00D061AA">
      <w:pPr>
        <w:tabs>
          <w:tab w:val="left" w:pos="567"/>
        </w:tabs>
        <w:rPr>
          <w:b/>
          <w:sz w:val="22"/>
          <w:szCs w:val="22"/>
          <w:lang w:val="es-ES_tradnl"/>
        </w:rPr>
      </w:pPr>
    </w:p>
    <w:p w14:paraId="67EE4075" w14:textId="77777777" w:rsidR="00D061AA" w:rsidRPr="00C52C4C" w:rsidRDefault="00D061AA" w:rsidP="00D061AA">
      <w:pPr>
        <w:tabs>
          <w:tab w:val="left" w:pos="567"/>
        </w:tabs>
        <w:rPr>
          <w:b/>
          <w:sz w:val="22"/>
          <w:szCs w:val="22"/>
          <w:lang w:val="es-ES_tradnl"/>
        </w:rPr>
      </w:pPr>
      <w:r w:rsidRPr="00C52C4C">
        <w:rPr>
          <w:sz w:val="22"/>
          <w:szCs w:val="22"/>
          <w:lang w:val="es-ES_tradnl"/>
        </w:rPr>
        <w:t>La variabilidad interindividual de la farmacocinética de voriconazol es alta.</w:t>
      </w:r>
    </w:p>
    <w:p w14:paraId="3A2BC137" w14:textId="77777777" w:rsidR="00D061AA" w:rsidRPr="00C52C4C" w:rsidRDefault="00D061AA" w:rsidP="00D061AA">
      <w:pPr>
        <w:tabs>
          <w:tab w:val="left" w:pos="567"/>
        </w:tabs>
        <w:rPr>
          <w:b/>
          <w:sz w:val="22"/>
          <w:szCs w:val="22"/>
          <w:lang w:val="es-ES_tradnl"/>
        </w:rPr>
      </w:pPr>
    </w:p>
    <w:p w14:paraId="3BA0265C"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Los estudios </w:t>
      </w:r>
      <w:r w:rsidRPr="00C52C4C">
        <w:rPr>
          <w:i/>
          <w:sz w:val="22"/>
          <w:szCs w:val="22"/>
          <w:lang w:val="es-ES_tradnl"/>
        </w:rPr>
        <w:t>in vivo</w:t>
      </w:r>
      <w:r w:rsidRPr="00C52C4C">
        <w:rPr>
          <w:sz w:val="22"/>
          <w:szCs w:val="22"/>
          <w:lang w:val="es-ES_tradnl"/>
        </w:rPr>
        <w:t xml:space="preserve"> indican que </w:t>
      </w:r>
      <w:smartTag w:uri="urn:schemas-microsoft-com:office:smarttags" w:element="PersonName">
        <w:r w:rsidRPr="00C52C4C">
          <w:rPr>
            <w:sz w:val="22"/>
            <w:szCs w:val="22"/>
            <w:lang w:val="es-ES_tradnl"/>
          </w:rPr>
          <w:t>CY</w:t>
        </w:r>
      </w:smartTag>
      <w:r w:rsidRPr="00C52C4C">
        <w:rPr>
          <w:sz w:val="22"/>
          <w:szCs w:val="22"/>
          <w:lang w:val="es-ES_tradnl"/>
        </w:rPr>
        <w:t>P2C19 participa significativamente en el metabolismo de voriconazol. Esta enzima muestra un polimorfismo genético. Por ejemplo, cabe esperar que el 15-20% de la población asiática sean metabolizadores lentos. En los pacientes de raza caucásica y negra, la prevalencia de metabolizadores lentos es del 3-5%. Los estudios realizados en sujetos sanos de raza caucásica y japoneses han demostrado que los metabolizadores lentos tienen, de media, una exposición a voriconazol (AUC</w:t>
      </w:r>
      <w:r w:rsidRPr="00C52C4C">
        <w:rPr>
          <w:sz w:val="22"/>
          <w:szCs w:val="22"/>
          <w:vertAlign w:val="subscript"/>
          <w:lang w:val="es-ES_tradnl"/>
        </w:rPr>
        <w:sym w:font="Symbol" w:char="F074"/>
      </w:r>
      <w:r w:rsidRPr="00C52C4C">
        <w:rPr>
          <w:sz w:val="22"/>
          <w:szCs w:val="22"/>
          <w:lang w:val="es-ES_tradnl"/>
        </w:rPr>
        <w:t>) cuatro veces superior que los metabolizadores rápidos homocigóticos. Los sujetos metabolizadores rápidos heterocigóticos tienen de media una exposición dos veces superior a voriconazol que los metabolizadores rápidos homocigóticos.</w:t>
      </w:r>
    </w:p>
    <w:p w14:paraId="09EC66ED" w14:textId="77777777" w:rsidR="00D061AA" w:rsidRPr="00C52C4C" w:rsidRDefault="00D061AA" w:rsidP="00D061AA">
      <w:pPr>
        <w:tabs>
          <w:tab w:val="left" w:pos="567"/>
        </w:tabs>
        <w:rPr>
          <w:sz w:val="22"/>
          <w:szCs w:val="22"/>
          <w:lang w:val="es-ES_tradnl"/>
        </w:rPr>
      </w:pPr>
    </w:p>
    <w:p w14:paraId="4D353ADC" w14:textId="77777777" w:rsidR="00D061AA" w:rsidRPr="00C52C4C" w:rsidRDefault="00D061AA" w:rsidP="00D061AA">
      <w:pPr>
        <w:tabs>
          <w:tab w:val="left" w:pos="567"/>
        </w:tabs>
        <w:rPr>
          <w:sz w:val="22"/>
          <w:szCs w:val="22"/>
          <w:lang w:val="es-ES_tradnl"/>
        </w:rPr>
      </w:pPr>
      <w:r w:rsidRPr="00C52C4C">
        <w:rPr>
          <w:sz w:val="22"/>
          <w:szCs w:val="22"/>
          <w:lang w:val="es-ES_tradnl"/>
        </w:rPr>
        <w:t>El metabolito principal de voriconazol es el N-óxido, que representa un 72% de los metabolitos radiomarcados circulantes en plasma. Este metabolito presenta una actividad antifúngica mínima que no contribuye a la eficacia global de voriconazol.</w:t>
      </w:r>
    </w:p>
    <w:p w14:paraId="0E1FDC92" w14:textId="77777777" w:rsidR="00D061AA" w:rsidRPr="00C52C4C" w:rsidRDefault="00D061AA" w:rsidP="00D061AA">
      <w:pPr>
        <w:tabs>
          <w:tab w:val="left" w:pos="567"/>
        </w:tabs>
        <w:rPr>
          <w:b/>
          <w:sz w:val="22"/>
          <w:szCs w:val="22"/>
          <w:lang w:val="es-ES_tradnl"/>
        </w:rPr>
      </w:pPr>
    </w:p>
    <w:p w14:paraId="775D8DED" w14:textId="77777777" w:rsidR="00D061AA" w:rsidRPr="00C52C4C" w:rsidRDefault="00D061AA" w:rsidP="00D061AA">
      <w:pPr>
        <w:pStyle w:val="Textonotaalfinal"/>
        <w:rPr>
          <w:szCs w:val="22"/>
          <w:u w:val="single"/>
          <w:lang w:val="es-ES_tradnl"/>
        </w:rPr>
      </w:pPr>
      <w:r w:rsidRPr="00C52C4C">
        <w:rPr>
          <w:szCs w:val="22"/>
          <w:u w:val="single"/>
          <w:lang w:val="es-ES_tradnl"/>
        </w:rPr>
        <w:t>Eliminación</w:t>
      </w:r>
    </w:p>
    <w:p w14:paraId="5B1AA279"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Voriconazol se elimina mediante metabolismo hepático, con menos del 2% de la dosis eliminada de forma inalterada en la orina. </w:t>
      </w:r>
    </w:p>
    <w:p w14:paraId="27D7F305" w14:textId="77777777" w:rsidR="00D061AA" w:rsidRPr="00C52C4C" w:rsidRDefault="00D061AA" w:rsidP="00D061AA">
      <w:pPr>
        <w:tabs>
          <w:tab w:val="left" w:pos="567"/>
        </w:tabs>
        <w:rPr>
          <w:sz w:val="22"/>
          <w:szCs w:val="22"/>
          <w:lang w:val="es-ES_tradnl"/>
        </w:rPr>
      </w:pPr>
    </w:p>
    <w:p w14:paraId="2292D259" w14:textId="77777777" w:rsidR="00D061AA" w:rsidRPr="00C52C4C" w:rsidRDefault="00D061AA" w:rsidP="00D061AA">
      <w:pPr>
        <w:tabs>
          <w:tab w:val="left" w:pos="567"/>
        </w:tabs>
        <w:rPr>
          <w:sz w:val="22"/>
          <w:szCs w:val="22"/>
          <w:lang w:val="es-ES_tradnl"/>
        </w:rPr>
      </w:pPr>
      <w:r w:rsidRPr="00C52C4C">
        <w:rPr>
          <w:sz w:val="22"/>
          <w:szCs w:val="22"/>
          <w:lang w:val="es-ES_tradnl"/>
        </w:rPr>
        <w:t>Tras la administración de una dosis radiomarcada de voriconazol, aproximadamente el 80% de la radiactividad se recupera en orina tras la administración intravenosa de dosis múltiples y el 83% tras la administración oral de dosis múltiples. La mayor parte (&gt;94%) de la radiactividad total se excreta en las primeras 96 horas tras la administración tanto oral como intravenosa.</w:t>
      </w:r>
    </w:p>
    <w:p w14:paraId="759C5767" w14:textId="77777777" w:rsidR="00D061AA" w:rsidRPr="00C52C4C" w:rsidRDefault="00D061AA" w:rsidP="00D061AA">
      <w:pPr>
        <w:tabs>
          <w:tab w:val="left" w:pos="567"/>
        </w:tabs>
        <w:rPr>
          <w:sz w:val="22"/>
          <w:szCs w:val="22"/>
          <w:lang w:val="es-ES_tradnl"/>
        </w:rPr>
      </w:pPr>
    </w:p>
    <w:p w14:paraId="09D1F7AB" w14:textId="77777777" w:rsidR="00D061AA" w:rsidRPr="00C52C4C" w:rsidRDefault="00D061AA" w:rsidP="00D061AA">
      <w:pPr>
        <w:tabs>
          <w:tab w:val="left" w:pos="567"/>
        </w:tabs>
        <w:rPr>
          <w:sz w:val="22"/>
          <w:szCs w:val="22"/>
          <w:lang w:val="es-ES_tradnl"/>
        </w:rPr>
      </w:pPr>
      <w:r w:rsidRPr="00C52C4C">
        <w:rPr>
          <w:sz w:val="22"/>
          <w:szCs w:val="22"/>
          <w:lang w:val="es-ES_tradnl"/>
        </w:rPr>
        <w:t>La semivida de eliminación de voriconazol depende de la dosis y es de aproximadamente 6 horas con 200 mg (por vía oral). Debido a que la farmacocinética es no lineal, la semivida de eliminación terminal no resulta útil para predecir la acumulación o eliminación de voriconazol.</w:t>
      </w:r>
    </w:p>
    <w:p w14:paraId="5717084D" w14:textId="77777777" w:rsidR="00B53B89" w:rsidRDefault="00B53B89" w:rsidP="006235A5">
      <w:pPr>
        <w:keepNext/>
        <w:tabs>
          <w:tab w:val="left" w:pos="567"/>
        </w:tabs>
        <w:rPr>
          <w:sz w:val="22"/>
          <w:szCs w:val="22"/>
          <w:u w:val="single"/>
          <w:lang w:val="es-ES_tradnl"/>
        </w:rPr>
      </w:pPr>
    </w:p>
    <w:p w14:paraId="29A6601E" w14:textId="77777777" w:rsidR="00D061AA" w:rsidRPr="00C52C4C" w:rsidRDefault="00D061AA" w:rsidP="006235A5">
      <w:pPr>
        <w:keepNext/>
        <w:tabs>
          <w:tab w:val="left" w:pos="567"/>
        </w:tabs>
        <w:rPr>
          <w:sz w:val="22"/>
          <w:szCs w:val="22"/>
          <w:u w:val="single"/>
          <w:lang w:val="es-ES_tradnl"/>
        </w:rPr>
      </w:pPr>
      <w:r w:rsidRPr="00C52C4C">
        <w:rPr>
          <w:sz w:val="22"/>
          <w:szCs w:val="22"/>
          <w:u w:val="single"/>
          <w:lang w:val="es-ES_tradnl"/>
        </w:rPr>
        <w:t>Farmacocinética en poblaciones especiales</w:t>
      </w:r>
    </w:p>
    <w:p w14:paraId="6EC2392F" w14:textId="77777777" w:rsidR="00D061AA" w:rsidRPr="00C52C4C" w:rsidRDefault="00D061AA" w:rsidP="006235A5">
      <w:pPr>
        <w:keepNext/>
        <w:tabs>
          <w:tab w:val="left" w:pos="567"/>
        </w:tabs>
        <w:rPr>
          <w:sz w:val="22"/>
          <w:szCs w:val="22"/>
          <w:u w:val="single"/>
          <w:lang w:val="es-ES_tradnl"/>
        </w:rPr>
      </w:pPr>
    </w:p>
    <w:p w14:paraId="2C18BB8F" w14:textId="77777777" w:rsidR="00D061AA" w:rsidRPr="00C52C4C" w:rsidRDefault="00D061AA" w:rsidP="006235A5">
      <w:pPr>
        <w:keepNext/>
        <w:tabs>
          <w:tab w:val="left" w:pos="567"/>
        </w:tabs>
        <w:rPr>
          <w:i/>
          <w:sz w:val="22"/>
          <w:szCs w:val="22"/>
          <w:lang w:val="es-ES_tradnl"/>
        </w:rPr>
      </w:pPr>
      <w:r w:rsidRPr="00C52C4C">
        <w:rPr>
          <w:i/>
          <w:sz w:val="22"/>
          <w:szCs w:val="22"/>
          <w:lang w:val="es-ES_tradnl"/>
        </w:rPr>
        <w:t>Sexo</w:t>
      </w:r>
    </w:p>
    <w:p w14:paraId="4BE01D9D" w14:textId="77777777" w:rsidR="00D061AA" w:rsidRPr="00C52C4C" w:rsidRDefault="00D061AA" w:rsidP="006235A5">
      <w:pPr>
        <w:keepNext/>
        <w:tabs>
          <w:tab w:val="left" w:pos="567"/>
        </w:tabs>
        <w:outlineLvl w:val="0"/>
        <w:rPr>
          <w:sz w:val="22"/>
          <w:szCs w:val="22"/>
          <w:lang w:val="es-ES_tradnl"/>
        </w:rPr>
      </w:pPr>
      <w:r w:rsidRPr="00C52C4C">
        <w:rPr>
          <w:sz w:val="22"/>
          <w:szCs w:val="22"/>
          <w:lang w:val="es-ES_tradnl"/>
        </w:rPr>
        <w:t xml:space="preserve">En un estudio de dosis múltiples administradas por vía oral, </w:t>
      </w:r>
      <w:smartTag w:uri="urn:schemas-microsoft-com:office:smarttags" w:element="PersonName">
        <w:smartTagPr>
          <w:attr w:name="ProductID" w:val="la Cmax"/>
        </w:smartTagPr>
        <w:r w:rsidRPr="00C52C4C">
          <w:rPr>
            <w:sz w:val="22"/>
            <w:szCs w:val="22"/>
            <w:lang w:val="es-ES_tradnl"/>
          </w:rPr>
          <w:t>la C</w:t>
        </w:r>
        <w:r w:rsidRPr="00C52C4C">
          <w:rPr>
            <w:sz w:val="22"/>
            <w:szCs w:val="22"/>
            <w:vertAlign w:val="subscript"/>
            <w:lang w:val="es-ES_tradnl"/>
          </w:rPr>
          <w:t>max</w:t>
        </w:r>
      </w:smartTag>
      <w:r w:rsidRPr="00C52C4C">
        <w:rPr>
          <w:sz w:val="22"/>
          <w:szCs w:val="22"/>
          <w:lang w:val="es-ES_tradnl"/>
        </w:rPr>
        <w:t xml:space="preserve"> y el AUC</w:t>
      </w:r>
      <w:r w:rsidRPr="00C52C4C">
        <w:rPr>
          <w:sz w:val="22"/>
          <w:szCs w:val="22"/>
          <w:vertAlign w:val="subscript"/>
          <w:lang w:val="es-ES_tradnl"/>
        </w:rPr>
        <w:sym w:font="Symbol" w:char="F074"/>
      </w:r>
      <w:r w:rsidRPr="00C52C4C">
        <w:rPr>
          <w:sz w:val="22"/>
          <w:szCs w:val="22"/>
          <w:lang w:val="es-ES_tradnl"/>
        </w:rPr>
        <w:t xml:space="preserve"> en las mujeres sanas jóvenes fueron un 83% y un 113% superiores, respectivamente, con respecto a los varones sanos jóvenes (18-45 años). En el mismo estudio, no se observaron diferencias significativas del C</w:t>
      </w:r>
      <w:r w:rsidRPr="00C52C4C">
        <w:rPr>
          <w:sz w:val="22"/>
          <w:szCs w:val="22"/>
          <w:vertAlign w:val="subscript"/>
          <w:lang w:val="es-ES_tradnl"/>
        </w:rPr>
        <w:t>max</w:t>
      </w:r>
      <w:r w:rsidRPr="00C52C4C">
        <w:rPr>
          <w:sz w:val="22"/>
          <w:szCs w:val="22"/>
          <w:lang w:val="es-ES_tradnl"/>
        </w:rPr>
        <w:t xml:space="preserve"> y el </w:t>
      </w:r>
      <w:r w:rsidRPr="00C52C4C">
        <w:rPr>
          <w:sz w:val="22"/>
          <w:szCs w:val="22"/>
          <w:lang w:val="es-ES_tradnl"/>
        </w:rPr>
        <w:lastRenderedPageBreak/>
        <w:t>AUC</w:t>
      </w:r>
      <w:r w:rsidRPr="00C52C4C">
        <w:rPr>
          <w:sz w:val="22"/>
          <w:szCs w:val="22"/>
          <w:vertAlign w:val="subscript"/>
          <w:lang w:val="es-ES_tradnl"/>
        </w:rPr>
        <w:sym w:font="Symbol" w:char="F074"/>
      </w:r>
      <w:r w:rsidRPr="00C52C4C">
        <w:rPr>
          <w:sz w:val="22"/>
          <w:szCs w:val="22"/>
          <w:lang w:val="es-ES_tradnl"/>
        </w:rPr>
        <w:t xml:space="preserve"> entre los varones pacientes de edad avanzada sanos y las mujeres pacientes de edad avanzada sanas (</w:t>
      </w:r>
      <w:r w:rsidRPr="00C52C4C">
        <w:rPr>
          <w:sz w:val="22"/>
          <w:szCs w:val="22"/>
          <w:lang w:val="es-ES_tradnl"/>
        </w:rPr>
        <w:sym w:font="Symbol" w:char="F0B3"/>
      </w:r>
      <w:r w:rsidRPr="00C52C4C">
        <w:rPr>
          <w:sz w:val="22"/>
          <w:szCs w:val="22"/>
          <w:lang w:val="es-ES_tradnl"/>
        </w:rPr>
        <w:t xml:space="preserve">65 años). </w:t>
      </w:r>
    </w:p>
    <w:p w14:paraId="6FDCE081" w14:textId="77777777" w:rsidR="00D061AA" w:rsidRPr="00C52C4C" w:rsidRDefault="00D061AA" w:rsidP="00D061AA">
      <w:pPr>
        <w:tabs>
          <w:tab w:val="left" w:pos="567"/>
        </w:tabs>
        <w:outlineLvl w:val="0"/>
        <w:rPr>
          <w:sz w:val="22"/>
          <w:szCs w:val="22"/>
          <w:lang w:val="es-ES_tradnl"/>
        </w:rPr>
      </w:pPr>
    </w:p>
    <w:p w14:paraId="079DB837" w14:textId="77777777" w:rsidR="00D061AA" w:rsidRPr="00C52C4C" w:rsidRDefault="00D061AA" w:rsidP="00D061AA">
      <w:pPr>
        <w:tabs>
          <w:tab w:val="left" w:pos="567"/>
        </w:tabs>
        <w:outlineLvl w:val="0"/>
        <w:rPr>
          <w:sz w:val="22"/>
          <w:szCs w:val="22"/>
          <w:lang w:val="es-ES_tradnl"/>
        </w:rPr>
      </w:pPr>
      <w:r w:rsidRPr="00C52C4C">
        <w:rPr>
          <w:sz w:val="22"/>
          <w:szCs w:val="22"/>
          <w:lang w:val="es-ES_tradnl"/>
        </w:rPr>
        <w:t>En el programa clínico no se realizó ajuste de dosis según el sexo. El perfil de seguridad y las concentraciones plasmáticas observadas en pacientes varones y mujeres fueron similares. Por lo tanto, no es necesario ajuste de dosis según el sexo.</w:t>
      </w:r>
    </w:p>
    <w:p w14:paraId="48B0D97E" w14:textId="77777777" w:rsidR="00D061AA" w:rsidRPr="00C52C4C" w:rsidRDefault="00D061AA" w:rsidP="00D061AA">
      <w:pPr>
        <w:pStyle w:val="Piedepgina"/>
        <w:tabs>
          <w:tab w:val="clear" w:pos="4536"/>
          <w:tab w:val="clear" w:pos="8930"/>
        </w:tabs>
        <w:outlineLvl w:val="0"/>
        <w:rPr>
          <w:rFonts w:ascii="Times New Roman" w:hAnsi="Times New Roman"/>
          <w:sz w:val="22"/>
          <w:szCs w:val="22"/>
          <w:lang w:val="es-ES_tradnl"/>
        </w:rPr>
      </w:pPr>
    </w:p>
    <w:p w14:paraId="43948380" w14:textId="77777777" w:rsidR="00D061AA" w:rsidRPr="001A4823" w:rsidRDefault="00D061AA" w:rsidP="00D061AA">
      <w:pPr>
        <w:keepNext/>
        <w:tabs>
          <w:tab w:val="left" w:pos="567"/>
        </w:tabs>
        <w:rPr>
          <w:i/>
          <w:sz w:val="22"/>
          <w:szCs w:val="22"/>
          <w:lang w:val="es-ES_tradnl"/>
        </w:rPr>
      </w:pPr>
      <w:r w:rsidRPr="001A4823">
        <w:rPr>
          <w:i/>
          <w:sz w:val="22"/>
          <w:szCs w:val="22"/>
          <w:lang w:val="es-ES_tradnl"/>
        </w:rPr>
        <w:t>Pacientes de edad avanzada</w:t>
      </w:r>
    </w:p>
    <w:p w14:paraId="33859F57" w14:textId="77777777" w:rsidR="00D061AA" w:rsidRPr="00C52C4C" w:rsidRDefault="00D061AA" w:rsidP="00D061AA">
      <w:pPr>
        <w:keepNext/>
        <w:tabs>
          <w:tab w:val="left" w:pos="567"/>
        </w:tabs>
        <w:rPr>
          <w:sz w:val="22"/>
          <w:szCs w:val="22"/>
          <w:lang w:val="es-ES_tradnl"/>
        </w:rPr>
      </w:pPr>
      <w:r w:rsidRPr="00C52C4C">
        <w:rPr>
          <w:sz w:val="22"/>
          <w:szCs w:val="22"/>
          <w:lang w:val="es-ES_tradnl"/>
        </w:rPr>
        <w:t xml:space="preserve">En un estudio de dosis múltiples administradas por vía oral, </w:t>
      </w:r>
      <w:smartTag w:uri="urn:schemas-microsoft-com:office:smarttags" w:element="PersonName">
        <w:smartTagPr>
          <w:attr w:name="ProductID" w:val="la Cmax"/>
        </w:smartTagPr>
        <w:r w:rsidRPr="00C52C4C">
          <w:rPr>
            <w:sz w:val="22"/>
            <w:szCs w:val="22"/>
            <w:lang w:val="es-ES_tradnl"/>
          </w:rPr>
          <w:t>la C</w:t>
        </w:r>
        <w:r w:rsidRPr="00C52C4C">
          <w:rPr>
            <w:sz w:val="22"/>
            <w:szCs w:val="22"/>
            <w:vertAlign w:val="subscript"/>
            <w:lang w:val="es-ES_tradnl"/>
          </w:rPr>
          <w:t>max</w:t>
        </w:r>
      </w:smartTag>
      <w:r w:rsidRPr="00C52C4C">
        <w:rPr>
          <w:sz w:val="22"/>
          <w:szCs w:val="22"/>
          <w:lang w:val="es-ES_tradnl"/>
        </w:rPr>
        <w:t xml:space="preserve"> y el AUC</w:t>
      </w:r>
      <w:r w:rsidRPr="00C52C4C">
        <w:rPr>
          <w:sz w:val="22"/>
          <w:szCs w:val="22"/>
          <w:vertAlign w:val="subscript"/>
          <w:lang w:val="es-ES_tradnl"/>
        </w:rPr>
        <w:sym w:font="Symbol" w:char="F074"/>
      </w:r>
      <w:r w:rsidRPr="00C52C4C">
        <w:rPr>
          <w:sz w:val="22"/>
          <w:szCs w:val="22"/>
          <w:lang w:val="es-ES_tradnl"/>
        </w:rPr>
        <w:t xml:space="preserve"> de varones pacientes de edad avanzada sanos (</w:t>
      </w:r>
      <w:r w:rsidRPr="00C52C4C">
        <w:rPr>
          <w:sz w:val="22"/>
          <w:szCs w:val="22"/>
          <w:lang w:val="es-ES_tradnl"/>
        </w:rPr>
        <w:sym w:font="Symbol" w:char="F0B3"/>
      </w:r>
      <w:r w:rsidRPr="00C52C4C">
        <w:rPr>
          <w:sz w:val="22"/>
          <w:szCs w:val="22"/>
          <w:lang w:val="es-ES_tradnl"/>
        </w:rPr>
        <w:t xml:space="preserve"> 65 años) fueron un 61% y 86% superiores, respectivamente, que la de los varones jóvenes sanos (18-45 años). No se observaron diferencias significativas en </w:t>
      </w:r>
      <w:smartTag w:uri="urn:schemas-microsoft-com:office:smarttags" w:element="PersonName">
        <w:smartTagPr>
          <w:attr w:name="ProductID" w:val="la Cmax"/>
        </w:smartTagPr>
        <w:r w:rsidRPr="00C52C4C">
          <w:rPr>
            <w:sz w:val="22"/>
            <w:szCs w:val="22"/>
            <w:lang w:val="es-ES_tradnl"/>
          </w:rPr>
          <w:t>la C</w:t>
        </w:r>
        <w:r w:rsidRPr="00C52C4C">
          <w:rPr>
            <w:sz w:val="22"/>
            <w:szCs w:val="22"/>
            <w:vertAlign w:val="subscript"/>
            <w:lang w:val="es-ES_tradnl"/>
          </w:rPr>
          <w:t>max</w:t>
        </w:r>
      </w:smartTag>
      <w:r w:rsidRPr="00C52C4C">
        <w:rPr>
          <w:sz w:val="22"/>
          <w:szCs w:val="22"/>
          <w:lang w:val="es-ES_tradnl"/>
        </w:rPr>
        <w:t xml:space="preserve"> y el AUC</w:t>
      </w:r>
      <w:r w:rsidRPr="00C52C4C">
        <w:rPr>
          <w:sz w:val="22"/>
          <w:szCs w:val="22"/>
          <w:vertAlign w:val="subscript"/>
          <w:lang w:val="es-ES_tradnl"/>
        </w:rPr>
        <w:sym w:font="Symbol" w:char="F074"/>
      </w:r>
      <w:r w:rsidRPr="00C52C4C">
        <w:rPr>
          <w:sz w:val="22"/>
          <w:szCs w:val="22"/>
          <w:lang w:val="es-ES_tradnl"/>
        </w:rPr>
        <w:t xml:space="preserve"> entre las mujeres ancianas sanas (</w:t>
      </w:r>
      <w:r w:rsidRPr="00C52C4C">
        <w:rPr>
          <w:sz w:val="22"/>
          <w:szCs w:val="22"/>
          <w:lang w:val="es-ES_tradnl"/>
        </w:rPr>
        <w:sym w:font="Symbol" w:char="F0B3"/>
      </w:r>
      <w:r w:rsidRPr="00C52C4C">
        <w:rPr>
          <w:sz w:val="22"/>
          <w:szCs w:val="22"/>
          <w:lang w:val="es-ES_tradnl"/>
        </w:rPr>
        <w:t xml:space="preserve"> 65 años) y las mujeres jóvenes sanas (18-45 años).</w:t>
      </w:r>
    </w:p>
    <w:p w14:paraId="283E9E47" w14:textId="77777777" w:rsidR="00D061AA" w:rsidRPr="00C52C4C" w:rsidRDefault="00D061AA" w:rsidP="00D061AA">
      <w:pPr>
        <w:tabs>
          <w:tab w:val="left" w:pos="567"/>
        </w:tabs>
        <w:rPr>
          <w:sz w:val="22"/>
          <w:szCs w:val="22"/>
          <w:lang w:val="es-ES_tradnl"/>
        </w:rPr>
      </w:pPr>
    </w:p>
    <w:p w14:paraId="054AE330" w14:textId="77777777" w:rsidR="00D061AA" w:rsidRPr="00C52C4C" w:rsidRDefault="00D061AA" w:rsidP="00D061AA">
      <w:pPr>
        <w:tabs>
          <w:tab w:val="left" w:pos="567"/>
        </w:tabs>
        <w:rPr>
          <w:sz w:val="22"/>
          <w:szCs w:val="22"/>
          <w:lang w:val="es-ES_tradnl"/>
        </w:rPr>
      </w:pPr>
      <w:r w:rsidRPr="00C52C4C">
        <w:rPr>
          <w:sz w:val="22"/>
          <w:szCs w:val="22"/>
          <w:lang w:val="es-ES_tradnl"/>
        </w:rPr>
        <w:t>En los ensayos terapéuticos, no se realizó ajuste de dosis según la edad. Se observó una relación entre las concentraciones plasmáticas y la edad. El perfil de seguridad de voriconazol en pacientes jóvenes y pacientes de edad avanzada fue similar y, por lo tanto, no es necesario realizar un ajuste de dosis en los pacientes de edad avanzada (ver sección 4.2).</w:t>
      </w:r>
    </w:p>
    <w:p w14:paraId="24FA504D" w14:textId="77777777" w:rsidR="00AC5BF4" w:rsidRPr="00C52C4C" w:rsidRDefault="00AC5BF4" w:rsidP="00D061AA">
      <w:pPr>
        <w:tabs>
          <w:tab w:val="left" w:pos="567"/>
        </w:tabs>
        <w:rPr>
          <w:sz w:val="22"/>
          <w:szCs w:val="22"/>
          <w:lang w:val="es-ES_tradnl"/>
        </w:rPr>
      </w:pPr>
    </w:p>
    <w:p w14:paraId="31E765BA" w14:textId="77777777" w:rsidR="00D061AA" w:rsidRPr="001A4823" w:rsidRDefault="00002E8F" w:rsidP="00D061AA">
      <w:pPr>
        <w:tabs>
          <w:tab w:val="left" w:pos="567"/>
        </w:tabs>
        <w:rPr>
          <w:i/>
          <w:sz w:val="22"/>
          <w:szCs w:val="22"/>
          <w:lang w:val="es-ES_tradnl"/>
        </w:rPr>
      </w:pPr>
      <w:r w:rsidRPr="001A4823">
        <w:rPr>
          <w:i/>
          <w:sz w:val="22"/>
          <w:szCs w:val="22"/>
          <w:lang w:val="es-ES_tradnl"/>
        </w:rPr>
        <w:t>Población pediátrica</w:t>
      </w:r>
    </w:p>
    <w:p w14:paraId="15365C8D"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La dosis recomendada en niños y en pacientes adolescentes se basa en un análisis farmacocinético poblacional de datos procedentes de 112 pacientes pediátricos inmunocomprometidos de </w:t>
      </w:r>
      <w:smartTag w:uri="urn:schemas-microsoft-com:office:smarttags" w:element="metricconverter">
        <w:smartTagPr>
          <w:attr w:name="ProductID" w:val="2 a"/>
        </w:smartTagPr>
        <w:r w:rsidRPr="00C52C4C">
          <w:rPr>
            <w:sz w:val="22"/>
            <w:szCs w:val="22"/>
            <w:lang w:val="es-ES_tradnl"/>
          </w:rPr>
          <w:t>2 a</w:t>
        </w:r>
      </w:smartTag>
      <w:r w:rsidRPr="00C52C4C">
        <w:rPr>
          <w:sz w:val="22"/>
          <w:szCs w:val="22"/>
          <w:lang w:val="es-ES_tradnl"/>
        </w:rPr>
        <w:t xml:space="preserve"> &lt;12 años de edad y de 26 pacientes adolescentes inmunocomprometidos de </w:t>
      </w:r>
      <w:smartTag w:uri="urn:schemas-microsoft-com:office:smarttags" w:element="metricconverter">
        <w:smartTagPr>
          <w:attr w:name="ProductID" w:val="12 a"/>
        </w:smartTagPr>
        <w:r w:rsidRPr="00C52C4C">
          <w:rPr>
            <w:sz w:val="22"/>
            <w:szCs w:val="22"/>
            <w:lang w:val="es-ES_tradnl"/>
          </w:rPr>
          <w:t>12 a</w:t>
        </w:r>
      </w:smartTag>
      <w:r w:rsidRPr="00C52C4C">
        <w:rPr>
          <w:sz w:val="22"/>
          <w:szCs w:val="22"/>
          <w:lang w:val="es-ES_tradnl"/>
        </w:rPr>
        <w:t xml:space="preserve"> &lt; 17 años de edad. En 3 estudios pediátricos farmacocinéticos se evaluaron dosis múltiples intravenosas de 3, 4, 6, 7 y 8 mg/kg dos veces al día y dosis múltiples orales (utilizando el polvo para suspensión oral) de 4 mg/kg, 6mg/kg y 200 mg dos veces al día. En un estudio farmacocinético en adolescentes se evaluaron dosis de carga de 6 mg/kg por vía intravenosa dos veces al día en el día 1, seguida de una dosis intravenosa de 4 mg/kg dos veces al día y 300 mg de comprimidos orales dos veces al día. Se observó una mayor variabilidad interindividual en los pacientes pediátricos en comparación con los adultos.</w:t>
      </w:r>
    </w:p>
    <w:p w14:paraId="618947BD" w14:textId="77777777" w:rsidR="00D061AA" w:rsidRPr="00C52C4C" w:rsidRDefault="00D061AA" w:rsidP="00D061AA">
      <w:pPr>
        <w:tabs>
          <w:tab w:val="left" w:pos="567"/>
        </w:tabs>
        <w:rPr>
          <w:sz w:val="22"/>
          <w:szCs w:val="22"/>
          <w:lang w:val="es-ES_tradnl"/>
        </w:rPr>
      </w:pPr>
    </w:p>
    <w:p w14:paraId="6A92188A" w14:textId="77777777" w:rsidR="00D061AA" w:rsidRPr="00C52C4C" w:rsidRDefault="00D061AA" w:rsidP="00D061AA">
      <w:pPr>
        <w:pStyle w:val="CM55"/>
        <w:rPr>
          <w:sz w:val="22"/>
          <w:szCs w:val="22"/>
          <w:lang w:val="es-ES_tradnl"/>
        </w:rPr>
      </w:pPr>
      <w:r w:rsidRPr="00C52C4C">
        <w:rPr>
          <w:sz w:val="22"/>
          <w:szCs w:val="22"/>
          <w:lang w:val="es-ES_tradnl"/>
        </w:rPr>
        <w:t>Una comparación de los datos farmacocinéticos de la población pediátrica y de la adulta indicó que la exposición total esperada (AUC</w:t>
      </w:r>
      <w:r w:rsidRPr="00C52C4C">
        <w:rPr>
          <w:sz w:val="22"/>
          <w:szCs w:val="22"/>
          <w:vertAlign w:val="subscript"/>
        </w:rPr>
        <w:sym w:font="Symbol" w:char="F074"/>
      </w:r>
      <w:r w:rsidRPr="00C52C4C">
        <w:rPr>
          <w:sz w:val="22"/>
          <w:szCs w:val="22"/>
          <w:lang w:val="es-ES_tradnl"/>
        </w:rPr>
        <w:t>) en niños tras la administración de una dosis de carga de 9 mg/kg por vía intravenosa era comparable a la obtenida en adultos tras la administración de una dosis de carga de  6 mg/kg por vía intravenosa. Las exposiciones totales esperadas en niños tras las dosis de mantenimiento intravenosas de 4 y 8 mg/kg dos veces al día fueron comparables a las observadas en adultos tras la administración de 3 y 4 mg/kg por vía intravenosa dos veces al día, respectivamente. La exposición total esperada en niños tras una dosis oral de mantenimiento de 9 mg/kg (máximo de 350 mg) dos veces al día fue comparable a la de adultos tras la administración de 200 mg por vía oral dos veces al día. Una dosis intravenosa de 8 mg/kg producirá una exposición dos veces mayor que la obtenida con una dosis oral de 9 mg/kg.</w:t>
      </w:r>
    </w:p>
    <w:p w14:paraId="01C46225"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La mayor dosis intravenosa de mantenimiento en pacientes pediátricos comparado con la de adultos refleja la mayor capacidad de eliminación en pacientes pediátricos debido al mayor tamaño del hígado en relación a la masa corporal. La biodisponibilidad oral podría, sin embargo, estar limitada en pacientes pediátricos con malabsorción y con peso corporal muy bajo para su edad. En ese caso, se recomienda  la administración de voriconazol intravenoso. </w:t>
      </w:r>
    </w:p>
    <w:p w14:paraId="65F5CA27" w14:textId="77777777" w:rsidR="00D061AA" w:rsidRPr="00C52C4C" w:rsidRDefault="00D061AA" w:rsidP="00D061AA">
      <w:pPr>
        <w:tabs>
          <w:tab w:val="left" w:pos="567"/>
        </w:tabs>
        <w:rPr>
          <w:sz w:val="22"/>
          <w:szCs w:val="22"/>
          <w:lang w:val="es-ES_tradnl"/>
        </w:rPr>
      </w:pPr>
    </w:p>
    <w:p w14:paraId="21593A86"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Las exposiciones de voriconazol en la mayoría de los pacientes adolescentes fueron comparables a la de los adultos en tratamiento con los mismos regímenes posológicos. Sin embargo, se observó una menor exposición en algunos adolescentes jóvenes con bajo peso corporal en comparación con los adultos. Es probable que estos sujetos pudieran metabolizar voriconazol de forma más parecida a como lo hacen los niños que a la de los adultos. En base al análisis farmacocinético poblacional, los adolescentes de </w:t>
      </w:r>
      <w:smartTag w:uri="urn:schemas-microsoft-com:office:smarttags" w:element="metricconverter">
        <w:smartTagPr>
          <w:attr w:name="ProductID" w:val="12 a"/>
        </w:smartTagPr>
        <w:r w:rsidRPr="00C52C4C">
          <w:rPr>
            <w:sz w:val="22"/>
            <w:szCs w:val="22"/>
            <w:lang w:val="es-ES_tradnl"/>
          </w:rPr>
          <w:t>12 a</w:t>
        </w:r>
      </w:smartTag>
      <w:r w:rsidRPr="00C52C4C">
        <w:rPr>
          <w:sz w:val="22"/>
          <w:szCs w:val="22"/>
          <w:lang w:val="es-ES_tradnl"/>
        </w:rPr>
        <w:t xml:space="preserve"> 14 años de edad con un peso de menos de </w:t>
      </w:r>
      <w:smartTag w:uri="urn:schemas-microsoft-com:office:smarttags" w:element="metricconverter">
        <w:smartTagPr>
          <w:attr w:name="ProductID" w:val="50 kg"/>
        </w:smartTagPr>
        <w:r w:rsidRPr="00C52C4C">
          <w:rPr>
            <w:sz w:val="22"/>
            <w:szCs w:val="22"/>
            <w:lang w:val="es-ES_tradnl"/>
          </w:rPr>
          <w:t>50 kg</w:t>
        </w:r>
      </w:smartTag>
      <w:r w:rsidRPr="00C52C4C">
        <w:rPr>
          <w:sz w:val="22"/>
          <w:szCs w:val="22"/>
          <w:lang w:val="es-ES_tradnl"/>
        </w:rPr>
        <w:t xml:space="preserve"> deberían recibir las dosis de niños (ver sección 4.2).</w:t>
      </w:r>
    </w:p>
    <w:p w14:paraId="7726F6ED" w14:textId="77777777" w:rsidR="00D061AA" w:rsidRPr="00C52C4C" w:rsidRDefault="00D061AA" w:rsidP="00D061AA">
      <w:pPr>
        <w:tabs>
          <w:tab w:val="left" w:pos="567"/>
        </w:tabs>
        <w:rPr>
          <w:sz w:val="22"/>
          <w:szCs w:val="22"/>
          <w:lang w:val="es-ES_tradnl"/>
        </w:rPr>
      </w:pPr>
    </w:p>
    <w:p w14:paraId="2CDBD08B" w14:textId="77777777" w:rsidR="00D061AA" w:rsidRPr="00C52C4C" w:rsidRDefault="00D061AA" w:rsidP="00D061AA">
      <w:pPr>
        <w:tabs>
          <w:tab w:val="left" w:pos="567"/>
        </w:tabs>
        <w:rPr>
          <w:sz w:val="22"/>
          <w:szCs w:val="22"/>
          <w:u w:val="single"/>
          <w:lang w:val="es-ES_tradnl"/>
        </w:rPr>
      </w:pPr>
      <w:r w:rsidRPr="00C52C4C">
        <w:rPr>
          <w:sz w:val="22"/>
          <w:szCs w:val="22"/>
          <w:u w:val="single"/>
          <w:lang w:val="es-ES_tradnl"/>
        </w:rPr>
        <w:t xml:space="preserve">Insuficiencia renal </w:t>
      </w:r>
    </w:p>
    <w:p w14:paraId="07DC3473" w14:textId="77777777" w:rsidR="00D061AA" w:rsidRPr="00C52C4C" w:rsidRDefault="00D061AA" w:rsidP="00D061AA">
      <w:pPr>
        <w:tabs>
          <w:tab w:val="left" w:pos="567"/>
        </w:tabs>
        <w:rPr>
          <w:sz w:val="22"/>
          <w:szCs w:val="22"/>
          <w:lang w:val="es-ES_tradnl"/>
        </w:rPr>
      </w:pPr>
      <w:r w:rsidRPr="00C52C4C">
        <w:rPr>
          <w:snapToGrid w:val="0"/>
          <w:sz w:val="22"/>
          <w:szCs w:val="22"/>
          <w:lang w:val="es-ES_tradnl"/>
        </w:rPr>
        <w:t xml:space="preserve">En un estudio con una dosis única oral (200 mg) en sujetos con función renal normal y con insuficiencia renal leve (aclaramiento de creatinina 41-60 ml/min) a grave (aclaramiento de creatinina </w:t>
      </w:r>
      <w:r w:rsidRPr="00C52C4C">
        <w:rPr>
          <w:snapToGrid w:val="0"/>
          <w:sz w:val="22"/>
          <w:szCs w:val="22"/>
          <w:lang w:val="es-ES_tradnl"/>
        </w:rPr>
        <w:lastRenderedPageBreak/>
        <w:t xml:space="preserve">&lt;20 ml/min), la insuficiencia renal no influyó significativamente sobre la farmacocinética de voriconazol. La unión a proteínas plasmáticas de voriconazol fue similar en los sujetos con distinto grado de alteración renal. </w:t>
      </w:r>
      <w:r w:rsidR="00A40964" w:rsidRPr="00C52C4C">
        <w:rPr>
          <w:snapToGrid w:val="0"/>
          <w:sz w:val="22"/>
          <w:szCs w:val="22"/>
          <w:lang w:val="es-ES_tradnl"/>
        </w:rPr>
        <w:t>(</w:t>
      </w:r>
      <w:r w:rsidRPr="00C52C4C">
        <w:rPr>
          <w:snapToGrid w:val="0"/>
          <w:sz w:val="22"/>
          <w:szCs w:val="22"/>
          <w:lang w:val="es-ES_tradnl"/>
        </w:rPr>
        <w:t>ver secciones 4.2 y 4.4</w:t>
      </w:r>
      <w:r w:rsidR="00A40964" w:rsidRPr="00C52C4C">
        <w:rPr>
          <w:snapToGrid w:val="0"/>
          <w:sz w:val="22"/>
          <w:szCs w:val="22"/>
          <w:lang w:val="es-ES_tradnl"/>
        </w:rPr>
        <w:t>)</w:t>
      </w:r>
      <w:r w:rsidRPr="00C52C4C">
        <w:rPr>
          <w:snapToGrid w:val="0"/>
          <w:sz w:val="22"/>
          <w:szCs w:val="22"/>
          <w:lang w:val="es-ES_tradnl"/>
        </w:rPr>
        <w:t xml:space="preserve">. </w:t>
      </w:r>
    </w:p>
    <w:p w14:paraId="25D4CBFD" w14:textId="77777777" w:rsidR="00D061AA" w:rsidRPr="00C52C4C" w:rsidRDefault="00D061AA" w:rsidP="00D061AA">
      <w:pPr>
        <w:tabs>
          <w:tab w:val="left" w:pos="567"/>
        </w:tabs>
        <w:rPr>
          <w:sz w:val="22"/>
          <w:szCs w:val="22"/>
          <w:lang w:val="es-ES_tradnl"/>
        </w:rPr>
      </w:pPr>
    </w:p>
    <w:p w14:paraId="6FA262D4" w14:textId="77777777" w:rsidR="00D061AA" w:rsidRPr="00C52C4C" w:rsidRDefault="00D061AA" w:rsidP="00D061AA">
      <w:pPr>
        <w:tabs>
          <w:tab w:val="left" w:pos="567"/>
        </w:tabs>
        <w:rPr>
          <w:sz w:val="22"/>
          <w:szCs w:val="22"/>
          <w:u w:val="single"/>
          <w:lang w:val="es-ES_tradnl"/>
        </w:rPr>
      </w:pPr>
      <w:r w:rsidRPr="00C52C4C">
        <w:rPr>
          <w:sz w:val="22"/>
          <w:szCs w:val="22"/>
          <w:u w:val="single"/>
          <w:lang w:val="es-ES_tradnl"/>
        </w:rPr>
        <w:t xml:space="preserve">Insuficiencia hepática </w:t>
      </w:r>
    </w:p>
    <w:p w14:paraId="43B64884" w14:textId="77777777" w:rsidR="00D061AA" w:rsidRPr="00C52C4C" w:rsidRDefault="00D061AA" w:rsidP="00D061AA">
      <w:pPr>
        <w:tabs>
          <w:tab w:val="left" w:pos="567"/>
        </w:tabs>
        <w:rPr>
          <w:snapToGrid w:val="0"/>
          <w:sz w:val="22"/>
          <w:szCs w:val="22"/>
          <w:lang w:val="es-ES_tradnl"/>
        </w:rPr>
      </w:pPr>
      <w:r w:rsidRPr="00C52C4C">
        <w:rPr>
          <w:snapToGrid w:val="0"/>
          <w:sz w:val="22"/>
          <w:szCs w:val="22"/>
          <w:lang w:val="es-ES_tradnl"/>
        </w:rPr>
        <w:t>Tras una dosis oral única (200 mg), el AUC fue un 233% mayor en sujetos con cirrosis hepática leve a moderada (Child Pugh A y B) que en los sujetos con función hepática normal. La unión a proteínas plasmáticas de voriconazol no se vio afectada por la i</w:t>
      </w:r>
      <w:r w:rsidRPr="00C52C4C">
        <w:rPr>
          <w:sz w:val="22"/>
          <w:szCs w:val="22"/>
          <w:lang w:val="es-ES_tradnl"/>
        </w:rPr>
        <w:t>nsuficiencia</w:t>
      </w:r>
      <w:r w:rsidRPr="00C52C4C">
        <w:rPr>
          <w:snapToGrid w:val="0"/>
          <w:sz w:val="22"/>
          <w:szCs w:val="22"/>
          <w:lang w:val="es-ES_tradnl"/>
        </w:rPr>
        <w:t xml:space="preserve"> hepática.</w:t>
      </w:r>
    </w:p>
    <w:p w14:paraId="4308C034" w14:textId="77777777" w:rsidR="00D061AA" w:rsidRPr="00C52C4C" w:rsidRDefault="00D061AA" w:rsidP="00D061AA">
      <w:pPr>
        <w:tabs>
          <w:tab w:val="left" w:pos="567"/>
        </w:tabs>
        <w:rPr>
          <w:snapToGrid w:val="0"/>
          <w:sz w:val="22"/>
          <w:szCs w:val="22"/>
          <w:lang w:val="es-ES_tradnl"/>
        </w:rPr>
      </w:pPr>
    </w:p>
    <w:p w14:paraId="41C252F9" w14:textId="77777777" w:rsidR="00D061AA" w:rsidRPr="00C52C4C" w:rsidRDefault="00D061AA" w:rsidP="00D061AA">
      <w:pPr>
        <w:tabs>
          <w:tab w:val="left" w:pos="567"/>
        </w:tabs>
        <w:rPr>
          <w:snapToGrid w:val="0"/>
          <w:sz w:val="22"/>
          <w:szCs w:val="22"/>
          <w:lang w:val="es-ES_tradnl"/>
        </w:rPr>
      </w:pPr>
      <w:r w:rsidRPr="00C52C4C">
        <w:rPr>
          <w:snapToGrid w:val="0"/>
          <w:sz w:val="22"/>
          <w:szCs w:val="22"/>
          <w:lang w:val="es-ES_tradnl"/>
        </w:rPr>
        <w:t>En un estudio con dosis múltiples administradas por vía oral, el AUC</w:t>
      </w:r>
      <w:r w:rsidRPr="00C52C4C">
        <w:rPr>
          <w:sz w:val="22"/>
          <w:szCs w:val="22"/>
          <w:vertAlign w:val="subscript"/>
          <w:lang w:val="es-ES_tradnl"/>
        </w:rPr>
        <w:sym w:font="Symbol" w:char="F074"/>
      </w:r>
      <w:r w:rsidRPr="00C52C4C">
        <w:rPr>
          <w:sz w:val="22"/>
          <w:szCs w:val="22"/>
          <w:lang w:val="es-ES_tradnl"/>
        </w:rPr>
        <w:t xml:space="preserve"> fue similar en sujetos con cirrosis hepática moderada (Child Pugh B) a los que se administró una dosis de mantenimiento de 100 mg dos veces al día y en los sujetos con función hepática normal a los que se administraron 200 mg dos veces al día. No se dispone de datos farmacocinéticos en pacientes con cirrosis hepática grave (Child Pugh C)</w:t>
      </w:r>
      <w:r w:rsidRPr="00C52C4C">
        <w:rPr>
          <w:snapToGrid w:val="0"/>
          <w:sz w:val="22"/>
          <w:szCs w:val="22"/>
          <w:lang w:val="es-ES_tradnl"/>
        </w:rPr>
        <w:t xml:space="preserve"> (ver secciones 4.2 y 4.4).</w:t>
      </w:r>
    </w:p>
    <w:p w14:paraId="56F5EA41" w14:textId="77777777" w:rsidR="00D061AA" w:rsidRPr="00C52C4C" w:rsidRDefault="00D061AA" w:rsidP="00D061AA">
      <w:pPr>
        <w:tabs>
          <w:tab w:val="left" w:pos="567"/>
        </w:tabs>
        <w:rPr>
          <w:b/>
          <w:sz w:val="22"/>
          <w:szCs w:val="22"/>
          <w:lang w:val="es-ES_tradnl"/>
        </w:rPr>
      </w:pPr>
    </w:p>
    <w:p w14:paraId="3328AA9D" w14:textId="77777777" w:rsidR="00D061AA" w:rsidRPr="00C52C4C" w:rsidRDefault="00D061AA" w:rsidP="00D061AA">
      <w:pPr>
        <w:tabs>
          <w:tab w:val="left" w:pos="567"/>
        </w:tabs>
        <w:rPr>
          <w:sz w:val="22"/>
          <w:szCs w:val="22"/>
          <w:lang w:val="es-ES_tradnl"/>
        </w:rPr>
      </w:pPr>
      <w:r w:rsidRPr="00C52C4C">
        <w:rPr>
          <w:b/>
          <w:sz w:val="22"/>
          <w:szCs w:val="22"/>
          <w:lang w:val="es-ES_tradnl"/>
        </w:rPr>
        <w:t>5.3</w:t>
      </w:r>
      <w:r w:rsidRPr="00C52C4C">
        <w:rPr>
          <w:b/>
          <w:sz w:val="22"/>
          <w:szCs w:val="22"/>
          <w:lang w:val="es-ES_tradnl"/>
        </w:rPr>
        <w:tab/>
        <w:t>Datos preclínicos sobre seguridad</w:t>
      </w:r>
    </w:p>
    <w:p w14:paraId="3A260B33" w14:textId="77777777" w:rsidR="00D061AA" w:rsidRPr="00C52C4C" w:rsidRDefault="00D061AA" w:rsidP="00D061AA">
      <w:pPr>
        <w:tabs>
          <w:tab w:val="left" w:pos="567"/>
        </w:tabs>
        <w:rPr>
          <w:sz w:val="22"/>
          <w:szCs w:val="22"/>
          <w:lang w:val="es-ES_tradnl"/>
        </w:rPr>
      </w:pPr>
    </w:p>
    <w:p w14:paraId="608865EA" w14:textId="77777777" w:rsidR="00D061AA" w:rsidRPr="00C52C4C" w:rsidRDefault="00D061AA" w:rsidP="00D061AA">
      <w:pPr>
        <w:tabs>
          <w:tab w:val="left" w:pos="567"/>
        </w:tabs>
        <w:rPr>
          <w:sz w:val="22"/>
          <w:szCs w:val="22"/>
          <w:lang w:val="es-ES_tradnl"/>
        </w:rPr>
      </w:pPr>
      <w:r w:rsidRPr="00C52C4C">
        <w:rPr>
          <w:sz w:val="22"/>
          <w:szCs w:val="22"/>
          <w:lang w:val="es-ES_tradnl"/>
        </w:rPr>
        <w:t>Estudios toxicológicos con dosis-repetidas de voriconazol indicaron que el hígado es el órgano diana de la toxicidad. La hepatotoxicidad ocurrió a exposiciones plasmáticas similares a las obtenidas con dosis terapéuticas en humanos, al igual que con otros fármacos antifúngicos. En ratas, ratones y perros, voriconazol indujo también cambios adrenales mínimos. Los estudios convencionales de seguridad farmacológica, genotoxicidad o potencial carcinogénico, no han revelado un riesgo especial para los humanos.</w:t>
      </w:r>
    </w:p>
    <w:p w14:paraId="6BBA994C" w14:textId="77777777" w:rsidR="00D061AA" w:rsidRPr="00C52C4C" w:rsidRDefault="00D061AA" w:rsidP="00D061AA">
      <w:pPr>
        <w:tabs>
          <w:tab w:val="left" w:pos="567"/>
        </w:tabs>
        <w:rPr>
          <w:sz w:val="22"/>
          <w:szCs w:val="22"/>
          <w:lang w:val="es-ES_tradnl"/>
        </w:rPr>
      </w:pPr>
    </w:p>
    <w:p w14:paraId="7097E9E6" w14:textId="77777777" w:rsidR="00D061AA" w:rsidRPr="00C52C4C" w:rsidRDefault="00D061AA" w:rsidP="00D061AA">
      <w:pPr>
        <w:tabs>
          <w:tab w:val="left" w:pos="567"/>
        </w:tabs>
        <w:rPr>
          <w:sz w:val="22"/>
          <w:szCs w:val="22"/>
          <w:lang w:val="es-ES_tradnl"/>
        </w:rPr>
      </w:pPr>
      <w:r w:rsidRPr="00C52C4C">
        <w:rPr>
          <w:sz w:val="22"/>
          <w:szCs w:val="22"/>
          <w:lang w:val="es-ES_tradnl"/>
        </w:rPr>
        <w:t>En estudios de reproducción, voriconazol demostró ser teratogénico en ratas y embriotóxico en conejos con exposiciones sistémicas equivalentes a las obtenidas en humanos con dosis terapéuticas. En el estudio de desarrollo pre y postnatal en ratas expuestas a dosis más bajas que las terapéuticas en humanos, voriconazol prolongó la duración de la gestación y del parto y originó distocia, con la consecuente mortalidad materna y menor supervivencia perinatal de las crías. Los efectos sobre el parto están probablemente mediados por mecanismos específicos en cada especie, implicando reducción de los niveles de estradiol, y son consistentes con los observados con otros fármacos antifúngicos azólicos. La administración de voriconazol no induce alteraciones en la fertilidad de ratas macho y hembra en exposiciones similares a las obtenidas en humanos con dosis terapéuticas.</w:t>
      </w:r>
    </w:p>
    <w:p w14:paraId="0EF50EF9" w14:textId="77777777" w:rsidR="00D061AA" w:rsidRPr="00C52C4C" w:rsidRDefault="00D061AA" w:rsidP="00D061AA">
      <w:pPr>
        <w:tabs>
          <w:tab w:val="left" w:pos="567"/>
        </w:tabs>
        <w:rPr>
          <w:b/>
          <w:sz w:val="22"/>
          <w:szCs w:val="22"/>
          <w:lang w:val="es-ES_tradnl"/>
        </w:rPr>
      </w:pPr>
    </w:p>
    <w:p w14:paraId="6A4C2804" w14:textId="77777777" w:rsidR="006A16B9" w:rsidRPr="00C52C4C" w:rsidRDefault="006A16B9" w:rsidP="00D061AA">
      <w:pPr>
        <w:tabs>
          <w:tab w:val="left" w:pos="567"/>
        </w:tabs>
        <w:rPr>
          <w:b/>
          <w:sz w:val="22"/>
          <w:szCs w:val="22"/>
          <w:lang w:val="es-ES_tradnl"/>
        </w:rPr>
      </w:pPr>
    </w:p>
    <w:p w14:paraId="06A81F30" w14:textId="77777777" w:rsidR="00D061AA" w:rsidRPr="00C52C4C" w:rsidRDefault="00D061AA" w:rsidP="00D061AA">
      <w:pPr>
        <w:tabs>
          <w:tab w:val="left" w:pos="567"/>
        </w:tabs>
        <w:rPr>
          <w:b/>
          <w:sz w:val="22"/>
          <w:szCs w:val="22"/>
          <w:lang w:val="es-ES_tradnl"/>
        </w:rPr>
      </w:pPr>
      <w:r w:rsidRPr="00C52C4C">
        <w:rPr>
          <w:b/>
          <w:sz w:val="22"/>
          <w:szCs w:val="22"/>
          <w:lang w:val="es-ES_tradnl"/>
        </w:rPr>
        <w:t>6.</w:t>
      </w:r>
      <w:r w:rsidRPr="00C52C4C">
        <w:rPr>
          <w:b/>
          <w:sz w:val="22"/>
          <w:szCs w:val="22"/>
          <w:lang w:val="es-ES_tradnl"/>
        </w:rPr>
        <w:tab/>
        <w:t>DATOS FARMACÉUTICOS</w:t>
      </w:r>
    </w:p>
    <w:p w14:paraId="7AC11FF8" w14:textId="77777777" w:rsidR="00D061AA" w:rsidRPr="00C52C4C" w:rsidRDefault="00D061AA" w:rsidP="00D061AA">
      <w:pPr>
        <w:pStyle w:val="Textonotaalfinal"/>
        <w:rPr>
          <w:b/>
          <w:szCs w:val="22"/>
          <w:lang w:val="es-ES_tradnl"/>
        </w:rPr>
      </w:pPr>
    </w:p>
    <w:p w14:paraId="5DF45B63" w14:textId="77777777" w:rsidR="00D061AA" w:rsidRPr="00C52C4C" w:rsidRDefault="00D061AA" w:rsidP="00D061AA">
      <w:pPr>
        <w:tabs>
          <w:tab w:val="left" w:pos="567"/>
        </w:tabs>
        <w:ind w:left="567" w:hanging="567"/>
        <w:rPr>
          <w:sz w:val="22"/>
          <w:szCs w:val="22"/>
          <w:lang w:val="es-ES_tradnl"/>
        </w:rPr>
      </w:pPr>
      <w:r w:rsidRPr="00C52C4C">
        <w:rPr>
          <w:b/>
          <w:sz w:val="22"/>
          <w:szCs w:val="22"/>
          <w:lang w:val="es-ES_tradnl"/>
        </w:rPr>
        <w:t>6.1</w:t>
      </w:r>
      <w:r w:rsidRPr="00C52C4C">
        <w:rPr>
          <w:b/>
          <w:sz w:val="22"/>
          <w:szCs w:val="22"/>
          <w:lang w:val="es-ES_tradnl"/>
        </w:rPr>
        <w:tab/>
        <w:t>Lista de excipientes</w:t>
      </w:r>
    </w:p>
    <w:p w14:paraId="0262CD32" w14:textId="77777777" w:rsidR="00D061AA" w:rsidRPr="00C52C4C" w:rsidRDefault="00D061AA" w:rsidP="00D061AA">
      <w:pPr>
        <w:tabs>
          <w:tab w:val="left" w:pos="567"/>
        </w:tabs>
        <w:rPr>
          <w:sz w:val="22"/>
          <w:szCs w:val="22"/>
          <w:lang w:val="es-ES_tradnl"/>
        </w:rPr>
      </w:pPr>
    </w:p>
    <w:p w14:paraId="23669DAE" w14:textId="77777777" w:rsidR="00D061AA" w:rsidRPr="00C52C4C" w:rsidRDefault="00D061AA" w:rsidP="00D061AA">
      <w:pPr>
        <w:tabs>
          <w:tab w:val="left" w:pos="567"/>
        </w:tabs>
        <w:rPr>
          <w:sz w:val="22"/>
          <w:szCs w:val="22"/>
          <w:lang w:val="es-ES_tradnl"/>
        </w:rPr>
      </w:pPr>
      <w:r w:rsidRPr="00C52C4C">
        <w:rPr>
          <w:sz w:val="22"/>
          <w:szCs w:val="22"/>
          <w:u w:val="single"/>
          <w:lang w:val="es-ES_tradnl"/>
        </w:rPr>
        <w:t>Núcleo del comprimido</w:t>
      </w:r>
    </w:p>
    <w:p w14:paraId="32BBDDA0" w14:textId="77777777" w:rsidR="00D061AA" w:rsidRPr="00C52C4C" w:rsidRDefault="00D061AA" w:rsidP="00D061AA">
      <w:pPr>
        <w:tabs>
          <w:tab w:val="left" w:pos="567"/>
        </w:tabs>
        <w:rPr>
          <w:sz w:val="22"/>
          <w:szCs w:val="22"/>
          <w:lang w:val="pt-PT"/>
        </w:rPr>
      </w:pPr>
      <w:r w:rsidRPr="00C52C4C">
        <w:rPr>
          <w:sz w:val="22"/>
          <w:szCs w:val="22"/>
          <w:lang w:val="pt-PT"/>
        </w:rPr>
        <w:t>Lactosa monohidrato</w:t>
      </w:r>
    </w:p>
    <w:p w14:paraId="6C32238E" w14:textId="77777777" w:rsidR="00D061AA" w:rsidRPr="00C52C4C" w:rsidRDefault="00D061AA" w:rsidP="00D061AA">
      <w:pPr>
        <w:tabs>
          <w:tab w:val="left" w:pos="567"/>
        </w:tabs>
        <w:rPr>
          <w:sz w:val="22"/>
          <w:szCs w:val="22"/>
          <w:lang w:val="pt-PT"/>
        </w:rPr>
      </w:pPr>
      <w:r w:rsidRPr="00C52C4C">
        <w:rPr>
          <w:sz w:val="22"/>
          <w:szCs w:val="22"/>
          <w:lang w:val="pt-PT"/>
        </w:rPr>
        <w:t>Almidón pregelatinizado</w:t>
      </w:r>
    </w:p>
    <w:p w14:paraId="5A8AF605" w14:textId="77777777" w:rsidR="00D061AA" w:rsidRPr="00C52C4C" w:rsidRDefault="00D061AA" w:rsidP="00D061AA">
      <w:pPr>
        <w:tabs>
          <w:tab w:val="left" w:pos="567"/>
        </w:tabs>
        <w:rPr>
          <w:sz w:val="22"/>
          <w:szCs w:val="22"/>
          <w:lang w:val="pt-PT"/>
        </w:rPr>
      </w:pPr>
      <w:r w:rsidRPr="00C52C4C">
        <w:rPr>
          <w:sz w:val="22"/>
          <w:szCs w:val="22"/>
          <w:lang w:val="pt-PT"/>
        </w:rPr>
        <w:t>Croscarmelosa de sodio</w:t>
      </w:r>
    </w:p>
    <w:p w14:paraId="200D0C57" w14:textId="77777777" w:rsidR="00D061AA" w:rsidRPr="00C52C4C" w:rsidRDefault="00D061AA" w:rsidP="00D061AA">
      <w:pPr>
        <w:tabs>
          <w:tab w:val="left" w:pos="567"/>
        </w:tabs>
        <w:rPr>
          <w:sz w:val="22"/>
          <w:szCs w:val="22"/>
          <w:lang w:val="es-ES_tradnl"/>
        </w:rPr>
      </w:pPr>
      <w:r w:rsidRPr="00C52C4C">
        <w:rPr>
          <w:sz w:val="22"/>
          <w:szCs w:val="22"/>
          <w:lang w:val="es-ES_tradnl"/>
        </w:rPr>
        <w:t>Povidona</w:t>
      </w:r>
    </w:p>
    <w:p w14:paraId="2F9F1603" w14:textId="77777777" w:rsidR="00D061AA" w:rsidRPr="00C52C4C" w:rsidRDefault="00D061AA" w:rsidP="00D061AA">
      <w:pPr>
        <w:tabs>
          <w:tab w:val="left" w:pos="567"/>
        </w:tabs>
        <w:rPr>
          <w:sz w:val="22"/>
          <w:szCs w:val="22"/>
          <w:lang w:val="es-ES_tradnl"/>
        </w:rPr>
      </w:pPr>
      <w:r w:rsidRPr="00C52C4C">
        <w:rPr>
          <w:sz w:val="22"/>
          <w:szCs w:val="22"/>
          <w:lang w:val="es-ES_tradnl"/>
        </w:rPr>
        <w:t>Estearato de magnesio</w:t>
      </w:r>
    </w:p>
    <w:p w14:paraId="051C319B" w14:textId="77777777" w:rsidR="00D061AA" w:rsidRPr="00C52C4C" w:rsidRDefault="00D061AA" w:rsidP="00D061AA">
      <w:pPr>
        <w:tabs>
          <w:tab w:val="left" w:pos="567"/>
        </w:tabs>
        <w:rPr>
          <w:sz w:val="22"/>
          <w:szCs w:val="22"/>
          <w:lang w:val="es-ES_tradnl"/>
        </w:rPr>
      </w:pPr>
    </w:p>
    <w:p w14:paraId="25A7C9D9" w14:textId="77777777" w:rsidR="00D061AA" w:rsidRPr="00C52C4C" w:rsidRDefault="00B53B89" w:rsidP="00D061AA">
      <w:pPr>
        <w:tabs>
          <w:tab w:val="left" w:pos="567"/>
        </w:tabs>
        <w:rPr>
          <w:sz w:val="22"/>
          <w:szCs w:val="22"/>
          <w:lang w:val="es-ES_tradnl"/>
        </w:rPr>
      </w:pPr>
      <w:r>
        <w:rPr>
          <w:sz w:val="22"/>
          <w:szCs w:val="22"/>
          <w:u w:val="single"/>
          <w:lang w:val="es-ES_tradnl"/>
        </w:rPr>
        <w:t>Recubrimiento con película</w:t>
      </w:r>
    </w:p>
    <w:p w14:paraId="30F748B3" w14:textId="77777777" w:rsidR="00D061AA" w:rsidRPr="00C52C4C" w:rsidRDefault="00D061AA" w:rsidP="00D061AA">
      <w:pPr>
        <w:tabs>
          <w:tab w:val="left" w:pos="567"/>
        </w:tabs>
        <w:rPr>
          <w:sz w:val="22"/>
          <w:szCs w:val="22"/>
          <w:lang w:val="es-ES_tradnl"/>
        </w:rPr>
      </w:pPr>
      <w:r w:rsidRPr="00C52C4C">
        <w:rPr>
          <w:sz w:val="22"/>
          <w:szCs w:val="22"/>
          <w:lang w:val="es-ES_tradnl"/>
        </w:rPr>
        <w:t>Hipromelosa</w:t>
      </w:r>
    </w:p>
    <w:p w14:paraId="19ACBDB7" w14:textId="77777777" w:rsidR="00C3524C" w:rsidRDefault="00D061AA" w:rsidP="00D061AA">
      <w:pPr>
        <w:tabs>
          <w:tab w:val="left" w:pos="567"/>
        </w:tabs>
        <w:rPr>
          <w:sz w:val="22"/>
          <w:szCs w:val="22"/>
          <w:lang w:val="es-ES_tradnl"/>
        </w:rPr>
      </w:pPr>
      <w:r w:rsidRPr="00C52C4C">
        <w:rPr>
          <w:sz w:val="22"/>
          <w:szCs w:val="22"/>
          <w:lang w:val="es-ES_tradnl"/>
        </w:rPr>
        <w:t xml:space="preserve">Dióxido de titanio </w:t>
      </w:r>
      <w:r w:rsidR="00C3524C">
        <w:rPr>
          <w:sz w:val="22"/>
          <w:szCs w:val="22"/>
          <w:lang w:val="es-ES_tradnl"/>
        </w:rPr>
        <w:t>(E171)</w:t>
      </w:r>
    </w:p>
    <w:p w14:paraId="12F6E249" w14:textId="77777777" w:rsidR="00D061AA" w:rsidRPr="00C52C4C" w:rsidRDefault="00D061AA" w:rsidP="00D061AA">
      <w:pPr>
        <w:tabs>
          <w:tab w:val="left" w:pos="567"/>
        </w:tabs>
        <w:rPr>
          <w:sz w:val="22"/>
          <w:szCs w:val="22"/>
          <w:lang w:val="es-ES_tradnl"/>
        </w:rPr>
      </w:pPr>
      <w:r w:rsidRPr="00C52C4C">
        <w:rPr>
          <w:sz w:val="22"/>
          <w:szCs w:val="22"/>
          <w:lang w:val="es-ES_tradnl"/>
        </w:rPr>
        <w:t>Lactosa monohidrato</w:t>
      </w:r>
    </w:p>
    <w:p w14:paraId="2453C4F7" w14:textId="77777777" w:rsidR="00387935" w:rsidRPr="00C52C4C" w:rsidRDefault="00387935" w:rsidP="00D061AA">
      <w:pPr>
        <w:tabs>
          <w:tab w:val="left" w:pos="567"/>
        </w:tabs>
        <w:rPr>
          <w:sz w:val="22"/>
          <w:szCs w:val="22"/>
          <w:lang w:val="es-ES_tradnl"/>
        </w:rPr>
      </w:pPr>
      <w:r w:rsidRPr="00C52C4C">
        <w:rPr>
          <w:sz w:val="22"/>
          <w:szCs w:val="22"/>
          <w:lang w:val="es-ES_tradnl"/>
        </w:rPr>
        <w:t>Triacetina</w:t>
      </w:r>
    </w:p>
    <w:p w14:paraId="3CB80548" w14:textId="77777777" w:rsidR="00D061AA" w:rsidRPr="00C52C4C" w:rsidRDefault="00D061AA" w:rsidP="00D061AA">
      <w:pPr>
        <w:tabs>
          <w:tab w:val="left" w:pos="567"/>
        </w:tabs>
        <w:rPr>
          <w:sz w:val="22"/>
          <w:szCs w:val="22"/>
          <w:lang w:val="es-ES_tradnl"/>
        </w:rPr>
      </w:pPr>
    </w:p>
    <w:p w14:paraId="7AAF74EB" w14:textId="77777777" w:rsidR="00D061AA" w:rsidRPr="00C52C4C" w:rsidRDefault="00D061AA" w:rsidP="00D061AA">
      <w:pPr>
        <w:tabs>
          <w:tab w:val="left" w:pos="567"/>
        </w:tabs>
        <w:ind w:left="567" w:hanging="567"/>
        <w:rPr>
          <w:sz w:val="22"/>
          <w:szCs w:val="22"/>
          <w:lang w:val="es-ES_tradnl"/>
        </w:rPr>
      </w:pPr>
      <w:r w:rsidRPr="00C52C4C">
        <w:rPr>
          <w:b/>
          <w:sz w:val="22"/>
          <w:szCs w:val="22"/>
          <w:lang w:val="es-ES_tradnl"/>
        </w:rPr>
        <w:t>6.2</w:t>
      </w:r>
      <w:r w:rsidRPr="00C52C4C">
        <w:rPr>
          <w:b/>
          <w:sz w:val="22"/>
          <w:szCs w:val="22"/>
          <w:lang w:val="es-ES_tradnl"/>
        </w:rPr>
        <w:tab/>
        <w:t>Incompatibilidades</w:t>
      </w:r>
    </w:p>
    <w:p w14:paraId="38254C70" w14:textId="77777777" w:rsidR="00D061AA" w:rsidRPr="00C52C4C" w:rsidRDefault="00D061AA" w:rsidP="00D061AA">
      <w:pPr>
        <w:tabs>
          <w:tab w:val="left" w:pos="567"/>
        </w:tabs>
        <w:rPr>
          <w:sz w:val="22"/>
          <w:szCs w:val="22"/>
          <w:lang w:val="es-ES_tradnl"/>
        </w:rPr>
      </w:pPr>
    </w:p>
    <w:p w14:paraId="09F24247" w14:textId="77777777" w:rsidR="00D061AA" w:rsidRPr="00C52C4C" w:rsidRDefault="00D061AA" w:rsidP="00D061AA">
      <w:pPr>
        <w:tabs>
          <w:tab w:val="left" w:pos="567"/>
        </w:tabs>
        <w:rPr>
          <w:sz w:val="22"/>
          <w:szCs w:val="22"/>
          <w:lang w:val="es-ES_tradnl"/>
        </w:rPr>
      </w:pPr>
      <w:r w:rsidRPr="00C52C4C">
        <w:rPr>
          <w:sz w:val="22"/>
          <w:szCs w:val="22"/>
          <w:lang w:val="es-ES_tradnl"/>
        </w:rPr>
        <w:t>No procede.</w:t>
      </w:r>
    </w:p>
    <w:p w14:paraId="2DE54C40" w14:textId="77777777" w:rsidR="00D061AA" w:rsidRPr="00C52C4C" w:rsidRDefault="00D061AA" w:rsidP="00D061AA">
      <w:pPr>
        <w:pStyle w:val="Textonotaalfinal"/>
        <w:rPr>
          <w:szCs w:val="22"/>
          <w:lang w:val="es-ES_tradnl"/>
        </w:rPr>
      </w:pPr>
    </w:p>
    <w:p w14:paraId="50AAFE67" w14:textId="77777777" w:rsidR="00D061AA" w:rsidRPr="00C52C4C" w:rsidRDefault="00D061AA" w:rsidP="00D061AA">
      <w:pPr>
        <w:tabs>
          <w:tab w:val="left" w:pos="567"/>
        </w:tabs>
        <w:ind w:left="567" w:hanging="567"/>
        <w:rPr>
          <w:sz w:val="22"/>
          <w:szCs w:val="22"/>
          <w:lang w:val="es-ES_tradnl"/>
        </w:rPr>
      </w:pPr>
      <w:r w:rsidRPr="00C52C4C">
        <w:rPr>
          <w:b/>
          <w:sz w:val="22"/>
          <w:szCs w:val="22"/>
          <w:lang w:val="es-ES_tradnl"/>
        </w:rPr>
        <w:t>6.3</w:t>
      </w:r>
      <w:r w:rsidRPr="00C52C4C">
        <w:rPr>
          <w:b/>
          <w:sz w:val="22"/>
          <w:szCs w:val="22"/>
          <w:lang w:val="es-ES_tradnl"/>
        </w:rPr>
        <w:tab/>
        <w:t>Periodo de validez</w:t>
      </w:r>
    </w:p>
    <w:p w14:paraId="4AEE9660" w14:textId="77777777" w:rsidR="00D061AA" w:rsidRPr="00C52C4C" w:rsidRDefault="00D061AA" w:rsidP="00D061AA">
      <w:pPr>
        <w:tabs>
          <w:tab w:val="left" w:pos="567"/>
        </w:tabs>
        <w:rPr>
          <w:sz w:val="22"/>
          <w:szCs w:val="22"/>
          <w:lang w:val="es-ES_tradnl"/>
        </w:rPr>
      </w:pPr>
    </w:p>
    <w:p w14:paraId="3E0BBC5D" w14:textId="77777777" w:rsidR="00D061AA" w:rsidRPr="00C52C4C" w:rsidRDefault="00514B6B" w:rsidP="00D061AA">
      <w:pPr>
        <w:tabs>
          <w:tab w:val="left" w:pos="567"/>
        </w:tabs>
        <w:rPr>
          <w:sz w:val="22"/>
          <w:szCs w:val="22"/>
          <w:lang w:val="es-ES_tradnl"/>
        </w:rPr>
      </w:pPr>
      <w:r w:rsidRPr="00C52C4C">
        <w:rPr>
          <w:sz w:val="22"/>
          <w:szCs w:val="22"/>
          <w:lang w:val="es-ES_tradnl"/>
        </w:rPr>
        <w:t>4</w:t>
      </w:r>
      <w:r w:rsidR="003142A1" w:rsidRPr="00C52C4C">
        <w:rPr>
          <w:sz w:val="22"/>
          <w:szCs w:val="22"/>
          <w:lang w:val="es-ES_tradnl"/>
        </w:rPr>
        <w:t xml:space="preserve"> </w:t>
      </w:r>
      <w:r w:rsidR="00D061AA" w:rsidRPr="00C52C4C">
        <w:rPr>
          <w:sz w:val="22"/>
          <w:szCs w:val="22"/>
          <w:lang w:val="es-ES_tradnl"/>
        </w:rPr>
        <w:t>años.</w:t>
      </w:r>
    </w:p>
    <w:p w14:paraId="63460D4E" w14:textId="77777777" w:rsidR="00D061AA" w:rsidRPr="00C52C4C" w:rsidRDefault="00D061AA" w:rsidP="00D061AA">
      <w:pPr>
        <w:tabs>
          <w:tab w:val="left" w:pos="567"/>
        </w:tabs>
        <w:rPr>
          <w:sz w:val="22"/>
          <w:szCs w:val="22"/>
          <w:lang w:val="es-ES_tradnl"/>
        </w:rPr>
      </w:pPr>
    </w:p>
    <w:p w14:paraId="11795B28" w14:textId="77777777" w:rsidR="00D061AA" w:rsidRPr="00C52C4C" w:rsidRDefault="00D061AA" w:rsidP="00D061AA">
      <w:pPr>
        <w:tabs>
          <w:tab w:val="left" w:pos="567"/>
        </w:tabs>
        <w:ind w:left="567" w:hanging="567"/>
        <w:rPr>
          <w:sz w:val="22"/>
          <w:szCs w:val="22"/>
          <w:lang w:val="es-ES_tradnl"/>
        </w:rPr>
      </w:pPr>
      <w:r w:rsidRPr="00C52C4C">
        <w:rPr>
          <w:b/>
          <w:sz w:val="22"/>
          <w:szCs w:val="22"/>
          <w:lang w:val="es-ES_tradnl"/>
        </w:rPr>
        <w:t>6.4</w:t>
      </w:r>
      <w:r w:rsidRPr="00C52C4C">
        <w:rPr>
          <w:b/>
          <w:sz w:val="22"/>
          <w:szCs w:val="22"/>
          <w:lang w:val="es-ES_tradnl"/>
        </w:rPr>
        <w:tab/>
        <w:t>Precauciones especiales de conservación</w:t>
      </w:r>
    </w:p>
    <w:p w14:paraId="77AABDA2" w14:textId="77777777" w:rsidR="00D061AA" w:rsidRPr="00C52C4C" w:rsidRDefault="00D061AA" w:rsidP="00D061AA">
      <w:pPr>
        <w:tabs>
          <w:tab w:val="left" w:pos="567"/>
        </w:tabs>
        <w:rPr>
          <w:sz w:val="22"/>
          <w:szCs w:val="22"/>
          <w:lang w:val="es-ES_tradnl"/>
        </w:rPr>
      </w:pPr>
    </w:p>
    <w:p w14:paraId="6C39E137" w14:textId="77777777" w:rsidR="00D061AA" w:rsidRPr="00C52C4C" w:rsidRDefault="00D061AA" w:rsidP="00D061AA">
      <w:pPr>
        <w:pStyle w:val="Textonotaalfinal"/>
        <w:rPr>
          <w:szCs w:val="22"/>
          <w:lang w:val="es-ES_tradnl"/>
        </w:rPr>
      </w:pPr>
      <w:r w:rsidRPr="00C52C4C">
        <w:rPr>
          <w:szCs w:val="22"/>
          <w:lang w:val="es-ES_tradnl"/>
        </w:rPr>
        <w:t>No requiere condiciones especiales de conservación.</w:t>
      </w:r>
    </w:p>
    <w:p w14:paraId="0381F471" w14:textId="77777777" w:rsidR="00D061AA" w:rsidRPr="00C52C4C" w:rsidRDefault="00D061AA" w:rsidP="00D061AA">
      <w:pPr>
        <w:tabs>
          <w:tab w:val="left" w:pos="567"/>
        </w:tabs>
        <w:rPr>
          <w:sz w:val="22"/>
          <w:szCs w:val="22"/>
          <w:lang w:val="es-ES_tradnl"/>
        </w:rPr>
      </w:pPr>
    </w:p>
    <w:p w14:paraId="2B8B5776" w14:textId="77777777" w:rsidR="00D061AA" w:rsidRPr="00C52C4C" w:rsidRDefault="00D061AA" w:rsidP="00D061AA">
      <w:pPr>
        <w:keepNext/>
        <w:tabs>
          <w:tab w:val="left" w:pos="567"/>
        </w:tabs>
        <w:ind w:left="567" w:hanging="567"/>
        <w:rPr>
          <w:sz w:val="22"/>
          <w:szCs w:val="22"/>
          <w:lang w:val="es-ES_tradnl"/>
        </w:rPr>
      </w:pPr>
      <w:r w:rsidRPr="00C52C4C">
        <w:rPr>
          <w:b/>
          <w:sz w:val="22"/>
          <w:szCs w:val="22"/>
          <w:lang w:val="es-ES_tradnl"/>
        </w:rPr>
        <w:t>6.5</w:t>
      </w:r>
      <w:r w:rsidRPr="00C52C4C">
        <w:rPr>
          <w:b/>
          <w:sz w:val="22"/>
          <w:szCs w:val="22"/>
          <w:lang w:val="es-ES_tradnl"/>
        </w:rPr>
        <w:tab/>
        <w:t>Naturaleza y contenido del envase</w:t>
      </w:r>
    </w:p>
    <w:p w14:paraId="1BA71D7D" w14:textId="77777777" w:rsidR="00D061AA" w:rsidRPr="00C52C4C" w:rsidRDefault="00D061AA" w:rsidP="00D061AA">
      <w:pPr>
        <w:tabs>
          <w:tab w:val="left" w:pos="567"/>
        </w:tabs>
        <w:rPr>
          <w:sz w:val="22"/>
          <w:szCs w:val="22"/>
          <w:lang w:val="es-ES_tradnl"/>
        </w:rPr>
      </w:pPr>
    </w:p>
    <w:p w14:paraId="75231328" w14:textId="77777777" w:rsidR="00D061AA" w:rsidRPr="00C52C4C" w:rsidRDefault="00D061AA" w:rsidP="00D061AA">
      <w:pPr>
        <w:tabs>
          <w:tab w:val="left" w:pos="567"/>
        </w:tabs>
        <w:rPr>
          <w:sz w:val="22"/>
          <w:szCs w:val="22"/>
          <w:lang w:val="es-ES_tradnl"/>
        </w:rPr>
      </w:pPr>
      <w:r w:rsidRPr="00C52C4C">
        <w:rPr>
          <w:sz w:val="22"/>
          <w:szCs w:val="22"/>
          <w:lang w:val="es-ES_tradnl"/>
        </w:rPr>
        <w:t>Blísteres de PVC/aluminio en envases de 2, 10, 14, 20, 28, 30, 50, 56 y 100 comprimidos recubiertos con película</w:t>
      </w:r>
      <w:r w:rsidR="00C3612D" w:rsidRPr="00C52C4C">
        <w:rPr>
          <w:sz w:val="22"/>
          <w:szCs w:val="22"/>
          <w:lang w:val="es-ES_tradnl"/>
        </w:rPr>
        <w:t xml:space="preserve"> o monodosis blísteres de PVC/aluminio en tamaños de envases de </w:t>
      </w:r>
      <w:r w:rsidR="00C3612D" w:rsidRPr="00C52C4C">
        <w:rPr>
          <w:spacing w:val="1"/>
          <w:sz w:val="22"/>
          <w:szCs w:val="22"/>
        </w:rPr>
        <w:t>10x1, 14x1, 28x1, 30x1, 56x1 o 100x1 comprimidos recubiertos con película.</w:t>
      </w:r>
    </w:p>
    <w:p w14:paraId="5DA2E210" w14:textId="77777777" w:rsidR="00D061AA" w:rsidRPr="00C52C4C" w:rsidRDefault="00D061AA" w:rsidP="00D061AA">
      <w:pPr>
        <w:tabs>
          <w:tab w:val="left" w:pos="567"/>
        </w:tabs>
        <w:rPr>
          <w:sz w:val="22"/>
          <w:szCs w:val="22"/>
          <w:lang w:val="es-ES_tradnl"/>
        </w:rPr>
      </w:pPr>
    </w:p>
    <w:p w14:paraId="4CC75575" w14:textId="77777777" w:rsidR="00D061AA" w:rsidRPr="00C52C4C" w:rsidRDefault="00D061AA" w:rsidP="00D061AA">
      <w:pPr>
        <w:tabs>
          <w:tab w:val="left" w:pos="567"/>
        </w:tabs>
        <w:rPr>
          <w:b/>
          <w:i/>
          <w:sz w:val="22"/>
          <w:szCs w:val="22"/>
          <w:lang w:val="es-ES_tradnl"/>
        </w:rPr>
      </w:pPr>
      <w:r w:rsidRPr="00C52C4C">
        <w:rPr>
          <w:sz w:val="22"/>
          <w:szCs w:val="22"/>
          <w:lang w:val="es-ES_tradnl"/>
        </w:rPr>
        <w:t>Puede que</w:t>
      </w:r>
      <w:r w:rsidR="00B53B89">
        <w:rPr>
          <w:sz w:val="22"/>
          <w:szCs w:val="22"/>
          <w:lang w:val="es-ES_tradnl"/>
        </w:rPr>
        <w:t xml:space="preserve"> solamente </w:t>
      </w:r>
      <w:r w:rsidR="00B53B89" w:rsidRPr="00C52C4C">
        <w:rPr>
          <w:sz w:val="22"/>
          <w:szCs w:val="22"/>
          <w:lang w:val="es-ES_tradnl"/>
        </w:rPr>
        <w:t>estén comercializados</w:t>
      </w:r>
      <w:r w:rsidRPr="00C52C4C">
        <w:rPr>
          <w:sz w:val="22"/>
          <w:szCs w:val="22"/>
          <w:lang w:val="es-ES_tradnl"/>
        </w:rPr>
        <w:t xml:space="preserve"> </w:t>
      </w:r>
      <w:r w:rsidR="00B53B89">
        <w:rPr>
          <w:sz w:val="22"/>
          <w:szCs w:val="22"/>
          <w:lang w:val="es-ES_tradnl"/>
        </w:rPr>
        <w:t>algunos</w:t>
      </w:r>
      <w:r w:rsidR="00CF0F72">
        <w:rPr>
          <w:sz w:val="22"/>
          <w:szCs w:val="22"/>
          <w:lang w:val="es-ES_tradnl"/>
        </w:rPr>
        <w:t xml:space="preserve"> </w:t>
      </w:r>
      <w:r w:rsidRPr="00C52C4C">
        <w:rPr>
          <w:sz w:val="22"/>
          <w:szCs w:val="22"/>
          <w:lang w:val="es-ES_tradnl"/>
        </w:rPr>
        <w:t>tamaños de envase</w:t>
      </w:r>
      <w:r w:rsidR="00B70A0B">
        <w:rPr>
          <w:sz w:val="22"/>
          <w:szCs w:val="22"/>
          <w:lang w:val="es-ES_tradnl"/>
        </w:rPr>
        <w:t>s</w:t>
      </w:r>
      <w:r w:rsidRPr="00C52C4C">
        <w:rPr>
          <w:sz w:val="22"/>
          <w:szCs w:val="22"/>
          <w:lang w:val="es-ES_tradnl"/>
        </w:rPr>
        <w:t xml:space="preserve">. </w:t>
      </w:r>
    </w:p>
    <w:p w14:paraId="16263496" w14:textId="77777777" w:rsidR="00D061AA" w:rsidRPr="00C52C4C" w:rsidRDefault="00D061AA" w:rsidP="00D061AA">
      <w:pPr>
        <w:tabs>
          <w:tab w:val="left" w:pos="567"/>
        </w:tabs>
        <w:rPr>
          <w:sz w:val="22"/>
          <w:szCs w:val="22"/>
          <w:lang w:val="es-ES_tradnl"/>
        </w:rPr>
      </w:pPr>
    </w:p>
    <w:p w14:paraId="52BC121E" w14:textId="77777777" w:rsidR="00AC5BF4" w:rsidRPr="00C52C4C" w:rsidRDefault="00AC5BF4" w:rsidP="00D061AA">
      <w:pPr>
        <w:tabs>
          <w:tab w:val="left" w:pos="567"/>
        </w:tabs>
        <w:rPr>
          <w:sz w:val="22"/>
          <w:szCs w:val="22"/>
          <w:lang w:val="es-ES_tradnl"/>
        </w:rPr>
      </w:pPr>
    </w:p>
    <w:p w14:paraId="140FE883" w14:textId="77777777" w:rsidR="00D061AA" w:rsidRPr="00C52C4C" w:rsidRDefault="00D061AA" w:rsidP="00D061AA">
      <w:pPr>
        <w:tabs>
          <w:tab w:val="left" w:pos="567"/>
        </w:tabs>
        <w:ind w:left="567" w:hanging="567"/>
        <w:rPr>
          <w:sz w:val="22"/>
          <w:szCs w:val="22"/>
          <w:lang w:val="es-ES_tradnl"/>
        </w:rPr>
      </w:pPr>
      <w:r w:rsidRPr="00C52C4C">
        <w:rPr>
          <w:b/>
          <w:sz w:val="22"/>
          <w:szCs w:val="22"/>
          <w:lang w:val="es-ES_tradnl"/>
        </w:rPr>
        <w:t>6.6</w:t>
      </w:r>
      <w:r w:rsidRPr="00C52C4C">
        <w:rPr>
          <w:b/>
          <w:sz w:val="22"/>
          <w:szCs w:val="22"/>
          <w:lang w:val="es-ES_tradnl"/>
        </w:rPr>
        <w:tab/>
        <w:t xml:space="preserve">Precauciones especiales de eliminación y otras manipulaciones </w:t>
      </w:r>
    </w:p>
    <w:p w14:paraId="41579460" w14:textId="77777777" w:rsidR="00D061AA" w:rsidRPr="00C52C4C" w:rsidRDefault="00D061AA" w:rsidP="00D061AA">
      <w:pPr>
        <w:tabs>
          <w:tab w:val="left" w:pos="567"/>
        </w:tabs>
        <w:rPr>
          <w:sz w:val="22"/>
          <w:szCs w:val="22"/>
          <w:lang w:val="es-ES_tradnl"/>
        </w:rPr>
      </w:pPr>
    </w:p>
    <w:p w14:paraId="57E3F5D9" w14:textId="77777777" w:rsidR="00D061AA" w:rsidRPr="00C52C4C" w:rsidRDefault="00265337" w:rsidP="00D061AA">
      <w:pPr>
        <w:tabs>
          <w:tab w:val="left" w:pos="567"/>
        </w:tabs>
        <w:rPr>
          <w:sz w:val="22"/>
          <w:szCs w:val="22"/>
          <w:lang w:val="es-ES_tradnl" w:eastAsia="en-US"/>
        </w:rPr>
      </w:pPr>
      <w:r w:rsidRPr="00C52C4C">
        <w:rPr>
          <w:sz w:val="22"/>
          <w:szCs w:val="22"/>
          <w:lang w:val="es-ES_tradnl"/>
        </w:rPr>
        <w:t>La eliminación del medicamento no utilizado y de todos los materiales que hayan estado en contacto con él se realizará de acuerdo con la normativa local.</w:t>
      </w:r>
    </w:p>
    <w:p w14:paraId="5F5B70E7" w14:textId="77777777" w:rsidR="005915E9" w:rsidRPr="00C52C4C" w:rsidRDefault="005915E9" w:rsidP="00D061AA">
      <w:pPr>
        <w:pStyle w:val="Textonotaalfinal"/>
        <w:rPr>
          <w:szCs w:val="22"/>
          <w:lang w:val="es-ES_tradnl"/>
        </w:rPr>
      </w:pPr>
    </w:p>
    <w:p w14:paraId="52073D69" w14:textId="77777777" w:rsidR="005915E9" w:rsidRPr="00C52C4C" w:rsidRDefault="005915E9" w:rsidP="00D061AA">
      <w:pPr>
        <w:pStyle w:val="Textonotaalfinal"/>
        <w:rPr>
          <w:szCs w:val="22"/>
          <w:lang w:val="es-ES_tradnl"/>
        </w:rPr>
      </w:pPr>
    </w:p>
    <w:p w14:paraId="7ACBC9C5" w14:textId="77777777" w:rsidR="00D061AA" w:rsidRPr="00C52C4C" w:rsidRDefault="00D061AA" w:rsidP="00D061AA">
      <w:pPr>
        <w:tabs>
          <w:tab w:val="left" w:pos="567"/>
        </w:tabs>
        <w:ind w:left="567" w:hanging="567"/>
        <w:rPr>
          <w:sz w:val="22"/>
          <w:szCs w:val="22"/>
          <w:lang w:val="es-ES_tradnl"/>
        </w:rPr>
      </w:pPr>
      <w:r w:rsidRPr="00C52C4C">
        <w:rPr>
          <w:b/>
          <w:sz w:val="22"/>
          <w:szCs w:val="22"/>
          <w:lang w:val="es-ES_tradnl"/>
        </w:rPr>
        <w:t>7.</w:t>
      </w:r>
      <w:r w:rsidRPr="00C52C4C">
        <w:rPr>
          <w:b/>
          <w:sz w:val="22"/>
          <w:szCs w:val="22"/>
          <w:lang w:val="es-ES_tradnl"/>
        </w:rPr>
        <w:tab/>
        <w:t>T</w:t>
      </w:r>
      <w:smartTag w:uri="urn:schemas-microsoft-com:office:smarttags" w:element="PersonName">
        <w:r w:rsidRPr="00C52C4C">
          <w:rPr>
            <w:b/>
            <w:sz w:val="22"/>
            <w:szCs w:val="22"/>
            <w:lang w:val="es-ES_tradnl"/>
          </w:rPr>
          <w:t>IT</w:t>
        </w:r>
      </w:smartTag>
      <w:r w:rsidRPr="00C52C4C">
        <w:rPr>
          <w:b/>
          <w:sz w:val="22"/>
          <w:szCs w:val="22"/>
          <w:lang w:val="es-ES_tradnl"/>
        </w:rPr>
        <w:t xml:space="preserve">ULAR </w:t>
      </w:r>
      <w:smartTag w:uri="urn:schemas-microsoft-com:office:smarttags" w:element="PersonName">
        <w:r w:rsidRPr="00C52C4C">
          <w:rPr>
            <w:b/>
            <w:sz w:val="22"/>
            <w:szCs w:val="22"/>
            <w:lang w:val="es-ES_tradnl"/>
          </w:rPr>
          <w:t>DE</w:t>
        </w:r>
      </w:smartTag>
      <w:r w:rsidRPr="00C52C4C">
        <w:rPr>
          <w:b/>
          <w:sz w:val="22"/>
          <w:szCs w:val="22"/>
          <w:lang w:val="es-ES_tradnl"/>
        </w:rPr>
        <w:t xml:space="preserve"> </w:t>
      </w:r>
      <w:smartTag w:uri="urn:schemas-microsoft-com:office:smarttags" w:element="PersonName">
        <w:smartTagPr>
          <w:attr w:name="ProductID" w:val="LA AUTORIZACIￓN DE"/>
        </w:smartTagPr>
        <w:r w:rsidRPr="00C52C4C">
          <w:rPr>
            <w:b/>
            <w:sz w:val="22"/>
            <w:szCs w:val="22"/>
            <w:lang w:val="es-ES_tradnl"/>
          </w:rPr>
          <w:t xml:space="preserve">LA AUTORIZACIÓN </w:t>
        </w:r>
        <w:smartTag w:uri="urn:schemas-microsoft-com:office:smarttags" w:element="PersonName">
          <w:r w:rsidRPr="00C52C4C">
            <w:rPr>
              <w:b/>
              <w:sz w:val="22"/>
              <w:szCs w:val="22"/>
              <w:lang w:val="es-ES_tradnl"/>
            </w:rPr>
            <w:t>DE</w:t>
          </w:r>
        </w:smartTag>
      </w:smartTag>
      <w:r w:rsidRPr="00C52C4C">
        <w:rPr>
          <w:b/>
          <w:sz w:val="22"/>
          <w:szCs w:val="22"/>
          <w:lang w:val="es-ES_tradnl"/>
        </w:rPr>
        <w:t xml:space="preserve"> COMERCIALIZACIÓN</w:t>
      </w:r>
    </w:p>
    <w:p w14:paraId="77088898" w14:textId="77777777" w:rsidR="00D061AA" w:rsidRPr="00C52C4C" w:rsidRDefault="00D061AA" w:rsidP="00D061AA">
      <w:pPr>
        <w:tabs>
          <w:tab w:val="left" w:pos="567"/>
        </w:tabs>
        <w:rPr>
          <w:sz w:val="22"/>
          <w:szCs w:val="22"/>
          <w:lang w:val="es-ES_tradnl"/>
        </w:rPr>
      </w:pPr>
    </w:p>
    <w:p w14:paraId="1D6D1D24" w14:textId="77777777" w:rsidR="004A1A96" w:rsidRPr="004A1A96" w:rsidRDefault="004A1A96" w:rsidP="004A1A96">
      <w:pPr>
        <w:rPr>
          <w:sz w:val="22"/>
          <w:szCs w:val="22"/>
          <w:lang w:val="pl-PL"/>
        </w:rPr>
      </w:pPr>
      <w:r w:rsidRPr="004A1A96">
        <w:rPr>
          <w:sz w:val="22"/>
          <w:szCs w:val="22"/>
          <w:lang w:val="pl-PL"/>
        </w:rPr>
        <w:t xml:space="preserve">Accord Healthcare S.L.U. </w:t>
      </w:r>
    </w:p>
    <w:p w14:paraId="7E03B388" w14:textId="77777777" w:rsidR="004A1A96" w:rsidRPr="004A1A96" w:rsidRDefault="004A1A96" w:rsidP="004A1A96">
      <w:pPr>
        <w:rPr>
          <w:sz w:val="22"/>
          <w:szCs w:val="22"/>
          <w:lang w:val="pl-PL"/>
        </w:rPr>
      </w:pPr>
      <w:r w:rsidRPr="004A1A96">
        <w:rPr>
          <w:sz w:val="22"/>
          <w:szCs w:val="22"/>
          <w:lang w:val="pl-PL"/>
        </w:rPr>
        <w:t xml:space="preserve">World Trade Center, Moll de Barcelona, s/n, </w:t>
      </w:r>
    </w:p>
    <w:p w14:paraId="6F0B7738" w14:textId="77777777" w:rsidR="004A1A96" w:rsidRPr="004A1A96" w:rsidRDefault="004A1A96" w:rsidP="004A1A96">
      <w:pPr>
        <w:rPr>
          <w:sz w:val="22"/>
          <w:szCs w:val="22"/>
          <w:lang w:val="pl-PL"/>
        </w:rPr>
      </w:pPr>
      <w:r w:rsidRPr="004A1A96">
        <w:rPr>
          <w:sz w:val="22"/>
          <w:szCs w:val="22"/>
          <w:lang w:val="pl-PL"/>
        </w:rPr>
        <w:t xml:space="preserve">Edifici Est 6ª planta, </w:t>
      </w:r>
    </w:p>
    <w:p w14:paraId="25E98147" w14:textId="77777777" w:rsidR="004A1A96" w:rsidRPr="004A1A96" w:rsidRDefault="004A1A96" w:rsidP="004A1A96">
      <w:pPr>
        <w:rPr>
          <w:sz w:val="22"/>
          <w:szCs w:val="22"/>
          <w:lang w:val="pl-PL"/>
        </w:rPr>
      </w:pPr>
      <w:r w:rsidRPr="004A1A96">
        <w:rPr>
          <w:sz w:val="22"/>
          <w:szCs w:val="22"/>
          <w:lang w:val="pl-PL"/>
        </w:rPr>
        <w:t xml:space="preserve">08039 Barcelona, </w:t>
      </w:r>
    </w:p>
    <w:p w14:paraId="0A1143DB" w14:textId="77777777" w:rsidR="00D061AA" w:rsidRPr="00C52C4C" w:rsidRDefault="004A1A96" w:rsidP="00D061AA">
      <w:pPr>
        <w:tabs>
          <w:tab w:val="left" w:pos="567"/>
        </w:tabs>
        <w:rPr>
          <w:sz w:val="22"/>
          <w:szCs w:val="22"/>
          <w:lang w:val="es-ES_tradnl"/>
        </w:rPr>
      </w:pPr>
      <w:r w:rsidRPr="00824411">
        <w:rPr>
          <w:sz w:val="22"/>
          <w:szCs w:val="22"/>
        </w:rPr>
        <w:t>España</w:t>
      </w:r>
    </w:p>
    <w:p w14:paraId="5364F1D6" w14:textId="77777777" w:rsidR="00D061AA" w:rsidRPr="00C52C4C" w:rsidRDefault="00D061AA" w:rsidP="00D061AA">
      <w:pPr>
        <w:tabs>
          <w:tab w:val="left" w:pos="567"/>
        </w:tabs>
        <w:rPr>
          <w:sz w:val="22"/>
          <w:szCs w:val="22"/>
          <w:lang w:val="es-ES_tradnl"/>
        </w:rPr>
      </w:pPr>
    </w:p>
    <w:p w14:paraId="629E914E" w14:textId="77777777" w:rsidR="00D061AA" w:rsidRPr="00C52C4C" w:rsidRDefault="00D061AA" w:rsidP="00D061AA">
      <w:pPr>
        <w:tabs>
          <w:tab w:val="left" w:pos="567"/>
        </w:tabs>
        <w:rPr>
          <w:sz w:val="22"/>
          <w:szCs w:val="22"/>
          <w:lang w:val="es-ES_tradnl"/>
        </w:rPr>
      </w:pPr>
    </w:p>
    <w:p w14:paraId="7839531F" w14:textId="77777777" w:rsidR="00D061AA" w:rsidRPr="00C52C4C" w:rsidRDefault="00D061AA" w:rsidP="00D061AA">
      <w:pPr>
        <w:pStyle w:val="Sangradetextonormal"/>
        <w:keepNext/>
        <w:tabs>
          <w:tab w:val="left" w:pos="567"/>
        </w:tabs>
        <w:rPr>
          <w:color w:val="auto"/>
          <w:szCs w:val="22"/>
          <w:lang w:val="es-ES_tradnl"/>
        </w:rPr>
      </w:pPr>
      <w:r w:rsidRPr="00C52C4C">
        <w:rPr>
          <w:color w:val="auto"/>
          <w:szCs w:val="22"/>
          <w:lang w:val="es-ES_tradnl"/>
        </w:rPr>
        <w:t>8.</w:t>
      </w:r>
      <w:r w:rsidRPr="00C52C4C">
        <w:rPr>
          <w:color w:val="auto"/>
          <w:szCs w:val="22"/>
          <w:lang w:val="es-ES_tradnl"/>
        </w:rPr>
        <w:tab/>
        <w:t>NÚME</w:t>
      </w:r>
      <w:smartTag w:uri="urn:schemas-microsoft-com:office:smarttags" w:element="PersonName">
        <w:r w:rsidRPr="00C52C4C">
          <w:rPr>
            <w:color w:val="auto"/>
            <w:szCs w:val="22"/>
            <w:lang w:val="es-ES_tradnl"/>
          </w:rPr>
          <w:t>RO</w:t>
        </w:r>
      </w:smartTag>
      <w:r w:rsidRPr="00C52C4C">
        <w:rPr>
          <w:color w:val="auto"/>
          <w:szCs w:val="22"/>
          <w:lang w:val="es-ES_tradnl"/>
        </w:rPr>
        <w:t xml:space="preserve">(S) </w:t>
      </w:r>
      <w:smartTag w:uri="urn:schemas-microsoft-com:office:smarttags" w:element="PersonName">
        <w:r w:rsidRPr="00C52C4C">
          <w:rPr>
            <w:color w:val="auto"/>
            <w:szCs w:val="22"/>
            <w:lang w:val="es-ES_tradnl"/>
          </w:rPr>
          <w:t>DE</w:t>
        </w:r>
      </w:smartTag>
      <w:r w:rsidRPr="00C52C4C">
        <w:rPr>
          <w:color w:val="auto"/>
          <w:szCs w:val="22"/>
          <w:lang w:val="es-ES_tradnl"/>
        </w:rPr>
        <w:t xml:space="preserve"> AUTORIZACIÓN </w:t>
      </w:r>
      <w:smartTag w:uri="urn:schemas-microsoft-com:office:smarttags" w:element="PersonName">
        <w:r w:rsidRPr="00C52C4C">
          <w:rPr>
            <w:color w:val="auto"/>
            <w:szCs w:val="22"/>
            <w:lang w:val="es-ES_tradnl"/>
          </w:rPr>
          <w:t>DE</w:t>
        </w:r>
      </w:smartTag>
      <w:r w:rsidRPr="00C52C4C">
        <w:rPr>
          <w:color w:val="auto"/>
          <w:szCs w:val="22"/>
          <w:lang w:val="es-ES_tradnl"/>
        </w:rPr>
        <w:t xml:space="preserve"> COMERCIALIZACIÓN </w:t>
      </w:r>
    </w:p>
    <w:p w14:paraId="4A36BAC8" w14:textId="77777777" w:rsidR="00D061AA" w:rsidRPr="00C52C4C" w:rsidRDefault="00D061AA" w:rsidP="00D061AA">
      <w:pPr>
        <w:pStyle w:val="Textonotaalfinal"/>
        <w:keepNext/>
        <w:rPr>
          <w:szCs w:val="22"/>
          <w:lang w:val="es-ES_tradnl"/>
        </w:rPr>
      </w:pPr>
    </w:p>
    <w:p w14:paraId="30A86180" w14:textId="77777777" w:rsidR="005D2D27" w:rsidRPr="00F65F25" w:rsidRDefault="005D2D27" w:rsidP="00D061AA">
      <w:pPr>
        <w:pStyle w:val="Textonotaalfinal"/>
        <w:keepNext/>
        <w:rPr>
          <w:szCs w:val="22"/>
          <w:u w:val="single"/>
          <w:lang w:val="es-ES_tradnl"/>
        </w:rPr>
      </w:pPr>
      <w:r w:rsidRPr="00F65F25">
        <w:rPr>
          <w:szCs w:val="22"/>
          <w:u w:val="single"/>
          <w:lang w:val="es-ES_tradnl"/>
        </w:rPr>
        <w:t xml:space="preserve">Voriconazol </w:t>
      </w:r>
      <w:r w:rsidR="00303F0F" w:rsidRPr="00F65F25">
        <w:rPr>
          <w:szCs w:val="22"/>
          <w:u w:val="single"/>
          <w:lang w:val="es-ES_tradnl"/>
        </w:rPr>
        <w:t xml:space="preserve">Accord </w:t>
      </w:r>
      <w:r w:rsidRPr="00F65F25">
        <w:rPr>
          <w:szCs w:val="22"/>
          <w:u w:val="single"/>
          <w:lang w:val="es-ES_tradnl"/>
        </w:rPr>
        <w:t>50 mg comprimidos recubiertos con película</w:t>
      </w:r>
    </w:p>
    <w:p w14:paraId="46B132FB" w14:textId="77777777" w:rsidR="00C3524C" w:rsidRDefault="00C3524C" w:rsidP="00D061AA">
      <w:pPr>
        <w:pStyle w:val="Textonotaalfinal"/>
        <w:keepNext/>
        <w:rPr>
          <w:szCs w:val="22"/>
          <w:lang w:val="es-ES_tradnl"/>
        </w:rPr>
      </w:pPr>
    </w:p>
    <w:p w14:paraId="16FDABF7" w14:textId="77777777" w:rsidR="0002447E" w:rsidRPr="00C52C4C" w:rsidRDefault="0002447E" w:rsidP="00D061AA">
      <w:pPr>
        <w:pStyle w:val="Textonotaalfinal"/>
        <w:keepNext/>
        <w:rPr>
          <w:szCs w:val="22"/>
          <w:lang w:val="es-ES_tradnl"/>
        </w:rPr>
      </w:pPr>
      <w:r w:rsidRPr="00C52C4C">
        <w:rPr>
          <w:szCs w:val="22"/>
          <w:lang w:val="es-ES_tradnl"/>
        </w:rPr>
        <w:t>EU/1/13/835/001-009</w:t>
      </w:r>
      <w:r w:rsidR="00264AEF" w:rsidRPr="00C52C4C">
        <w:rPr>
          <w:szCs w:val="22"/>
          <w:lang w:val="es-ES_tradnl"/>
        </w:rPr>
        <w:t>,</w:t>
      </w:r>
    </w:p>
    <w:p w14:paraId="1CBAE1F9" w14:textId="77777777" w:rsidR="00D061AA" w:rsidRPr="00C52C4C" w:rsidRDefault="00264AEF" w:rsidP="00C52343">
      <w:pPr>
        <w:widowControl w:val="0"/>
        <w:autoSpaceDE w:val="0"/>
        <w:autoSpaceDN w:val="0"/>
        <w:adjustRightInd w:val="0"/>
        <w:spacing w:before="9" w:line="240" w:lineRule="exact"/>
        <w:rPr>
          <w:sz w:val="22"/>
          <w:szCs w:val="22"/>
        </w:rPr>
      </w:pPr>
      <w:r w:rsidRPr="00C52C4C">
        <w:rPr>
          <w:sz w:val="22"/>
          <w:szCs w:val="22"/>
        </w:rPr>
        <w:t>EU/1/13/835/019-024</w:t>
      </w:r>
    </w:p>
    <w:p w14:paraId="487BCC9F" w14:textId="77777777" w:rsidR="005D2D27" w:rsidRPr="00C52C4C" w:rsidRDefault="005D2D27" w:rsidP="005D2D27">
      <w:pPr>
        <w:pStyle w:val="Textonotaalfinal"/>
        <w:keepNext/>
        <w:rPr>
          <w:szCs w:val="22"/>
          <w:lang w:val="es-ES_tradnl"/>
        </w:rPr>
      </w:pPr>
    </w:p>
    <w:p w14:paraId="5065CE52" w14:textId="77777777" w:rsidR="005D2D27" w:rsidRPr="00F65F25" w:rsidRDefault="005D2D27" w:rsidP="005D2D27">
      <w:pPr>
        <w:pStyle w:val="Textonotaalfinal"/>
        <w:keepNext/>
        <w:rPr>
          <w:szCs w:val="22"/>
          <w:u w:val="single"/>
          <w:lang w:val="es-ES_tradnl"/>
        </w:rPr>
      </w:pPr>
      <w:r w:rsidRPr="00F65F25">
        <w:rPr>
          <w:szCs w:val="22"/>
          <w:u w:val="single"/>
          <w:lang w:val="es-ES_tradnl"/>
        </w:rPr>
        <w:t xml:space="preserve">Voriconazol </w:t>
      </w:r>
      <w:r w:rsidR="00303F0F" w:rsidRPr="00F65F25">
        <w:rPr>
          <w:szCs w:val="22"/>
          <w:u w:val="single"/>
          <w:lang w:val="es-ES_tradnl"/>
        </w:rPr>
        <w:t xml:space="preserve">Accord </w:t>
      </w:r>
      <w:r w:rsidRPr="00F65F25">
        <w:rPr>
          <w:szCs w:val="22"/>
          <w:u w:val="single"/>
          <w:lang w:val="es-ES_tradnl"/>
        </w:rPr>
        <w:t>200 mg comprimidos recubiertos con película</w:t>
      </w:r>
    </w:p>
    <w:p w14:paraId="6CA90278" w14:textId="77777777" w:rsidR="00C3524C" w:rsidRDefault="00C3524C" w:rsidP="005D2D27">
      <w:pPr>
        <w:pStyle w:val="Default"/>
        <w:rPr>
          <w:color w:val="auto"/>
          <w:sz w:val="22"/>
          <w:szCs w:val="22"/>
          <w:lang w:val="es-ES" w:eastAsia="en-US"/>
        </w:rPr>
      </w:pPr>
    </w:p>
    <w:p w14:paraId="2AD097E7" w14:textId="77777777" w:rsidR="005D2D27" w:rsidRPr="00C52C4C" w:rsidRDefault="005D2D27" w:rsidP="005D2D27">
      <w:pPr>
        <w:pStyle w:val="Default"/>
        <w:rPr>
          <w:color w:val="auto"/>
          <w:sz w:val="22"/>
          <w:szCs w:val="22"/>
          <w:lang w:val="es-ES" w:eastAsia="en-US"/>
        </w:rPr>
      </w:pPr>
      <w:r w:rsidRPr="00C52C4C">
        <w:rPr>
          <w:color w:val="auto"/>
          <w:sz w:val="22"/>
          <w:szCs w:val="22"/>
          <w:lang w:val="es-ES" w:eastAsia="en-US"/>
        </w:rPr>
        <w:t>EU/1/13/835/010-018,</w:t>
      </w:r>
    </w:p>
    <w:p w14:paraId="1F603862" w14:textId="77777777" w:rsidR="005D2D27" w:rsidRPr="00C52C4C" w:rsidRDefault="005D2D27" w:rsidP="00C52343">
      <w:pPr>
        <w:widowControl w:val="0"/>
        <w:autoSpaceDE w:val="0"/>
        <w:autoSpaceDN w:val="0"/>
        <w:adjustRightInd w:val="0"/>
        <w:spacing w:before="9" w:line="240" w:lineRule="exact"/>
        <w:rPr>
          <w:sz w:val="22"/>
          <w:szCs w:val="22"/>
        </w:rPr>
      </w:pPr>
      <w:r w:rsidRPr="00C52C4C">
        <w:rPr>
          <w:sz w:val="22"/>
          <w:szCs w:val="22"/>
        </w:rPr>
        <w:t>EU/1/13/835/025-030</w:t>
      </w:r>
    </w:p>
    <w:p w14:paraId="495FDBAC" w14:textId="77777777" w:rsidR="00D061AA" w:rsidRDefault="00D061AA" w:rsidP="00D061AA">
      <w:pPr>
        <w:tabs>
          <w:tab w:val="left" w:pos="567"/>
        </w:tabs>
        <w:rPr>
          <w:sz w:val="22"/>
          <w:szCs w:val="22"/>
          <w:lang w:val="es-ES_tradnl"/>
        </w:rPr>
      </w:pPr>
    </w:p>
    <w:p w14:paraId="7D7B27AD" w14:textId="77777777" w:rsidR="005060CD" w:rsidRPr="00C52C4C" w:rsidRDefault="005060CD" w:rsidP="00D061AA">
      <w:pPr>
        <w:tabs>
          <w:tab w:val="left" w:pos="567"/>
        </w:tabs>
        <w:rPr>
          <w:sz w:val="22"/>
          <w:szCs w:val="22"/>
          <w:lang w:val="es-ES_tradnl"/>
        </w:rPr>
      </w:pPr>
    </w:p>
    <w:p w14:paraId="78AE2203" w14:textId="77777777" w:rsidR="00D061AA" w:rsidRPr="00C52C4C" w:rsidRDefault="00D061AA" w:rsidP="00D061AA">
      <w:pPr>
        <w:tabs>
          <w:tab w:val="left" w:pos="567"/>
        </w:tabs>
        <w:ind w:left="567" w:hanging="567"/>
        <w:rPr>
          <w:sz w:val="22"/>
          <w:szCs w:val="22"/>
          <w:lang w:val="es-ES_tradnl"/>
        </w:rPr>
      </w:pPr>
      <w:r w:rsidRPr="00C52C4C">
        <w:rPr>
          <w:b/>
          <w:sz w:val="22"/>
          <w:szCs w:val="22"/>
          <w:lang w:val="es-ES_tradnl"/>
        </w:rPr>
        <w:t>9.</w:t>
      </w:r>
      <w:r w:rsidRPr="00C52C4C">
        <w:rPr>
          <w:b/>
          <w:sz w:val="22"/>
          <w:szCs w:val="22"/>
          <w:lang w:val="es-ES_tradnl"/>
        </w:rPr>
        <w:tab/>
        <w:t xml:space="preserve">FECHA </w:t>
      </w:r>
      <w:smartTag w:uri="urn:schemas-microsoft-com:office:smarttags" w:element="PersonName">
        <w:r w:rsidRPr="00C52C4C">
          <w:rPr>
            <w:b/>
            <w:sz w:val="22"/>
            <w:szCs w:val="22"/>
            <w:lang w:val="es-ES_tradnl"/>
          </w:rPr>
          <w:t>DE</w:t>
        </w:r>
      </w:smartTag>
      <w:r w:rsidRPr="00C52C4C">
        <w:rPr>
          <w:b/>
          <w:sz w:val="22"/>
          <w:szCs w:val="22"/>
          <w:lang w:val="es-ES_tradnl"/>
        </w:rPr>
        <w:t xml:space="preserve"> </w:t>
      </w:r>
      <w:smartTag w:uri="urn:schemas-microsoft-com:office:smarttags" w:element="PersonName">
        <w:smartTagPr>
          <w:attr w:name="ProductID" w:val="LA PRIMERA AUTORIZACIￓN"/>
        </w:smartTagPr>
        <w:r w:rsidRPr="00C52C4C">
          <w:rPr>
            <w:b/>
            <w:sz w:val="22"/>
            <w:szCs w:val="22"/>
            <w:lang w:val="es-ES_tradnl"/>
          </w:rPr>
          <w:t>LA PRIMERA AUTORIZACIÓN</w:t>
        </w:r>
      </w:smartTag>
      <w:r w:rsidRPr="00C52C4C">
        <w:rPr>
          <w:b/>
          <w:sz w:val="22"/>
          <w:szCs w:val="22"/>
          <w:lang w:val="es-ES_tradnl"/>
        </w:rPr>
        <w:t>/RE</w:t>
      </w:r>
      <w:smartTag w:uri="urn:schemas-microsoft-com:office:smarttags" w:element="PersonName">
        <w:r w:rsidRPr="00C52C4C">
          <w:rPr>
            <w:b/>
            <w:sz w:val="22"/>
            <w:szCs w:val="22"/>
            <w:lang w:val="es-ES_tradnl"/>
          </w:rPr>
          <w:t>NO</w:t>
        </w:r>
      </w:smartTag>
      <w:r w:rsidRPr="00C52C4C">
        <w:rPr>
          <w:b/>
          <w:sz w:val="22"/>
          <w:szCs w:val="22"/>
          <w:lang w:val="es-ES_tradnl"/>
        </w:rPr>
        <w:t xml:space="preserve">VACIÓN </w:t>
      </w:r>
      <w:smartTag w:uri="urn:schemas-microsoft-com:office:smarttags" w:element="PersonName">
        <w:r w:rsidRPr="00C52C4C">
          <w:rPr>
            <w:b/>
            <w:sz w:val="22"/>
            <w:szCs w:val="22"/>
            <w:lang w:val="es-ES_tradnl"/>
          </w:rPr>
          <w:t>DE</w:t>
        </w:r>
      </w:smartTag>
      <w:r w:rsidRPr="00C52C4C">
        <w:rPr>
          <w:b/>
          <w:sz w:val="22"/>
          <w:szCs w:val="22"/>
          <w:lang w:val="es-ES_tradnl"/>
        </w:rPr>
        <w:t xml:space="preserve"> </w:t>
      </w:r>
      <w:smartTag w:uri="urn:schemas-microsoft-com:office:smarttags" w:element="PersonName">
        <w:smartTagPr>
          <w:attr w:name="ProductID" w:val="LA AUTORIZACIￓN"/>
        </w:smartTagPr>
        <w:r w:rsidRPr="00C52C4C">
          <w:rPr>
            <w:b/>
            <w:sz w:val="22"/>
            <w:szCs w:val="22"/>
            <w:lang w:val="es-ES_tradnl"/>
          </w:rPr>
          <w:t>LA AUTORIZACIÓN</w:t>
        </w:r>
      </w:smartTag>
    </w:p>
    <w:p w14:paraId="4B5BCB32" w14:textId="77777777" w:rsidR="00D061AA" w:rsidRPr="00C52C4C" w:rsidRDefault="00D061AA" w:rsidP="00D061AA">
      <w:pPr>
        <w:tabs>
          <w:tab w:val="left" w:pos="567"/>
        </w:tabs>
        <w:rPr>
          <w:sz w:val="22"/>
          <w:szCs w:val="22"/>
          <w:lang w:val="es-ES_tradnl"/>
        </w:rPr>
      </w:pPr>
    </w:p>
    <w:p w14:paraId="1B8F0B9E" w14:textId="77777777" w:rsidR="00EE1F33" w:rsidRDefault="00C3524C" w:rsidP="00D061AA">
      <w:pPr>
        <w:tabs>
          <w:tab w:val="left" w:pos="567"/>
        </w:tabs>
        <w:rPr>
          <w:sz w:val="22"/>
          <w:szCs w:val="22"/>
          <w:lang w:val="es-ES_tradnl"/>
        </w:rPr>
      </w:pPr>
      <w:r>
        <w:rPr>
          <w:sz w:val="22"/>
          <w:szCs w:val="22"/>
          <w:lang w:val="es-ES_tradnl"/>
        </w:rPr>
        <w:t xml:space="preserve">Fecha de la primera autorización: </w:t>
      </w:r>
      <w:r w:rsidR="00FE271C" w:rsidRPr="00C52C4C">
        <w:rPr>
          <w:sz w:val="22"/>
          <w:szCs w:val="22"/>
          <w:lang w:val="es-ES_tradnl"/>
        </w:rPr>
        <w:t>16</w:t>
      </w:r>
      <w:r>
        <w:rPr>
          <w:sz w:val="22"/>
          <w:szCs w:val="22"/>
          <w:lang w:val="es-ES_tradnl"/>
        </w:rPr>
        <w:t xml:space="preserve"> de mayo de 2013</w:t>
      </w:r>
    </w:p>
    <w:p w14:paraId="59BD66B1" w14:textId="77777777" w:rsidR="00D061AA" w:rsidRPr="00824411" w:rsidRDefault="00C3524C" w:rsidP="00D061AA">
      <w:pPr>
        <w:tabs>
          <w:tab w:val="left" w:pos="567"/>
        </w:tabs>
        <w:rPr>
          <w:sz w:val="22"/>
          <w:szCs w:val="22"/>
        </w:rPr>
      </w:pPr>
      <w:r>
        <w:rPr>
          <w:sz w:val="22"/>
          <w:szCs w:val="22"/>
          <w:lang w:val="es-ES_tradnl"/>
        </w:rPr>
        <w:t>Fecha de la última renovación:</w:t>
      </w:r>
      <w:r w:rsidR="00E330E8">
        <w:rPr>
          <w:sz w:val="22"/>
          <w:szCs w:val="22"/>
          <w:lang w:val="es-ES_tradnl"/>
        </w:rPr>
        <w:t xml:space="preserve"> </w:t>
      </w:r>
      <w:r w:rsidR="00C96751">
        <w:rPr>
          <w:sz w:val="22"/>
          <w:szCs w:val="22"/>
        </w:rPr>
        <w:t>8</w:t>
      </w:r>
      <w:r w:rsidR="00E330E8" w:rsidRPr="00E330E8">
        <w:rPr>
          <w:sz w:val="22"/>
          <w:szCs w:val="22"/>
        </w:rPr>
        <w:t xml:space="preserve"> de febrero de 2018</w:t>
      </w:r>
    </w:p>
    <w:p w14:paraId="52197A47" w14:textId="77777777" w:rsidR="00E40D35" w:rsidRDefault="00E40D35" w:rsidP="00D061AA">
      <w:pPr>
        <w:tabs>
          <w:tab w:val="left" w:pos="567"/>
        </w:tabs>
        <w:rPr>
          <w:sz w:val="22"/>
          <w:szCs w:val="22"/>
          <w:lang w:val="es-ES_tradnl"/>
        </w:rPr>
      </w:pPr>
    </w:p>
    <w:p w14:paraId="3674D7CD" w14:textId="77777777" w:rsidR="005060CD" w:rsidRPr="00C52C4C" w:rsidRDefault="005060CD" w:rsidP="00D061AA">
      <w:pPr>
        <w:tabs>
          <w:tab w:val="left" w:pos="567"/>
        </w:tabs>
        <w:rPr>
          <w:sz w:val="22"/>
          <w:szCs w:val="22"/>
          <w:lang w:val="es-ES_tradnl"/>
        </w:rPr>
      </w:pPr>
    </w:p>
    <w:p w14:paraId="3B879D6D" w14:textId="77777777" w:rsidR="00D061AA" w:rsidRPr="00C52C4C" w:rsidRDefault="00D061AA" w:rsidP="00623360">
      <w:pPr>
        <w:numPr>
          <w:ilvl w:val="0"/>
          <w:numId w:val="3"/>
        </w:numPr>
        <w:tabs>
          <w:tab w:val="clear" w:pos="705"/>
          <w:tab w:val="left" w:pos="567"/>
        </w:tabs>
        <w:rPr>
          <w:b/>
          <w:sz w:val="22"/>
          <w:szCs w:val="22"/>
          <w:lang w:val="es-ES_tradnl"/>
        </w:rPr>
      </w:pPr>
      <w:r w:rsidRPr="00C52C4C">
        <w:rPr>
          <w:b/>
          <w:sz w:val="22"/>
          <w:szCs w:val="22"/>
          <w:lang w:val="es-ES_tradnl"/>
        </w:rPr>
        <w:t xml:space="preserve">FECHA </w:t>
      </w:r>
      <w:smartTag w:uri="urn:schemas-microsoft-com:office:smarttags" w:element="PersonName">
        <w:r w:rsidRPr="00C52C4C">
          <w:rPr>
            <w:b/>
            <w:sz w:val="22"/>
            <w:szCs w:val="22"/>
            <w:lang w:val="es-ES_tradnl"/>
          </w:rPr>
          <w:t>DE</w:t>
        </w:r>
      </w:smartTag>
      <w:r w:rsidRPr="00C52C4C">
        <w:rPr>
          <w:b/>
          <w:sz w:val="22"/>
          <w:szCs w:val="22"/>
          <w:lang w:val="es-ES_tradnl"/>
        </w:rPr>
        <w:t xml:space="preserve"> </w:t>
      </w:r>
      <w:smartTag w:uri="urn:schemas-microsoft-com:office:smarttags" w:element="PersonName">
        <w:smartTagPr>
          <w:attr w:name="ProductID" w:val="LA REVISIￓN DEL"/>
        </w:smartTagPr>
        <w:r w:rsidRPr="00C52C4C">
          <w:rPr>
            <w:b/>
            <w:sz w:val="22"/>
            <w:szCs w:val="22"/>
            <w:lang w:val="es-ES_tradnl"/>
          </w:rPr>
          <w:t>LA REV</w:t>
        </w:r>
        <w:smartTag w:uri="urn:schemas-microsoft-com:office:smarttags" w:element="PersonName">
          <w:r w:rsidRPr="00C52C4C">
            <w:rPr>
              <w:b/>
              <w:sz w:val="22"/>
              <w:szCs w:val="22"/>
              <w:lang w:val="es-ES_tradnl"/>
            </w:rPr>
            <w:t>I</w:t>
          </w:r>
          <w:smartTag w:uri="urn:schemas-microsoft-com:office:smarttags" w:element="PersonName">
            <w:r w:rsidRPr="00C52C4C">
              <w:rPr>
                <w:b/>
                <w:sz w:val="22"/>
                <w:szCs w:val="22"/>
                <w:lang w:val="es-ES_tradnl"/>
              </w:rPr>
              <w:t>S</w:t>
            </w:r>
          </w:smartTag>
        </w:smartTag>
        <w:r w:rsidRPr="00C52C4C">
          <w:rPr>
            <w:b/>
            <w:sz w:val="22"/>
            <w:szCs w:val="22"/>
            <w:lang w:val="es-ES_tradnl"/>
          </w:rPr>
          <w:t xml:space="preserve">IÓN </w:t>
        </w:r>
        <w:smartTag w:uri="urn:schemas-microsoft-com:office:smarttags" w:element="PersonName">
          <w:r w:rsidRPr="00C52C4C">
            <w:rPr>
              <w:b/>
              <w:sz w:val="22"/>
              <w:szCs w:val="22"/>
              <w:lang w:val="es-ES_tradnl"/>
            </w:rPr>
            <w:t>D</w:t>
          </w:r>
          <w:smartTag w:uri="urn:schemas-microsoft-com:office:smarttags" w:element="PersonName">
            <w:r w:rsidRPr="00C52C4C">
              <w:rPr>
                <w:b/>
                <w:sz w:val="22"/>
                <w:szCs w:val="22"/>
                <w:lang w:val="es-ES_tradnl"/>
              </w:rPr>
              <w:t>E</w:t>
            </w:r>
          </w:smartTag>
        </w:smartTag>
        <w:r w:rsidRPr="00C52C4C">
          <w:rPr>
            <w:b/>
            <w:sz w:val="22"/>
            <w:szCs w:val="22"/>
            <w:lang w:val="es-ES_tradnl"/>
          </w:rPr>
          <w:t>L</w:t>
        </w:r>
      </w:smartTag>
      <w:r w:rsidRPr="00C52C4C">
        <w:rPr>
          <w:b/>
          <w:sz w:val="22"/>
          <w:szCs w:val="22"/>
          <w:lang w:val="es-ES_tradnl"/>
        </w:rPr>
        <w:t xml:space="preserve"> TEXTO</w:t>
      </w:r>
    </w:p>
    <w:p w14:paraId="5CAF4326" w14:textId="77777777" w:rsidR="00D061AA" w:rsidRPr="00C52C4C" w:rsidRDefault="00D061AA" w:rsidP="00D061AA">
      <w:pPr>
        <w:tabs>
          <w:tab w:val="left" w:pos="567"/>
        </w:tabs>
        <w:rPr>
          <w:b/>
          <w:sz w:val="22"/>
          <w:szCs w:val="22"/>
          <w:lang w:val="es-ES_tradnl"/>
        </w:rPr>
      </w:pPr>
    </w:p>
    <w:p w14:paraId="4AAFFFDE" w14:textId="408B5A20" w:rsidR="005A34D1" w:rsidRPr="00C52C4C" w:rsidRDefault="00D061AA" w:rsidP="005A34D1">
      <w:pPr>
        <w:tabs>
          <w:tab w:val="left" w:pos="567"/>
        </w:tabs>
        <w:rPr>
          <w:sz w:val="22"/>
          <w:szCs w:val="22"/>
          <w:lang w:val="es-ES_tradnl"/>
        </w:rPr>
      </w:pPr>
      <w:r w:rsidRPr="00C52C4C">
        <w:rPr>
          <w:b/>
          <w:sz w:val="22"/>
          <w:szCs w:val="22"/>
          <w:lang w:val="es-ES_tradnl"/>
        </w:rPr>
        <w:t xml:space="preserve"> </w:t>
      </w:r>
      <w:r w:rsidR="005A34D1" w:rsidRPr="00C52C4C">
        <w:rPr>
          <w:sz w:val="22"/>
          <w:szCs w:val="22"/>
          <w:lang w:val="es-ES_tradnl"/>
        </w:rPr>
        <w:t xml:space="preserve">La información detallada de este medicamento está disponible en la página web de la Agencia Europea del Medicamento </w:t>
      </w:r>
      <w:hyperlink r:id="rId13" w:history="1">
        <w:r w:rsidR="00CF457B" w:rsidRPr="00EB2F47">
          <w:rPr>
            <w:rStyle w:val="Hipervnculo"/>
          </w:rPr>
          <w:t>https://www.ema.europa.eu</w:t>
        </w:r>
      </w:hyperlink>
      <w:r w:rsidR="00EE1F33">
        <w:rPr>
          <w:sz w:val="22"/>
          <w:szCs w:val="22"/>
        </w:rPr>
        <w:t>.</w:t>
      </w:r>
    </w:p>
    <w:p w14:paraId="5CF7B32D" w14:textId="77777777" w:rsidR="00AC5BF4" w:rsidRPr="00C52C4C" w:rsidRDefault="00AC5BF4" w:rsidP="00F1627D">
      <w:pPr>
        <w:tabs>
          <w:tab w:val="left" w:pos="567"/>
        </w:tabs>
        <w:rPr>
          <w:b/>
          <w:sz w:val="22"/>
          <w:szCs w:val="22"/>
          <w:lang w:val="es-ES_tradnl"/>
        </w:rPr>
      </w:pPr>
    </w:p>
    <w:p w14:paraId="76F1BA44" w14:textId="69DE0E4A" w:rsidR="00356EE5" w:rsidRDefault="00356EE5">
      <w:pPr>
        <w:rPr>
          <w:b/>
          <w:bCs/>
          <w:sz w:val="22"/>
          <w:szCs w:val="22"/>
          <w:lang w:val="es-ES_tradnl"/>
        </w:rPr>
      </w:pPr>
      <w:r>
        <w:rPr>
          <w:bCs/>
          <w:szCs w:val="22"/>
        </w:rPr>
        <w:br w:type="page"/>
      </w:r>
    </w:p>
    <w:p w14:paraId="06913536" w14:textId="77777777" w:rsidR="00D30A8E" w:rsidRDefault="00D30A8E" w:rsidP="00D061AA">
      <w:pPr>
        <w:pStyle w:val="Ttulo3"/>
        <w:keepNext w:val="0"/>
        <w:tabs>
          <w:tab w:val="left" w:pos="567"/>
        </w:tabs>
        <w:rPr>
          <w:bCs/>
          <w:szCs w:val="22"/>
          <w:lang w:eastAsia="es-ES"/>
        </w:rPr>
      </w:pPr>
    </w:p>
    <w:p w14:paraId="0BB31743" w14:textId="77777777" w:rsidR="00D30A8E" w:rsidRDefault="00D30A8E" w:rsidP="00D061AA">
      <w:pPr>
        <w:pStyle w:val="Ttulo3"/>
        <w:keepNext w:val="0"/>
        <w:tabs>
          <w:tab w:val="left" w:pos="567"/>
        </w:tabs>
        <w:rPr>
          <w:bCs/>
          <w:szCs w:val="22"/>
          <w:lang w:eastAsia="es-ES"/>
        </w:rPr>
      </w:pPr>
    </w:p>
    <w:p w14:paraId="7090131E" w14:textId="77777777" w:rsidR="00D30A8E" w:rsidRDefault="00D30A8E" w:rsidP="00D061AA">
      <w:pPr>
        <w:pStyle w:val="Ttulo3"/>
        <w:keepNext w:val="0"/>
        <w:tabs>
          <w:tab w:val="left" w:pos="567"/>
        </w:tabs>
        <w:rPr>
          <w:bCs/>
          <w:szCs w:val="22"/>
          <w:lang w:eastAsia="es-ES"/>
        </w:rPr>
      </w:pPr>
    </w:p>
    <w:p w14:paraId="623A656D" w14:textId="77777777" w:rsidR="00D30A8E" w:rsidRDefault="00D30A8E" w:rsidP="00D061AA">
      <w:pPr>
        <w:pStyle w:val="Ttulo3"/>
        <w:keepNext w:val="0"/>
        <w:tabs>
          <w:tab w:val="left" w:pos="567"/>
        </w:tabs>
        <w:rPr>
          <w:bCs/>
          <w:szCs w:val="22"/>
          <w:lang w:eastAsia="es-ES"/>
        </w:rPr>
      </w:pPr>
    </w:p>
    <w:p w14:paraId="7551E66E" w14:textId="77777777" w:rsidR="00D30A8E" w:rsidRDefault="00D30A8E" w:rsidP="00D061AA">
      <w:pPr>
        <w:pStyle w:val="Ttulo3"/>
        <w:keepNext w:val="0"/>
        <w:tabs>
          <w:tab w:val="left" w:pos="567"/>
        </w:tabs>
        <w:rPr>
          <w:bCs/>
          <w:szCs w:val="22"/>
          <w:lang w:eastAsia="es-ES"/>
        </w:rPr>
      </w:pPr>
    </w:p>
    <w:p w14:paraId="6201F003" w14:textId="77777777" w:rsidR="00D30A8E" w:rsidRDefault="00D30A8E" w:rsidP="00D061AA">
      <w:pPr>
        <w:pStyle w:val="Ttulo3"/>
        <w:keepNext w:val="0"/>
        <w:tabs>
          <w:tab w:val="left" w:pos="567"/>
        </w:tabs>
        <w:rPr>
          <w:bCs/>
          <w:szCs w:val="22"/>
          <w:lang w:eastAsia="es-ES"/>
        </w:rPr>
      </w:pPr>
    </w:p>
    <w:p w14:paraId="7F618C36" w14:textId="77777777" w:rsidR="00D30A8E" w:rsidRDefault="00D30A8E" w:rsidP="00D061AA">
      <w:pPr>
        <w:pStyle w:val="Ttulo3"/>
        <w:keepNext w:val="0"/>
        <w:tabs>
          <w:tab w:val="left" w:pos="567"/>
        </w:tabs>
        <w:rPr>
          <w:bCs/>
          <w:szCs w:val="22"/>
          <w:lang w:eastAsia="es-ES"/>
        </w:rPr>
      </w:pPr>
    </w:p>
    <w:p w14:paraId="5C4CEDC0" w14:textId="77777777" w:rsidR="00D30A8E" w:rsidRDefault="00D30A8E" w:rsidP="00D061AA">
      <w:pPr>
        <w:pStyle w:val="Ttulo3"/>
        <w:keepNext w:val="0"/>
        <w:tabs>
          <w:tab w:val="left" w:pos="567"/>
        </w:tabs>
        <w:rPr>
          <w:bCs/>
          <w:szCs w:val="22"/>
          <w:lang w:eastAsia="es-ES"/>
        </w:rPr>
      </w:pPr>
    </w:p>
    <w:p w14:paraId="0E49BB97" w14:textId="77777777" w:rsidR="00D30A8E" w:rsidRDefault="00D30A8E" w:rsidP="00D061AA">
      <w:pPr>
        <w:pStyle w:val="Ttulo3"/>
        <w:keepNext w:val="0"/>
        <w:tabs>
          <w:tab w:val="left" w:pos="567"/>
        </w:tabs>
        <w:rPr>
          <w:bCs/>
          <w:szCs w:val="22"/>
          <w:lang w:eastAsia="es-ES"/>
        </w:rPr>
      </w:pPr>
    </w:p>
    <w:p w14:paraId="3DAE455B" w14:textId="77777777" w:rsidR="00D30A8E" w:rsidRDefault="00D30A8E" w:rsidP="00D061AA">
      <w:pPr>
        <w:pStyle w:val="Ttulo3"/>
        <w:keepNext w:val="0"/>
        <w:tabs>
          <w:tab w:val="left" w:pos="567"/>
        </w:tabs>
        <w:rPr>
          <w:bCs/>
          <w:szCs w:val="22"/>
          <w:lang w:eastAsia="es-ES"/>
        </w:rPr>
      </w:pPr>
    </w:p>
    <w:p w14:paraId="61A7820F" w14:textId="77777777" w:rsidR="00D30A8E" w:rsidRDefault="00D30A8E" w:rsidP="00D061AA">
      <w:pPr>
        <w:pStyle w:val="Ttulo3"/>
        <w:keepNext w:val="0"/>
        <w:tabs>
          <w:tab w:val="left" w:pos="567"/>
        </w:tabs>
        <w:rPr>
          <w:bCs/>
          <w:szCs w:val="22"/>
          <w:lang w:eastAsia="es-ES"/>
        </w:rPr>
      </w:pPr>
    </w:p>
    <w:p w14:paraId="723556A8" w14:textId="77777777" w:rsidR="00D30A8E" w:rsidRDefault="00D30A8E" w:rsidP="00D061AA">
      <w:pPr>
        <w:pStyle w:val="Ttulo3"/>
        <w:keepNext w:val="0"/>
        <w:tabs>
          <w:tab w:val="left" w:pos="567"/>
        </w:tabs>
        <w:rPr>
          <w:bCs/>
          <w:szCs w:val="22"/>
          <w:lang w:eastAsia="es-ES"/>
        </w:rPr>
      </w:pPr>
    </w:p>
    <w:p w14:paraId="034A69BD" w14:textId="77777777" w:rsidR="00D30A8E" w:rsidRDefault="00D30A8E" w:rsidP="00D061AA">
      <w:pPr>
        <w:pStyle w:val="Ttulo3"/>
        <w:keepNext w:val="0"/>
        <w:tabs>
          <w:tab w:val="left" w:pos="567"/>
        </w:tabs>
        <w:rPr>
          <w:bCs/>
          <w:szCs w:val="22"/>
          <w:lang w:eastAsia="es-ES"/>
        </w:rPr>
      </w:pPr>
    </w:p>
    <w:p w14:paraId="58C73121" w14:textId="77777777" w:rsidR="00D30A8E" w:rsidRDefault="00D30A8E" w:rsidP="00D061AA">
      <w:pPr>
        <w:pStyle w:val="Ttulo3"/>
        <w:keepNext w:val="0"/>
        <w:tabs>
          <w:tab w:val="left" w:pos="567"/>
        </w:tabs>
        <w:rPr>
          <w:bCs/>
          <w:szCs w:val="22"/>
          <w:lang w:eastAsia="es-ES"/>
        </w:rPr>
      </w:pPr>
    </w:p>
    <w:p w14:paraId="6CB4A50A" w14:textId="77777777" w:rsidR="00D30A8E" w:rsidRDefault="00D30A8E" w:rsidP="00D061AA">
      <w:pPr>
        <w:pStyle w:val="Ttulo3"/>
        <w:keepNext w:val="0"/>
        <w:tabs>
          <w:tab w:val="left" w:pos="567"/>
        </w:tabs>
        <w:rPr>
          <w:bCs/>
          <w:szCs w:val="22"/>
          <w:lang w:eastAsia="es-ES"/>
        </w:rPr>
      </w:pPr>
    </w:p>
    <w:p w14:paraId="692C709C" w14:textId="77777777" w:rsidR="00D30A8E" w:rsidRDefault="00D30A8E" w:rsidP="00D061AA">
      <w:pPr>
        <w:pStyle w:val="Ttulo3"/>
        <w:keepNext w:val="0"/>
        <w:tabs>
          <w:tab w:val="left" w:pos="567"/>
        </w:tabs>
        <w:rPr>
          <w:bCs/>
          <w:szCs w:val="22"/>
          <w:lang w:eastAsia="es-ES"/>
        </w:rPr>
      </w:pPr>
    </w:p>
    <w:p w14:paraId="68E8F3CD" w14:textId="77777777" w:rsidR="00D30A8E" w:rsidRDefault="00D30A8E" w:rsidP="00D061AA">
      <w:pPr>
        <w:pStyle w:val="Ttulo3"/>
        <w:keepNext w:val="0"/>
        <w:tabs>
          <w:tab w:val="left" w:pos="567"/>
        </w:tabs>
        <w:rPr>
          <w:bCs/>
          <w:szCs w:val="22"/>
          <w:lang w:eastAsia="es-ES"/>
        </w:rPr>
      </w:pPr>
    </w:p>
    <w:p w14:paraId="4BDDE53A" w14:textId="77777777" w:rsidR="00D30A8E" w:rsidRDefault="00D30A8E" w:rsidP="00D061AA">
      <w:pPr>
        <w:pStyle w:val="Ttulo3"/>
        <w:keepNext w:val="0"/>
        <w:tabs>
          <w:tab w:val="left" w:pos="567"/>
        </w:tabs>
        <w:rPr>
          <w:bCs/>
          <w:szCs w:val="22"/>
          <w:lang w:eastAsia="es-ES"/>
        </w:rPr>
      </w:pPr>
    </w:p>
    <w:p w14:paraId="1AAFAF2D" w14:textId="77777777" w:rsidR="00D30A8E" w:rsidRDefault="00D30A8E" w:rsidP="00D061AA">
      <w:pPr>
        <w:pStyle w:val="Ttulo3"/>
        <w:keepNext w:val="0"/>
        <w:tabs>
          <w:tab w:val="left" w:pos="567"/>
        </w:tabs>
        <w:rPr>
          <w:bCs/>
          <w:szCs w:val="22"/>
          <w:lang w:eastAsia="es-ES"/>
        </w:rPr>
      </w:pPr>
    </w:p>
    <w:p w14:paraId="60E0014D" w14:textId="77777777" w:rsidR="00D30A8E" w:rsidRDefault="00D30A8E" w:rsidP="00D061AA">
      <w:pPr>
        <w:pStyle w:val="Ttulo3"/>
        <w:keepNext w:val="0"/>
        <w:tabs>
          <w:tab w:val="left" w:pos="567"/>
        </w:tabs>
        <w:rPr>
          <w:bCs/>
          <w:szCs w:val="22"/>
          <w:lang w:eastAsia="es-ES"/>
        </w:rPr>
      </w:pPr>
    </w:p>
    <w:p w14:paraId="0C9ECA68" w14:textId="77777777" w:rsidR="00D061AA" w:rsidRPr="00C52C4C" w:rsidRDefault="00D061AA" w:rsidP="00D061AA">
      <w:pPr>
        <w:pStyle w:val="Ttulo3"/>
        <w:keepNext w:val="0"/>
        <w:tabs>
          <w:tab w:val="left" w:pos="567"/>
        </w:tabs>
        <w:rPr>
          <w:bCs/>
          <w:szCs w:val="22"/>
          <w:lang w:eastAsia="es-ES"/>
        </w:rPr>
      </w:pPr>
      <w:r w:rsidRPr="00C52C4C">
        <w:rPr>
          <w:bCs/>
          <w:szCs w:val="22"/>
          <w:lang w:eastAsia="es-ES"/>
        </w:rPr>
        <w:t>ANEXO II</w:t>
      </w:r>
    </w:p>
    <w:p w14:paraId="42C7ACAE" w14:textId="77777777" w:rsidR="00D061AA" w:rsidRPr="00C52C4C" w:rsidRDefault="00D061AA" w:rsidP="006235A5">
      <w:pPr>
        <w:tabs>
          <w:tab w:val="left" w:pos="1418"/>
        </w:tabs>
        <w:ind w:left="1418" w:right="1416" w:hanging="567"/>
        <w:rPr>
          <w:sz w:val="22"/>
          <w:szCs w:val="22"/>
          <w:lang w:val="es-ES_tradnl"/>
        </w:rPr>
      </w:pPr>
    </w:p>
    <w:p w14:paraId="01387232" w14:textId="77777777" w:rsidR="00D061AA" w:rsidRPr="00C52C4C" w:rsidRDefault="00D061AA" w:rsidP="00C3524C">
      <w:pPr>
        <w:numPr>
          <w:ilvl w:val="0"/>
          <w:numId w:val="11"/>
        </w:numPr>
        <w:ind w:left="567" w:right="139" w:hanging="567"/>
        <w:rPr>
          <w:b/>
          <w:sz w:val="22"/>
          <w:szCs w:val="22"/>
          <w:lang w:val="es-ES_tradnl"/>
        </w:rPr>
      </w:pPr>
      <w:r w:rsidRPr="00C52C4C">
        <w:rPr>
          <w:b/>
          <w:sz w:val="22"/>
          <w:szCs w:val="22"/>
          <w:lang w:val="es-ES_tradnl"/>
        </w:rPr>
        <w:t xml:space="preserve">FABRICANTES RESPONSABLES </w:t>
      </w:r>
      <w:smartTag w:uri="urn:schemas-microsoft-com:office:smarttags" w:element="PersonName">
        <w:r w:rsidRPr="00C52C4C">
          <w:rPr>
            <w:b/>
            <w:sz w:val="22"/>
            <w:szCs w:val="22"/>
            <w:lang w:val="es-ES_tradnl"/>
          </w:rPr>
          <w:t>DE</w:t>
        </w:r>
      </w:smartTag>
      <w:r w:rsidRPr="00C52C4C">
        <w:rPr>
          <w:b/>
          <w:sz w:val="22"/>
          <w:szCs w:val="22"/>
          <w:lang w:val="es-ES_tradnl"/>
        </w:rPr>
        <w:t xml:space="preserve"> </w:t>
      </w:r>
      <w:smartTag w:uri="urn:schemas-microsoft-com:office:smarttags" w:element="PersonName">
        <w:smartTagPr>
          <w:attr w:name="ProductID" w:val="LA LIBERACIￓN DE"/>
        </w:smartTagPr>
        <w:r w:rsidRPr="00C52C4C">
          <w:rPr>
            <w:b/>
            <w:sz w:val="22"/>
            <w:szCs w:val="22"/>
            <w:lang w:val="es-ES_tradnl"/>
          </w:rPr>
          <w:t xml:space="preserve">LA LIBERACIÓN </w:t>
        </w:r>
        <w:smartTag w:uri="urn:schemas-microsoft-com:office:smarttags" w:element="PersonName">
          <w:r w:rsidRPr="00C52C4C">
            <w:rPr>
              <w:b/>
              <w:sz w:val="22"/>
              <w:szCs w:val="22"/>
              <w:lang w:val="es-ES_tradnl"/>
            </w:rPr>
            <w:t>DE</w:t>
          </w:r>
        </w:smartTag>
      </w:smartTag>
      <w:r w:rsidRPr="00C52C4C">
        <w:rPr>
          <w:b/>
          <w:sz w:val="22"/>
          <w:szCs w:val="22"/>
          <w:lang w:val="es-ES_tradnl"/>
        </w:rPr>
        <w:t xml:space="preserve"> </w:t>
      </w:r>
      <w:r w:rsidR="006235A5" w:rsidRPr="00C52C4C">
        <w:rPr>
          <w:b/>
          <w:sz w:val="22"/>
          <w:szCs w:val="22"/>
          <w:lang w:val="es-ES_tradnl"/>
        </w:rPr>
        <w:t xml:space="preserve"> </w:t>
      </w:r>
      <w:r w:rsidRPr="00C52C4C">
        <w:rPr>
          <w:b/>
          <w:sz w:val="22"/>
          <w:szCs w:val="22"/>
          <w:lang w:val="es-ES_tradnl"/>
        </w:rPr>
        <w:t>LOS LOTES</w:t>
      </w:r>
    </w:p>
    <w:p w14:paraId="6D81999D" w14:textId="77777777" w:rsidR="00D061AA" w:rsidRPr="00C52C4C" w:rsidRDefault="00D061AA" w:rsidP="00C3524C">
      <w:pPr>
        <w:numPr>
          <w:ilvl w:val="12"/>
          <w:numId w:val="0"/>
        </w:numPr>
        <w:ind w:left="426" w:right="139" w:hanging="426"/>
        <w:rPr>
          <w:sz w:val="22"/>
          <w:szCs w:val="22"/>
          <w:lang w:val="es-ES_tradnl"/>
        </w:rPr>
      </w:pPr>
    </w:p>
    <w:p w14:paraId="1FEF17BF" w14:textId="77777777" w:rsidR="00D061AA" w:rsidRPr="00C52C4C" w:rsidRDefault="00D061AA" w:rsidP="00C3524C">
      <w:pPr>
        <w:numPr>
          <w:ilvl w:val="0"/>
          <w:numId w:val="11"/>
        </w:numPr>
        <w:ind w:left="567" w:right="139" w:hanging="567"/>
        <w:rPr>
          <w:b/>
          <w:sz w:val="22"/>
          <w:szCs w:val="22"/>
          <w:lang w:val="es-ES_tradnl"/>
        </w:rPr>
      </w:pPr>
      <w:r w:rsidRPr="00C52C4C">
        <w:rPr>
          <w:b/>
          <w:sz w:val="22"/>
          <w:szCs w:val="22"/>
          <w:lang w:val="es-ES_tradnl"/>
        </w:rPr>
        <w:t xml:space="preserve">CONDICIONES O RESTRICCIONES </w:t>
      </w:r>
      <w:smartTag w:uri="urn:schemas-microsoft-com:office:smarttags" w:element="PersonName">
        <w:r w:rsidRPr="00C52C4C">
          <w:rPr>
            <w:b/>
            <w:sz w:val="22"/>
            <w:szCs w:val="22"/>
            <w:lang w:val="es-ES_tradnl"/>
          </w:rPr>
          <w:t>DE</w:t>
        </w:r>
      </w:smartTag>
      <w:r w:rsidRPr="00C52C4C">
        <w:rPr>
          <w:b/>
          <w:sz w:val="22"/>
          <w:szCs w:val="22"/>
          <w:lang w:val="es-ES_tradnl"/>
        </w:rPr>
        <w:t xml:space="preserve"> SUMIN</w:t>
      </w:r>
      <w:smartTag w:uri="urn:schemas-microsoft-com:office:smarttags" w:element="PersonName">
        <w:r w:rsidRPr="00C52C4C">
          <w:rPr>
            <w:b/>
            <w:sz w:val="22"/>
            <w:szCs w:val="22"/>
            <w:lang w:val="es-ES_tradnl"/>
          </w:rPr>
          <w:t>IS</w:t>
        </w:r>
      </w:smartTag>
      <w:r w:rsidRPr="00C52C4C">
        <w:rPr>
          <w:b/>
          <w:sz w:val="22"/>
          <w:szCs w:val="22"/>
          <w:lang w:val="es-ES_tradnl"/>
        </w:rPr>
        <w:t>T</w:t>
      </w:r>
      <w:smartTag w:uri="urn:schemas-microsoft-com:office:smarttags" w:element="PersonName">
        <w:r w:rsidRPr="00C52C4C">
          <w:rPr>
            <w:b/>
            <w:sz w:val="22"/>
            <w:szCs w:val="22"/>
            <w:lang w:val="es-ES_tradnl"/>
          </w:rPr>
          <w:t>RO</w:t>
        </w:r>
      </w:smartTag>
      <w:r w:rsidRPr="00C52C4C">
        <w:rPr>
          <w:b/>
          <w:sz w:val="22"/>
          <w:szCs w:val="22"/>
          <w:lang w:val="es-ES_tradnl"/>
        </w:rPr>
        <w:t xml:space="preserve"> </w:t>
      </w:r>
      <w:r w:rsidR="00012B58" w:rsidRPr="00C52C4C">
        <w:rPr>
          <w:b/>
          <w:sz w:val="22"/>
          <w:szCs w:val="22"/>
          <w:lang w:val="es-ES_tradnl"/>
        </w:rPr>
        <w:t xml:space="preserve"> </w:t>
      </w:r>
      <w:r w:rsidRPr="00C52C4C">
        <w:rPr>
          <w:b/>
          <w:sz w:val="22"/>
          <w:szCs w:val="22"/>
          <w:lang w:val="es-ES_tradnl"/>
        </w:rPr>
        <w:t>Y USO</w:t>
      </w:r>
    </w:p>
    <w:p w14:paraId="326EB535" w14:textId="77777777" w:rsidR="00D061AA" w:rsidRPr="00C52C4C" w:rsidRDefault="00D061AA" w:rsidP="00C3524C">
      <w:pPr>
        <w:ind w:left="567" w:right="139" w:hanging="567"/>
        <w:rPr>
          <w:b/>
          <w:sz w:val="22"/>
          <w:szCs w:val="22"/>
          <w:lang w:val="es-ES_tradnl"/>
        </w:rPr>
      </w:pPr>
    </w:p>
    <w:p w14:paraId="5C2A7C48" w14:textId="77777777" w:rsidR="00D061AA" w:rsidRPr="00C52C4C" w:rsidRDefault="00D061AA" w:rsidP="00C3524C">
      <w:pPr>
        <w:numPr>
          <w:ilvl w:val="0"/>
          <w:numId w:val="11"/>
        </w:numPr>
        <w:ind w:left="567" w:right="139" w:hanging="567"/>
        <w:rPr>
          <w:b/>
          <w:sz w:val="22"/>
          <w:szCs w:val="22"/>
          <w:lang w:val="es-ES_tradnl"/>
        </w:rPr>
      </w:pPr>
      <w:r w:rsidRPr="00C52C4C">
        <w:rPr>
          <w:b/>
          <w:sz w:val="22"/>
          <w:szCs w:val="22"/>
          <w:lang w:val="es-ES_tradnl"/>
        </w:rPr>
        <w:t>OTRAS CONDICIONES Y REQU</w:t>
      </w:r>
      <w:smartTag w:uri="urn:schemas-microsoft-com:office:smarttags" w:element="PersonName">
        <w:r w:rsidRPr="00C52C4C">
          <w:rPr>
            <w:b/>
            <w:sz w:val="22"/>
            <w:szCs w:val="22"/>
            <w:lang w:val="es-ES_tradnl"/>
          </w:rPr>
          <w:t>I</w:t>
        </w:r>
        <w:smartTag w:uri="urn:schemas-microsoft-com:office:smarttags" w:element="PersonName">
          <w:r w:rsidRPr="00C52C4C">
            <w:rPr>
              <w:b/>
              <w:sz w:val="22"/>
              <w:szCs w:val="22"/>
              <w:lang w:val="es-ES_tradnl"/>
            </w:rPr>
            <w:t>S</w:t>
          </w:r>
        </w:smartTag>
      </w:smartTag>
      <w:smartTag w:uri="urn:schemas-microsoft-com:office:smarttags" w:element="PersonName">
        <w:r w:rsidRPr="00C52C4C">
          <w:rPr>
            <w:b/>
            <w:sz w:val="22"/>
            <w:szCs w:val="22"/>
            <w:lang w:val="es-ES_tradnl"/>
          </w:rPr>
          <w:t>IT</w:t>
        </w:r>
      </w:smartTag>
      <w:r w:rsidRPr="00C52C4C">
        <w:rPr>
          <w:b/>
          <w:sz w:val="22"/>
          <w:szCs w:val="22"/>
          <w:lang w:val="es-ES_tradnl"/>
        </w:rPr>
        <w:t xml:space="preserve">OS </w:t>
      </w:r>
      <w:smartTag w:uri="urn:schemas-microsoft-com:office:smarttags" w:element="PersonName">
        <w:r w:rsidRPr="00C52C4C">
          <w:rPr>
            <w:b/>
            <w:sz w:val="22"/>
            <w:szCs w:val="22"/>
            <w:lang w:val="es-ES_tradnl"/>
          </w:rPr>
          <w:t>DE</w:t>
        </w:r>
      </w:smartTag>
      <w:r w:rsidRPr="00C52C4C">
        <w:rPr>
          <w:b/>
          <w:sz w:val="22"/>
          <w:szCs w:val="22"/>
          <w:lang w:val="es-ES_tradnl"/>
        </w:rPr>
        <w:t xml:space="preserve"> </w:t>
      </w:r>
      <w:smartTag w:uri="urn:schemas-microsoft-com:office:smarttags" w:element="PersonName">
        <w:smartTagPr>
          <w:attr w:name="ProductID" w:val="LA AUTORIZACIￓN DE"/>
        </w:smartTagPr>
        <w:r w:rsidRPr="00C52C4C">
          <w:rPr>
            <w:b/>
            <w:sz w:val="22"/>
            <w:szCs w:val="22"/>
            <w:lang w:val="es-ES_tradnl"/>
          </w:rPr>
          <w:t xml:space="preserve">LA AUTORIZACIÓN </w:t>
        </w:r>
        <w:smartTag w:uri="urn:schemas-microsoft-com:office:smarttags" w:element="PersonName">
          <w:r w:rsidRPr="00C52C4C">
            <w:rPr>
              <w:b/>
              <w:sz w:val="22"/>
              <w:szCs w:val="22"/>
              <w:lang w:val="es-ES_tradnl"/>
            </w:rPr>
            <w:t>DE</w:t>
          </w:r>
        </w:smartTag>
      </w:smartTag>
      <w:r w:rsidRPr="00C52C4C">
        <w:rPr>
          <w:b/>
          <w:sz w:val="22"/>
          <w:szCs w:val="22"/>
          <w:lang w:val="es-ES_tradnl"/>
        </w:rPr>
        <w:t xml:space="preserve"> COMERCIALIZACIÓN</w:t>
      </w:r>
    </w:p>
    <w:p w14:paraId="64EEC1AD" w14:textId="77777777" w:rsidR="002B4A0B" w:rsidRPr="00C52C4C" w:rsidRDefault="002B4A0B" w:rsidP="00C3524C">
      <w:pPr>
        <w:ind w:left="567" w:right="139" w:hanging="567"/>
        <w:rPr>
          <w:b/>
          <w:sz w:val="22"/>
          <w:szCs w:val="22"/>
          <w:lang w:val="es-ES_tradnl"/>
        </w:rPr>
      </w:pPr>
    </w:p>
    <w:p w14:paraId="3688FCCA" w14:textId="77777777" w:rsidR="002B4A0B" w:rsidRPr="00C52C4C" w:rsidRDefault="002B4A0B" w:rsidP="00C3524C">
      <w:pPr>
        <w:numPr>
          <w:ilvl w:val="0"/>
          <w:numId w:val="11"/>
        </w:numPr>
        <w:ind w:left="567" w:right="139" w:hanging="567"/>
        <w:rPr>
          <w:b/>
          <w:sz w:val="22"/>
          <w:szCs w:val="22"/>
          <w:lang w:val="es-ES_tradnl"/>
        </w:rPr>
      </w:pPr>
      <w:r w:rsidRPr="00C52C4C">
        <w:rPr>
          <w:b/>
          <w:sz w:val="22"/>
          <w:szCs w:val="22"/>
          <w:lang w:val="es-ES_tradnl"/>
        </w:rPr>
        <w:t>CONDICIONES O RESTRICCIONES EN R</w:t>
      </w:r>
      <w:smartTag w:uri="urn:schemas-microsoft-com:office:smarttags" w:element="PersonName">
        <w:r w:rsidRPr="00C52C4C">
          <w:rPr>
            <w:b/>
            <w:sz w:val="22"/>
            <w:szCs w:val="22"/>
            <w:lang w:val="es-ES_tradnl"/>
          </w:rPr>
          <w:t>EL</w:t>
        </w:r>
      </w:smartTag>
      <w:r w:rsidRPr="00C52C4C">
        <w:rPr>
          <w:b/>
          <w:sz w:val="22"/>
          <w:szCs w:val="22"/>
          <w:lang w:val="es-ES_tradnl"/>
        </w:rPr>
        <w:t xml:space="preserve">ACIÓN CON </w:t>
      </w:r>
      <w:smartTag w:uri="urn:schemas-microsoft-com:office:smarttags" w:element="PersonName">
        <w:smartTagPr>
          <w:attr w:name="ProductID" w:val="LA UTILIZACIￓN SEGURA"/>
        </w:smartTagPr>
        <w:r w:rsidRPr="00C52C4C">
          <w:rPr>
            <w:b/>
            <w:sz w:val="22"/>
            <w:szCs w:val="22"/>
            <w:lang w:val="es-ES_tradnl"/>
          </w:rPr>
          <w:t xml:space="preserve">LA UTILIZACIÓN </w:t>
        </w:r>
        <w:smartTag w:uri="urn:schemas-microsoft-com:office:smarttags" w:element="PersonName">
          <w:r w:rsidRPr="00C52C4C">
            <w:rPr>
              <w:b/>
              <w:sz w:val="22"/>
              <w:szCs w:val="22"/>
              <w:lang w:val="es-ES_tradnl"/>
            </w:rPr>
            <w:t>SE</w:t>
          </w:r>
        </w:smartTag>
        <w:r w:rsidRPr="00C52C4C">
          <w:rPr>
            <w:b/>
            <w:sz w:val="22"/>
            <w:szCs w:val="22"/>
            <w:lang w:val="es-ES_tradnl"/>
          </w:rPr>
          <w:t>GURA</w:t>
        </w:r>
      </w:smartTag>
      <w:r w:rsidRPr="00C52C4C">
        <w:rPr>
          <w:b/>
          <w:sz w:val="22"/>
          <w:szCs w:val="22"/>
          <w:lang w:val="es-ES_tradnl"/>
        </w:rPr>
        <w:t xml:space="preserve"> Y E</w:t>
      </w:r>
      <w:smartTag w:uri="urn:schemas-microsoft-com:office:smarttags" w:element="PersonName">
        <w:r w:rsidRPr="00C52C4C">
          <w:rPr>
            <w:b/>
            <w:sz w:val="22"/>
            <w:szCs w:val="22"/>
            <w:lang w:val="es-ES_tradnl"/>
          </w:rPr>
          <w:t>FI</w:t>
        </w:r>
      </w:smartTag>
      <w:r w:rsidRPr="00C52C4C">
        <w:rPr>
          <w:b/>
          <w:sz w:val="22"/>
          <w:szCs w:val="22"/>
          <w:lang w:val="es-ES_tradnl"/>
        </w:rPr>
        <w:t xml:space="preserve">CAZ </w:t>
      </w:r>
      <w:smartTag w:uri="urn:schemas-microsoft-com:office:smarttags" w:element="PersonName">
        <w:r w:rsidRPr="00C52C4C">
          <w:rPr>
            <w:b/>
            <w:sz w:val="22"/>
            <w:szCs w:val="22"/>
            <w:lang w:val="es-ES_tradnl"/>
          </w:rPr>
          <w:t>D</w:t>
        </w:r>
        <w:smartTag w:uri="urn:schemas-microsoft-com:office:smarttags" w:element="PersonName">
          <w:r w:rsidRPr="00C52C4C">
            <w:rPr>
              <w:b/>
              <w:sz w:val="22"/>
              <w:szCs w:val="22"/>
              <w:lang w:val="es-ES_tradnl"/>
            </w:rPr>
            <w:t>E</w:t>
          </w:r>
        </w:smartTag>
      </w:smartTag>
      <w:r w:rsidRPr="00C52C4C">
        <w:rPr>
          <w:b/>
          <w:sz w:val="22"/>
          <w:szCs w:val="22"/>
          <w:lang w:val="es-ES_tradnl"/>
        </w:rPr>
        <w:t>L MEDICAMENTO</w:t>
      </w:r>
    </w:p>
    <w:p w14:paraId="40569D49" w14:textId="77777777" w:rsidR="00D061AA" w:rsidRPr="00C52C4C" w:rsidRDefault="00D061AA" w:rsidP="006235A5">
      <w:pPr>
        <w:tabs>
          <w:tab w:val="left" w:pos="1418"/>
        </w:tabs>
        <w:ind w:left="1418" w:right="1416" w:hanging="360"/>
        <w:rPr>
          <w:b/>
          <w:sz w:val="22"/>
          <w:szCs w:val="22"/>
          <w:lang w:val="es-ES_tradnl"/>
        </w:rPr>
      </w:pPr>
    </w:p>
    <w:p w14:paraId="55DCD36F" w14:textId="77777777" w:rsidR="00D061AA" w:rsidRPr="00C52C4C" w:rsidRDefault="00D061AA" w:rsidP="00D061AA">
      <w:pPr>
        <w:tabs>
          <w:tab w:val="left" w:pos="567"/>
        </w:tabs>
        <w:ind w:left="1701" w:right="1416" w:hanging="567"/>
        <w:rPr>
          <w:sz w:val="22"/>
          <w:szCs w:val="22"/>
          <w:lang w:val="es-ES_tradnl"/>
        </w:rPr>
      </w:pPr>
    </w:p>
    <w:p w14:paraId="13A821F8" w14:textId="77777777" w:rsidR="00D061AA" w:rsidRPr="00C52C4C" w:rsidRDefault="00D061AA" w:rsidP="00F1627D">
      <w:pPr>
        <w:pStyle w:val="12"/>
        <w:ind w:firstLine="0"/>
      </w:pPr>
      <w:r w:rsidRPr="00C52C4C">
        <w:br w:type="page"/>
      </w:r>
      <w:r w:rsidRPr="00C52C4C">
        <w:lastRenderedPageBreak/>
        <w:t>A.</w:t>
      </w:r>
      <w:r w:rsidRPr="00C52C4C">
        <w:tab/>
        <w:t xml:space="preserve">FABRICANTES RESPONSABLES </w:t>
      </w:r>
      <w:smartTag w:uri="urn:schemas-microsoft-com:office:smarttags" w:element="PersonName">
        <w:r w:rsidRPr="00C52C4C">
          <w:t>DE</w:t>
        </w:r>
      </w:smartTag>
      <w:r w:rsidRPr="00C52C4C">
        <w:t xml:space="preserve"> </w:t>
      </w:r>
      <w:smartTag w:uri="urn:schemas-microsoft-com:office:smarttags" w:element="PersonName">
        <w:smartTagPr>
          <w:attr w:name="ProductID" w:val="LA LIBERACIￓN DE"/>
        </w:smartTagPr>
        <w:r w:rsidRPr="00C52C4C">
          <w:t xml:space="preserve">LA LIBERACIÓN </w:t>
        </w:r>
        <w:smartTag w:uri="urn:schemas-microsoft-com:office:smarttags" w:element="PersonName">
          <w:r w:rsidRPr="00C52C4C">
            <w:t>DE</w:t>
          </w:r>
        </w:smartTag>
      </w:smartTag>
      <w:r w:rsidRPr="00C52C4C">
        <w:t xml:space="preserve"> LOTES</w:t>
      </w:r>
    </w:p>
    <w:p w14:paraId="342BD600" w14:textId="77777777" w:rsidR="00D061AA" w:rsidRPr="00C52C4C" w:rsidRDefault="00D061AA" w:rsidP="00FE271C">
      <w:pPr>
        <w:numPr>
          <w:ilvl w:val="12"/>
          <w:numId w:val="0"/>
        </w:numPr>
        <w:tabs>
          <w:tab w:val="left" w:pos="567"/>
        </w:tabs>
        <w:rPr>
          <w:sz w:val="22"/>
          <w:szCs w:val="22"/>
          <w:lang w:val="es-ES_tradnl"/>
        </w:rPr>
      </w:pPr>
    </w:p>
    <w:p w14:paraId="10BD8C9A" w14:textId="77777777" w:rsidR="00D061AA" w:rsidRPr="00C52C4C" w:rsidRDefault="00D061AA" w:rsidP="00FE271C">
      <w:pPr>
        <w:numPr>
          <w:ilvl w:val="12"/>
          <w:numId w:val="0"/>
        </w:numPr>
        <w:tabs>
          <w:tab w:val="left" w:pos="567"/>
        </w:tabs>
        <w:outlineLvl w:val="0"/>
        <w:rPr>
          <w:sz w:val="22"/>
          <w:szCs w:val="22"/>
          <w:u w:val="single"/>
          <w:lang w:val="es-ES_tradnl"/>
        </w:rPr>
      </w:pPr>
      <w:r w:rsidRPr="00C52C4C">
        <w:rPr>
          <w:sz w:val="22"/>
          <w:szCs w:val="22"/>
          <w:u w:val="single"/>
          <w:lang w:val="es-ES_tradnl"/>
        </w:rPr>
        <w:t>Nombre y dirección de los fabricantes responsables de la liberación de los lotes</w:t>
      </w:r>
    </w:p>
    <w:p w14:paraId="52C7B82D" w14:textId="77777777" w:rsidR="00FE271C" w:rsidRPr="002869DC" w:rsidRDefault="00FE271C" w:rsidP="006A16B9">
      <w:pPr>
        <w:rPr>
          <w:sz w:val="22"/>
          <w:szCs w:val="22"/>
        </w:rPr>
      </w:pPr>
      <w:bookmarkStart w:id="6" w:name="Manuf_1"/>
      <w:bookmarkEnd w:id="6"/>
    </w:p>
    <w:p w14:paraId="52F17415" w14:textId="77777777" w:rsidR="00753ABC" w:rsidRPr="00824411" w:rsidRDefault="00753ABC" w:rsidP="00753ABC">
      <w:pPr>
        <w:autoSpaceDE w:val="0"/>
        <w:autoSpaceDN w:val="0"/>
        <w:adjustRightInd w:val="0"/>
        <w:rPr>
          <w:sz w:val="22"/>
          <w:szCs w:val="22"/>
          <w:lang w:val="en-US" w:eastAsia="en-US"/>
        </w:rPr>
      </w:pPr>
      <w:r w:rsidRPr="00824411">
        <w:rPr>
          <w:sz w:val="22"/>
          <w:szCs w:val="22"/>
          <w:lang w:val="en-US" w:eastAsia="en-US"/>
        </w:rPr>
        <w:t>Pharmadox Healthcare Ltd.</w:t>
      </w:r>
    </w:p>
    <w:p w14:paraId="13FF2C63" w14:textId="77777777" w:rsidR="00753ABC" w:rsidRPr="00824411" w:rsidRDefault="00753ABC" w:rsidP="00753ABC">
      <w:pPr>
        <w:autoSpaceDE w:val="0"/>
        <w:autoSpaceDN w:val="0"/>
        <w:adjustRightInd w:val="0"/>
        <w:rPr>
          <w:sz w:val="22"/>
          <w:szCs w:val="22"/>
          <w:lang w:val="en-US" w:eastAsia="en-US"/>
        </w:rPr>
      </w:pPr>
      <w:r w:rsidRPr="00824411">
        <w:rPr>
          <w:sz w:val="22"/>
          <w:szCs w:val="22"/>
          <w:lang w:val="en-US" w:eastAsia="en-US"/>
        </w:rPr>
        <w:t>KW20A Kordin Industrial Park,</w:t>
      </w:r>
    </w:p>
    <w:p w14:paraId="3F5694E0" w14:textId="77777777" w:rsidR="00753ABC" w:rsidRDefault="00753ABC" w:rsidP="00AF3834">
      <w:pPr>
        <w:pStyle w:val="Prrafodelista"/>
        <w:autoSpaceDE w:val="0"/>
        <w:autoSpaceDN w:val="0"/>
        <w:adjustRightInd w:val="0"/>
        <w:spacing w:after="0" w:line="240" w:lineRule="auto"/>
        <w:ind w:left="0"/>
        <w:rPr>
          <w:rFonts w:ascii="Times New Roman" w:hAnsi="Times New Roman"/>
          <w:color w:val="222222"/>
          <w:lang w:val="en-IN"/>
        </w:rPr>
      </w:pPr>
      <w:r w:rsidRPr="004A1A96">
        <w:rPr>
          <w:rFonts w:ascii="Times New Roman" w:hAnsi="Times New Roman"/>
        </w:rPr>
        <w:t>Paola, PLA 3000</w:t>
      </w:r>
      <w:r w:rsidR="00AF3834" w:rsidRPr="00C52C4C">
        <w:rPr>
          <w:rFonts w:ascii="Times New Roman" w:hAnsi="Times New Roman"/>
          <w:color w:val="222222"/>
          <w:lang w:val="bg-BG"/>
        </w:rPr>
        <w:t xml:space="preserve"> </w:t>
      </w:r>
    </w:p>
    <w:p w14:paraId="779A3714" w14:textId="77777777" w:rsidR="00AF3834" w:rsidRPr="00824411" w:rsidRDefault="00AF3834" w:rsidP="00AF3834">
      <w:pPr>
        <w:pStyle w:val="Prrafodelista"/>
        <w:autoSpaceDE w:val="0"/>
        <w:autoSpaceDN w:val="0"/>
        <w:adjustRightInd w:val="0"/>
        <w:spacing w:after="0" w:line="240" w:lineRule="auto"/>
        <w:ind w:left="0"/>
        <w:rPr>
          <w:rFonts w:ascii="Times New Roman" w:hAnsi="Times New Roman"/>
        </w:rPr>
      </w:pPr>
      <w:r w:rsidRPr="00824411">
        <w:rPr>
          <w:rFonts w:ascii="Times New Roman" w:hAnsi="Times New Roman"/>
        </w:rPr>
        <w:t>Malta</w:t>
      </w:r>
    </w:p>
    <w:p w14:paraId="723FF512" w14:textId="77777777" w:rsidR="00753ABC" w:rsidRPr="00824411" w:rsidRDefault="00753ABC" w:rsidP="00AF3834">
      <w:pPr>
        <w:pStyle w:val="Prrafodelista"/>
        <w:autoSpaceDE w:val="0"/>
        <w:autoSpaceDN w:val="0"/>
        <w:adjustRightInd w:val="0"/>
        <w:spacing w:after="0" w:line="240" w:lineRule="auto"/>
        <w:ind w:left="0"/>
        <w:rPr>
          <w:rFonts w:ascii="Times New Roman" w:hAnsi="Times New Roman"/>
        </w:rPr>
      </w:pPr>
    </w:p>
    <w:p w14:paraId="1AA9A8A8" w14:textId="77777777" w:rsidR="00753ABC" w:rsidRPr="00824411" w:rsidRDefault="00753ABC" w:rsidP="00753ABC">
      <w:pPr>
        <w:rPr>
          <w:sz w:val="22"/>
          <w:szCs w:val="22"/>
          <w:lang w:val="en-US"/>
        </w:rPr>
      </w:pPr>
      <w:r w:rsidRPr="00824411">
        <w:rPr>
          <w:sz w:val="22"/>
          <w:szCs w:val="22"/>
          <w:lang w:val="en-US"/>
        </w:rPr>
        <w:t>Accord Healthcare Polska Sp.z o.o.,</w:t>
      </w:r>
    </w:p>
    <w:p w14:paraId="79B7E4E8" w14:textId="77777777" w:rsidR="00753ABC" w:rsidRPr="002869DC" w:rsidRDefault="00753ABC" w:rsidP="00753ABC">
      <w:pPr>
        <w:pStyle w:val="Prrafodelista"/>
        <w:autoSpaceDE w:val="0"/>
        <w:autoSpaceDN w:val="0"/>
        <w:adjustRightInd w:val="0"/>
        <w:spacing w:after="0" w:line="240" w:lineRule="auto"/>
        <w:ind w:left="0"/>
        <w:rPr>
          <w:rFonts w:ascii="Times New Roman" w:hAnsi="Times New Roman"/>
          <w:lang w:val="en-GB"/>
        </w:rPr>
      </w:pPr>
      <w:r w:rsidRPr="002869DC">
        <w:rPr>
          <w:rFonts w:ascii="Times New Roman" w:hAnsi="Times New Roman"/>
          <w:lang w:val="en-GB"/>
        </w:rPr>
        <w:t>ul. Lutomierska 50,95-200 Pabianice, Polonia</w:t>
      </w:r>
    </w:p>
    <w:p w14:paraId="1ED59B1C" w14:textId="77777777" w:rsidR="005906CC" w:rsidRPr="002869DC" w:rsidRDefault="005906CC" w:rsidP="00753ABC">
      <w:pPr>
        <w:pStyle w:val="Prrafodelista"/>
        <w:autoSpaceDE w:val="0"/>
        <w:autoSpaceDN w:val="0"/>
        <w:adjustRightInd w:val="0"/>
        <w:spacing w:after="0" w:line="240" w:lineRule="auto"/>
        <w:ind w:left="0"/>
        <w:rPr>
          <w:rFonts w:ascii="Times New Roman" w:hAnsi="Times New Roman"/>
          <w:lang w:val="en-GB"/>
        </w:rPr>
      </w:pPr>
    </w:p>
    <w:p w14:paraId="03AC3A59" w14:textId="77777777" w:rsidR="005906CC" w:rsidRPr="00EA558F" w:rsidRDefault="005906CC" w:rsidP="00EA558F">
      <w:pPr>
        <w:rPr>
          <w:sz w:val="22"/>
          <w:szCs w:val="22"/>
          <w:lang w:val="en-US"/>
        </w:rPr>
      </w:pPr>
      <w:r w:rsidRPr="00EA558F">
        <w:rPr>
          <w:sz w:val="22"/>
          <w:szCs w:val="22"/>
          <w:lang w:val="en-US"/>
        </w:rPr>
        <w:t xml:space="preserve">Accord Healthcare B.V., </w:t>
      </w:r>
    </w:p>
    <w:p w14:paraId="01470C27" w14:textId="77777777" w:rsidR="005906CC" w:rsidRPr="002869DC" w:rsidRDefault="005906CC" w:rsidP="00EA558F">
      <w:pPr>
        <w:rPr>
          <w:sz w:val="22"/>
          <w:szCs w:val="22"/>
        </w:rPr>
      </w:pPr>
      <w:r w:rsidRPr="002869DC">
        <w:rPr>
          <w:sz w:val="22"/>
          <w:szCs w:val="22"/>
        </w:rPr>
        <w:t xml:space="preserve">Winthontlaan 200, </w:t>
      </w:r>
    </w:p>
    <w:p w14:paraId="1DA9E0E7" w14:textId="77777777" w:rsidR="005906CC" w:rsidRPr="002869DC" w:rsidRDefault="005906CC" w:rsidP="00EA558F">
      <w:pPr>
        <w:rPr>
          <w:sz w:val="22"/>
          <w:szCs w:val="22"/>
        </w:rPr>
      </w:pPr>
      <w:r w:rsidRPr="002869DC">
        <w:rPr>
          <w:sz w:val="22"/>
          <w:szCs w:val="22"/>
        </w:rPr>
        <w:t>3526 KV Utrecht,</w:t>
      </w:r>
    </w:p>
    <w:p w14:paraId="1925C242" w14:textId="77777777" w:rsidR="005906CC" w:rsidRDefault="005906CC" w:rsidP="00EA558F">
      <w:pPr>
        <w:rPr>
          <w:ins w:id="7" w:author="MAH Review_LL" w:date="2025-07-11T11:44:00Z" w16du:dateUtc="2025-07-11T09:44:00Z"/>
          <w:sz w:val="22"/>
          <w:szCs w:val="22"/>
        </w:rPr>
      </w:pPr>
      <w:r w:rsidRPr="002869DC">
        <w:rPr>
          <w:sz w:val="22"/>
          <w:szCs w:val="22"/>
        </w:rPr>
        <w:t>Países Bajos</w:t>
      </w:r>
    </w:p>
    <w:p w14:paraId="62FC42AF" w14:textId="77777777" w:rsidR="0044695D" w:rsidRDefault="0044695D" w:rsidP="00EA558F">
      <w:pPr>
        <w:rPr>
          <w:ins w:id="8" w:author="MAH Review_LL" w:date="2025-07-11T11:44:00Z" w16du:dateUtc="2025-07-11T09:44:00Z"/>
          <w:sz w:val="22"/>
          <w:szCs w:val="22"/>
        </w:rPr>
      </w:pPr>
    </w:p>
    <w:p w14:paraId="07001B32" w14:textId="77777777" w:rsidR="0044695D" w:rsidRPr="0044695D" w:rsidRDefault="0044695D" w:rsidP="0044695D">
      <w:pPr>
        <w:rPr>
          <w:ins w:id="9" w:author="MAH Review_LL" w:date="2025-07-11T11:44:00Z" w16du:dateUtc="2025-07-11T09:44:00Z"/>
          <w:sz w:val="22"/>
          <w:szCs w:val="22"/>
        </w:rPr>
      </w:pPr>
      <w:ins w:id="10" w:author="MAH Review_LL" w:date="2025-07-11T11:44:00Z" w16du:dateUtc="2025-07-11T09:44:00Z">
        <w:r w:rsidRPr="0044695D">
          <w:rPr>
            <w:sz w:val="22"/>
            <w:szCs w:val="22"/>
          </w:rPr>
          <w:t xml:space="preserve">Accord Healthcare single member S.A., </w:t>
        </w:r>
      </w:ins>
    </w:p>
    <w:p w14:paraId="2A200237" w14:textId="77777777" w:rsidR="0044695D" w:rsidRPr="0044695D" w:rsidRDefault="0044695D" w:rsidP="0044695D">
      <w:pPr>
        <w:rPr>
          <w:ins w:id="11" w:author="MAH Review_LL" w:date="2025-07-11T11:44:00Z" w16du:dateUtc="2025-07-11T09:44:00Z"/>
          <w:sz w:val="22"/>
          <w:szCs w:val="22"/>
        </w:rPr>
      </w:pPr>
      <w:ins w:id="12" w:author="MAH Review_LL" w:date="2025-07-11T11:44:00Z" w16du:dateUtc="2025-07-11T09:44:00Z">
        <w:r w:rsidRPr="0044695D">
          <w:rPr>
            <w:sz w:val="22"/>
            <w:szCs w:val="22"/>
          </w:rPr>
          <w:t xml:space="preserve">64th Km National Road Athens, </w:t>
        </w:r>
      </w:ins>
    </w:p>
    <w:p w14:paraId="0367D256" w14:textId="42A95A47" w:rsidR="0044695D" w:rsidRPr="002869DC" w:rsidRDefault="0044695D" w:rsidP="00EA558F">
      <w:pPr>
        <w:rPr>
          <w:sz w:val="22"/>
          <w:szCs w:val="22"/>
        </w:rPr>
      </w:pPr>
      <w:ins w:id="13" w:author="MAH Review_LL" w:date="2025-07-11T11:44:00Z" w16du:dateUtc="2025-07-11T09:44:00Z">
        <w:r w:rsidRPr="00907511">
          <w:rPr>
            <w:sz w:val="22"/>
            <w:szCs w:val="22"/>
          </w:rPr>
          <w:t>Lamia, Schimatari, 32009, Gre</w:t>
        </w:r>
        <w:r>
          <w:rPr>
            <w:sz w:val="22"/>
            <w:szCs w:val="22"/>
          </w:rPr>
          <w:t>cia</w:t>
        </w:r>
      </w:ins>
    </w:p>
    <w:p w14:paraId="589A0FC4" w14:textId="77777777" w:rsidR="00AF3834" w:rsidRPr="00C52C4C" w:rsidRDefault="00AF3834" w:rsidP="006A16B9">
      <w:pPr>
        <w:rPr>
          <w:sz w:val="22"/>
          <w:szCs w:val="22"/>
        </w:rPr>
      </w:pPr>
    </w:p>
    <w:p w14:paraId="295BB3B9" w14:textId="77777777" w:rsidR="00AF3834" w:rsidRPr="00C52C4C" w:rsidRDefault="00AF3834" w:rsidP="00AF3834">
      <w:pPr>
        <w:pStyle w:val="Prrafodelista"/>
        <w:autoSpaceDE w:val="0"/>
        <w:autoSpaceDN w:val="0"/>
        <w:adjustRightInd w:val="0"/>
        <w:spacing w:after="0" w:line="240" w:lineRule="auto"/>
        <w:ind w:left="0"/>
        <w:rPr>
          <w:rFonts w:ascii="Times New Roman" w:hAnsi="Times New Roman"/>
          <w:lang w:val="es-ES"/>
        </w:rPr>
      </w:pPr>
      <w:r w:rsidRPr="00C52C4C">
        <w:rPr>
          <w:rFonts w:ascii="Times New Roman" w:hAnsi="Times New Roman"/>
          <w:lang w:val="es-ES_tradnl"/>
        </w:rPr>
        <w:t>El prospecto impreso del medicamento debe especificar el nombre y dirección del fabricante responsable de la liberación del lote en cuestión.</w:t>
      </w:r>
    </w:p>
    <w:p w14:paraId="3E0A9660" w14:textId="77777777" w:rsidR="00AF3834" w:rsidRPr="00C52C4C" w:rsidRDefault="00AF3834" w:rsidP="006A16B9">
      <w:pPr>
        <w:rPr>
          <w:sz w:val="22"/>
          <w:szCs w:val="22"/>
        </w:rPr>
      </w:pPr>
    </w:p>
    <w:p w14:paraId="3737B65E" w14:textId="77777777" w:rsidR="00FE271C" w:rsidRPr="00C52C4C" w:rsidRDefault="00FE271C" w:rsidP="006A16B9">
      <w:pPr>
        <w:rPr>
          <w:sz w:val="22"/>
          <w:szCs w:val="22"/>
        </w:rPr>
      </w:pPr>
    </w:p>
    <w:p w14:paraId="6F5C17A7" w14:textId="77777777" w:rsidR="00D061AA" w:rsidRPr="00C52C4C" w:rsidRDefault="00D061AA" w:rsidP="00AA094E">
      <w:pPr>
        <w:pStyle w:val="13"/>
      </w:pPr>
      <w:r w:rsidRPr="00C52C4C">
        <w:t xml:space="preserve">B. </w:t>
      </w:r>
      <w:r w:rsidR="006A16B9" w:rsidRPr="00C52C4C">
        <w:t xml:space="preserve">     </w:t>
      </w:r>
      <w:r w:rsidRPr="00C52C4C">
        <w:t xml:space="preserve">CONDICIONES O RESTRICCIONES </w:t>
      </w:r>
      <w:smartTag w:uri="urn:schemas-microsoft-com:office:smarttags" w:element="PersonName">
        <w:r w:rsidRPr="00C52C4C">
          <w:t>DE</w:t>
        </w:r>
      </w:smartTag>
      <w:r w:rsidRPr="00C52C4C">
        <w:t xml:space="preserve"> SUMIN</w:t>
      </w:r>
      <w:smartTag w:uri="urn:schemas-microsoft-com:office:smarttags" w:element="PersonName">
        <w:r w:rsidRPr="00C52C4C">
          <w:t>IS</w:t>
        </w:r>
      </w:smartTag>
      <w:r w:rsidRPr="00C52C4C">
        <w:t>T</w:t>
      </w:r>
      <w:smartTag w:uri="urn:schemas-microsoft-com:office:smarttags" w:element="PersonName">
        <w:r w:rsidRPr="00C52C4C">
          <w:t>RO</w:t>
        </w:r>
      </w:smartTag>
      <w:r w:rsidRPr="00C52C4C">
        <w:t xml:space="preserve"> Y USO</w:t>
      </w:r>
    </w:p>
    <w:p w14:paraId="3B0443E6" w14:textId="77777777" w:rsidR="00D061AA" w:rsidRPr="00C52C4C" w:rsidRDefault="00D061AA" w:rsidP="00D061AA">
      <w:pPr>
        <w:numPr>
          <w:ilvl w:val="12"/>
          <w:numId w:val="0"/>
        </w:numPr>
        <w:tabs>
          <w:tab w:val="left" w:pos="567"/>
        </w:tabs>
        <w:rPr>
          <w:sz w:val="22"/>
          <w:szCs w:val="22"/>
          <w:lang w:val="es-ES_tradnl"/>
        </w:rPr>
      </w:pPr>
    </w:p>
    <w:p w14:paraId="2DADAD7E" w14:textId="77777777" w:rsidR="00D061AA" w:rsidRPr="00C52C4C" w:rsidRDefault="00D061AA" w:rsidP="00D061AA">
      <w:pPr>
        <w:numPr>
          <w:ilvl w:val="12"/>
          <w:numId w:val="0"/>
        </w:numPr>
        <w:tabs>
          <w:tab w:val="left" w:pos="567"/>
        </w:tabs>
        <w:rPr>
          <w:sz w:val="22"/>
          <w:szCs w:val="22"/>
        </w:rPr>
      </w:pPr>
      <w:r w:rsidRPr="00C52C4C">
        <w:rPr>
          <w:sz w:val="22"/>
          <w:szCs w:val="22"/>
        </w:rPr>
        <w:t xml:space="preserve">Medicamento sujeto a </w:t>
      </w:r>
      <w:r w:rsidR="00C7218C" w:rsidRPr="00C52C4C">
        <w:rPr>
          <w:sz w:val="22"/>
          <w:szCs w:val="22"/>
        </w:rPr>
        <w:t xml:space="preserve">prescripción </w:t>
      </w:r>
      <w:r w:rsidRPr="00C52C4C">
        <w:rPr>
          <w:sz w:val="22"/>
          <w:szCs w:val="22"/>
        </w:rPr>
        <w:t>médica.</w:t>
      </w:r>
    </w:p>
    <w:p w14:paraId="7AE57391" w14:textId="77777777" w:rsidR="00D061AA" w:rsidRPr="00C52C4C" w:rsidRDefault="00D061AA" w:rsidP="00D061AA">
      <w:pPr>
        <w:numPr>
          <w:ilvl w:val="12"/>
          <w:numId w:val="0"/>
        </w:numPr>
        <w:tabs>
          <w:tab w:val="left" w:pos="567"/>
        </w:tabs>
        <w:rPr>
          <w:sz w:val="22"/>
          <w:szCs w:val="22"/>
        </w:rPr>
      </w:pPr>
    </w:p>
    <w:p w14:paraId="4F8F75BD" w14:textId="77777777" w:rsidR="006235A5" w:rsidRPr="00C52C4C" w:rsidRDefault="006235A5" w:rsidP="00D061AA">
      <w:pPr>
        <w:numPr>
          <w:ilvl w:val="12"/>
          <w:numId w:val="0"/>
        </w:numPr>
        <w:tabs>
          <w:tab w:val="left" w:pos="567"/>
        </w:tabs>
        <w:rPr>
          <w:sz w:val="22"/>
          <w:szCs w:val="22"/>
        </w:rPr>
      </w:pPr>
    </w:p>
    <w:p w14:paraId="4DA4BB6F" w14:textId="77777777" w:rsidR="00D061AA" w:rsidRPr="00C52C4C" w:rsidRDefault="00D061AA" w:rsidP="00AA094E">
      <w:pPr>
        <w:pStyle w:val="14"/>
      </w:pPr>
      <w:r w:rsidRPr="00C52C4C">
        <w:t>C.</w:t>
      </w:r>
      <w:r w:rsidRPr="00C52C4C">
        <w:tab/>
        <w:t>OTRAS CONDICIONES Y REQU</w:t>
      </w:r>
      <w:smartTag w:uri="urn:schemas-microsoft-com:office:smarttags" w:element="PersonName">
        <w:r w:rsidRPr="00C52C4C">
          <w:t>I</w:t>
        </w:r>
        <w:smartTag w:uri="urn:schemas-microsoft-com:office:smarttags" w:element="PersonName">
          <w:r w:rsidRPr="00C52C4C">
            <w:t>S</w:t>
          </w:r>
        </w:smartTag>
      </w:smartTag>
      <w:smartTag w:uri="urn:schemas-microsoft-com:office:smarttags" w:element="PersonName">
        <w:r w:rsidRPr="00C52C4C">
          <w:t>IT</w:t>
        </w:r>
      </w:smartTag>
      <w:r w:rsidRPr="00C52C4C">
        <w:t xml:space="preserve">OS </w:t>
      </w:r>
      <w:smartTag w:uri="urn:schemas-microsoft-com:office:smarttags" w:element="PersonName">
        <w:r w:rsidRPr="00C52C4C">
          <w:t>DE</w:t>
        </w:r>
      </w:smartTag>
      <w:r w:rsidRPr="00C52C4C">
        <w:t xml:space="preserve"> </w:t>
      </w:r>
      <w:smartTag w:uri="urn:schemas-microsoft-com:office:smarttags" w:element="PersonName">
        <w:smartTagPr>
          <w:attr w:name="ProductID" w:val="LA AUTORIZACIￓN DE"/>
        </w:smartTagPr>
        <w:r w:rsidRPr="00C52C4C">
          <w:t xml:space="preserve">LA AUTORIZACIÓN </w:t>
        </w:r>
        <w:smartTag w:uri="urn:schemas-microsoft-com:office:smarttags" w:element="PersonName">
          <w:r w:rsidRPr="00C52C4C">
            <w:t>DE</w:t>
          </w:r>
        </w:smartTag>
      </w:smartTag>
      <w:r w:rsidRPr="00C52C4C">
        <w:t xml:space="preserve"> COMERCIALIZACIÓN</w:t>
      </w:r>
    </w:p>
    <w:p w14:paraId="43B7811E" w14:textId="77777777" w:rsidR="00D061AA" w:rsidRPr="00C52C4C" w:rsidRDefault="00D061AA" w:rsidP="00D061AA">
      <w:pPr>
        <w:tabs>
          <w:tab w:val="left" w:pos="567"/>
        </w:tabs>
        <w:ind w:right="-1"/>
        <w:rPr>
          <w:sz w:val="22"/>
          <w:szCs w:val="22"/>
          <w:u w:val="single"/>
        </w:rPr>
      </w:pPr>
    </w:p>
    <w:p w14:paraId="71E13609" w14:textId="77777777" w:rsidR="00A37A22" w:rsidRPr="00C52C4C" w:rsidRDefault="00A37A22" w:rsidP="00A37A22">
      <w:pPr>
        <w:numPr>
          <w:ilvl w:val="0"/>
          <w:numId w:val="20"/>
        </w:numPr>
        <w:tabs>
          <w:tab w:val="left" w:pos="567"/>
        </w:tabs>
        <w:ind w:right="-1"/>
        <w:rPr>
          <w:b/>
          <w:sz w:val="22"/>
          <w:szCs w:val="22"/>
          <w:lang w:val="es-ES_tradnl"/>
        </w:rPr>
      </w:pPr>
      <w:r w:rsidRPr="00C52C4C">
        <w:rPr>
          <w:b/>
          <w:sz w:val="22"/>
          <w:szCs w:val="22"/>
          <w:lang w:val="es-ES_tradnl"/>
        </w:rPr>
        <w:t>Informes periódicos de seguridad (IPS)</w:t>
      </w:r>
    </w:p>
    <w:p w14:paraId="67E2E4D0" w14:textId="77777777" w:rsidR="00A37A22" w:rsidRPr="00C52C4C" w:rsidRDefault="00A37A22" w:rsidP="00A37A22">
      <w:pPr>
        <w:tabs>
          <w:tab w:val="left" w:pos="567"/>
        </w:tabs>
        <w:ind w:right="-1"/>
        <w:rPr>
          <w:sz w:val="22"/>
          <w:szCs w:val="22"/>
          <w:u w:val="single"/>
        </w:rPr>
      </w:pPr>
    </w:p>
    <w:p w14:paraId="0670EEFC" w14:textId="77777777" w:rsidR="002B4A0B" w:rsidRPr="00C52C4C" w:rsidRDefault="00AD379C" w:rsidP="00A37A22">
      <w:pPr>
        <w:tabs>
          <w:tab w:val="left" w:pos="567"/>
        </w:tabs>
        <w:ind w:right="-1"/>
        <w:rPr>
          <w:sz w:val="22"/>
          <w:szCs w:val="22"/>
        </w:rPr>
      </w:pPr>
      <w:r w:rsidRPr="00AD379C">
        <w:rPr>
          <w:sz w:val="22"/>
          <w:szCs w:val="22"/>
          <w:lang w:val="es-ES_tradnl"/>
        </w:rPr>
        <w:t xml:space="preserve">Los requerimientos para la presentación de los </w:t>
      </w:r>
      <w:r w:rsidR="007541C7">
        <w:rPr>
          <w:sz w:val="22"/>
          <w:szCs w:val="22"/>
          <w:lang w:val="es-ES_tradnl"/>
        </w:rPr>
        <w:t>IPSs</w:t>
      </w:r>
      <w:r w:rsidRPr="00AD379C">
        <w:rPr>
          <w:sz w:val="22"/>
          <w:szCs w:val="22"/>
          <w:lang w:val="es-ES_tradnl"/>
        </w:rPr>
        <w:t xml:space="preserve"> para este medicamento se establecen en la lista de fechas de referencia de la Unión (lista EURD) prevista en el artículo 107quater, apartado 7, de la Directiva 2001/83/CE y publicada en el portal web europeo sobre medicamentos.</w:t>
      </w:r>
    </w:p>
    <w:p w14:paraId="358CF0D8" w14:textId="77777777" w:rsidR="002B4A0B" w:rsidRPr="00C52C4C" w:rsidRDefault="002B4A0B" w:rsidP="00D061AA">
      <w:pPr>
        <w:tabs>
          <w:tab w:val="left" w:pos="567"/>
        </w:tabs>
        <w:ind w:right="-1"/>
        <w:rPr>
          <w:sz w:val="22"/>
          <w:szCs w:val="22"/>
        </w:rPr>
      </w:pPr>
    </w:p>
    <w:p w14:paraId="7B006A41" w14:textId="77777777" w:rsidR="002B4A0B" w:rsidRPr="00C52C4C" w:rsidRDefault="002B4A0B" w:rsidP="00D061AA">
      <w:pPr>
        <w:tabs>
          <w:tab w:val="left" w:pos="567"/>
        </w:tabs>
        <w:ind w:right="-1"/>
        <w:rPr>
          <w:sz w:val="22"/>
          <w:szCs w:val="22"/>
        </w:rPr>
      </w:pPr>
    </w:p>
    <w:p w14:paraId="59F92D02" w14:textId="77777777" w:rsidR="00D061AA" w:rsidRDefault="002B4A0B" w:rsidP="00AA094E">
      <w:pPr>
        <w:pStyle w:val="15"/>
      </w:pPr>
      <w:r w:rsidRPr="00C52C4C">
        <w:t xml:space="preserve">D. </w:t>
      </w:r>
      <w:r w:rsidRPr="00C52C4C">
        <w:tab/>
      </w:r>
      <w:r w:rsidR="00D061AA" w:rsidRPr="00C52C4C">
        <w:t>CONDICIONES O RESTRICCIONES EN R</w:t>
      </w:r>
      <w:smartTag w:uri="urn:schemas-microsoft-com:office:smarttags" w:element="PersonName">
        <w:r w:rsidR="00D061AA" w:rsidRPr="00C52C4C">
          <w:t>EL</w:t>
        </w:r>
      </w:smartTag>
      <w:r w:rsidR="00D061AA" w:rsidRPr="00C52C4C">
        <w:t xml:space="preserve">ACIÓN CON LA UTILIZACIÓN </w:t>
      </w:r>
      <w:r w:rsidR="006A16B9" w:rsidRPr="00C52C4C">
        <w:t xml:space="preserve">  </w:t>
      </w:r>
      <w:r w:rsidR="00D061AA" w:rsidRPr="00C52C4C">
        <w:t>SEGURA Y E</w:t>
      </w:r>
      <w:smartTag w:uri="urn:schemas-microsoft-com:office:smarttags" w:element="PersonName">
        <w:r w:rsidR="00D061AA" w:rsidRPr="00C52C4C">
          <w:t>FI</w:t>
        </w:r>
      </w:smartTag>
      <w:r w:rsidR="00D061AA" w:rsidRPr="00C52C4C">
        <w:t xml:space="preserve">CAZ </w:t>
      </w:r>
      <w:smartTag w:uri="urn:schemas-microsoft-com:office:smarttags" w:element="PersonName">
        <w:r w:rsidR="00D061AA" w:rsidRPr="00C52C4C">
          <w:t>D</w:t>
        </w:r>
        <w:smartTag w:uri="urn:schemas-microsoft-com:office:smarttags" w:element="PersonName">
          <w:r w:rsidR="00D061AA" w:rsidRPr="00C52C4C">
            <w:t>E</w:t>
          </w:r>
        </w:smartTag>
      </w:smartTag>
      <w:r w:rsidR="00D061AA" w:rsidRPr="00C52C4C">
        <w:t>L MEDICAMENTO</w:t>
      </w:r>
    </w:p>
    <w:p w14:paraId="4740870F" w14:textId="77777777" w:rsidR="00C3524C" w:rsidRPr="00C52C4C" w:rsidRDefault="00C3524C" w:rsidP="00C3524C">
      <w:pPr>
        <w:pStyle w:val="15"/>
        <w:tabs>
          <w:tab w:val="clear" w:pos="567"/>
        </w:tabs>
      </w:pPr>
    </w:p>
    <w:p w14:paraId="118A226B" w14:textId="77777777" w:rsidR="00535F0C" w:rsidRPr="00F65F25" w:rsidRDefault="00535F0C" w:rsidP="00535F0C">
      <w:pPr>
        <w:numPr>
          <w:ilvl w:val="0"/>
          <w:numId w:val="13"/>
        </w:numPr>
        <w:tabs>
          <w:tab w:val="left" w:pos="567"/>
        </w:tabs>
        <w:ind w:right="-1"/>
        <w:rPr>
          <w:b/>
          <w:sz w:val="22"/>
          <w:szCs w:val="22"/>
        </w:rPr>
      </w:pPr>
      <w:r w:rsidRPr="00F65F25">
        <w:rPr>
          <w:b/>
          <w:sz w:val="22"/>
          <w:szCs w:val="22"/>
        </w:rPr>
        <w:t>Plan de gestión de riesgos (PGR)</w:t>
      </w:r>
    </w:p>
    <w:p w14:paraId="7B571FC9" w14:textId="77777777" w:rsidR="00D061AA" w:rsidRPr="00C52C4C" w:rsidRDefault="00D061AA" w:rsidP="00D061AA">
      <w:pPr>
        <w:tabs>
          <w:tab w:val="left" w:pos="567"/>
        </w:tabs>
        <w:ind w:right="-1"/>
        <w:rPr>
          <w:sz w:val="22"/>
          <w:szCs w:val="22"/>
        </w:rPr>
      </w:pPr>
    </w:p>
    <w:p w14:paraId="586B55B5" w14:textId="77777777" w:rsidR="00AD379C" w:rsidRPr="00AD379C" w:rsidRDefault="00AD379C" w:rsidP="00AD379C">
      <w:pPr>
        <w:tabs>
          <w:tab w:val="left" w:pos="567"/>
        </w:tabs>
        <w:rPr>
          <w:sz w:val="22"/>
          <w:szCs w:val="22"/>
          <w:lang w:val="pt-PT"/>
        </w:rPr>
      </w:pPr>
      <w:r w:rsidRPr="00AD379C">
        <w:rPr>
          <w:sz w:val="22"/>
          <w:szCs w:val="22"/>
          <w:lang w:val="pt-PT"/>
        </w:rPr>
        <w:t xml:space="preserve">El </w:t>
      </w:r>
      <w:r w:rsidR="007541C7" w:rsidRPr="007541C7">
        <w:rPr>
          <w:sz w:val="22"/>
          <w:szCs w:val="22"/>
          <w:lang w:val="pt-PT"/>
        </w:rPr>
        <w:t>titular de la autorización de comercialización</w:t>
      </w:r>
      <w:r w:rsidR="007541C7">
        <w:rPr>
          <w:sz w:val="22"/>
          <w:szCs w:val="22"/>
          <w:lang w:val="pt-PT"/>
        </w:rPr>
        <w:t xml:space="preserve"> (</w:t>
      </w:r>
      <w:r w:rsidRPr="00AD379C">
        <w:rPr>
          <w:sz w:val="22"/>
          <w:szCs w:val="22"/>
          <w:lang w:val="pt-PT"/>
        </w:rPr>
        <w:t>TAC</w:t>
      </w:r>
      <w:r w:rsidR="007541C7">
        <w:rPr>
          <w:sz w:val="22"/>
          <w:szCs w:val="22"/>
          <w:lang w:val="pt-PT"/>
        </w:rPr>
        <w:t>)</w:t>
      </w:r>
      <w:r w:rsidRPr="00AD379C">
        <w:rPr>
          <w:sz w:val="22"/>
          <w:szCs w:val="22"/>
          <w:lang w:val="pt-PT"/>
        </w:rPr>
        <w:t xml:space="preserve"> realizará las actividades e intervenciones de farmacovigilancia necesarias según lo acordado en la versión del PGR incluido en el Módulo 1.8.2. de la </w:t>
      </w:r>
      <w:r w:rsidR="00D21953">
        <w:rPr>
          <w:sz w:val="22"/>
          <w:szCs w:val="22"/>
          <w:lang w:val="pt-PT"/>
        </w:rPr>
        <w:t>a</w:t>
      </w:r>
      <w:r w:rsidR="00D21953" w:rsidRPr="00AD379C">
        <w:rPr>
          <w:sz w:val="22"/>
          <w:szCs w:val="22"/>
          <w:lang w:val="pt-PT"/>
        </w:rPr>
        <w:t xml:space="preserve">utorización </w:t>
      </w:r>
      <w:r w:rsidRPr="00AD379C">
        <w:rPr>
          <w:sz w:val="22"/>
          <w:szCs w:val="22"/>
          <w:lang w:val="pt-PT"/>
        </w:rPr>
        <w:t xml:space="preserve">de </w:t>
      </w:r>
      <w:r w:rsidR="00D21953">
        <w:rPr>
          <w:sz w:val="22"/>
          <w:szCs w:val="22"/>
          <w:lang w:val="pt-PT"/>
        </w:rPr>
        <w:t>c</w:t>
      </w:r>
      <w:r w:rsidR="00D21953" w:rsidRPr="00AD379C">
        <w:rPr>
          <w:sz w:val="22"/>
          <w:szCs w:val="22"/>
          <w:lang w:val="pt-PT"/>
        </w:rPr>
        <w:t xml:space="preserve">omercialización </w:t>
      </w:r>
      <w:r w:rsidRPr="00AD379C">
        <w:rPr>
          <w:sz w:val="22"/>
          <w:szCs w:val="22"/>
          <w:lang w:val="pt-PT"/>
        </w:rPr>
        <w:t>y en cualquier actualización del PGR que se acuerde posteriormente.</w:t>
      </w:r>
    </w:p>
    <w:p w14:paraId="28C3EBFA" w14:textId="77777777" w:rsidR="00AD379C" w:rsidRPr="00AD379C" w:rsidRDefault="00AD379C" w:rsidP="00AD379C">
      <w:pPr>
        <w:tabs>
          <w:tab w:val="left" w:pos="0"/>
        </w:tabs>
        <w:ind w:right="567"/>
        <w:rPr>
          <w:sz w:val="22"/>
          <w:lang w:val="pt-PT"/>
        </w:rPr>
      </w:pPr>
    </w:p>
    <w:p w14:paraId="7F40ACE2" w14:textId="77777777" w:rsidR="00AD379C" w:rsidRPr="00AD379C" w:rsidRDefault="00AD379C" w:rsidP="00AD379C">
      <w:pPr>
        <w:ind w:right="-1"/>
        <w:rPr>
          <w:sz w:val="22"/>
          <w:szCs w:val="22"/>
          <w:lang w:val="es-ES_tradnl"/>
        </w:rPr>
      </w:pPr>
      <w:r w:rsidRPr="00AD379C">
        <w:rPr>
          <w:sz w:val="22"/>
          <w:szCs w:val="22"/>
          <w:lang w:val="es-ES_tradnl"/>
        </w:rPr>
        <w:t>Se debe presentar un PGR actualizado:</w:t>
      </w:r>
    </w:p>
    <w:p w14:paraId="6F355CD9" w14:textId="77777777" w:rsidR="00AD379C" w:rsidRPr="00AD379C" w:rsidRDefault="00AD379C" w:rsidP="00AD379C">
      <w:pPr>
        <w:numPr>
          <w:ilvl w:val="0"/>
          <w:numId w:val="21"/>
        </w:numPr>
        <w:tabs>
          <w:tab w:val="num" w:pos="567"/>
        </w:tabs>
        <w:ind w:left="567" w:right="-1" w:hanging="567"/>
        <w:rPr>
          <w:sz w:val="22"/>
          <w:szCs w:val="22"/>
          <w:lang w:val="es-ES_tradnl"/>
        </w:rPr>
      </w:pPr>
      <w:r w:rsidRPr="00AD379C">
        <w:rPr>
          <w:sz w:val="22"/>
          <w:szCs w:val="22"/>
          <w:lang w:val="es-ES_tradnl"/>
        </w:rPr>
        <w:t>A petición de la Agencia Europea de Medicamentos.</w:t>
      </w:r>
    </w:p>
    <w:p w14:paraId="6D37EFAF" w14:textId="77777777" w:rsidR="00AD379C" w:rsidRPr="00AD379C" w:rsidRDefault="00AD379C" w:rsidP="00AD379C">
      <w:pPr>
        <w:numPr>
          <w:ilvl w:val="0"/>
          <w:numId w:val="21"/>
        </w:numPr>
        <w:tabs>
          <w:tab w:val="num" w:pos="540"/>
          <w:tab w:val="num" w:pos="567"/>
        </w:tabs>
        <w:ind w:left="567" w:right="-1" w:hanging="567"/>
        <w:rPr>
          <w:i/>
          <w:sz w:val="22"/>
          <w:szCs w:val="22"/>
          <w:lang w:val="es-ES_tradnl"/>
        </w:rPr>
      </w:pPr>
      <w:r w:rsidRPr="00AD379C">
        <w:rPr>
          <w:sz w:val="22"/>
          <w:szCs w:val="22"/>
          <w:lang w:val="es-ES_tradnl"/>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r w:rsidRPr="00AD379C">
        <w:rPr>
          <w:i/>
          <w:sz w:val="22"/>
          <w:szCs w:val="22"/>
          <w:lang w:val="es-ES_tradnl"/>
        </w:rPr>
        <w:t>.</w:t>
      </w:r>
    </w:p>
    <w:p w14:paraId="15F2FA59" w14:textId="77777777" w:rsidR="00AD379C" w:rsidRPr="00AD379C" w:rsidRDefault="00AD379C" w:rsidP="00AD379C">
      <w:pPr>
        <w:ind w:right="-1"/>
        <w:rPr>
          <w:i/>
          <w:sz w:val="22"/>
          <w:szCs w:val="22"/>
          <w:lang w:val="es-ES_tradnl"/>
        </w:rPr>
      </w:pPr>
    </w:p>
    <w:p w14:paraId="257ADFDB" w14:textId="77777777" w:rsidR="00AD379C" w:rsidRPr="00AD379C" w:rsidRDefault="00AD379C" w:rsidP="00AD379C">
      <w:pPr>
        <w:keepNext/>
        <w:numPr>
          <w:ilvl w:val="0"/>
          <w:numId w:val="20"/>
        </w:numPr>
        <w:tabs>
          <w:tab w:val="left" w:pos="567"/>
        </w:tabs>
        <w:ind w:right="-1" w:hanging="720"/>
        <w:rPr>
          <w:i/>
          <w:noProof/>
          <w:sz w:val="22"/>
          <w:szCs w:val="22"/>
        </w:rPr>
      </w:pPr>
      <w:r w:rsidRPr="00AD379C">
        <w:rPr>
          <w:b/>
          <w:sz w:val="22"/>
          <w:szCs w:val="22"/>
        </w:rPr>
        <w:lastRenderedPageBreak/>
        <w:t>Medidas adicionales de minimización de riesgos</w:t>
      </w:r>
    </w:p>
    <w:p w14:paraId="75EA9EE2" w14:textId="77777777" w:rsidR="00AD379C" w:rsidRPr="00AD379C" w:rsidRDefault="00AD379C" w:rsidP="00AD379C">
      <w:pPr>
        <w:keepNext/>
        <w:ind w:right="-1"/>
        <w:rPr>
          <w:i/>
          <w:noProof/>
          <w:sz w:val="22"/>
          <w:szCs w:val="22"/>
        </w:rPr>
      </w:pPr>
    </w:p>
    <w:p w14:paraId="3E1085E5" w14:textId="77777777" w:rsidR="00AD379C" w:rsidRPr="00AD379C" w:rsidRDefault="00AD379C" w:rsidP="00AD379C">
      <w:pPr>
        <w:tabs>
          <w:tab w:val="left" w:pos="720"/>
        </w:tabs>
        <w:autoSpaceDE w:val="0"/>
        <w:autoSpaceDN w:val="0"/>
        <w:rPr>
          <w:rFonts w:eastAsia="Calibri"/>
          <w:sz w:val="22"/>
          <w:lang w:eastAsia="en-US"/>
        </w:rPr>
      </w:pPr>
    </w:p>
    <w:p w14:paraId="1AED7417" w14:textId="77777777" w:rsidR="00AD379C" w:rsidRPr="00AD379C" w:rsidRDefault="00AD379C" w:rsidP="00AD379C">
      <w:pPr>
        <w:numPr>
          <w:ilvl w:val="0"/>
          <w:numId w:val="22"/>
        </w:numPr>
        <w:tabs>
          <w:tab w:val="left" w:pos="720"/>
        </w:tabs>
        <w:autoSpaceDE w:val="0"/>
        <w:autoSpaceDN w:val="0"/>
        <w:rPr>
          <w:rFonts w:eastAsia="Calibri"/>
          <w:sz w:val="22"/>
          <w:lang w:eastAsia="en-GB"/>
        </w:rPr>
      </w:pPr>
      <w:r w:rsidRPr="00AD379C">
        <w:rPr>
          <w:rFonts w:eastAsia="Calibri"/>
          <w:sz w:val="22"/>
          <w:szCs w:val="22"/>
          <w:lang w:eastAsia="en-US"/>
        </w:rPr>
        <w:t>Tarjeta de información para el paciente</w:t>
      </w:r>
      <w:r w:rsidRPr="00AD379C">
        <w:rPr>
          <w:rFonts w:eastAsia="Calibri"/>
          <w:sz w:val="22"/>
          <w:lang w:eastAsia="en-US"/>
        </w:rPr>
        <w:t xml:space="preserve"> para la fototoxicidad y el CCE:</w:t>
      </w:r>
    </w:p>
    <w:p w14:paraId="228B5E4A" w14:textId="44CE4529" w:rsidR="00AD379C" w:rsidRPr="00AD379C" w:rsidRDefault="00AD379C" w:rsidP="00AD379C">
      <w:pPr>
        <w:numPr>
          <w:ilvl w:val="0"/>
          <w:numId w:val="25"/>
        </w:numPr>
        <w:autoSpaceDE w:val="0"/>
        <w:autoSpaceDN w:val="0"/>
        <w:rPr>
          <w:rFonts w:eastAsia="Calibri"/>
          <w:sz w:val="22"/>
          <w:szCs w:val="20"/>
          <w:lang w:val="es-ES_tradnl" w:eastAsia="en-US"/>
        </w:rPr>
      </w:pPr>
      <w:r w:rsidRPr="00AD379C">
        <w:rPr>
          <w:rFonts w:eastAsia="Calibri"/>
          <w:sz w:val="22"/>
          <w:szCs w:val="22"/>
          <w:lang w:eastAsia="en-US"/>
        </w:rPr>
        <w:t xml:space="preserve">Recuerda a los pacientes el riesgo de </w:t>
      </w:r>
      <w:r w:rsidRPr="00AD379C">
        <w:rPr>
          <w:rFonts w:eastAsia="Calibri"/>
          <w:sz w:val="22"/>
          <w:lang w:eastAsia="en-US"/>
        </w:rPr>
        <w:t>fototoxicidad y de CCE cutáneo</w:t>
      </w:r>
      <w:r w:rsidR="00356EE5" w:rsidRPr="00356EE5">
        <w:t xml:space="preserve"> </w:t>
      </w:r>
      <w:r w:rsidR="00356EE5" w:rsidRPr="00356EE5">
        <w:rPr>
          <w:rFonts w:eastAsia="Calibri"/>
          <w:sz w:val="22"/>
          <w:lang w:eastAsia="en-US"/>
        </w:rPr>
        <w:t>durante el tratamiento con voriconazol</w:t>
      </w:r>
      <w:r w:rsidRPr="00AD379C">
        <w:rPr>
          <w:rFonts w:eastAsia="Calibri"/>
          <w:sz w:val="22"/>
          <w:szCs w:val="22"/>
          <w:lang w:eastAsia="en-US"/>
        </w:rPr>
        <w:t>.</w:t>
      </w:r>
    </w:p>
    <w:p w14:paraId="57ACFEBE" w14:textId="77777777" w:rsidR="00AD379C" w:rsidRPr="00AD379C" w:rsidRDefault="00AD379C" w:rsidP="00AD379C">
      <w:pPr>
        <w:numPr>
          <w:ilvl w:val="0"/>
          <w:numId w:val="25"/>
        </w:numPr>
        <w:autoSpaceDE w:val="0"/>
        <w:autoSpaceDN w:val="0"/>
        <w:rPr>
          <w:rFonts w:eastAsia="Calibri"/>
          <w:sz w:val="22"/>
          <w:szCs w:val="22"/>
          <w:lang w:eastAsia="en-US"/>
        </w:rPr>
      </w:pPr>
      <w:r w:rsidRPr="00AD379C">
        <w:rPr>
          <w:rFonts w:eastAsia="Calibri"/>
          <w:sz w:val="22"/>
          <w:szCs w:val="22"/>
          <w:lang w:eastAsia="en-US"/>
        </w:rPr>
        <w:t>Recuerda a los pacientes cómo y cuándo deben notificar signos y síntomas relevantes de fototoxicidad y cáncer de piel.</w:t>
      </w:r>
    </w:p>
    <w:p w14:paraId="22B5B244" w14:textId="55A5CBF9" w:rsidR="002B4A0B" w:rsidRPr="00C52C4C" w:rsidRDefault="00AD379C" w:rsidP="00AD379C">
      <w:pPr>
        <w:numPr>
          <w:ilvl w:val="0"/>
          <w:numId w:val="25"/>
        </w:numPr>
        <w:tabs>
          <w:tab w:val="left" w:pos="567"/>
        </w:tabs>
        <w:ind w:right="-1"/>
        <w:rPr>
          <w:sz w:val="22"/>
          <w:szCs w:val="22"/>
        </w:rPr>
      </w:pPr>
      <w:r w:rsidRPr="00AD379C">
        <w:rPr>
          <w:sz w:val="22"/>
          <w:szCs w:val="22"/>
        </w:rPr>
        <w:t xml:space="preserve">Recuerda a los pacientes que tomen medidas para minimizar el riesgo de reacciones cutáneas y CCE cutáneo (evitando la exposición a la luz solar directa, utilizando un filtro solar y ropa de protección) </w:t>
      </w:r>
      <w:r w:rsidR="00356EE5" w:rsidRPr="00356EE5">
        <w:rPr>
          <w:rFonts w:eastAsia="Calibri"/>
          <w:sz w:val="22"/>
          <w:lang w:eastAsia="en-US"/>
        </w:rPr>
        <w:t>durante el tratamiento con voriconazol</w:t>
      </w:r>
      <w:r w:rsidR="00356EE5" w:rsidRPr="00AD379C">
        <w:rPr>
          <w:sz w:val="22"/>
          <w:szCs w:val="22"/>
        </w:rPr>
        <w:t xml:space="preserve"> </w:t>
      </w:r>
      <w:r w:rsidRPr="00AD379C">
        <w:rPr>
          <w:sz w:val="22"/>
          <w:szCs w:val="22"/>
        </w:rPr>
        <w:t>e informa a los profesionales sanitarios en el caso de que sufran anomalías cutáneas de interés.</w:t>
      </w:r>
    </w:p>
    <w:p w14:paraId="2F849C1E" w14:textId="77777777" w:rsidR="00F65F25" w:rsidRDefault="00C3524C" w:rsidP="00F65F25">
      <w:pPr>
        <w:widowControl w:val="0"/>
        <w:autoSpaceDE w:val="0"/>
        <w:autoSpaceDN w:val="0"/>
        <w:adjustRightInd w:val="0"/>
        <w:spacing w:after="200" w:line="276" w:lineRule="auto"/>
        <w:ind w:left="127" w:right="120"/>
        <w:jc w:val="center"/>
        <w:rPr>
          <w:sz w:val="22"/>
          <w:szCs w:val="22"/>
        </w:rPr>
      </w:pPr>
      <w:r>
        <w:rPr>
          <w:sz w:val="22"/>
          <w:szCs w:val="22"/>
        </w:rPr>
        <w:br w:type="page"/>
      </w:r>
    </w:p>
    <w:p w14:paraId="0D65F455" w14:textId="77777777" w:rsidR="00F65F25" w:rsidRDefault="00F65F25" w:rsidP="00F65F25">
      <w:pPr>
        <w:widowControl w:val="0"/>
        <w:autoSpaceDE w:val="0"/>
        <w:autoSpaceDN w:val="0"/>
        <w:adjustRightInd w:val="0"/>
        <w:spacing w:line="276" w:lineRule="auto"/>
        <w:ind w:left="127" w:right="120"/>
        <w:jc w:val="center"/>
        <w:rPr>
          <w:b/>
          <w:sz w:val="22"/>
          <w:szCs w:val="22"/>
        </w:rPr>
      </w:pPr>
    </w:p>
    <w:p w14:paraId="1B5B14A8" w14:textId="77777777" w:rsidR="00F65F25" w:rsidRDefault="00F65F25" w:rsidP="00F65F25">
      <w:pPr>
        <w:widowControl w:val="0"/>
        <w:autoSpaceDE w:val="0"/>
        <w:autoSpaceDN w:val="0"/>
        <w:adjustRightInd w:val="0"/>
        <w:spacing w:line="276" w:lineRule="auto"/>
        <w:ind w:left="127" w:right="120"/>
        <w:jc w:val="center"/>
        <w:rPr>
          <w:b/>
          <w:sz w:val="22"/>
          <w:szCs w:val="22"/>
        </w:rPr>
      </w:pPr>
    </w:p>
    <w:p w14:paraId="10343837" w14:textId="77777777" w:rsidR="00F65F25" w:rsidRDefault="00F65F25" w:rsidP="00F65F25">
      <w:pPr>
        <w:widowControl w:val="0"/>
        <w:autoSpaceDE w:val="0"/>
        <w:autoSpaceDN w:val="0"/>
        <w:adjustRightInd w:val="0"/>
        <w:spacing w:line="276" w:lineRule="auto"/>
        <w:ind w:left="127" w:right="120"/>
        <w:jc w:val="center"/>
        <w:rPr>
          <w:b/>
          <w:sz w:val="22"/>
          <w:szCs w:val="22"/>
        </w:rPr>
      </w:pPr>
    </w:p>
    <w:p w14:paraId="3E5D5EE3" w14:textId="77777777" w:rsidR="00F65F25" w:rsidRDefault="00F65F25" w:rsidP="00F65F25">
      <w:pPr>
        <w:widowControl w:val="0"/>
        <w:autoSpaceDE w:val="0"/>
        <w:autoSpaceDN w:val="0"/>
        <w:adjustRightInd w:val="0"/>
        <w:spacing w:line="276" w:lineRule="auto"/>
        <w:ind w:left="127" w:right="120"/>
        <w:jc w:val="center"/>
        <w:rPr>
          <w:b/>
          <w:sz w:val="22"/>
          <w:szCs w:val="22"/>
        </w:rPr>
      </w:pPr>
    </w:p>
    <w:p w14:paraId="1F0DFA31" w14:textId="77777777" w:rsidR="00F65F25" w:rsidRDefault="00F65F25" w:rsidP="00F65F25">
      <w:pPr>
        <w:widowControl w:val="0"/>
        <w:autoSpaceDE w:val="0"/>
        <w:autoSpaceDN w:val="0"/>
        <w:adjustRightInd w:val="0"/>
        <w:spacing w:line="276" w:lineRule="auto"/>
        <w:ind w:left="127" w:right="120"/>
        <w:jc w:val="center"/>
        <w:rPr>
          <w:b/>
          <w:sz w:val="22"/>
          <w:szCs w:val="22"/>
        </w:rPr>
      </w:pPr>
    </w:p>
    <w:p w14:paraId="7643E777" w14:textId="77777777" w:rsidR="00F65F25" w:rsidRDefault="00F65F25" w:rsidP="00F65F25">
      <w:pPr>
        <w:widowControl w:val="0"/>
        <w:autoSpaceDE w:val="0"/>
        <w:autoSpaceDN w:val="0"/>
        <w:adjustRightInd w:val="0"/>
        <w:spacing w:line="276" w:lineRule="auto"/>
        <w:ind w:left="127" w:right="120"/>
        <w:jc w:val="center"/>
        <w:rPr>
          <w:b/>
          <w:sz w:val="22"/>
          <w:szCs w:val="22"/>
        </w:rPr>
      </w:pPr>
    </w:p>
    <w:p w14:paraId="2613ACE1" w14:textId="77777777" w:rsidR="00F65F25" w:rsidRDefault="00F65F25" w:rsidP="00F65F25">
      <w:pPr>
        <w:widowControl w:val="0"/>
        <w:autoSpaceDE w:val="0"/>
        <w:autoSpaceDN w:val="0"/>
        <w:adjustRightInd w:val="0"/>
        <w:spacing w:line="276" w:lineRule="auto"/>
        <w:ind w:left="127" w:right="120"/>
        <w:jc w:val="center"/>
        <w:rPr>
          <w:b/>
          <w:sz w:val="22"/>
          <w:szCs w:val="22"/>
        </w:rPr>
      </w:pPr>
    </w:p>
    <w:p w14:paraId="5BDBF5E6" w14:textId="77777777" w:rsidR="00F65F25" w:rsidRDefault="00F65F25" w:rsidP="00F65F25">
      <w:pPr>
        <w:widowControl w:val="0"/>
        <w:autoSpaceDE w:val="0"/>
        <w:autoSpaceDN w:val="0"/>
        <w:adjustRightInd w:val="0"/>
        <w:spacing w:line="276" w:lineRule="auto"/>
        <w:ind w:left="127" w:right="120"/>
        <w:jc w:val="center"/>
        <w:rPr>
          <w:b/>
          <w:sz w:val="22"/>
          <w:szCs w:val="22"/>
        </w:rPr>
      </w:pPr>
    </w:p>
    <w:p w14:paraId="2075614F" w14:textId="77777777" w:rsidR="00F65F25" w:rsidRDefault="00F65F25" w:rsidP="00F65F25">
      <w:pPr>
        <w:widowControl w:val="0"/>
        <w:autoSpaceDE w:val="0"/>
        <w:autoSpaceDN w:val="0"/>
        <w:adjustRightInd w:val="0"/>
        <w:spacing w:line="276" w:lineRule="auto"/>
        <w:ind w:left="127" w:right="120"/>
        <w:jc w:val="center"/>
        <w:rPr>
          <w:b/>
          <w:sz w:val="22"/>
          <w:szCs w:val="22"/>
        </w:rPr>
      </w:pPr>
    </w:p>
    <w:p w14:paraId="5222C4A0" w14:textId="77777777" w:rsidR="00F65F25" w:rsidRDefault="00F65F25" w:rsidP="00F65F25">
      <w:pPr>
        <w:widowControl w:val="0"/>
        <w:autoSpaceDE w:val="0"/>
        <w:autoSpaceDN w:val="0"/>
        <w:adjustRightInd w:val="0"/>
        <w:spacing w:line="276" w:lineRule="auto"/>
        <w:ind w:left="127" w:right="120"/>
        <w:jc w:val="center"/>
        <w:rPr>
          <w:b/>
          <w:sz w:val="22"/>
          <w:szCs w:val="22"/>
        </w:rPr>
      </w:pPr>
    </w:p>
    <w:p w14:paraId="1ADE1F6B" w14:textId="77777777" w:rsidR="00F65F25" w:rsidRDefault="00F65F25" w:rsidP="00F65F25">
      <w:pPr>
        <w:widowControl w:val="0"/>
        <w:autoSpaceDE w:val="0"/>
        <w:autoSpaceDN w:val="0"/>
        <w:adjustRightInd w:val="0"/>
        <w:spacing w:line="276" w:lineRule="auto"/>
        <w:ind w:left="127" w:right="120"/>
        <w:jc w:val="center"/>
        <w:rPr>
          <w:b/>
          <w:sz w:val="22"/>
          <w:szCs w:val="22"/>
        </w:rPr>
      </w:pPr>
    </w:p>
    <w:p w14:paraId="566817EC" w14:textId="77777777" w:rsidR="00F65F25" w:rsidRDefault="00F65F25" w:rsidP="00F65F25">
      <w:pPr>
        <w:widowControl w:val="0"/>
        <w:autoSpaceDE w:val="0"/>
        <w:autoSpaceDN w:val="0"/>
        <w:adjustRightInd w:val="0"/>
        <w:spacing w:line="276" w:lineRule="auto"/>
        <w:ind w:left="127" w:right="120"/>
        <w:jc w:val="center"/>
        <w:rPr>
          <w:b/>
          <w:sz w:val="22"/>
          <w:szCs w:val="22"/>
        </w:rPr>
      </w:pPr>
    </w:p>
    <w:p w14:paraId="726AA095" w14:textId="77777777" w:rsidR="00F65F25" w:rsidRDefault="00F65F25" w:rsidP="00F65F25">
      <w:pPr>
        <w:widowControl w:val="0"/>
        <w:autoSpaceDE w:val="0"/>
        <w:autoSpaceDN w:val="0"/>
        <w:adjustRightInd w:val="0"/>
        <w:spacing w:line="276" w:lineRule="auto"/>
        <w:ind w:left="127" w:right="120"/>
        <w:jc w:val="center"/>
        <w:rPr>
          <w:b/>
          <w:sz w:val="22"/>
          <w:szCs w:val="22"/>
        </w:rPr>
      </w:pPr>
    </w:p>
    <w:p w14:paraId="7F9F6AE3" w14:textId="77777777" w:rsidR="00F65F25" w:rsidRDefault="00F65F25" w:rsidP="00F65F25">
      <w:pPr>
        <w:widowControl w:val="0"/>
        <w:autoSpaceDE w:val="0"/>
        <w:autoSpaceDN w:val="0"/>
        <w:adjustRightInd w:val="0"/>
        <w:spacing w:line="276" w:lineRule="auto"/>
        <w:ind w:left="127" w:right="120"/>
        <w:jc w:val="center"/>
        <w:rPr>
          <w:b/>
          <w:sz w:val="22"/>
          <w:szCs w:val="22"/>
        </w:rPr>
      </w:pPr>
    </w:p>
    <w:p w14:paraId="21D482EC" w14:textId="77777777" w:rsidR="00F65F25" w:rsidRDefault="00F65F25" w:rsidP="00F65F25">
      <w:pPr>
        <w:widowControl w:val="0"/>
        <w:autoSpaceDE w:val="0"/>
        <w:autoSpaceDN w:val="0"/>
        <w:adjustRightInd w:val="0"/>
        <w:spacing w:line="276" w:lineRule="auto"/>
        <w:ind w:left="127" w:right="120"/>
        <w:jc w:val="center"/>
        <w:rPr>
          <w:b/>
          <w:sz w:val="22"/>
          <w:szCs w:val="22"/>
        </w:rPr>
      </w:pPr>
    </w:p>
    <w:p w14:paraId="70AF6655" w14:textId="77777777" w:rsidR="00F65F25" w:rsidRDefault="00F65F25" w:rsidP="00F65F25">
      <w:pPr>
        <w:widowControl w:val="0"/>
        <w:autoSpaceDE w:val="0"/>
        <w:autoSpaceDN w:val="0"/>
        <w:adjustRightInd w:val="0"/>
        <w:spacing w:line="276" w:lineRule="auto"/>
        <w:ind w:left="127" w:right="120"/>
        <w:jc w:val="center"/>
        <w:rPr>
          <w:b/>
          <w:sz w:val="22"/>
          <w:szCs w:val="22"/>
        </w:rPr>
      </w:pPr>
    </w:p>
    <w:p w14:paraId="13F5B97A" w14:textId="77777777" w:rsidR="00F65F25" w:rsidRDefault="00F65F25" w:rsidP="00F65F25">
      <w:pPr>
        <w:widowControl w:val="0"/>
        <w:autoSpaceDE w:val="0"/>
        <w:autoSpaceDN w:val="0"/>
        <w:adjustRightInd w:val="0"/>
        <w:spacing w:line="276" w:lineRule="auto"/>
        <w:ind w:left="127" w:right="120"/>
        <w:jc w:val="center"/>
        <w:rPr>
          <w:b/>
          <w:sz w:val="22"/>
          <w:szCs w:val="22"/>
        </w:rPr>
      </w:pPr>
    </w:p>
    <w:p w14:paraId="54D934B1" w14:textId="77777777" w:rsidR="00F65F25" w:rsidRDefault="00F65F25" w:rsidP="00F65F25">
      <w:pPr>
        <w:widowControl w:val="0"/>
        <w:autoSpaceDE w:val="0"/>
        <w:autoSpaceDN w:val="0"/>
        <w:adjustRightInd w:val="0"/>
        <w:spacing w:line="276" w:lineRule="auto"/>
        <w:ind w:left="127" w:right="120"/>
        <w:jc w:val="center"/>
        <w:rPr>
          <w:b/>
          <w:sz w:val="22"/>
          <w:szCs w:val="22"/>
        </w:rPr>
      </w:pPr>
    </w:p>
    <w:p w14:paraId="2BC74D0F" w14:textId="77777777" w:rsidR="00F65F25" w:rsidRDefault="00F65F25" w:rsidP="00F65F25">
      <w:pPr>
        <w:widowControl w:val="0"/>
        <w:autoSpaceDE w:val="0"/>
        <w:autoSpaceDN w:val="0"/>
        <w:adjustRightInd w:val="0"/>
        <w:spacing w:line="276" w:lineRule="auto"/>
        <w:ind w:left="127" w:right="120"/>
        <w:jc w:val="center"/>
        <w:rPr>
          <w:b/>
          <w:sz w:val="22"/>
          <w:szCs w:val="22"/>
        </w:rPr>
      </w:pPr>
    </w:p>
    <w:p w14:paraId="17E3FB5D" w14:textId="77777777" w:rsidR="00F65F25" w:rsidRDefault="00F65F25" w:rsidP="00F65F25">
      <w:pPr>
        <w:widowControl w:val="0"/>
        <w:autoSpaceDE w:val="0"/>
        <w:autoSpaceDN w:val="0"/>
        <w:adjustRightInd w:val="0"/>
        <w:spacing w:line="276" w:lineRule="auto"/>
        <w:ind w:left="127" w:right="120"/>
        <w:jc w:val="center"/>
        <w:rPr>
          <w:b/>
          <w:sz w:val="22"/>
          <w:szCs w:val="22"/>
        </w:rPr>
      </w:pPr>
    </w:p>
    <w:p w14:paraId="202EDA21" w14:textId="77777777" w:rsidR="00F65F25" w:rsidRDefault="00F65F25" w:rsidP="00F65F25">
      <w:pPr>
        <w:widowControl w:val="0"/>
        <w:autoSpaceDE w:val="0"/>
        <w:autoSpaceDN w:val="0"/>
        <w:adjustRightInd w:val="0"/>
        <w:spacing w:line="276" w:lineRule="auto"/>
        <w:ind w:left="127" w:right="120"/>
        <w:jc w:val="center"/>
        <w:rPr>
          <w:b/>
          <w:sz w:val="22"/>
          <w:szCs w:val="22"/>
        </w:rPr>
      </w:pPr>
    </w:p>
    <w:p w14:paraId="4072F86F" w14:textId="77777777" w:rsidR="00F65F25" w:rsidRDefault="00F65F25" w:rsidP="00F65F25">
      <w:pPr>
        <w:widowControl w:val="0"/>
        <w:autoSpaceDE w:val="0"/>
        <w:autoSpaceDN w:val="0"/>
        <w:adjustRightInd w:val="0"/>
        <w:spacing w:line="276" w:lineRule="auto"/>
        <w:ind w:left="127" w:right="120"/>
        <w:jc w:val="center"/>
        <w:rPr>
          <w:b/>
          <w:sz w:val="22"/>
          <w:szCs w:val="22"/>
        </w:rPr>
      </w:pPr>
    </w:p>
    <w:p w14:paraId="15B18900" w14:textId="77777777" w:rsidR="00C3524C" w:rsidRPr="00F65F25" w:rsidRDefault="00C3524C" w:rsidP="00F65F25">
      <w:pPr>
        <w:widowControl w:val="0"/>
        <w:autoSpaceDE w:val="0"/>
        <w:autoSpaceDN w:val="0"/>
        <w:adjustRightInd w:val="0"/>
        <w:spacing w:line="276" w:lineRule="auto"/>
        <w:ind w:left="127" w:right="120"/>
        <w:jc w:val="center"/>
        <w:rPr>
          <w:b/>
          <w:sz w:val="22"/>
          <w:szCs w:val="22"/>
        </w:rPr>
      </w:pPr>
      <w:r w:rsidRPr="00F65F25">
        <w:rPr>
          <w:b/>
          <w:sz w:val="22"/>
          <w:szCs w:val="22"/>
        </w:rPr>
        <w:t>ANEXO III</w:t>
      </w:r>
    </w:p>
    <w:p w14:paraId="56E19433" w14:textId="77777777" w:rsidR="00C514D0" w:rsidRPr="00F65F25" w:rsidRDefault="00C514D0" w:rsidP="00F65F25">
      <w:pPr>
        <w:widowControl w:val="0"/>
        <w:autoSpaceDE w:val="0"/>
        <w:autoSpaceDN w:val="0"/>
        <w:adjustRightInd w:val="0"/>
        <w:spacing w:line="276" w:lineRule="auto"/>
        <w:ind w:left="127" w:right="120"/>
        <w:jc w:val="center"/>
        <w:rPr>
          <w:b/>
          <w:sz w:val="22"/>
          <w:szCs w:val="22"/>
        </w:rPr>
      </w:pPr>
    </w:p>
    <w:p w14:paraId="26FF4225" w14:textId="77777777" w:rsidR="00D061AA" w:rsidRPr="00C52C4C" w:rsidRDefault="00C3524C" w:rsidP="00F65F25">
      <w:pPr>
        <w:widowControl w:val="0"/>
        <w:autoSpaceDE w:val="0"/>
        <w:autoSpaceDN w:val="0"/>
        <w:adjustRightInd w:val="0"/>
        <w:spacing w:line="276" w:lineRule="auto"/>
        <w:ind w:left="127" w:right="120"/>
        <w:jc w:val="center"/>
        <w:rPr>
          <w:sz w:val="22"/>
          <w:szCs w:val="22"/>
        </w:rPr>
      </w:pPr>
      <w:r w:rsidRPr="00F65F25">
        <w:rPr>
          <w:b/>
          <w:sz w:val="22"/>
          <w:szCs w:val="22"/>
        </w:rPr>
        <w:t>ETIQUETADO  Y PROSPECTO</w:t>
      </w:r>
      <w:r w:rsidR="00D061AA" w:rsidRPr="00C52C4C">
        <w:rPr>
          <w:sz w:val="22"/>
          <w:szCs w:val="22"/>
        </w:rPr>
        <w:br w:type="page"/>
      </w:r>
    </w:p>
    <w:p w14:paraId="29994236" w14:textId="77777777" w:rsidR="00D061AA" w:rsidRPr="00C52C4C" w:rsidRDefault="00D061AA" w:rsidP="00D061AA">
      <w:pPr>
        <w:tabs>
          <w:tab w:val="left" w:pos="567"/>
        </w:tabs>
        <w:ind w:right="-1"/>
        <w:rPr>
          <w:sz w:val="22"/>
          <w:szCs w:val="22"/>
        </w:rPr>
      </w:pPr>
    </w:p>
    <w:p w14:paraId="778DD101" w14:textId="77777777" w:rsidR="00D061AA" w:rsidRPr="00C52C4C" w:rsidRDefault="00D061AA" w:rsidP="00D061AA">
      <w:pPr>
        <w:tabs>
          <w:tab w:val="left" w:pos="567"/>
        </w:tabs>
        <w:rPr>
          <w:sz w:val="22"/>
          <w:szCs w:val="22"/>
        </w:rPr>
      </w:pPr>
    </w:p>
    <w:p w14:paraId="169806D5" w14:textId="77777777" w:rsidR="00D061AA" w:rsidRPr="00C52C4C" w:rsidRDefault="00D061AA" w:rsidP="00D061AA">
      <w:pPr>
        <w:tabs>
          <w:tab w:val="left" w:pos="567"/>
        </w:tabs>
        <w:rPr>
          <w:sz w:val="22"/>
          <w:szCs w:val="22"/>
        </w:rPr>
      </w:pPr>
    </w:p>
    <w:p w14:paraId="614AC968" w14:textId="77777777" w:rsidR="00D061AA" w:rsidRPr="00C52C4C" w:rsidRDefault="00D061AA" w:rsidP="00D061AA">
      <w:pPr>
        <w:tabs>
          <w:tab w:val="left" w:pos="567"/>
        </w:tabs>
        <w:rPr>
          <w:sz w:val="22"/>
          <w:szCs w:val="22"/>
        </w:rPr>
      </w:pPr>
    </w:p>
    <w:p w14:paraId="0D1D852F" w14:textId="77777777" w:rsidR="00D061AA" w:rsidRPr="00C52C4C" w:rsidRDefault="00D061AA" w:rsidP="00D061AA">
      <w:pPr>
        <w:tabs>
          <w:tab w:val="left" w:pos="567"/>
        </w:tabs>
        <w:rPr>
          <w:sz w:val="22"/>
          <w:szCs w:val="22"/>
        </w:rPr>
      </w:pPr>
    </w:p>
    <w:p w14:paraId="408B0CDA" w14:textId="77777777" w:rsidR="00D061AA" w:rsidRPr="00C52C4C" w:rsidRDefault="00D061AA" w:rsidP="00D061AA">
      <w:pPr>
        <w:tabs>
          <w:tab w:val="left" w:pos="567"/>
        </w:tabs>
        <w:jc w:val="center"/>
        <w:rPr>
          <w:b/>
          <w:sz w:val="22"/>
          <w:szCs w:val="22"/>
        </w:rPr>
      </w:pPr>
    </w:p>
    <w:p w14:paraId="3178EA8D" w14:textId="77777777" w:rsidR="00D061AA" w:rsidRPr="00C52C4C" w:rsidRDefault="00D061AA" w:rsidP="00D061AA">
      <w:pPr>
        <w:tabs>
          <w:tab w:val="left" w:pos="567"/>
        </w:tabs>
        <w:jc w:val="center"/>
        <w:rPr>
          <w:b/>
          <w:sz w:val="22"/>
          <w:szCs w:val="22"/>
        </w:rPr>
      </w:pPr>
    </w:p>
    <w:p w14:paraId="06CAF785" w14:textId="77777777" w:rsidR="00D061AA" w:rsidRPr="00C52C4C" w:rsidRDefault="00D061AA" w:rsidP="00D061AA">
      <w:pPr>
        <w:tabs>
          <w:tab w:val="left" w:pos="567"/>
        </w:tabs>
        <w:jc w:val="center"/>
        <w:rPr>
          <w:b/>
          <w:sz w:val="22"/>
          <w:szCs w:val="22"/>
        </w:rPr>
      </w:pPr>
    </w:p>
    <w:p w14:paraId="33866A0E" w14:textId="77777777" w:rsidR="00D061AA" w:rsidRPr="00C52C4C" w:rsidRDefault="00D061AA" w:rsidP="00D061AA">
      <w:pPr>
        <w:tabs>
          <w:tab w:val="left" w:pos="567"/>
        </w:tabs>
        <w:jc w:val="center"/>
        <w:rPr>
          <w:b/>
          <w:sz w:val="22"/>
          <w:szCs w:val="22"/>
        </w:rPr>
      </w:pPr>
    </w:p>
    <w:p w14:paraId="469F7287" w14:textId="77777777" w:rsidR="00D061AA" w:rsidRPr="00C52C4C" w:rsidRDefault="00D061AA" w:rsidP="00D061AA">
      <w:pPr>
        <w:tabs>
          <w:tab w:val="left" w:pos="567"/>
        </w:tabs>
        <w:jc w:val="center"/>
        <w:rPr>
          <w:b/>
          <w:sz w:val="22"/>
          <w:szCs w:val="22"/>
        </w:rPr>
      </w:pPr>
      <w:r w:rsidRPr="00C52C4C">
        <w:rPr>
          <w:b/>
          <w:sz w:val="22"/>
          <w:szCs w:val="22"/>
        </w:rPr>
        <w:t xml:space="preserve"> </w:t>
      </w:r>
    </w:p>
    <w:p w14:paraId="6DF97DE8" w14:textId="77777777" w:rsidR="00D061AA" w:rsidRPr="00C52C4C" w:rsidRDefault="00D061AA" w:rsidP="00D061AA">
      <w:pPr>
        <w:tabs>
          <w:tab w:val="left" w:pos="567"/>
        </w:tabs>
        <w:jc w:val="center"/>
        <w:rPr>
          <w:b/>
          <w:sz w:val="22"/>
          <w:szCs w:val="22"/>
        </w:rPr>
      </w:pPr>
    </w:p>
    <w:p w14:paraId="17601775" w14:textId="77777777" w:rsidR="00AC5BF4" w:rsidRPr="00C52C4C" w:rsidRDefault="00AC5BF4" w:rsidP="00D061AA">
      <w:pPr>
        <w:tabs>
          <w:tab w:val="left" w:pos="567"/>
        </w:tabs>
        <w:jc w:val="center"/>
        <w:rPr>
          <w:b/>
          <w:sz w:val="22"/>
          <w:szCs w:val="22"/>
        </w:rPr>
      </w:pPr>
    </w:p>
    <w:p w14:paraId="5C70A5D0" w14:textId="77777777" w:rsidR="00D061AA" w:rsidRPr="00C52C4C" w:rsidRDefault="00D061AA" w:rsidP="00D061AA">
      <w:pPr>
        <w:tabs>
          <w:tab w:val="left" w:pos="567"/>
        </w:tabs>
        <w:jc w:val="center"/>
        <w:rPr>
          <w:b/>
          <w:sz w:val="22"/>
          <w:szCs w:val="22"/>
        </w:rPr>
      </w:pPr>
    </w:p>
    <w:p w14:paraId="6896133F" w14:textId="77777777" w:rsidR="00D061AA" w:rsidRPr="00C52C4C" w:rsidRDefault="00D061AA" w:rsidP="00D061AA">
      <w:pPr>
        <w:tabs>
          <w:tab w:val="left" w:pos="567"/>
        </w:tabs>
        <w:jc w:val="center"/>
        <w:rPr>
          <w:b/>
          <w:sz w:val="22"/>
          <w:szCs w:val="22"/>
        </w:rPr>
      </w:pPr>
    </w:p>
    <w:p w14:paraId="606D4D4C" w14:textId="77777777" w:rsidR="00D061AA" w:rsidRPr="00C52C4C" w:rsidRDefault="00D061AA" w:rsidP="00D061AA">
      <w:pPr>
        <w:tabs>
          <w:tab w:val="left" w:pos="567"/>
        </w:tabs>
        <w:jc w:val="center"/>
        <w:rPr>
          <w:b/>
          <w:sz w:val="22"/>
          <w:szCs w:val="22"/>
        </w:rPr>
      </w:pPr>
    </w:p>
    <w:p w14:paraId="5C3B4EA6" w14:textId="77777777" w:rsidR="00D061AA" w:rsidRPr="00C52C4C" w:rsidRDefault="00D061AA" w:rsidP="00D061AA">
      <w:pPr>
        <w:tabs>
          <w:tab w:val="left" w:pos="567"/>
        </w:tabs>
        <w:jc w:val="center"/>
        <w:rPr>
          <w:b/>
          <w:sz w:val="22"/>
          <w:szCs w:val="22"/>
        </w:rPr>
      </w:pPr>
    </w:p>
    <w:p w14:paraId="6A4521AD" w14:textId="77777777" w:rsidR="00D061AA" w:rsidRPr="00C52C4C" w:rsidRDefault="00D061AA" w:rsidP="00D061AA">
      <w:pPr>
        <w:tabs>
          <w:tab w:val="left" w:pos="567"/>
        </w:tabs>
        <w:jc w:val="center"/>
        <w:rPr>
          <w:b/>
          <w:sz w:val="22"/>
          <w:szCs w:val="22"/>
        </w:rPr>
      </w:pPr>
    </w:p>
    <w:p w14:paraId="7929CED9" w14:textId="77777777" w:rsidR="00D061AA" w:rsidRPr="00C52C4C" w:rsidRDefault="00D061AA" w:rsidP="00D061AA">
      <w:pPr>
        <w:tabs>
          <w:tab w:val="left" w:pos="567"/>
        </w:tabs>
        <w:jc w:val="center"/>
        <w:rPr>
          <w:b/>
          <w:sz w:val="22"/>
          <w:szCs w:val="22"/>
        </w:rPr>
      </w:pPr>
    </w:p>
    <w:p w14:paraId="53F15557" w14:textId="77777777" w:rsidR="00D061AA" w:rsidRPr="00C52C4C" w:rsidRDefault="00D061AA" w:rsidP="00D061AA">
      <w:pPr>
        <w:tabs>
          <w:tab w:val="left" w:pos="567"/>
        </w:tabs>
        <w:jc w:val="center"/>
        <w:rPr>
          <w:b/>
          <w:sz w:val="22"/>
          <w:szCs w:val="22"/>
        </w:rPr>
      </w:pPr>
    </w:p>
    <w:p w14:paraId="6C63C3D8" w14:textId="77777777" w:rsidR="00D061AA" w:rsidRPr="00C52C4C" w:rsidRDefault="00D061AA" w:rsidP="00D061AA">
      <w:pPr>
        <w:tabs>
          <w:tab w:val="left" w:pos="567"/>
        </w:tabs>
        <w:jc w:val="center"/>
        <w:rPr>
          <w:b/>
          <w:sz w:val="22"/>
          <w:szCs w:val="22"/>
        </w:rPr>
      </w:pPr>
    </w:p>
    <w:p w14:paraId="4A5D1C1F" w14:textId="77777777" w:rsidR="00D061AA" w:rsidRPr="00C52C4C" w:rsidRDefault="00D061AA" w:rsidP="00D061AA">
      <w:pPr>
        <w:tabs>
          <w:tab w:val="left" w:pos="567"/>
        </w:tabs>
        <w:jc w:val="center"/>
        <w:rPr>
          <w:b/>
          <w:sz w:val="22"/>
          <w:szCs w:val="22"/>
        </w:rPr>
      </w:pPr>
    </w:p>
    <w:p w14:paraId="710CA567" w14:textId="77777777" w:rsidR="00D061AA" w:rsidRPr="00C52C4C" w:rsidRDefault="00D061AA" w:rsidP="00D061AA">
      <w:pPr>
        <w:tabs>
          <w:tab w:val="left" w:pos="567"/>
        </w:tabs>
        <w:jc w:val="center"/>
        <w:rPr>
          <w:b/>
          <w:sz w:val="22"/>
          <w:szCs w:val="22"/>
        </w:rPr>
      </w:pPr>
    </w:p>
    <w:p w14:paraId="0D325FF3" w14:textId="77777777" w:rsidR="00D061AA" w:rsidRPr="00C52C4C" w:rsidRDefault="00D061AA" w:rsidP="00AA094E">
      <w:pPr>
        <w:pStyle w:val="16"/>
      </w:pPr>
      <w:r w:rsidRPr="00C52C4C">
        <w:t>A. ETIQUETADO</w:t>
      </w:r>
    </w:p>
    <w:p w14:paraId="6097A6BF" w14:textId="77777777" w:rsidR="00D061AA" w:rsidRPr="00C52C4C" w:rsidRDefault="00D061AA" w:rsidP="00D061AA">
      <w:pPr>
        <w:tabs>
          <w:tab w:val="left" w:pos="567"/>
        </w:tabs>
        <w:jc w:val="center"/>
        <w:rPr>
          <w:b/>
          <w:sz w:val="22"/>
          <w:szCs w:val="22"/>
          <w:lang w:val="es-ES_tradnl"/>
        </w:rPr>
      </w:pPr>
    </w:p>
    <w:p w14:paraId="34E4D371" w14:textId="77777777" w:rsidR="00D061AA" w:rsidRPr="00C52C4C" w:rsidRDefault="00D061AA" w:rsidP="00D061AA">
      <w:pPr>
        <w:tabs>
          <w:tab w:val="left" w:pos="567"/>
        </w:tabs>
        <w:jc w:val="center"/>
        <w:rPr>
          <w:b/>
          <w:sz w:val="22"/>
          <w:szCs w:val="22"/>
          <w:lang w:val="es-ES_tradnl"/>
        </w:rPr>
      </w:pPr>
    </w:p>
    <w:p w14:paraId="499058A9" w14:textId="77777777" w:rsidR="00D061AA" w:rsidRPr="00C52C4C" w:rsidRDefault="00D061AA" w:rsidP="00D061AA">
      <w:pPr>
        <w:tabs>
          <w:tab w:val="left" w:pos="567"/>
        </w:tabs>
        <w:jc w:val="center"/>
        <w:rPr>
          <w:b/>
          <w:sz w:val="22"/>
          <w:szCs w:val="22"/>
          <w:lang w:val="es-ES_tradnl"/>
        </w:rPr>
      </w:pPr>
      <w:r w:rsidRPr="00C52C4C">
        <w:rPr>
          <w:b/>
          <w:sz w:val="22"/>
          <w:szCs w:val="22"/>
          <w:lang w:val="es-ES_tradnl"/>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13FF9774" w14:textId="77777777" w:rsidTr="00EE4A64">
        <w:trPr>
          <w:trHeight w:val="1040"/>
        </w:trPr>
        <w:tc>
          <w:tcPr>
            <w:tcW w:w="9287" w:type="dxa"/>
            <w:tcBorders>
              <w:bottom w:val="single" w:sz="4" w:space="0" w:color="auto"/>
            </w:tcBorders>
          </w:tcPr>
          <w:p w14:paraId="41A63797" w14:textId="77777777" w:rsidR="00D061AA" w:rsidRPr="00C52C4C" w:rsidRDefault="00D061AA" w:rsidP="00EE4A64">
            <w:pPr>
              <w:tabs>
                <w:tab w:val="left" w:pos="567"/>
              </w:tabs>
              <w:rPr>
                <w:sz w:val="22"/>
                <w:szCs w:val="22"/>
                <w:u w:val="single"/>
                <w:lang w:val="es-ES_tradnl"/>
              </w:rPr>
            </w:pPr>
            <w:r w:rsidRPr="00C52C4C">
              <w:rPr>
                <w:b/>
                <w:sz w:val="22"/>
                <w:szCs w:val="22"/>
                <w:lang w:val="es-ES_tradnl"/>
              </w:rPr>
              <w:lastRenderedPageBreak/>
              <w:t xml:space="preserve">INFORMACIÓN QUE </w:t>
            </w:r>
            <w:smartTag w:uri="urn:schemas-microsoft-com:office:smarttags" w:element="PersonName">
              <w:r w:rsidRPr="00C52C4C">
                <w:rPr>
                  <w:b/>
                  <w:sz w:val="22"/>
                  <w:szCs w:val="22"/>
                  <w:lang w:val="es-ES_tradnl"/>
                </w:rPr>
                <w:t>DE</w:t>
              </w:r>
            </w:smartTag>
            <w:r w:rsidRPr="00C52C4C">
              <w:rPr>
                <w:b/>
                <w:sz w:val="22"/>
                <w:szCs w:val="22"/>
                <w:lang w:val="es-ES_tradnl"/>
              </w:rPr>
              <w:t xml:space="preserve">BE </w:t>
            </w:r>
            <w:smartTag w:uri="urn:schemas-microsoft-com:office:smarttags" w:element="PersonName">
              <w:r w:rsidRPr="00C52C4C">
                <w:rPr>
                  <w:b/>
                  <w:sz w:val="22"/>
                  <w:szCs w:val="22"/>
                  <w:lang w:val="es-ES_tradnl"/>
                </w:rPr>
                <w:t>FI</w:t>
              </w:r>
            </w:smartTag>
            <w:r w:rsidRPr="00C52C4C">
              <w:rPr>
                <w:b/>
                <w:sz w:val="22"/>
                <w:szCs w:val="22"/>
                <w:lang w:val="es-ES_tradnl"/>
              </w:rPr>
              <w:t xml:space="preserve">GURAR EN </w:t>
            </w:r>
            <w:smartTag w:uri="urn:schemas-microsoft-com:office:smarttags" w:element="PersonName">
              <w:r w:rsidRPr="00C52C4C">
                <w:rPr>
                  <w:b/>
                  <w:sz w:val="22"/>
                  <w:szCs w:val="22"/>
                  <w:lang w:val="es-ES_tradnl"/>
                </w:rPr>
                <w:t>EL</w:t>
              </w:r>
            </w:smartTag>
            <w:r w:rsidRPr="00C52C4C">
              <w:rPr>
                <w:b/>
                <w:sz w:val="22"/>
                <w:szCs w:val="22"/>
                <w:lang w:val="es-ES_tradnl"/>
              </w:rPr>
              <w:t xml:space="preserve"> EMBALAJE EXTERIOR</w:t>
            </w:r>
          </w:p>
          <w:p w14:paraId="20AF80C9" w14:textId="77777777" w:rsidR="00387935" w:rsidRPr="00C52C4C" w:rsidRDefault="00387935" w:rsidP="00EE4A64">
            <w:pPr>
              <w:tabs>
                <w:tab w:val="left" w:pos="567"/>
              </w:tabs>
              <w:rPr>
                <w:sz w:val="22"/>
                <w:szCs w:val="22"/>
                <w:u w:val="single"/>
                <w:lang w:val="es-ES_tradnl"/>
              </w:rPr>
            </w:pPr>
          </w:p>
          <w:p w14:paraId="07EC6C33" w14:textId="77777777" w:rsidR="00D061AA" w:rsidRPr="00C52C4C" w:rsidRDefault="00D061AA" w:rsidP="00EE4A64">
            <w:pPr>
              <w:tabs>
                <w:tab w:val="left" w:pos="567"/>
              </w:tabs>
              <w:rPr>
                <w:b/>
                <w:sz w:val="22"/>
                <w:szCs w:val="22"/>
                <w:lang w:val="es-ES_tradnl"/>
              </w:rPr>
            </w:pPr>
            <w:r w:rsidRPr="00C52C4C">
              <w:rPr>
                <w:sz w:val="22"/>
                <w:szCs w:val="22"/>
                <w:u w:val="single"/>
                <w:lang w:val="es-ES_tradnl"/>
              </w:rPr>
              <w:t>Envase con comprimidos recubiertos con película de 50 mg acondicionados en blísteres – Envase de 2, 10, 14, 20, 28, 30, 50, 56 y 100 comprimidos</w:t>
            </w:r>
            <w:r w:rsidR="005100CF" w:rsidRPr="00C52C4C">
              <w:rPr>
                <w:sz w:val="22"/>
                <w:szCs w:val="22"/>
                <w:u w:val="single"/>
                <w:lang w:val="es-ES_tradnl"/>
              </w:rPr>
              <w:t>)</w:t>
            </w:r>
          </w:p>
        </w:tc>
      </w:tr>
    </w:tbl>
    <w:p w14:paraId="4F61F616" w14:textId="77777777" w:rsidR="00D061AA" w:rsidRPr="00C52C4C" w:rsidRDefault="00D061AA" w:rsidP="00D061AA">
      <w:pPr>
        <w:tabs>
          <w:tab w:val="left" w:pos="567"/>
        </w:tabs>
        <w:rPr>
          <w:sz w:val="22"/>
          <w:szCs w:val="22"/>
          <w:lang w:val="es-ES_tradnl"/>
        </w:rPr>
      </w:pPr>
    </w:p>
    <w:p w14:paraId="7C2A85A0" w14:textId="77777777" w:rsidR="00AC5BF4" w:rsidRPr="00C52C4C" w:rsidRDefault="00AC5BF4"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120F3DA4" w14:textId="77777777" w:rsidTr="00EE4A64">
        <w:tc>
          <w:tcPr>
            <w:tcW w:w="9287" w:type="dxa"/>
          </w:tcPr>
          <w:p w14:paraId="065550F3"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1.</w:t>
            </w:r>
            <w:r w:rsidRPr="00C52C4C">
              <w:rPr>
                <w:b/>
                <w:sz w:val="22"/>
                <w:szCs w:val="22"/>
                <w:lang w:val="es-ES_tradnl"/>
              </w:rPr>
              <w:tab/>
            </w:r>
            <w:smartTag w:uri="urn:schemas-microsoft-com:office:smarttags" w:element="PersonName">
              <w:r w:rsidRPr="00C52C4C">
                <w:rPr>
                  <w:b/>
                  <w:sz w:val="22"/>
                  <w:szCs w:val="22"/>
                  <w:lang w:val="es-ES_tradnl"/>
                </w:rPr>
                <w:t>NO</w:t>
              </w:r>
            </w:smartTag>
            <w:r w:rsidRPr="00C52C4C">
              <w:rPr>
                <w:b/>
                <w:sz w:val="22"/>
                <w:szCs w:val="22"/>
                <w:lang w:val="es-ES_tradnl"/>
              </w:rPr>
              <w:t xml:space="preserve">MBRE </w:t>
            </w:r>
            <w:smartTag w:uri="urn:schemas-microsoft-com:office:smarttags" w:element="PersonName">
              <w:r w:rsidRPr="00C52C4C">
                <w:rPr>
                  <w:b/>
                  <w:sz w:val="22"/>
                  <w:szCs w:val="22"/>
                  <w:lang w:val="es-ES_tradnl"/>
                </w:rPr>
                <w:t>D</w:t>
              </w:r>
              <w:smartTag w:uri="urn:schemas-microsoft-com:office:smarttags" w:element="PersonName">
                <w:r w:rsidRPr="00C52C4C">
                  <w:rPr>
                    <w:b/>
                    <w:sz w:val="22"/>
                    <w:szCs w:val="22"/>
                    <w:lang w:val="es-ES_tradnl"/>
                  </w:rPr>
                  <w:t>E</w:t>
                </w:r>
              </w:smartTag>
            </w:smartTag>
            <w:r w:rsidRPr="00C52C4C">
              <w:rPr>
                <w:b/>
                <w:sz w:val="22"/>
                <w:szCs w:val="22"/>
                <w:lang w:val="es-ES_tradnl"/>
              </w:rPr>
              <w:t>L MEDICAMENTO</w:t>
            </w:r>
          </w:p>
        </w:tc>
      </w:tr>
    </w:tbl>
    <w:p w14:paraId="6DBC7B5E" w14:textId="77777777" w:rsidR="00D061AA" w:rsidRPr="00C52C4C" w:rsidRDefault="00D061AA" w:rsidP="00D061AA">
      <w:pPr>
        <w:tabs>
          <w:tab w:val="left" w:pos="567"/>
        </w:tabs>
        <w:rPr>
          <w:sz w:val="22"/>
          <w:szCs w:val="22"/>
          <w:lang w:val="es-ES_tradnl"/>
        </w:rPr>
      </w:pPr>
    </w:p>
    <w:p w14:paraId="72D5A73A" w14:textId="77777777" w:rsidR="00D061AA" w:rsidRPr="00C52C4C" w:rsidRDefault="008D11BB" w:rsidP="00D061AA">
      <w:pPr>
        <w:tabs>
          <w:tab w:val="left" w:pos="567"/>
        </w:tabs>
        <w:rPr>
          <w:sz w:val="22"/>
          <w:szCs w:val="22"/>
          <w:lang w:val="es-ES_tradnl"/>
        </w:rPr>
      </w:pPr>
      <w:r w:rsidRPr="00C52C4C">
        <w:rPr>
          <w:sz w:val="22"/>
          <w:szCs w:val="22"/>
        </w:rPr>
        <w:t>Voriconazol</w:t>
      </w:r>
      <w:r w:rsidR="005100CF" w:rsidRPr="00C52C4C">
        <w:rPr>
          <w:sz w:val="22"/>
          <w:szCs w:val="22"/>
        </w:rPr>
        <w:t xml:space="preserve"> Accord </w:t>
      </w:r>
      <w:r w:rsidR="00D061AA" w:rsidRPr="00C52C4C">
        <w:rPr>
          <w:sz w:val="22"/>
          <w:szCs w:val="22"/>
          <w:lang w:val="es-ES_tradnl"/>
        </w:rPr>
        <w:t>50 mg comprimidos recubiertos con película</w:t>
      </w:r>
    </w:p>
    <w:p w14:paraId="097D536F" w14:textId="77777777" w:rsidR="00D061AA" w:rsidRPr="00C52C4C" w:rsidRDefault="00C514D0" w:rsidP="00D061AA">
      <w:pPr>
        <w:tabs>
          <w:tab w:val="left" w:pos="567"/>
        </w:tabs>
        <w:rPr>
          <w:sz w:val="22"/>
          <w:szCs w:val="22"/>
          <w:lang w:val="pt-PT"/>
        </w:rPr>
      </w:pPr>
      <w:r>
        <w:rPr>
          <w:sz w:val="22"/>
          <w:szCs w:val="22"/>
          <w:lang w:val="pt-PT"/>
        </w:rPr>
        <w:t>v</w:t>
      </w:r>
      <w:r w:rsidR="00D061AA" w:rsidRPr="00C52C4C">
        <w:rPr>
          <w:sz w:val="22"/>
          <w:szCs w:val="22"/>
          <w:lang w:val="pt-PT"/>
        </w:rPr>
        <w:t>oriconazol</w:t>
      </w:r>
    </w:p>
    <w:p w14:paraId="27F68A70" w14:textId="77777777" w:rsidR="00D061AA" w:rsidRPr="00C52C4C" w:rsidRDefault="00D061AA" w:rsidP="00D061AA">
      <w:pPr>
        <w:tabs>
          <w:tab w:val="left" w:pos="567"/>
        </w:tabs>
        <w:rPr>
          <w:sz w:val="22"/>
          <w:szCs w:val="22"/>
          <w:lang w:val="pt-PT"/>
        </w:rPr>
      </w:pPr>
    </w:p>
    <w:p w14:paraId="3829BE9C" w14:textId="77777777" w:rsidR="00D061AA" w:rsidRPr="00C52C4C" w:rsidRDefault="00D061AA" w:rsidP="00D061AA">
      <w:pPr>
        <w:tabs>
          <w:tab w:val="left" w:pos="567"/>
        </w:tabs>
        <w:rPr>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00B5D883" w14:textId="77777777" w:rsidTr="00EE4A64">
        <w:tc>
          <w:tcPr>
            <w:tcW w:w="9287" w:type="dxa"/>
          </w:tcPr>
          <w:p w14:paraId="34822AEF" w14:textId="77777777" w:rsidR="00D061AA" w:rsidRPr="00C52C4C" w:rsidRDefault="00D061AA" w:rsidP="00EE4A64">
            <w:pPr>
              <w:tabs>
                <w:tab w:val="left" w:pos="567"/>
              </w:tabs>
              <w:ind w:left="567" w:hanging="567"/>
              <w:rPr>
                <w:b/>
                <w:sz w:val="22"/>
                <w:szCs w:val="22"/>
                <w:lang w:val="pt-PT"/>
              </w:rPr>
            </w:pPr>
            <w:r w:rsidRPr="00C52C4C">
              <w:rPr>
                <w:b/>
                <w:sz w:val="22"/>
                <w:szCs w:val="22"/>
                <w:lang w:val="pt-PT"/>
              </w:rPr>
              <w:t>2.</w:t>
            </w:r>
            <w:r w:rsidRPr="00C52C4C">
              <w:rPr>
                <w:b/>
                <w:sz w:val="22"/>
                <w:szCs w:val="22"/>
                <w:lang w:val="pt-PT"/>
              </w:rPr>
              <w:tab/>
              <w:t>PRINCIPIO(S) ACTIVO(S)</w:t>
            </w:r>
          </w:p>
        </w:tc>
      </w:tr>
    </w:tbl>
    <w:p w14:paraId="5B3FCA38" w14:textId="77777777" w:rsidR="00D061AA" w:rsidRPr="00C52C4C" w:rsidRDefault="00D061AA" w:rsidP="00D061AA">
      <w:pPr>
        <w:tabs>
          <w:tab w:val="left" w:pos="567"/>
        </w:tabs>
        <w:rPr>
          <w:sz w:val="22"/>
          <w:szCs w:val="22"/>
          <w:lang w:val="pt-PT"/>
        </w:rPr>
      </w:pPr>
    </w:p>
    <w:p w14:paraId="393D9BC4" w14:textId="77777777" w:rsidR="00D061AA" w:rsidRPr="00C52C4C" w:rsidRDefault="00D061AA" w:rsidP="00D061AA">
      <w:pPr>
        <w:tabs>
          <w:tab w:val="left" w:pos="567"/>
        </w:tabs>
        <w:rPr>
          <w:sz w:val="22"/>
          <w:szCs w:val="22"/>
          <w:lang w:val="es-ES_tradnl"/>
        </w:rPr>
      </w:pPr>
      <w:r w:rsidRPr="00C52C4C">
        <w:rPr>
          <w:sz w:val="22"/>
          <w:szCs w:val="22"/>
          <w:lang w:val="es-ES_tradnl"/>
        </w:rPr>
        <w:t>Cada comprimido contiene 50 mg de voriconazol.</w:t>
      </w:r>
    </w:p>
    <w:p w14:paraId="0B8D6FD8" w14:textId="77777777" w:rsidR="00D061AA" w:rsidRPr="00C52C4C" w:rsidRDefault="00D061AA" w:rsidP="00D061AA">
      <w:pPr>
        <w:tabs>
          <w:tab w:val="left" w:pos="567"/>
        </w:tabs>
        <w:rPr>
          <w:sz w:val="22"/>
          <w:szCs w:val="22"/>
          <w:lang w:val="es-ES_tradnl"/>
        </w:rPr>
      </w:pPr>
    </w:p>
    <w:p w14:paraId="4C086971"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1E014A53" w14:textId="77777777" w:rsidTr="00EE4A64">
        <w:tc>
          <w:tcPr>
            <w:tcW w:w="9287" w:type="dxa"/>
          </w:tcPr>
          <w:p w14:paraId="79C1E1D3"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3.</w:t>
            </w:r>
            <w:r w:rsidRPr="00C52C4C">
              <w:rPr>
                <w:b/>
                <w:sz w:val="22"/>
                <w:szCs w:val="22"/>
                <w:lang w:val="es-ES_tradnl"/>
              </w:rPr>
              <w:tab/>
              <w:t>L</w:t>
            </w:r>
            <w:smartTag w:uri="urn:schemas-microsoft-com:office:smarttags" w:element="PersonName">
              <w:r w:rsidRPr="00C52C4C">
                <w:rPr>
                  <w:b/>
                  <w:sz w:val="22"/>
                  <w:szCs w:val="22"/>
                  <w:lang w:val="es-ES_tradnl"/>
                </w:rPr>
                <w:t>IS</w:t>
              </w:r>
            </w:smartTag>
            <w:r w:rsidRPr="00C52C4C">
              <w:rPr>
                <w:b/>
                <w:sz w:val="22"/>
                <w:szCs w:val="22"/>
                <w:lang w:val="es-ES_tradnl"/>
              </w:rPr>
              <w:t xml:space="preserve">TA </w:t>
            </w:r>
            <w:smartTag w:uri="urn:schemas-microsoft-com:office:smarttags" w:element="PersonName">
              <w:r w:rsidRPr="00C52C4C">
                <w:rPr>
                  <w:b/>
                  <w:sz w:val="22"/>
                  <w:szCs w:val="22"/>
                  <w:lang w:val="es-ES_tradnl"/>
                </w:rPr>
                <w:t>DE</w:t>
              </w:r>
            </w:smartTag>
            <w:r w:rsidRPr="00C52C4C">
              <w:rPr>
                <w:b/>
                <w:sz w:val="22"/>
                <w:szCs w:val="22"/>
                <w:lang w:val="es-ES_tradnl"/>
              </w:rPr>
              <w:t xml:space="preserve"> EXCIPIENTES</w:t>
            </w:r>
          </w:p>
        </w:tc>
      </w:tr>
    </w:tbl>
    <w:p w14:paraId="328D1092" w14:textId="77777777" w:rsidR="00D061AA" w:rsidRPr="00C52C4C" w:rsidRDefault="00D061AA" w:rsidP="00D061AA">
      <w:pPr>
        <w:tabs>
          <w:tab w:val="left" w:pos="567"/>
        </w:tabs>
        <w:rPr>
          <w:sz w:val="22"/>
          <w:szCs w:val="22"/>
          <w:lang w:val="es-ES_tradnl"/>
        </w:rPr>
      </w:pPr>
    </w:p>
    <w:p w14:paraId="68C17047" w14:textId="77777777" w:rsidR="00D061AA" w:rsidRPr="00C52C4C" w:rsidRDefault="00D061AA" w:rsidP="00D061AA">
      <w:pPr>
        <w:tabs>
          <w:tab w:val="left" w:pos="567"/>
        </w:tabs>
        <w:rPr>
          <w:sz w:val="22"/>
          <w:szCs w:val="22"/>
          <w:lang w:val="es-ES_tradnl"/>
        </w:rPr>
      </w:pPr>
      <w:r w:rsidRPr="00C52C4C">
        <w:rPr>
          <w:sz w:val="22"/>
          <w:szCs w:val="22"/>
          <w:lang w:val="es-ES_tradnl"/>
        </w:rPr>
        <w:t>Contiene lactosa monohidrato. Para mayor información consultar el prospecto.</w:t>
      </w:r>
    </w:p>
    <w:p w14:paraId="5FFD3952" w14:textId="77777777" w:rsidR="00D061AA" w:rsidRPr="00C52C4C" w:rsidRDefault="00D061AA" w:rsidP="00D061AA">
      <w:pPr>
        <w:tabs>
          <w:tab w:val="left" w:pos="567"/>
        </w:tabs>
        <w:rPr>
          <w:sz w:val="22"/>
          <w:szCs w:val="22"/>
          <w:lang w:val="es-ES_tradnl"/>
        </w:rPr>
      </w:pPr>
    </w:p>
    <w:p w14:paraId="108CDD5A"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38CC8F66" w14:textId="77777777" w:rsidTr="00EE4A64">
        <w:tc>
          <w:tcPr>
            <w:tcW w:w="9287" w:type="dxa"/>
          </w:tcPr>
          <w:p w14:paraId="07148204"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4.</w:t>
            </w:r>
            <w:r w:rsidRPr="00C52C4C">
              <w:rPr>
                <w:b/>
                <w:sz w:val="22"/>
                <w:szCs w:val="22"/>
                <w:lang w:val="es-ES_tradnl"/>
              </w:rPr>
              <w:tab/>
              <w:t xml:space="preserve">FORMA FARMACÉUTICA Y CONTENIDO </w:t>
            </w:r>
            <w:smartTag w:uri="urn:schemas-microsoft-com:office:smarttags" w:element="PersonName">
              <w:r w:rsidRPr="00C52C4C">
                <w:rPr>
                  <w:b/>
                  <w:sz w:val="22"/>
                  <w:szCs w:val="22"/>
                  <w:lang w:val="es-ES_tradnl"/>
                </w:rPr>
                <w:t>D</w:t>
              </w:r>
              <w:smartTag w:uri="urn:schemas-microsoft-com:office:smarttags" w:element="PersonName">
                <w:r w:rsidRPr="00C52C4C">
                  <w:rPr>
                    <w:b/>
                    <w:sz w:val="22"/>
                    <w:szCs w:val="22"/>
                    <w:lang w:val="es-ES_tradnl"/>
                  </w:rPr>
                  <w:t>E</w:t>
                </w:r>
              </w:smartTag>
            </w:smartTag>
            <w:r w:rsidRPr="00C52C4C">
              <w:rPr>
                <w:b/>
                <w:sz w:val="22"/>
                <w:szCs w:val="22"/>
                <w:lang w:val="es-ES_tradnl"/>
              </w:rPr>
              <w:t>L ENVA</w:t>
            </w:r>
            <w:smartTag w:uri="urn:schemas-microsoft-com:office:smarttags" w:element="PersonName">
              <w:r w:rsidRPr="00C52C4C">
                <w:rPr>
                  <w:b/>
                  <w:sz w:val="22"/>
                  <w:szCs w:val="22"/>
                  <w:lang w:val="es-ES_tradnl"/>
                </w:rPr>
                <w:t>SE</w:t>
              </w:r>
            </w:smartTag>
          </w:p>
        </w:tc>
      </w:tr>
    </w:tbl>
    <w:p w14:paraId="1AA5FB86" w14:textId="77777777" w:rsidR="00D061AA" w:rsidRPr="00C52C4C" w:rsidRDefault="00D061AA" w:rsidP="00D061AA">
      <w:pPr>
        <w:tabs>
          <w:tab w:val="left" w:pos="567"/>
        </w:tabs>
        <w:rPr>
          <w:sz w:val="22"/>
          <w:szCs w:val="22"/>
          <w:lang w:val="es-ES_tradnl"/>
        </w:rPr>
      </w:pPr>
    </w:p>
    <w:p w14:paraId="6CAEF162" w14:textId="77777777" w:rsidR="00D061AA" w:rsidRPr="00C52C4C" w:rsidRDefault="00D061AA" w:rsidP="00D061AA">
      <w:pPr>
        <w:tabs>
          <w:tab w:val="left" w:pos="567"/>
        </w:tabs>
        <w:rPr>
          <w:sz w:val="22"/>
          <w:szCs w:val="22"/>
          <w:lang w:val="es-ES_tradnl"/>
        </w:rPr>
      </w:pPr>
      <w:r w:rsidRPr="00C52C4C">
        <w:rPr>
          <w:sz w:val="22"/>
          <w:szCs w:val="22"/>
          <w:lang w:val="es-ES_tradnl"/>
        </w:rPr>
        <w:t>2 comprimidos recubiertos con película</w:t>
      </w:r>
    </w:p>
    <w:p w14:paraId="0E6F352A" w14:textId="77777777" w:rsidR="00D061AA" w:rsidRPr="001A4823" w:rsidRDefault="00D061AA" w:rsidP="00D061AA">
      <w:pPr>
        <w:tabs>
          <w:tab w:val="left" w:pos="567"/>
        </w:tabs>
        <w:rPr>
          <w:sz w:val="22"/>
          <w:szCs w:val="22"/>
          <w:highlight w:val="lightGray"/>
          <w:lang w:val="es-ES_tradnl"/>
        </w:rPr>
      </w:pPr>
      <w:r w:rsidRPr="001A4823">
        <w:rPr>
          <w:sz w:val="22"/>
          <w:szCs w:val="22"/>
          <w:highlight w:val="lightGray"/>
          <w:lang w:val="es-ES_tradnl"/>
        </w:rPr>
        <w:t>10 comprimidos recubiertos con película</w:t>
      </w:r>
    </w:p>
    <w:p w14:paraId="5B5749C6" w14:textId="77777777" w:rsidR="00D061AA" w:rsidRPr="001A4823" w:rsidRDefault="00D061AA" w:rsidP="00D061AA">
      <w:pPr>
        <w:tabs>
          <w:tab w:val="left" w:pos="567"/>
        </w:tabs>
        <w:rPr>
          <w:sz w:val="22"/>
          <w:szCs w:val="22"/>
          <w:highlight w:val="lightGray"/>
          <w:lang w:val="es-ES_tradnl"/>
        </w:rPr>
      </w:pPr>
      <w:r w:rsidRPr="001A4823">
        <w:rPr>
          <w:sz w:val="22"/>
          <w:szCs w:val="22"/>
          <w:highlight w:val="lightGray"/>
          <w:lang w:val="es-ES_tradnl"/>
        </w:rPr>
        <w:t>14 comprimidos recubiertos con película</w:t>
      </w:r>
    </w:p>
    <w:p w14:paraId="3EB60FA4" w14:textId="77777777" w:rsidR="00D061AA" w:rsidRPr="001A4823" w:rsidRDefault="00D061AA" w:rsidP="00D061AA">
      <w:pPr>
        <w:tabs>
          <w:tab w:val="left" w:pos="567"/>
        </w:tabs>
        <w:rPr>
          <w:sz w:val="22"/>
          <w:szCs w:val="22"/>
          <w:highlight w:val="lightGray"/>
          <w:lang w:val="es-ES_tradnl"/>
        </w:rPr>
      </w:pPr>
      <w:r w:rsidRPr="001A4823">
        <w:rPr>
          <w:sz w:val="22"/>
          <w:szCs w:val="22"/>
          <w:highlight w:val="lightGray"/>
          <w:lang w:val="es-ES_tradnl"/>
        </w:rPr>
        <w:t>20 comprimidos recubiertos con película</w:t>
      </w:r>
    </w:p>
    <w:p w14:paraId="6982D0D4" w14:textId="77777777" w:rsidR="00D061AA" w:rsidRPr="001A4823" w:rsidRDefault="00D061AA" w:rsidP="00D061AA">
      <w:pPr>
        <w:tabs>
          <w:tab w:val="left" w:pos="567"/>
        </w:tabs>
        <w:rPr>
          <w:sz w:val="22"/>
          <w:szCs w:val="22"/>
          <w:highlight w:val="lightGray"/>
          <w:lang w:val="es-ES_tradnl"/>
        </w:rPr>
      </w:pPr>
      <w:r w:rsidRPr="001A4823">
        <w:rPr>
          <w:sz w:val="22"/>
          <w:szCs w:val="22"/>
          <w:highlight w:val="lightGray"/>
          <w:lang w:val="es-ES_tradnl"/>
        </w:rPr>
        <w:t>28 comprimidos recubiertos con película</w:t>
      </w:r>
    </w:p>
    <w:p w14:paraId="5A925571" w14:textId="77777777" w:rsidR="00D061AA" w:rsidRPr="001A4823" w:rsidRDefault="00D061AA" w:rsidP="00D061AA">
      <w:pPr>
        <w:tabs>
          <w:tab w:val="left" w:pos="567"/>
        </w:tabs>
        <w:rPr>
          <w:sz w:val="22"/>
          <w:szCs w:val="22"/>
          <w:highlight w:val="lightGray"/>
          <w:lang w:val="es-ES_tradnl"/>
        </w:rPr>
      </w:pPr>
      <w:r w:rsidRPr="001A4823">
        <w:rPr>
          <w:sz w:val="22"/>
          <w:szCs w:val="22"/>
          <w:highlight w:val="lightGray"/>
          <w:lang w:val="es-ES_tradnl"/>
        </w:rPr>
        <w:t>30 comprimidos recubiertos con película</w:t>
      </w:r>
    </w:p>
    <w:p w14:paraId="3AE4B6A1" w14:textId="77777777" w:rsidR="00D061AA" w:rsidRPr="001A4823" w:rsidRDefault="00D061AA" w:rsidP="00D061AA">
      <w:pPr>
        <w:tabs>
          <w:tab w:val="left" w:pos="567"/>
        </w:tabs>
        <w:rPr>
          <w:sz w:val="22"/>
          <w:szCs w:val="22"/>
          <w:highlight w:val="lightGray"/>
          <w:lang w:val="es-ES_tradnl"/>
        </w:rPr>
      </w:pPr>
      <w:r w:rsidRPr="001A4823">
        <w:rPr>
          <w:sz w:val="22"/>
          <w:szCs w:val="22"/>
          <w:highlight w:val="lightGray"/>
          <w:lang w:val="es-ES_tradnl"/>
        </w:rPr>
        <w:t>50 comprimidos recubiertos con película</w:t>
      </w:r>
    </w:p>
    <w:p w14:paraId="733F0B83" w14:textId="77777777" w:rsidR="00D061AA" w:rsidRPr="001A4823" w:rsidRDefault="00D061AA" w:rsidP="00D061AA">
      <w:pPr>
        <w:tabs>
          <w:tab w:val="left" w:pos="567"/>
        </w:tabs>
        <w:rPr>
          <w:sz w:val="22"/>
          <w:szCs w:val="22"/>
          <w:highlight w:val="lightGray"/>
          <w:lang w:val="es-ES_tradnl"/>
        </w:rPr>
      </w:pPr>
      <w:r w:rsidRPr="001A4823">
        <w:rPr>
          <w:sz w:val="22"/>
          <w:szCs w:val="22"/>
          <w:highlight w:val="lightGray"/>
          <w:lang w:val="es-ES_tradnl"/>
        </w:rPr>
        <w:t>56 comprimidos recubiertos con película</w:t>
      </w:r>
    </w:p>
    <w:p w14:paraId="54A9964D" w14:textId="77777777" w:rsidR="009777DF" w:rsidRPr="001A4823" w:rsidRDefault="00D061AA" w:rsidP="00D061AA">
      <w:pPr>
        <w:tabs>
          <w:tab w:val="left" w:pos="567"/>
        </w:tabs>
        <w:rPr>
          <w:sz w:val="22"/>
          <w:szCs w:val="22"/>
          <w:highlight w:val="lightGray"/>
          <w:lang w:val="es-ES_tradnl"/>
        </w:rPr>
      </w:pPr>
      <w:r w:rsidRPr="001A4823">
        <w:rPr>
          <w:sz w:val="22"/>
          <w:szCs w:val="22"/>
          <w:highlight w:val="lightGray"/>
          <w:lang w:val="es-ES_tradnl"/>
        </w:rPr>
        <w:t>100 comprimidos recubiertos con película</w:t>
      </w:r>
    </w:p>
    <w:p w14:paraId="08F7EF9A" w14:textId="77777777" w:rsidR="009777DF" w:rsidRPr="001A4823" w:rsidRDefault="009777DF" w:rsidP="009777DF">
      <w:pPr>
        <w:jc w:val="both"/>
        <w:rPr>
          <w:sz w:val="22"/>
          <w:szCs w:val="22"/>
          <w:highlight w:val="lightGray"/>
        </w:rPr>
      </w:pPr>
      <w:r w:rsidRPr="001A4823">
        <w:rPr>
          <w:sz w:val="22"/>
          <w:szCs w:val="22"/>
          <w:highlight w:val="lightGray"/>
        </w:rPr>
        <w:t>10x1 comprimidos recubiertos con película</w:t>
      </w:r>
    </w:p>
    <w:p w14:paraId="2AAFA271" w14:textId="77777777" w:rsidR="009777DF" w:rsidRPr="001A4823" w:rsidRDefault="009777DF" w:rsidP="009777DF">
      <w:pPr>
        <w:jc w:val="both"/>
        <w:rPr>
          <w:sz w:val="22"/>
          <w:szCs w:val="22"/>
          <w:highlight w:val="lightGray"/>
        </w:rPr>
      </w:pPr>
      <w:r w:rsidRPr="001A4823">
        <w:rPr>
          <w:sz w:val="22"/>
          <w:szCs w:val="22"/>
          <w:highlight w:val="lightGray"/>
        </w:rPr>
        <w:t>14x1 comprimidos recubiertos con película</w:t>
      </w:r>
    </w:p>
    <w:p w14:paraId="2EF78512" w14:textId="77777777" w:rsidR="009777DF" w:rsidRPr="001A4823" w:rsidRDefault="009777DF" w:rsidP="009777DF">
      <w:pPr>
        <w:jc w:val="both"/>
        <w:rPr>
          <w:sz w:val="22"/>
          <w:szCs w:val="22"/>
          <w:highlight w:val="lightGray"/>
        </w:rPr>
      </w:pPr>
      <w:r w:rsidRPr="001A4823">
        <w:rPr>
          <w:sz w:val="22"/>
          <w:szCs w:val="22"/>
          <w:highlight w:val="lightGray"/>
        </w:rPr>
        <w:t>28x1 comprimidos recubiertos con película</w:t>
      </w:r>
    </w:p>
    <w:p w14:paraId="68B8C9F8" w14:textId="77777777" w:rsidR="009777DF" w:rsidRPr="001A4823" w:rsidRDefault="009777DF" w:rsidP="009777DF">
      <w:pPr>
        <w:jc w:val="both"/>
        <w:rPr>
          <w:sz w:val="22"/>
          <w:szCs w:val="22"/>
          <w:highlight w:val="lightGray"/>
        </w:rPr>
      </w:pPr>
      <w:r w:rsidRPr="001A4823">
        <w:rPr>
          <w:sz w:val="22"/>
          <w:szCs w:val="22"/>
          <w:highlight w:val="lightGray"/>
        </w:rPr>
        <w:t>30x1 comprimidos recubiertos con película</w:t>
      </w:r>
    </w:p>
    <w:p w14:paraId="14292569" w14:textId="77777777" w:rsidR="009777DF" w:rsidRPr="001A4823" w:rsidRDefault="009777DF" w:rsidP="009777DF">
      <w:pPr>
        <w:jc w:val="both"/>
        <w:rPr>
          <w:sz w:val="22"/>
          <w:szCs w:val="22"/>
          <w:highlight w:val="lightGray"/>
        </w:rPr>
      </w:pPr>
      <w:r w:rsidRPr="001A4823">
        <w:rPr>
          <w:sz w:val="22"/>
          <w:szCs w:val="22"/>
          <w:highlight w:val="lightGray"/>
        </w:rPr>
        <w:t>56x1 comprimidos recubiertos con película</w:t>
      </w:r>
    </w:p>
    <w:p w14:paraId="098CD95B" w14:textId="77777777" w:rsidR="009777DF" w:rsidRPr="00C52C4C" w:rsidRDefault="009777DF" w:rsidP="009777DF">
      <w:pPr>
        <w:jc w:val="both"/>
        <w:rPr>
          <w:sz w:val="22"/>
          <w:szCs w:val="22"/>
        </w:rPr>
      </w:pPr>
      <w:r w:rsidRPr="001A4823">
        <w:rPr>
          <w:sz w:val="22"/>
          <w:szCs w:val="22"/>
          <w:highlight w:val="lightGray"/>
        </w:rPr>
        <w:t>100x1 comprimidos recubiertos con película</w:t>
      </w:r>
    </w:p>
    <w:p w14:paraId="7B7B31FA" w14:textId="77777777" w:rsidR="00D061AA" w:rsidRPr="00C52C4C" w:rsidRDefault="00D061AA" w:rsidP="00D061AA">
      <w:pPr>
        <w:tabs>
          <w:tab w:val="left" w:pos="567"/>
        </w:tabs>
        <w:rPr>
          <w:sz w:val="22"/>
          <w:szCs w:val="22"/>
        </w:rPr>
      </w:pPr>
    </w:p>
    <w:p w14:paraId="40392D52" w14:textId="77777777" w:rsidR="009777DF" w:rsidRPr="00C52C4C" w:rsidRDefault="009777DF" w:rsidP="00D061AA">
      <w:pPr>
        <w:tabs>
          <w:tab w:val="left" w:pos="567"/>
        </w:tabs>
        <w:rPr>
          <w:sz w:val="22"/>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63260EB6" w14:textId="77777777" w:rsidTr="00EE4A64">
        <w:tc>
          <w:tcPr>
            <w:tcW w:w="9287" w:type="dxa"/>
          </w:tcPr>
          <w:p w14:paraId="6C8C7309"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5.</w:t>
            </w:r>
            <w:r w:rsidRPr="00C52C4C">
              <w:rPr>
                <w:b/>
                <w:sz w:val="22"/>
                <w:szCs w:val="22"/>
                <w:lang w:val="es-ES_tradnl"/>
              </w:rPr>
              <w:tab/>
              <w:t xml:space="preserve">FORMA Y VÍA(S) </w:t>
            </w:r>
            <w:smartTag w:uri="urn:schemas-microsoft-com:office:smarttags" w:element="PersonName">
              <w:r w:rsidRPr="00C52C4C">
                <w:rPr>
                  <w:b/>
                  <w:sz w:val="22"/>
                  <w:szCs w:val="22"/>
                  <w:lang w:val="es-ES_tradnl"/>
                </w:rPr>
                <w:t>DE</w:t>
              </w:r>
            </w:smartTag>
            <w:r w:rsidRPr="00C52C4C">
              <w:rPr>
                <w:b/>
                <w:sz w:val="22"/>
                <w:szCs w:val="22"/>
                <w:lang w:val="es-ES_tradnl"/>
              </w:rPr>
              <w:t xml:space="preserve"> ADMIN</w:t>
            </w:r>
            <w:smartTag w:uri="urn:schemas-microsoft-com:office:smarttags" w:element="PersonName">
              <w:r w:rsidRPr="00C52C4C">
                <w:rPr>
                  <w:b/>
                  <w:sz w:val="22"/>
                  <w:szCs w:val="22"/>
                  <w:lang w:val="es-ES_tradnl"/>
                </w:rPr>
                <w:t>IS</w:t>
              </w:r>
            </w:smartTag>
            <w:r w:rsidRPr="00C52C4C">
              <w:rPr>
                <w:b/>
                <w:sz w:val="22"/>
                <w:szCs w:val="22"/>
                <w:lang w:val="es-ES_tradnl"/>
              </w:rPr>
              <w:t>TRACIÓN</w:t>
            </w:r>
          </w:p>
        </w:tc>
      </w:tr>
    </w:tbl>
    <w:p w14:paraId="460F526E" w14:textId="77777777" w:rsidR="00D061AA" w:rsidRPr="00C52C4C" w:rsidRDefault="00D061AA" w:rsidP="00D061AA">
      <w:pPr>
        <w:tabs>
          <w:tab w:val="left" w:pos="567"/>
        </w:tabs>
        <w:rPr>
          <w:sz w:val="22"/>
          <w:szCs w:val="22"/>
          <w:lang w:val="es-ES_tradnl"/>
        </w:rPr>
      </w:pPr>
    </w:p>
    <w:p w14:paraId="54DA1888" w14:textId="77777777" w:rsidR="00D061AA" w:rsidRPr="00C52C4C" w:rsidRDefault="00D061AA" w:rsidP="00D061AA">
      <w:pPr>
        <w:tabs>
          <w:tab w:val="left" w:pos="567"/>
        </w:tabs>
        <w:rPr>
          <w:sz w:val="22"/>
          <w:szCs w:val="22"/>
          <w:lang w:val="es-ES_tradnl"/>
        </w:rPr>
      </w:pPr>
      <w:r w:rsidRPr="00C52C4C">
        <w:rPr>
          <w:sz w:val="22"/>
          <w:szCs w:val="22"/>
          <w:lang w:val="es-ES_tradnl"/>
        </w:rPr>
        <w:t>Leer el prospecto antes de utilizar este medicamento.</w:t>
      </w:r>
    </w:p>
    <w:p w14:paraId="4DEBF9B0" w14:textId="77777777" w:rsidR="00D061AA" w:rsidRPr="00C52C4C" w:rsidRDefault="00D061AA" w:rsidP="00D061AA">
      <w:pPr>
        <w:tabs>
          <w:tab w:val="left" w:pos="567"/>
        </w:tabs>
        <w:rPr>
          <w:sz w:val="22"/>
          <w:szCs w:val="22"/>
          <w:lang w:val="es-ES_tradnl"/>
        </w:rPr>
      </w:pPr>
      <w:r w:rsidRPr="00C52C4C">
        <w:rPr>
          <w:sz w:val="22"/>
          <w:szCs w:val="22"/>
          <w:lang w:val="es-ES_tradnl"/>
        </w:rPr>
        <w:t>Vía oral</w:t>
      </w:r>
    </w:p>
    <w:p w14:paraId="70D6BE6F" w14:textId="77777777" w:rsidR="00D061AA" w:rsidRPr="00C52C4C" w:rsidRDefault="00D061AA" w:rsidP="00D061AA">
      <w:pPr>
        <w:pStyle w:val="Textonotaalfinal"/>
        <w:rPr>
          <w:szCs w:val="22"/>
          <w:lang w:val="es-ES_tradnl"/>
        </w:rPr>
      </w:pPr>
    </w:p>
    <w:p w14:paraId="79549EEF"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563F77CF" w14:textId="77777777" w:rsidTr="00EE4A64">
        <w:tc>
          <w:tcPr>
            <w:tcW w:w="9287" w:type="dxa"/>
          </w:tcPr>
          <w:p w14:paraId="3E622558"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6.</w:t>
            </w:r>
            <w:r w:rsidRPr="00C52C4C">
              <w:rPr>
                <w:b/>
                <w:sz w:val="22"/>
                <w:szCs w:val="22"/>
                <w:lang w:val="es-ES_tradnl"/>
              </w:rPr>
              <w:tab/>
              <w:t xml:space="preserve">ADVERTENCIA ESPECIAL </w:t>
            </w:r>
            <w:smartTag w:uri="urn:schemas-microsoft-com:office:smarttags" w:element="PersonName">
              <w:r w:rsidRPr="00C52C4C">
                <w:rPr>
                  <w:b/>
                  <w:sz w:val="22"/>
                  <w:szCs w:val="22"/>
                  <w:lang w:val="es-ES_tradnl"/>
                </w:rPr>
                <w:t>DE</w:t>
              </w:r>
            </w:smartTag>
            <w:r w:rsidRPr="00C52C4C">
              <w:rPr>
                <w:b/>
                <w:sz w:val="22"/>
                <w:szCs w:val="22"/>
                <w:lang w:val="es-ES_tradnl"/>
              </w:rPr>
              <w:t xml:space="preserve"> QUE </w:t>
            </w:r>
            <w:smartTag w:uri="urn:schemas-microsoft-com:office:smarttags" w:element="PersonName">
              <w:r w:rsidRPr="00C52C4C">
                <w:rPr>
                  <w:b/>
                  <w:sz w:val="22"/>
                  <w:szCs w:val="22"/>
                  <w:lang w:val="es-ES_tradnl"/>
                </w:rPr>
                <w:t>EL</w:t>
              </w:r>
            </w:smartTag>
            <w:r w:rsidRPr="00C52C4C">
              <w:rPr>
                <w:b/>
                <w:sz w:val="22"/>
                <w:szCs w:val="22"/>
                <w:lang w:val="es-ES_tradnl"/>
              </w:rPr>
              <w:t xml:space="preserve"> MEDICAMENTO </w:t>
            </w:r>
            <w:smartTag w:uri="urn:schemas-microsoft-com:office:smarttags" w:element="PersonName">
              <w:r w:rsidRPr="00C52C4C">
                <w:rPr>
                  <w:b/>
                  <w:sz w:val="22"/>
                  <w:szCs w:val="22"/>
                  <w:lang w:val="es-ES_tradnl"/>
                </w:rPr>
                <w:t>DE</w:t>
              </w:r>
            </w:smartTag>
            <w:r w:rsidRPr="00C52C4C">
              <w:rPr>
                <w:b/>
                <w:sz w:val="22"/>
                <w:szCs w:val="22"/>
                <w:lang w:val="es-ES_tradnl"/>
              </w:rPr>
              <w:t>BE MANTENER</w:t>
            </w:r>
            <w:smartTag w:uri="urn:schemas-microsoft-com:office:smarttags" w:element="PersonName">
              <w:r w:rsidRPr="00C52C4C">
                <w:rPr>
                  <w:b/>
                  <w:sz w:val="22"/>
                  <w:szCs w:val="22"/>
                  <w:lang w:val="es-ES_tradnl"/>
                </w:rPr>
                <w:t>SE</w:t>
              </w:r>
            </w:smartTag>
            <w:r w:rsidRPr="00C52C4C">
              <w:rPr>
                <w:b/>
                <w:sz w:val="22"/>
                <w:szCs w:val="22"/>
                <w:lang w:val="es-ES_tradnl"/>
              </w:rPr>
              <w:t xml:space="preserve"> FUERA </w:t>
            </w:r>
            <w:smartTag w:uri="urn:schemas-microsoft-com:office:smarttags" w:element="PersonName">
              <w:r w:rsidRPr="00C52C4C">
                <w:rPr>
                  <w:b/>
                  <w:sz w:val="22"/>
                  <w:szCs w:val="22"/>
                  <w:lang w:val="es-ES_tradnl"/>
                </w:rPr>
                <w:t>DE</w:t>
              </w:r>
            </w:smartTag>
            <w:r w:rsidRPr="00C52C4C">
              <w:rPr>
                <w:b/>
                <w:sz w:val="22"/>
                <w:szCs w:val="22"/>
                <w:lang w:val="es-ES_tradnl"/>
              </w:rPr>
              <w:t xml:space="preserve"> </w:t>
            </w:r>
            <w:smartTag w:uri="urn:schemas-microsoft-com:office:smarttags" w:element="PersonName">
              <w:smartTagPr>
                <w:attr w:name="ProductID" w:val="LA VISTA Y"/>
              </w:smartTagPr>
              <w:r w:rsidRPr="00C52C4C">
                <w:rPr>
                  <w:b/>
                  <w:sz w:val="22"/>
                  <w:szCs w:val="22"/>
                  <w:lang w:val="es-ES_tradnl"/>
                </w:rPr>
                <w:t>LA V</w:t>
              </w:r>
              <w:smartTag w:uri="urn:schemas-microsoft-com:office:smarttags" w:element="PersonName">
                <w:r w:rsidRPr="00C52C4C">
                  <w:rPr>
                    <w:b/>
                    <w:sz w:val="22"/>
                    <w:szCs w:val="22"/>
                    <w:lang w:val="es-ES_tradnl"/>
                  </w:rPr>
                  <w:t>IS</w:t>
                </w:r>
              </w:smartTag>
              <w:r w:rsidRPr="00C52C4C">
                <w:rPr>
                  <w:b/>
                  <w:sz w:val="22"/>
                  <w:szCs w:val="22"/>
                  <w:lang w:val="es-ES_tradnl"/>
                </w:rPr>
                <w:t>TA Y</w:t>
              </w:r>
            </w:smartTag>
            <w:r w:rsidRPr="00C52C4C">
              <w:rPr>
                <w:b/>
                <w:sz w:val="22"/>
                <w:szCs w:val="22"/>
                <w:lang w:val="es-ES_tradnl"/>
              </w:rPr>
              <w:t xml:space="preserve"> </w:t>
            </w:r>
            <w:smartTag w:uri="urn:schemas-microsoft-com:office:smarttags" w:element="PersonName">
              <w:r w:rsidRPr="00C52C4C">
                <w:rPr>
                  <w:b/>
                  <w:sz w:val="22"/>
                  <w:szCs w:val="22"/>
                  <w:lang w:val="es-ES_tradnl"/>
                </w:rPr>
                <w:t>D</w:t>
              </w:r>
              <w:smartTag w:uri="urn:schemas-microsoft-com:office:smarttags" w:element="PersonName">
                <w:r w:rsidRPr="00C52C4C">
                  <w:rPr>
                    <w:b/>
                    <w:sz w:val="22"/>
                    <w:szCs w:val="22"/>
                    <w:lang w:val="es-ES_tradnl"/>
                  </w:rPr>
                  <w:t>E</w:t>
                </w:r>
              </w:smartTag>
            </w:smartTag>
            <w:r w:rsidRPr="00C52C4C">
              <w:rPr>
                <w:b/>
                <w:sz w:val="22"/>
                <w:szCs w:val="22"/>
                <w:lang w:val="es-ES_tradnl"/>
              </w:rPr>
              <w:t xml:space="preserve">L ALCANCE </w:t>
            </w:r>
            <w:smartTag w:uri="urn:schemas-microsoft-com:office:smarttags" w:element="PersonName">
              <w:r w:rsidRPr="00C52C4C">
                <w:rPr>
                  <w:b/>
                  <w:sz w:val="22"/>
                  <w:szCs w:val="22"/>
                  <w:lang w:val="es-ES_tradnl"/>
                </w:rPr>
                <w:t>DE</w:t>
              </w:r>
            </w:smartTag>
            <w:r w:rsidRPr="00C52C4C">
              <w:rPr>
                <w:b/>
                <w:sz w:val="22"/>
                <w:szCs w:val="22"/>
                <w:lang w:val="es-ES_tradnl"/>
              </w:rPr>
              <w:t xml:space="preserve"> LOS NIÑOS</w:t>
            </w:r>
          </w:p>
        </w:tc>
      </w:tr>
    </w:tbl>
    <w:p w14:paraId="5BE42E0B" w14:textId="77777777" w:rsidR="00D061AA" w:rsidRPr="00C52C4C" w:rsidRDefault="00D061AA" w:rsidP="00D061AA">
      <w:pPr>
        <w:tabs>
          <w:tab w:val="left" w:pos="567"/>
        </w:tabs>
        <w:rPr>
          <w:sz w:val="22"/>
          <w:szCs w:val="22"/>
          <w:lang w:val="es-ES_tradnl"/>
        </w:rPr>
      </w:pPr>
    </w:p>
    <w:p w14:paraId="5BC740C6" w14:textId="77777777" w:rsidR="00D061AA" w:rsidRPr="00C52C4C" w:rsidRDefault="00D061AA" w:rsidP="00D061AA">
      <w:pPr>
        <w:tabs>
          <w:tab w:val="left" w:pos="567"/>
        </w:tabs>
        <w:rPr>
          <w:sz w:val="22"/>
          <w:szCs w:val="22"/>
          <w:lang w:val="es-ES_tradnl"/>
        </w:rPr>
      </w:pPr>
      <w:r w:rsidRPr="00C52C4C">
        <w:rPr>
          <w:sz w:val="22"/>
          <w:szCs w:val="22"/>
          <w:lang w:val="es-ES_tradnl"/>
        </w:rPr>
        <w:t>Mantener fuera de la vista y del alcance de los niños.</w:t>
      </w:r>
    </w:p>
    <w:p w14:paraId="060CD189" w14:textId="77777777" w:rsidR="00D061AA" w:rsidRPr="00C52C4C" w:rsidRDefault="00D061AA" w:rsidP="00D061AA">
      <w:pPr>
        <w:tabs>
          <w:tab w:val="left" w:pos="567"/>
        </w:tabs>
        <w:rPr>
          <w:sz w:val="22"/>
          <w:szCs w:val="22"/>
          <w:lang w:val="es-ES_tradnl"/>
        </w:rPr>
      </w:pPr>
    </w:p>
    <w:p w14:paraId="34CF33EF"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321B3049" w14:textId="77777777" w:rsidTr="00EE4A64">
        <w:tc>
          <w:tcPr>
            <w:tcW w:w="9287" w:type="dxa"/>
          </w:tcPr>
          <w:p w14:paraId="0C083663"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7.</w:t>
            </w:r>
            <w:r w:rsidRPr="00C52C4C">
              <w:rPr>
                <w:b/>
                <w:sz w:val="22"/>
                <w:szCs w:val="22"/>
                <w:lang w:val="es-ES_tradnl"/>
              </w:rPr>
              <w:tab/>
              <w:t xml:space="preserve">OTRAS ADVERTENCIAS ESPECIALES, </w:t>
            </w:r>
            <w:smartTag w:uri="urn:schemas-microsoft-com:office:smarttags" w:element="PersonName">
              <w:r w:rsidRPr="00C52C4C">
                <w:rPr>
                  <w:b/>
                  <w:sz w:val="22"/>
                  <w:szCs w:val="22"/>
                  <w:lang w:val="es-ES_tradnl"/>
                </w:rPr>
                <w:t>SI</w:t>
              </w:r>
            </w:smartTag>
            <w:r w:rsidRPr="00C52C4C">
              <w:rPr>
                <w:b/>
                <w:sz w:val="22"/>
                <w:szCs w:val="22"/>
                <w:lang w:val="es-ES_tradnl"/>
              </w:rPr>
              <w:t xml:space="preserve"> ES NECESARIO</w:t>
            </w:r>
          </w:p>
        </w:tc>
      </w:tr>
    </w:tbl>
    <w:p w14:paraId="58181C76" w14:textId="77777777" w:rsidR="00D061AA" w:rsidRPr="00C52C4C" w:rsidRDefault="00D061AA" w:rsidP="00D061AA">
      <w:pPr>
        <w:tabs>
          <w:tab w:val="left" w:pos="567"/>
        </w:tabs>
        <w:rPr>
          <w:sz w:val="22"/>
          <w:szCs w:val="22"/>
          <w:lang w:val="es-ES_tradnl"/>
        </w:rPr>
      </w:pPr>
    </w:p>
    <w:p w14:paraId="3008C0B2"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42213E7E" w14:textId="77777777" w:rsidTr="00EE4A64">
        <w:tc>
          <w:tcPr>
            <w:tcW w:w="9287" w:type="dxa"/>
          </w:tcPr>
          <w:p w14:paraId="5AD540BB"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lastRenderedPageBreak/>
              <w:t>8.</w:t>
            </w:r>
            <w:r w:rsidRPr="00C52C4C">
              <w:rPr>
                <w:b/>
                <w:sz w:val="22"/>
                <w:szCs w:val="22"/>
                <w:lang w:val="es-ES_tradnl"/>
              </w:rPr>
              <w:tab/>
              <w:t xml:space="preserve">FECHA </w:t>
            </w:r>
            <w:smartTag w:uri="urn:schemas-microsoft-com:office:smarttags" w:element="PersonName">
              <w:r w:rsidRPr="00C52C4C">
                <w:rPr>
                  <w:b/>
                  <w:sz w:val="22"/>
                  <w:szCs w:val="22"/>
                  <w:lang w:val="es-ES_tradnl"/>
                </w:rPr>
                <w:t>DE</w:t>
              </w:r>
            </w:smartTag>
            <w:r w:rsidRPr="00C52C4C">
              <w:rPr>
                <w:b/>
                <w:sz w:val="22"/>
                <w:szCs w:val="22"/>
                <w:lang w:val="es-ES_tradnl"/>
              </w:rPr>
              <w:t xml:space="preserve"> CADUCIDAD</w:t>
            </w:r>
          </w:p>
        </w:tc>
      </w:tr>
    </w:tbl>
    <w:p w14:paraId="10674B95" w14:textId="77777777" w:rsidR="00D061AA" w:rsidRPr="00C52C4C" w:rsidRDefault="00D061AA" w:rsidP="00D061AA">
      <w:pPr>
        <w:tabs>
          <w:tab w:val="left" w:pos="567"/>
        </w:tabs>
        <w:rPr>
          <w:sz w:val="22"/>
          <w:szCs w:val="22"/>
          <w:lang w:val="es-ES_tradnl"/>
        </w:rPr>
      </w:pPr>
    </w:p>
    <w:p w14:paraId="65CB4481" w14:textId="77777777" w:rsidR="00D061AA" w:rsidRPr="00C52C4C" w:rsidRDefault="00D061AA" w:rsidP="00D061AA">
      <w:pPr>
        <w:tabs>
          <w:tab w:val="left" w:pos="567"/>
        </w:tabs>
        <w:rPr>
          <w:sz w:val="22"/>
          <w:szCs w:val="22"/>
          <w:lang w:val="es-ES_tradnl"/>
        </w:rPr>
      </w:pPr>
      <w:r w:rsidRPr="00C52C4C">
        <w:rPr>
          <w:sz w:val="22"/>
          <w:szCs w:val="22"/>
          <w:lang w:val="es-ES_tradnl"/>
        </w:rPr>
        <w:t>CAD</w:t>
      </w:r>
    </w:p>
    <w:p w14:paraId="420FFD9A" w14:textId="77777777" w:rsidR="00D061AA" w:rsidRPr="00C52C4C" w:rsidRDefault="00D061AA" w:rsidP="00D061AA">
      <w:pPr>
        <w:tabs>
          <w:tab w:val="left" w:pos="567"/>
        </w:tabs>
        <w:rPr>
          <w:sz w:val="22"/>
          <w:szCs w:val="22"/>
          <w:lang w:val="es-ES_tradnl"/>
        </w:rPr>
      </w:pPr>
    </w:p>
    <w:p w14:paraId="7A80D6A2"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73F9C1E8" w14:textId="77777777" w:rsidTr="00EE4A64">
        <w:tc>
          <w:tcPr>
            <w:tcW w:w="9287" w:type="dxa"/>
          </w:tcPr>
          <w:p w14:paraId="3BB6EEF3" w14:textId="77777777" w:rsidR="00D061AA" w:rsidRPr="00C52C4C" w:rsidRDefault="00D061AA" w:rsidP="00EE4A64">
            <w:pPr>
              <w:tabs>
                <w:tab w:val="left" w:pos="567"/>
              </w:tabs>
              <w:ind w:left="567" w:hanging="567"/>
              <w:rPr>
                <w:sz w:val="22"/>
                <w:szCs w:val="22"/>
                <w:lang w:val="es-ES_tradnl"/>
              </w:rPr>
            </w:pPr>
            <w:r w:rsidRPr="00C52C4C">
              <w:rPr>
                <w:b/>
                <w:sz w:val="22"/>
                <w:szCs w:val="22"/>
                <w:lang w:val="es-ES_tradnl"/>
              </w:rPr>
              <w:t>9.</w:t>
            </w:r>
            <w:r w:rsidRPr="00C52C4C">
              <w:rPr>
                <w:b/>
                <w:sz w:val="22"/>
                <w:szCs w:val="22"/>
                <w:lang w:val="es-ES_tradnl"/>
              </w:rPr>
              <w:tab/>
              <w:t xml:space="preserve">CONDICIONES ESPECIALES </w:t>
            </w:r>
            <w:smartTag w:uri="urn:schemas-microsoft-com:office:smarttags" w:element="PersonName">
              <w:r w:rsidRPr="00C52C4C">
                <w:rPr>
                  <w:b/>
                  <w:sz w:val="22"/>
                  <w:szCs w:val="22"/>
                  <w:lang w:val="es-ES_tradnl"/>
                </w:rPr>
                <w:t>DE</w:t>
              </w:r>
            </w:smartTag>
            <w:r w:rsidRPr="00C52C4C">
              <w:rPr>
                <w:b/>
                <w:sz w:val="22"/>
                <w:szCs w:val="22"/>
                <w:lang w:val="es-ES_tradnl"/>
              </w:rPr>
              <w:t xml:space="preserve"> CON</w:t>
            </w:r>
            <w:smartTag w:uri="urn:schemas-microsoft-com:office:smarttags" w:element="PersonName">
              <w:r w:rsidRPr="00C52C4C">
                <w:rPr>
                  <w:b/>
                  <w:sz w:val="22"/>
                  <w:szCs w:val="22"/>
                  <w:lang w:val="es-ES_tradnl"/>
                </w:rPr>
                <w:t>SE</w:t>
              </w:r>
            </w:smartTag>
            <w:r w:rsidRPr="00C52C4C">
              <w:rPr>
                <w:b/>
                <w:sz w:val="22"/>
                <w:szCs w:val="22"/>
                <w:lang w:val="es-ES_tradnl"/>
              </w:rPr>
              <w:t>RVACIÓN</w:t>
            </w:r>
          </w:p>
        </w:tc>
      </w:tr>
    </w:tbl>
    <w:p w14:paraId="4F90D51F" w14:textId="77777777" w:rsidR="00D061AA" w:rsidRPr="00C52C4C" w:rsidRDefault="00D061AA" w:rsidP="00D061AA">
      <w:pPr>
        <w:tabs>
          <w:tab w:val="left" w:pos="567"/>
        </w:tabs>
        <w:rPr>
          <w:sz w:val="22"/>
          <w:szCs w:val="22"/>
          <w:lang w:val="es-ES_tradnl"/>
        </w:rPr>
      </w:pPr>
    </w:p>
    <w:p w14:paraId="024CD936" w14:textId="77777777" w:rsidR="00D061AA" w:rsidRPr="00C52C4C" w:rsidRDefault="00D061AA" w:rsidP="00D061AA">
      <w:pPr>
        <w:tabs>
          <w:tab w:val="left" w:pos="567"/>
        </w:tabs>
        <w:rPr>
          <w:sz w:val="22"/>
          <w:szCs w:val="22"/>
          <w:lang w:val="es-ES_tradnl"/>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79BBA559" w14:textId="77777777" w:rsidTr="00EE4A64">
        <w:tc>
          <w:tcPr>
            <w:tcW w:w="9287" w:type="dxa"/>
          </w:tcPr>
          <w:p w14:paraId="5935A304" w14:textId="77777777" w:rsidR="00D061AA" w:rsidRPr="00C52C4C" w:rsidRDefault="00D061AA" w:rsidP="00EE4A64">
            <w:pPr>
              <w:keepNext/>
              <w:tabs>
                <w:tab w:val="left" w:pos="567"/>
              </w:tabs>
              <w:ind w:left="567" w:hanging="567"/>
              <w:rPr>
                <w:b/>
                <w:sz w:val="22"/>
                <w:szCs w:val="22"/>
                <w:lang w:val="es-ES_tradnl"/>
              </w:rPr>
            </w:pPr>
            <w:r w:rsidRPr="00C52C4C">
              <w:rPr>
                <w:b/>
                <w:sz w:val="22"/>
                <w:szCs w:val="22"/>
                <w:lang w:val="es-ES_tradnl"/>
              </w:rPr>
              <w:t>10.</w:t>
            </w:r>
            <w:r w:rsidRPr="00C52C4C">
              <w:rPr>
                <w:b/>
                <w:sz w:val="22"/>
                <w:szCs w:val="22"/>
                <w:lang w:val="es-ES_tradnl"/>
              </w:rPr>
              <w:tab/>
              <w:t xml:space="preserve">PRECAUCIONES ESPECIALES </w:t>
            </w:r>
            <w:smartTag w:uri="urn:schemas-microsoft-com:office:smarttags" w:element="PersonName">
              <w:r w:rsidRPr="00C52C4C">
                <w:rPr>
                  <w:b/>
                  <w:sz w:val="22"/>
                  <w:szCs w:val="22"/>
                  <w:lang w:val="es-ES_tradnl"/>
                </w:rPr>
                <w:t>DE</w:t>
              </w:r>
            </w:smartTag>
            <w:r w:rsidRPr="00C52C4C">
              <w:rPr>
                <w:b/>
                <w:sz w:val="22"/>
                <w:szCs w:val="22"/>
                <w:lang w:val="es-ES_tradnl"/>
              </w:rPr>
              <w:t xml:space="preserve"> </w:t>
            </w:r>
            <w:smartTag w:uri="urn:schemas-microsoft-com:office:smarttags" w:element="PersonName">
              <w:r w:rsidRPr="00C52C4C">
                <w:rPr>
                  <w:b/>
                  <w:sz w:val="22"/>
                  <w:szCs w:val="22"/>
                  <w:lang w:val="es-ES_tradnl"/>
                </w:rPr>
                <w:t>EL</w:t>
              </w:r>
            </w:smartTag>
            <w:r w:rsidRPr="00C52C4C">
              <w:rPr>
                <w:b/>
                <w:sz w:val="22"/>
                <w:szCs w:val="22"/>
                <w:lang w:val="es-ES_tradnl"/>
              </w:rPr>
              <w:t xml:space="preserve">IMINACIÓN </w:t>
            </w:r>
            <w:smartTag w:uri="urn:schemas-microsoft-com:office:smarttags" w:element="PersonName">
              <w:r w:rsidRPr="00C52C4C">
                <w:rPr>
                  <w:b/>
                  <w:sz w:val="22"/>
                  <w:szCs w:val="22"/>
                  <w:lang w:val="es-ES_tradnl"/>
                </w:rPr>
                <w:t>D</w:t>
              </w:r>
              <w:smartTag w:uri="urn:schemas-microsoft-com:office:smarttags" w:element="PersonName">
                <w:r w:rsidRPr="00C52C4C">
                  <w:rPr>
                    <w:b/>
                    <w:sz w:val="22"/>
                    <w:szCs w:val="22"/>
                    <w:lang w:val="es-ES_tradnl"/>
                  </w:rPr>
                  <w:t>E</w:t>
                </w:r>
              </w:smartTag>
            </w:smartTag>
            <w:r w:rsidRPr="00C52C4C">
              <w:rPr>
                <w:b/>
                <w:sz w:val="22"/>
                <w:szCs w:val="22"/>
                <w:lang w:val="es-ES_tradnl"/>
              </w:rPr>
              <w:t xml:space="preserve">L MEDICAMENTO </w:t>
            </w:r>
            <w:smartTag w:uri="urn:schemas-microsoft-com:office:smarttags" w:element="PersonName">
              <w:r w:rsidRPr="00C52C4C">
                <w:rPr>
                  <w:b/>
                  <w:sz w:val="22"/>
                  <w:szCs w:val="22"/>
                  <w:lang w:val="es-ES_tradnl"/>
                </w:rPr>
                <w:t>NO</w:t>
              </w:r>
            </w:smartTag>
            <w:r w:rsidRPr="00C52C4C">
              <w:rPr>
                <w:b/>
                <w:sz w:val="22"/>
                <w:szCs w:val="22"/>
                <w:lang w:val="es-ES_tradnl"/>
              </w:rPr>
              <w:t xml:space="preserve"> UTILIZADO Y </w:t>
            </w:r>
            <w:smartTag w:uri="urn:schemas-microsoft-com:office:smarttags" w:element="PersonName">
              <w:r w:rsidRPr="00C52C4C">
                <w:rPr>
                  <w:b/>
                  <w:sz w:val="22"/>
                  <w:szCs w:val="22"/>
                  <w:lang w:val="es-ES_tradnl"/>
                </w:rPr>
                <w:t>DE</w:t>
              </w:r>
            </w:smartTag>
            <w:r w:rsidRPr="00C52C4C">
              <w:rPr>
                <w:b/>
                <w:sz w:val="22"/>
                <w:szCs w:val="22"/>
                <w:lang w:val="es-ES_tradnl"/>
              </w:rPr>
              <w:t xml:space="preserve"> LOS MATERIALES </w:t>
            </w:r>
            <w:smartTag w:uri="urn:schemas-microsoft-com:office:smarttags" w:element="PersonName">
              <w:r w:rsidRPr="00C52C4C">
                <w:rPr>
                  <w:b/>
                  <w:sz w:val="22"/>
                  <w:szCs w:val="22"/>
                  <w:lang w:val="es-ES_tradnl"/>
                </w:rPr>
                <w:t>DE</w:t>
              </w:r>
            </w:smartTag>
            <w:r w:rsidRPr="00C52C4C">
              <w:rPr>
                <w:b/>
                <w:sz w:val="22"/>
                <w:szCs w:val="22"/>
                <w:lang w:val="es-ES_tradnl"/>
              </w:rPr>
              <w:t xml:space="preserve">RIVADOS </w:t>
            </w:r>
            <w:smartTag w:uri="urn:schemas-microsoft-com:office:smarttags" w:element="PersonName">
              <w:r w:rsidRPr="00C52C4C">
                <w:rPr>
                  <w:b/>
                  <w:sz w:val="22"/>
                  <w:szCs w:val="22"/>
                  <w:lang w:val="es-ES_tradnl"/>
                </w:rPr>
                <w:t>DE</w:t>
              </w:r>
            </w:smartTag>
            <w:r w:rsidRPr="00C52C4C">
              <w:rPr>
                <w:b/>
                <w:sz w:val="22"/>
                <w:szCs w:val="22"/>
                <w:lang w:val="es-ES_tradnl"/>
              </w:rPr>
              <w:t xml:space="preserve"> SU USO (CUANDO CORRESPONDA)</w:t>
            </w:r>
          </w:p>
        </w:tc>
      </w:tr>
    </w:tbl>
    <w:p w14:paraId="2EC33075" w14:textId="77777777" w:rsidR="00D061AA" w:rsidRPr="00C52C4C" w:rsidRDefault="00D061AA" w:rsidP="00D061AA">
      <w:pPr>
        <w:tabs>
          <w:tab w:val="left" w:pos="567"/>
        </w:tabs>
        <w:rPr>
          <w:sz w:val="22"/>
          <w:szCs w:val="22"/>
          <w:lang w:val="es-ES_tradnl"/>
        </w:rPr>
      </w:pPr>
    </w:p>
    <w:p w14:paraId="1126CC5A"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284194B7" w14:textId="77777777" w:rsidTr="00EE4A64">
        <w:tc>
          <w:tcPr>
            <w:tcW w:w="9287" w:type="dxa"/>
          </w:tcPr>
          <w:p w14:paraId="187A55FD"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11.</w:t>
            </w:r>
            <w:r w:rsidRPr="00C52C4C">
              <w:rPr>
                <w:b/>
                <w:sz w:val="22"/>
                <w:szCs w:val="22"/>
                <w:lang w:val="es-ES_tradnl"/>
              </w:rPr>
              <w:tab/>
            </w:r>
            <w:smartTag w:uri="urn:schemas-microsoft-com:office:smarttags" w:element="PersonName">
              <w:r w:rsidRPr="00C52C4C">
                <w:rPr>
                  <w:b/>
                  <w:sz w:val="22"/>
                  <w:szCs w:val="22"/>
                  <w:lang w:val="es-ES_tradnl"/>
                </w:rPr>
                <w:t>NO</w:t>
              </w:r>
            </w:smartTag>
            <w:r w:rsidRPr="00C52C4C">
              <w:rPr>
                <w:b/>
                <w:sz w:val="22"/>
                <w:szCs w:val="22"/>
                <w:lang w:val="es-ES_tradnl"/>
              </w:rPr>
              <w:t xml:space="preserve">MBRE Y DIRECCIÓN </w:t>
            </w:r>
            <w:smartTag w:uri="urn:schemas-microsoft-com:office:smarttags" w:element="PersonName">
              <w:r w:rsidRPr="00C52C4C">
                <w:rPr>
                  <w:b/>
                  <w:sz w:val="22"/>
                  <w:szCs w:val="22"/>
                  <w:lang w:val="es-ES_tradnl"/>
                </w:rPr>
                <w:t>D</w:t>
              </w:r>
              <w:smartTag w:uri="urn:schemas-microsoft-com:office:smarttags" w:element="PersonName">
                <w:r w:rsidRPr="00C52C4C">
                  <w:rPr>
                    <w:b/>
                    <w:sz w:val="22"/>
                    <w:szCs w:val="22"/>
                    <w:lang w:val="es-ES_tradnl"/>
                  </w:rPr>
                  <w:t>E</w:t>
                </w:r>
              </w:smartTag>
            </w:smartTag>
            <w:r w:rsidRPr="00C52C4C">
              <w:rPr>
                <w:b/>
                <w:sz w:val="22"/>
                <w:szCs w:val="22"/>
                <w:lang w:val="es-ES_tradnl"/>
              </w:rPr>
              <w:t>L T</w:t>
            </w:r>
            <w:smartTag w:uri="urn:schemas-microsoft-com:office:smarttags" w:element="PersonName">
              <w:r w:rsidRPr="00C52C4C">
                <w:rPr>
                  <w:b/>
                  <w:sz w:val="22"/>
                  <w:szCs w:val="22"/>
                  <w:lang w:val="es-ES_tradnl"/>
                </w:rPr>
                <w:t>IT</w:t>
              </w:r>
            </w:smartTag>
            <w:r w:rsidRPr="00C52C4C">
              <w:rPr>
                <w:b/>
                <w:sz w:val="22"/>
                <w:szCs w:val="22"/>
                <w:lang w:val="es-ES_tradnl"/>
              </w:rPr>
              <w:t xml:space="preserve">ULAR </w:t>
            </w:r>
            <w:smartTag w:uri="urn:schemas-microsoft-com:office:smarttags" w:element="PersonName">
              <w:r w:rsidRPr="00C52C4C">
                <w:rPr>
                  <w:b/>
                  <w:sz w:val="22"/>
                  <w:szCs w:val="22"/>
                  <w:lang w:val="es-ES_tradnl"/>
                </w:rPr>
                <w:t>DE</w:t>
              </w:r>
            </w:smartTag>
            <w:r w:rsidRPr="00C52C4C">
              <w:rPr>
                <w:b/>
                <w:sz w:val="22"/>
                <w:szCs w:val="22"/>
                <w:lang w:val="es-ES_tradnl"/>
              </w:rPr>
              <w:t xml:space="preserve"> </w:t>
            </w:r>
            <w:smartTag w:uri="urn:schemas-microsoft-com:office:smarttags" w:element="PersonName">
              <w:smartTagPr>
                <w:attr w:name="ProductID" w:val="LA AUTORIZACIￓN DE"/>
              </w:smartTagPr>
              <w:r w:rsidRPr="00C52C4C">
                <w:rPr>
                  <w:b/>
                  <w:sz w:val="22"/>
                  <w:szCs w:val="22"/>
                  <w:lang w:val="es-ES_tradnl"/>
                </w:rPr>
                <w:t xml:space="preserve">LA AUTORIZACIÓN </w:t>
              </w:r>
              <w:smartTag w:uri="urn:schemas-microsoft-com:office:smarttags" w:element="PersonName">
                <w:r w:rsidRPr="00C52C4C">
                  <w:rPr>
                    <w:b/>
                    <w:sz w:val="22"/>
                    <w:szCs w:val="22"/>
                    <w:lang w:val="es-ES_tradnl"/>
                  </w:rPr>
                  <w:t>DE</w:t>
                </w:r>
              </w:smartTag>
            </w:smartTag>
            <w:r w:rsidRPr="00C52C4C">
              <w:rPr>
                <w:b/>
                <w:sz w:val="22"/>
                <w:szCs w:val="22"/>
                <w:lang w:val="es-ES_tradnl"/>
              </w:rPr>
              <w:t xml:space="preserve"> COMERCIALIZACIÓN</w:t>
            </w:r>
          </w:p>
        </w:tc>
      </w:tr>
    </w:tbl>
    <w:p w14:paraId="76F30718" w14:textId="77777777" w:rsidR="00D061AA" w:rsidRPr="00C52C4C" w:rsidRDefault="00D061AA" w:rsidP="00D061AA">
      <w:pPr>
        <w:tabs>
          <w:tab w:val="left" w:pos="567"/>
        </w:tabs>
        <w:rPr>
          <w:sz w:val="22"/>
          <w:szCs w:val="22"/>
          <w:lang w:val="es-ES_tradnl"/>
        </w:rPr>
      </w:pPr>
    </w:p>
    <w:p w14:paraId="64642305" w14:textId="77777777" w:rsidR="004A1A96" w:rsidRPr="004A1A96" w:rsidRDefault="004A1A96" w:rsidP="004A1A96">
      <w:pPr>
        <w:rPr>
          <w:sz w:val="22"/>
          <w:szCs w:val="22"/>
          <w:lang w:val="pl-PL"/>
        </w:rPr>
      </w:pPr>
      <w:r w:rsidRPr="004A1A96">
        <w:rPr>
          <w:sz w:val="22"/>
          <w:szCs w:val="22"/>
          <w:lang w:val="pl-PL"/>
        </w:rPr>
        <w:t xml:space="preserve">Accord Healthcare S.L.U. </w:t>
      </w:r>
    </w:p>
    <w:p w14:paraId="70A06808" w14:textId="77777777" w:rsidR="004A1A96" w:rsidRPr="004A1A96" w:rsidRDefault="004A1A96" w:rsidP="004A1A96">
      <w:pPr>
        <w:rPr>
          <w:sz w:val="22"/>
          <w:szCs w:val="22"/>
          <w:lang w:val="pl-PL"/>
        </w:rPr>
      </w:pPr>
      <w:r w:rsidRPr="004A1A96">
        <w:rPr>
          <w:sz w:val="22"/>
          <w:szCs w:val="22"/>
          <w:lang w:val="pl-PL"/>
        </w:rPr>
        <w:t xml:space="preserve">World Trade Center, Moll de Barcelona, s/n, </w:t>
      </w:r>
    </w:p>
    <w:p w14:paraId="54C3E65A" w14:textId="77777777" w:rsidR="004A1A96" w:rsidRPr="004A1A96" w:rsidRDefault="004A1A96" w:rsidP="004A1A96">
      <w:pPr>
        <w:rPr>
          <w:sz w:val="22"/>
          <w:szCs w:val="22"/>
          <w:lang w:val="pl-PL"/>
        </w:rPr>
      </w:pPr>
      <w:r w:rsidRPr="004A1A96">
        <w:rPr>
          <w:sz w:val="22"/>
          <w:szCs w:val="22"/>
          <w:lang w:val="pl-PL"/>
        </w:rPr>
        <w:t xml:space="preserve">Edifici Est 6ª planta, </w:t>
      </w:r>
    </w:p>
    <w:p w14:paraId="7A68F6D0" w14:textId="77777777" w:rsidR="004A1A96" w:rsidRPr="004A1A96" w:rsidRDefault="004A1A96" w:rsidP="004A1A96">
      <w:pPr>
        <w:rPr>
          <w:sz w:val="22"/>
          <w:szCs w:val="22"/>
          <w:lang w:val="pl-PL"/>
        </w:rPr>
      </w:pPr>
      <w:r w:rsidRPr="004A1A96">
        <w:rPr>
          <w:sz w:val="22"/>
          <w:szCs w:val="22"/>
          <w:lang w:val="pl-PL"/>
        </w:rPr>
        <w:t xml:space="preserve">08039 Barcelona, </w:t>
      </w:r>
    </w:p>
    <w:p w14:paraId="27D18DE3" w14:textId="77777777" w:rsidR="00D061AA" w:rsidRPr="00C52C4C" w:rsidRDefault="004A1A96" w:rsidP="00D061AA">
      <w:pPr>
        <w:tabs>
          <w:tab w:val="left" w:pos="567"/>
        </w:tabs>
        <w:rPr>
          <w:sz w:val="22"/>
          <w:szCs w:val="22"/>
          <w:lang w:val="es-ES_tradnl"/>
        </w:rPr>
      </w:pPr>
      <w:r w:rsidRPr="004A1A96">
        <w:rPr>
          <w:sz w:val="22"/>
          <w:szCs w:val="22"/>
          <w:lang w:val="en-IN"/>
        </w:rPr>
        <w:t>España</w:t>
      </w:r>
    </w:p>
    <w:p w14:paraId="2D3D0EEA"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1F641B5D" w14:textId="77777777" w:rsidTr="00EE4A64">
        <w:tc>
          <w:tcPr>
            <w:tcW w:w="9287" w:type="dxa"/>
          </w:tcPr>
          <w:p w14:paraId="1A71EB7F"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12.</w:t>
            </w:r>
            <w:r w:rsidRPr="00C52C4C">
              <w:rPr>
                <w:b/>
                <w:sz w:val="22"/>
                <w:szCs w:val="22"/>
                <w:lang w:val="es-ES_tradnl"/>
              </w:rPr>
              <w:tab/>
              <w:t>NÚME</w:t>
            </w:r>
            <w:smartTag w:uri="urn:schemas-microsoft-com:office:smarttags" w:element="PersonName">
              <w:r w:rsidRPr="00C52C4C">
                <w:rPr>
                  <w:b/>
                  <w:sz w:val="22"/>
                  <w:szCs w:val="22"/>
                  <w:lang w:val="es-ES_tradnl"/>
                </w:rPr>
                <w:t>RO</w:t>
              </w:r>
            </w:smartTag>
            <w:r w:rsidRPr="00C52C4C">
              <w:rPr>
                <w:b/>
                <w:sz w:val="22"/>
                <w:szCs w:val="22"/>
                <w:lang w:val="es-ES_tradnl"/>
              </w:rPr>
              <w:t xml:space="preserve">(S) </w:t>
            </w:r>
            <w:smartTag w:uri="urn:schemas-microsoft-com:office:smarttags" w:element="PersonName">
              <w:r w:rsidRPr="00C52C4C">
                <w:rPr>
                  <w:b/>
                  <w:sz w:val="22"/>
                  <w:szCs w:val="22"/>
                  <w:lang w:val="es-ES_tradnl"/>
                </w:rPr>
                <w:t>DE</w:t>
              </w:r>
            </w:smartTag>
            <w:r w:rsidRPr="00C52C4C">
              <w:rPr>
                <w:b/>
                <w:sz w:val="22"/>
                <w:szCs w:val="22"/>
                <w:lang w:val="es-ES_tradnl"/>
              </w:rPr>
              <w:t xml:space="preserve"> </w:t>
            </w:r>
            <w:smartTag w:uri="urn:schemas-microsoft-com:office:smarttags" w:element="PersonName">
              <w:smartTagPr>
                <w:attr w:name="ProductID" w:val="LA AUTORIZACIￓN DE"/>
              </w:smartTagPr>
              <w:r w:rsidRPr="00C52C4C">
                <w:rPr>
                  <w:b/>
                  <w:sz w:val="22"/>
                  <w:szCs w:val="22"/>
                  <w:lang w:val="es-ES_tradnl"/>
                </w:rPr>
                <w:t xml:space="preserve">LA AUTORIZACIÓN </w:t>
              </w:r>
              <w:smartTag w:uri="urn:schemas-microsoft-com:office:smarttags" w:element="PersonName">
                <w:r w:rsidRPr="00C52C4C">
                  <w:rPr>
                    <w:b/>
                    <w:sz w:val="22"/>
                    <w:szCs w:val="22"/>
                    <w:lang w:val="es-ES_tradnl"/>
                  </w:rPr>
                  <w:t>DE</w:t>
                </w:r>
              </w:smartTag>
            </w:smartTag>
            <w:r w:rsidRPr="00C52C4C">
              <w:rPr>
                <w:b/>
                <w:sz w:val="22"/>
                <w:szCs w:val="22"/>
                <w:lang w:val="es-ES_tradnl"/>
              </w:rPr>
              <w:t xml:space="preserve"> COMERCIALIZACIÓN</w:t>
            </w:r>
          </w:p>
        </w:tc>
      </w:tr>
    </w:tbl>
    <w:p w14:paraId="5E7A896A" w14:textId="77777777" w:rsidR="00D061AA" w:rsidRPr="00C52C4C" w:rsidRDefault="00D061AA" w:rsidP="00D061AA">
      <w:pPr>
        <w:tabs>
          <w:tab w:val="left" w:pos="567"/>
        </w:tabs>
        <w:rPr>
          <w:sz w:val="22"/>
          <w:szCs w:val="22"/>
          <w:lang w:val="es-ES_tradnl"/>
        </w:rPr>
      </w:pPr>
    </w:p>
    <w:p w14:paraId="1DF67E0D" w14:textId="77777777" w:rsidR="0002447E" w:rsidRPr="001A4823" w:rsidRDefault="0002447E" w:rsidP="00D061AA">
      <w:pPr>
        <w:tabs>
          <w:tab w:val="left" w:pos="567"/>
        </w:tabs>
        <w:rPr>
          <w:sz w:val="22"/>
          <w:szCs w:val="22"/>
          <w:highlight w:val="lightGray"/>
          <w:lang w:val="es-ES_tradnl"/>
        </w:rPr>
      </w:pPr>
      <w:r w:rsidRPr="00C52C4C">
        <w:rPr>
          <w:sz w:val="22"/>
          <w:szCs w:val="22"/>
          <w:lang w:val="es-ES_tradnl"/>
        </w:rPr>
        <w:t xml:space="preserve">EU/1/13/835/001  </w:t>
      </w:r>
      <w:r w:rsidRPr="001A4823">
        <w:rPr>
          <w:sz w:val="22"/>
          <w:szCs w:val="22"/>
          <w:highlight w:val="lightGray"/>
          <w:lang w:val="es-ES_tradnl"/>
        </w:rPr>
        <w:t>2 comprimidos recubiertos con película</w:t>
      </w:r>
    </w:p>
    <w:p w14:paraId="144E8AB2" w14:textId="77777777" w:rsidR="0002447E" w:rsidRPr="001A4823" w:rsidRDefault="0002447E" w:rsidP="0002447E">
      <w:pPr>
        <w:tabs>
          <w:tab w:val="left" w:pos="567"/>
        </w:tabs>
        <w:rPr>
          <w:sz w:val="22"/>
          <w:szCs w:val="22"/>
          <w:highlight w:val="lightGray"/>
          <w:lang w:val="es-ES_tradnl"/>
        </w:rPr>
      </w:pPr>
      <w:r w:rsidRPr="001A4823">
        <w:rPr>
          <w:sz w:val="22"/>
          <w:szCs w:val="22"/>
          <w:highlight w:val="lightGray"/>
          <w:lang w:val="es-ES_tradnl"/>
        </w:rPr>
        <w:t>EU/1/13/835/002  10 comprimidos recubiertos con película</w:t>
      </w:r>
    </w:p>
    <w:p w14:paraId="242B9D91" w14:textId="77777777" w:rsidR="0002447E" w:rsidRPr="001A4823" w:rsidRDefault="0002447E" w:rsidP="0002447E">
      <w:pPr>
        <w:tabs>
          <w:tab w:val="left" w:pos="567"/>
        </w:tabs>
        <w:rPr>
          <w:sz w:val="22"/>
          <w:szCs w:val="22"/>
          <w:highlight w:val="lightGray"/>
          <w:lang w:val="es-ES_tradnl"/>
        </w:rPr>
      </w:pPr>
      <w:r w:rsidRPr="001A4823">
        <w:rPr>
          <w:sz w:val="22"/>
          <w:szCs w:val="22"/>
          <w:highlight w:val="lightGray"/>
          <w:lang w:val="es-ES_tradnl"/>
        </w:rPr>
        <w:t>EU/1/13/835/003  14 comprimidos recubiertos con película</w:t>
      </w:r>
    </w:p>
    <w:p w14:paraId="3848816B" w14:textId="77777777" w:rsidR="0002447E" w:rsidRPr="001A4823" w:rsidRDefault="0002447E" w:rsidP="0002447E">
      <w:pPr>
        <w:tabs>
          <w:tab w:val="left" w:pos="567"/>
        </w:tabs>
        <w:rPr>
          <w:sz w:val="22"/>
          <w:szCs w:val="22"/>
          <w:highlight w:val="lightGray"/>
          <w:lang w:val="es-ES_tradnl"/>
        </w:rPr>
      </w:pPr>
      <w:r w:rsidRPr="001A4823">
        <w:rPr>
          <w:sz w:val="22"/>
          <w:szCs w:val="22"/>
          <w:highlight w:val="lightGray"/>
          <w:lang w:val="es-ES_tradnl"/>
        </w:rPr>
        <w:t>EU/1/13/835/004  20 comprimidos recubiertos con película</w:t>
      </w:r>
    </w:p>
    <w:p w14:paraId="5099B31F" w14:textId="77777777" w:rsidR="0002447E" w:rsidRPr="001A4823" w:rsidRDefault="0002447E" w:rsidP="0002447E">
      <w:pPr>
        <w:tabs>
          <w:tab w:val="left" w:pos="567"/>
        </w:tabs>
        <w:rPr>
          <w:sz w:val="22"/>
          <w:szCs w:val="22"/>
          <w:highlight w:val="lightGray"/>
          <w:lang w:val="es-ES_tradnl"/>
        </w:rPr>
      </w:pPr>
      <w:r w:rsidRPr="001A4823">
        <w:rPr>
          <w:sz w:val="22"/>
          <w:szCs w:val="22"/>
          <w:highlight w:val="lightGray"/>
          <w:lang w:val="es-ES_tradnl"/>
        </w:rPr>
        <w:t>EU/1/13/835/005  28 comprimidos recubiertos con película</w:t>
      </w:r>
    </w:p>
    <w:p w14:paraId="33799084" w14:textId="77777777" w:rsidR="0002447E" w:rsidRPr="001A4823" w:rsidRDefault="0002447E" w:rsidP="0002447E">
      <w:pPr>
        <w:tabs>
          <w:tab w:val="left" w:pos="567"/>
        </w:tabs>
        <w:rPr>
          <w:sz w:val="22"/>
          <w:szCs w:val="22"/>
          <w:highlight w:val="lightGray"/>
          <w:lang w:val="es-ES_tradnl"/>
        </w:rPr>
      </w:pPr>
      <w:r w:rsidRPr="001A4823">
        <w:rPr>
          <w:sz w:val="22"/>
          <w:szCs w:val="22"/>
          <w:highlight w:val="lightGray"/>
          <w:lang w:val="es-ES_tradnl"/>
        </w:rPr>
        <w:t>EU/1/13/835/006  30 comprimidos recubiertos con película</w:t>
      </w:r>
    </w:p>
    <w:p w14:paraId="59A9F324" w14:textId="77777777" w:rsidR="0002447E" w:rsidRPr="001A4823" w:rsidRDefault="0002447E" w:rsidP="0002447E">
      <w:pPr>
        <w:tabs>
          <w:tab w:val="left" w:pos="567"/>
        </w:tabs>
        <w:rPr>
          <w:sz w:val="22"/>
          <w:szCs w:val="22"/>
          <w:highlight w:val="lightGray"/>
          <w:lang w:val="es-ES_tradnl"/>
        </w:rPr>
      </w:pPr>
      <w:r w:rsidRPr="001A4823">
        <w:rPr>
          <w:sz w:val="22"/>
          <w:szCs w:val="22"/>
          <w:highlight w:val="lightGray"/>
          <w:lang w:val="es-ES_tradnl"/>
        </w:rPr>
        <w:t>EU/1/13/835/007  50 comprimidos recubiertos con película</w:t>
      </w:r>
    </w:p>
    <w:p w14:paraId="67E18817" w14:textId="77777777" w:rsidR="0002447E" w:rsidRPr="001A4823" w:rsidRDefault="0002447E" w:rsidP="0002447E">
      <w:pPr>
        <w:tabs>
          <w:tab w:val="left" w:pos="567"/>
        </w:tabs>
        <w:rPr>
          <w:sz w:val="22"/>
          <w:szCs w:val="22"/>
          <w:highlight w:val="lightGray"/>
          <w:lang w:val="es-ES_tradnl"/>
        </w:rPr>
      </w:pPr>
      <w:r w:rsidRPr="001A4823">
        <w:rPr>
          <w:sz w:val="22"/>
          <w:szCs w:val="22"/>
          <w:highlight w:val="lightGray"/>
          <w:lang w:val="es-ES_tradnl"/>
        </w:rPr>
        <w:t>EU/1/13/835/008  56 comprimidos recubiertos con película</w:t>
      </w:r>
    </w:p>
    <w:p w14:paraId="522EB64B" w14:textId="77777777" w:rsidR="0002447E" w:rsidRPr="001A4823" w:rsidRDefault="0002447E" w:rsidP="0002447E">
      <w:pPr>
        <w:tabs>
          <w:tab w:val="left" w:pos="567"/>
        </w:tabs>
        <w:rPr>
          <w:sz w:val="22"/>
          <w:szCs w:val="22"/>
          <w:highlight w:val="lightGray"/>
          <w:lang w:val="es-ES_tradnl"/>
        </w:rPr>
      </w:pPr>
      <w:r w:rsidRPr="001A4823">
        <w:rPr>
          <w:sz w:val="22"/>
          <w:szCs w:val="22"/>
          <w:highlight w:val="lightGray"/>
          <w:lang w:val="es-ES_tradnl"/>
        </w:rPr>
        <w:t>EU/1/13/835/009  100 comprimidos recubiertos con película</w:t>
      </w:r>
    </w:p>
    <w:p w14:paraId="65143036" w14:textId="77777777" w:rsidR="009777DF" w:rsidRPr="001A4823" w:rsidRDefault="009777DF" w:rsidP="009777DF">
      <w:pPr>
        <w:pStyle w:val="Default"/>
        <w:rPr>
          <w:sz w:val="22"/>
          <w:szCs w:val="22"/>
          <w:highlight w:val="lightGray"/>
          <w:lang w:val="es-ES"/>
        </w:rPr>
      </w:pPr>
      <w:r w:rsidRPr="001A4823">
        <w:rPr>
          <w:sz w:val="22"/>
          <w:szCs w:val="22"/>
          <w:highlight w:val="lightGray"/>
          <w:lang w:val="es-ES"/>
        </w:rPr>
        <w:t xml:space="preserve">EU/1/13/835/019 10x1 </w:t>
      </w:r>
      <w:r w:rsidRPr="001A4823">
        <w:rPr>
          <w:sz w:val="22"/>
          <w:szCs w:val="22"/>
          <w:highlight w:val="lightGray"/>
          <w:lang w:val="es-ES_tradnl"/>
        </w:rPr>
        <w:t>comprimidos recubiertos con película</w:t>
      </w:r>
    </w:p>
    <w:p w14:paraId="528A8712" w14:textId="77777777" w:rsidR="009777DF" w:rsidRPr="001A4823" w:rsidRDefault="009777DF" w:rsidP="009777DF">
      <w:pPr>
        <w:pStyle w:val="Default"/>
        <w:rPr>
          <w:sz w:val="22"/>
          <w:szCs w:val="22"/>
          <w:highlight w:val="lightGray"/>
          <w:lang w:val="es-ES"/>
        </w:rPr>
      </w:pPr>
      <w:r w:rsidRPr="001A4823">
        <w:rPr>
          <w:sz w:val="22"/>
          <w:szCs w:val="22"/>
          <w:highlight w:val="lightGray"/>
          <w:lang w:val="es-ES"/>
        </w:rPr>
        <w:t xml:space="preserve">EU/1/13/835/020 14x1 </w:t>
      </w:r>
      <w:r w:rsidRPr="001A4823">
        <w:rPr>
          <w:sz w:val="22"/>
          <w:szCs w:val="22"/>
          <w:highlight w:val="lightGray"/>
          <w:lang w:val="es-ES_tradnl"/>
        </w:rPr>
        <w:t>comprimidos recubiertos con película</w:t>
      </w:r>
    </w:p>
    <w:p w14:paraId="276C9642" w14:textId="77777777" w:rsidR="009777DF" w:rsidRPr="001A4823" w:rsidRDefault="009777DF" w:rsidP="009777DF">
      <w:pPr>
        <w:pStyle w:val="Default"/>
        <w:rPr>
          <w:sz w:val="22"/>
          <w:szCs w:val="22"/>
          <w:highlight w:val="lightGray"/>
          <w:lang w:val="es-ES"/>
        </w:rPr>
      </w:pPr>
      <w:r w:rsidRPr="001A4823">
        <w:rPr>
          <w:sz w:val="22"/>
          <w:szCs w:val="22"/>
          <w:highlight w:val="lightGray"/>
          <w:lang w:val="es-ES"/>
        </w:rPr>
        <w:t xml:space="preserve">EU/1/13/835/021 28x1 </w:t>
      </w:r>
      <w:r w:rsidRPr="001A4823">
        <w:rPr>
          <w:sz w:val="22"/>
          <w:szCs w:val="22"/>
          <w:highlight w:val="lightGray"/>
          <w:lang w:val="es-ES_tradnl"/>
        </w:rPr>
        <w:t>comprimidos recubiertos con película</w:t>
      </w:r>
    </w:p>
    <w:p w14:paraId="0BCD17DB" w14:textId="77777777" w:rsidR="009777DF" w:rsidRPr="001A4823" w:rsidRDefault="009777DF" w:rsidP="009777DF">
      <w:pPr>
        <w:pStyle w:val="Default"/>
        <w:rPr>
          <w:sz w:val="22"/>
          <w:szCs w:val="22"/>
          <w:highlight w:val="lightGray"/>
          <w:lang w:val="es-ES"/>
        </w:rPr>
      </w:pPr>
      <w:r w:rsidRPr="001A4823">
        <w:rPr>
          <w:sz w:val="22"/>
          <w:szCs w:val="22"/>
          <w:highlight w:val="lightGray"/>
          <w:lang w:val="es-ES"/>
        </w:rPr>
        <w:t xml:space="preserve">EU/1/13/835/022 30x1 </w:t>
      </w:r>
      <w:r w:rsidRPr="001A4823">
        <w:rPr>
          <w:sz w:val="22"/>
          <w:szCs w:val="22"/>
          <w:highlight w:val="lightGray"/>
          <w:lang w:val="es-ES_tradnl"/>
        </w:rPr>
        <w:t>comprimidos recubiertos con película</w:t>
      </w:r>
    </w:p>
    <w:p w14:paraId="5618D0AC" w14:textId="77777777" w:rsidR="009777DF" w:rsidRPr="001A4823" w:rsidRDefault="009777DF" w:rsidP="009777DF">
      <w:pPr>
        <w:pStyle w:val="Default"/>
        <w:rPr>
          <w:sz w:val="22"/>
          <w:szCs w:val="22"/>
          <w:highlight w:val="lightGray"/>
          <w:lang w:val="es-ES"/>
        </w:rPr>
      </w:pPr>
      <w:r w:rsidRPr="001A4823">
        <w:rPr>
          <w:sz w:val="22"/>
          <w:szCs w:val="22"/>
          <w:highlight w:val="lightGray"/>
          <w:lang w:val="es-ES"/>
        </w:rPr>
        <w:t xml:space="preserve">EU/1/13/835/023 56x1 </w:t>
      </w:r>
      <w:r w:rsidRPr="001A4823">
        <w:rPr>
          <w:sz w:val="22"/>
          <w:szCs w:val="22"/>
          <w:highlight w:val="lightGray"/>
          <w:lang w:val="es-ES_tradnl"/>
        </w:rPr>
        <w:t>comprimidos recubiertos con película</w:t>
      </w:r>
    </w:p>
    <w:p w14:paraId="110A4575" w14:textId="77777777" w:rsidR="009777DF" w:rsidRPr="00C52C4C" w:rsidRDefault="009777DF" w:rsidP="009777DF">
      <w:pPr>
        <w:pStyle w:val="Default"/>
        <w:rPr>
          <w:sz w:val="22"/>
          <w:szCs w:val="22"/>
          <w:lang w:val="es-ES"/>
        </w:rPr>
      </w:pPr>
      <w:r w:rsidRPr="001A4823">
        <w:rPr>
          <w:sz w:val="22"/>
          <w:szCs w:val="22"/>
          <w:highlight w:val="lightGray"/>
          <w:lang w:val="es-ES"/>
        </w:rPr>
        <w:t xml:space="preserve">EU/1/13/835/024 100x1 </w:t>
      </w:r>
      <w:r w:rsidRPr="001A4823">
        <w:rPr>
          <w:sz w:val="22"/>
          <w:szCs w:val="22"/>
          <w:highlight w:val="lightGray"/>
          <w:lang w:val="es-ES_tradnl"/>
        </w:rPr>
        <w:t>comprimidos recubiertos con película</w:t>
      </w:r>
    </w:p>
    <w:p w14:paraId="52174D5A" w14:textId="77777777" w:rsidR="00D061AA" w:rsidRPr="00ED76C9" w:rsidRDefault="00D061AA" w:rsidP="00D061AA">
      <w:pPr>
        <w:tabs>
          <w:tab w:val="left" w:pos="567"/>
        </w:tabs>
        <w:rPr>
          <w:sz w:val="10"/>
          <w:szCs w:val="22"/>
          <w:lang w:val="es-ES_tradnl"/>
        </w:rPr>
      </w:pPr>
    </w:p>
    <w:p w14:paraId="62FF6A35"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6C246584" w14:textId="77777777" w:rsidTr="00EE4A64">
        <w:tc>
          <w:tcPr>
            <w:tcW w:w="9287" w:type="dxa"/>
          </w:tcPr>
          <w:p w14:paraId="7B9A5E66"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13.</w:t>
            </w:r>
            <w:r w:rsidRPr="00C52C4C">
              <w:rPr>
                <w:b/>
                <w:sz w:val="22"/>
                <w:szCs w:val="22"/>
                <w:lang w:val="es-ES_tradnl"/>
              </w:rPr>
              <w:tab/>
              <w:t>NÚME</w:t>
            </w:r>
            <w:smartTag w:uri="urn:schemas-microsoft-com:office:smarttags" w:element="PersonName">
              <w:r w:rsidRPr="00C52C4C">
                <w:rPr>
                  <w:b/>
                  <w:sz w:val="22"/>
                  <w:szCs w:val="22"/>
                  <w:lang w:val="es-ES_tradnl"/>
                </w:rPr>
                <w:t>RO</w:t>
              </w:r>
            </w:smartTag>
            <w:r w:rsidRPr="00C52C4C">
              <w:rPr>
                <w:b/>
                <w:sz w:val="22"/>
                <w:szCs w:val="22"/>
                <w:lang w:val="es-ES_tradnl"/>
              </w:rPr>
              <w:t xml:space="preserve"> </w:t>
            </w:r>
            <w:smartTag w:uri="urn:schemas-microsoft-com:office:smarttags" w:element="PersonName">
              <w:r w:rsidRPr="00C52C4C">
                <w:rPr>
                  <w:b/>
                  <w:sz w:val="22"/>
                  <w:szCs w:val="22"/>
                  <w:lang w:val="es-ES_tradnl"/>
                </w:rPr>
                <w:t>DE</w:t>
              </w:r>
            </w:smartTag>
            <w:r w:rsidRPr="00C52C4C">
              <w:rPr>
                <w:b/>
                <w:sz w:val="22"/>
                <w:szCs w:val="22"/>
                <w:lang w:val="es-ES_tradnl"/>
              </w:rPr>
              <w:t xml:space="preserve"> LOTE </w:t>
            </w:r>
            <w:smartTag w:uri="urn:schemas-microsoft-com:office:smarttags" w:element="PersonName">
              <w:r w:rsidRPr="00C52C4C">
                <w:rPr>
                  <w:b/>
                  <w:sz w:val="22"/>
                  <w:szCs w:val="22"/>
                  <w:lang w:val="es-ES_tradnl"/>
                </w:rPr>
                <w:t>D</w:t>
              </w:r>
              <w:smartTag w:uri="urn:schemas-microsoft-com:office:smarttags" w:element="PersonName">
                <w:r w:rsidRPr="00C52C4C">
                  <w:rPr>
                    <w:b/>
                    <w:sz w:val="22"/>
                    <w:szCs w:val="22"/>
                    <w:lang w:val="es-ES_tradnl"/>
                  </w:rPr>
                  <w:t>E</w:t>
                </w:r>
              </w:smartTag>
            </w:smartTag>
            <w:r w:rsidRPr="00C52C4C">
              <w:rPr>
                <w:b/>
                <w:sz w:val="22"/>
                <w:szCs w:val="22"/>
                <w:lang w:val="es-ES_tradnl"/>
              </w:rPr>
              <w:t>L FABRICANTE</w:t>
            </w:r>
          </w:p>
        </w:tc>
      </w:tr>
    </w:tbl>
    <w:p w14:paraId="4B575989" w14:textId="77777777" w:rsidR="00D061AA" w:rsidRPr="00C52C4C" w:rsidRDefault="00D061AA" w:rsidP="00D061AA">
      <w:pPr>
        <w:tabs>
          <w:tab w:val="left" w:pos="567"/>
        </w:tabs>
        <w:rPr>
          <w:sz w:val="22"/>
          <w:szCs w:val="22"/>
          <w:lang w:val="es-ES_tradnl"/>
        </w:rPr>
      </w:pPr>
    </w:p>
    <w:p w14:paraId="7112BBDA" w14:textId="77777777" w:rsidR="00D061AA" w:rsidRPr="00C52C4C" w:rsidRDefault="00D061AA" w:rsidP="00D061AA">
      <w:pPr>
        <w:tabs>
          <w:tab w:val="left" w:pos="567"/>
        </w:tabs>
        <w:rPr>
          <w:sz w:val="22"/>
          <w:szCs w:val="22"/>
          <w:lang w:val="es-ES_tradnl"/>
        </w:rPr>
      </w:pPr>
      <w:r w:rsidRPr="00C52C4C">
        <w:rPr>
          <w:sz w:val="22"/>
          <w:szCs w:val="22"/>
          <w:lang w:val="es-ES_tradnl"/>
        </w:rPr>
        <w:t>Lote</w:t>
      </w:r>
    </w:p>
    <w:p w14:paraId="76BD874A" w14:textId="77777777" w:rsidR="00D061AA" w:rsidRPr="00D30A8E" w:rsidRDefault="00D061AA" w:rsidP="00D061AA">
      <w:pPr>
        <w:tabs>
          <w:tab w:val="left" w:pos="567"/>
        </w:tabs>
        <w:rPr>
          <w:sz w:val="22"/>
          <w:szCs w:val="22"/>
          <w:lang w:val="es-ES_tradnl"/>
        </w:rPr>
      </w:pPr>
    </w:p>
    <w:p w14:paraId="5FFC0DB4"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0991EBC3" w14:textId="77777777" w:rsidTr="00EE4A64">
        <w:tc>
          <w:tcPr>
            <w:tcW w:w="9287" w:type="dxa"/>
          </w:tcPr>
          <w:p w14:paraId="63A69AEA"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14.</w:t>
            </w:r>
            <w:r w:rsidRPr="00C52C4C">
              <w:rPr>
                <w:b/>
                <w:sz w:val="22"/>
                <w:szCs w:val="22"/>
                <w:lang w:val="es-ES_tradnl"/>
              </w:rPr>
              <w:tab/>
              <w:t xml:space="preserve">CONDICIONES GENERALES </w:t>
            </w:r>
            <w:smartTag w:uri="urn:schemas-microsoft-com:office:smarttags" w:element="PersonName">
              <w:r w:rsidRPr="00C52C4C">
                <w:rPr>
                  <w:b/>
                  <w:sz w:val="22"/>
                  <w:szCs w:val="22"/>
                  <w:lang w:val="es-ES_tradnl"/>
                </w:rPr>
                <w:t>DE</w:t>
              </w:r>
            </w:smartTag>
            <w:r w:rsidRPr="00C52C4C">
              <w:rPr>
                <w:b/>
                <w:sz w:val="22"/>
                <w:szCs w:val="22"/>
                <w:lang w:val="es-ES_tradnl"/>
              </w:rPr>
              <w:t xml:space="preserve"> D</w:t>
            </w:r>
            <w:smartTag w:uri="urn:schemas-microsoft-com:office:smarttags" w:element="PersonName">
              <w:r w:rsidRPr="00C52C4C">
                <w:rPr>
                  <w:b/>
                  <w:sz w:val="22"/>
                  <w:szCs w:val="22"/>
                  <w:lang w:val="es-ES_tradnl"/>
                </w:rPr>
                <w:t>IS</w:t>
              </w:r>
            </w:smartTag>
            <w:r w:rsidRPr="00C52C4C">
              <w:rPr>
                <w:b/>
                <w:sz w:val="22"/>
                <w:szCs w:val="22"/>
                <w:lang w:val="es-ES_tradnl"/>
              </w:rPr>
              <w:t>PENSACIÓN</w:t>
            </w:r>
          </w:p>
        </w:tc>
      </w:tr>
    </w:tbl>
    <w:p w14:paraId="3E0E48C5" w14:textId="77777777" w:rsidR="00D061AA" w:rsidRPr="00ED76C9" w:rsidRDefault="00D061AA" w:rsidP="00D061AA">
      <w:pPr>
        <w:tabs>
          <w:tab w:val="left" w:pos="567"/>
        </w:tabs>
        <w:rPr>
          <w:sz w:val="10"/>
          <w:szCs w:val="22"/>
          <w:lang w:val="es-ES_tradnl"/>
        </w:rPr>
      </w:pPr>
    </w:p>
    <w:p w14:paraId="450A787F" w14:textId="77777777" w:rsidR="00D061AA" w:rsidRPr="00C52C4C" w:rsidRDefault="00D061AA" w:rsidP="00D061AA">
      <w:pPr>
        <w:tabs>
          <w:tab w:val="left" w:pos="567"/>
        </w:tabs>
        <w:rPr>
          <w:sz w:val="22"/>
          <w:szCs w:val="22"/>
          <w:lang w:val="es-ES_tradnl"/>
        </w:rPr>
      </w:pPr>
    </w:p>
    <w:p w14:paraId="3DBD6C30" w14:textId="77777777" w:rsidR="006A16B9" w:rsidRPr="00C52C4C" w:rsidRDefault="006A16B9"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5390C848" w14:textId="77777777" w:rsidTr="00EE4A64">
        <w:tc>
          <w:tcPr>
            <w:tcW w:w="9287" w:type="dxa"/>
          </w:tcPr>
          <w:p w14:paraId="26EC554A"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15.</w:t>
            </w:r>
            <w:r w:rsidRPr="00C52C4C">
              <w:rPr>
                <w:b/>
                <w:sz w:val="22"/>
                <w:szCs w:val="22"/>
                <w:lang w:val="es-ES_tradnl"/>
              </w:rPr>
              <w:tab/>
              <w:t xml:space="preserve">INSTRUCCIONES </w:t>
            </w:r>
            <w:smartTag w:uri="urn:schemas-microsoft-com:office:smarttags" w:element="PersonName">
              <w:r w:rsidRPr="00C52C4C">
                <w:rPr>
                  <w:b/>
                  <w:sz w:val="22"/>
                  <w:szCs w:val="22"/>
                  <w:lang w:val="es-ES_tradnl"/>
                </w:rPr>
                <w:t>DE</w:t>
              </w:r>
            </w:smartTag>
            <w:r w:rsidRPr="00C52C4C">
              <w:rPr>
                <w:b/>
                <w:sz w:val="22"/>
                <w:szCs w:val="22"/>
                <w:lang w:val="es-ES_tradnl"/>
              </w:rPr>
              <w:t xml:space="preserve"> USO</w:t>
            </w:r>
          </w:p>
        </w:tc>
      </w:tr>
    </w:tbl>
    <w:p w14:paraId="7460482C" w14:textId="77777777" w:rsidR="00D061AA" w:rsidRPr="00C52C4C" w:rsidRDefault="00D061AA" w:rsidP="00D061AA">
      <w:pPr>
        <w:tabs>
          <w:tab w:val="left" w:pos="567"/>
        </w:tabs>
        <w:rPr>
          <w:b/>
          <w:sz w:val="22"/>
          <w:szCs w:val="22"/>
          <w:u w:val="single"/>
          <w:lang w:val="es-ES_tradnl"/>
        </w:rPr>
      </w:pPr>
    </w:p>
    <w:p w14:paraId="2CBDADE8" w14:textId="77777777" w:rsidR="00D061AA" w:rsidRPr="00C52C4C" w:rsidRDefault="00D061AA" w:rsidP="00D061AA">
      <w:pPr>
        <w:tabs>
          <w:tab w:val="left" w:pos="567"/>
        </w:tabs>
        <w:rPr>
          <w:b/>
          <w:sz w:val="22"/>
          <w:szCs w:val="22"/>
          <w:u w:val="single"/>
          <w:lang w:val="es-ES_tradnl"/>
        </w:rPr>
      </w:pPr>
    </w:p>
    <w:p w14:paraId="03C562BE" w14:textId="77777777" w:rsidR="00D061AA" w:rsidRPr="00C52C4C" w:rsidRDefault="00D061AA" w:rsidP="00D061AA">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s-ES_tradnl"/>
        </w:rPr>
      </w:pPr>
      <w:r w:rsidRPr="00C52C4C">
        <w:rPr>
          <w:b/>
          <w:sz w:val="22"/>
          <w:szCs w:val="22"/>
          <w:lang w:val="es-ES_tradnl"/>
        </w:rPr>
        <w:t>16.</w:t>
      </w:r>
      <w:r w:rsidRPr="00C52C4C">
        <w:rPr>
          <w:b/>
          <w:sz w:val="22"/>
          <w:szCs w:val="22"/>
          <w:lang w:val="es-ES_tradnl"/>
        </w:rPr>
        <w:tab/>
        <w:t>INFORMACIÓN EN BRAILLE</w:t>
      </w:r>
    </w:p>
    <w:p w14:paraId="4669D51C" w14:textId="77777777" w:rsidR="00E40D35" w:rsidRPr="00C52C4C" w:rsidRDefault="00E40D35" w:rsidP="00D061AA">
      <w:pPr>
        <w:tabs>
          <w:tab w:val="left" w:pos="567"/>
        </w:tabs>
        <w:rPr>
          <w:b/>
          <w:sz w:val="22"/>
          <w:szCs w:val="22"/>
          <w:u w:val="single"/>
          <w:lang w:val="es-ES_tradnl"/>
        </w:rPr>
      </w:pPr>
    </w:p>
    <w:p w14:paraId="652174F4" w14:textId="77777777" w:rsidR="006432E3" w:rsidRDefault="008D11BB" w:rsidP="00D061AA">
      <w:pPr>
        <w:tabs>
          <w:tab w:val="left" w:pos="567"/>
        </w:tabs>
        <w:rPr>
          <w:sz w:val="22"/>
          <w:szCs w:val="22"/>
          <w:lang w:val="es-ES_tradnl"/>
        </w:rPr>
      </w:pPr>
      <w:r w:rsidRPr="00C52C4C">
        <w:rPr>
          <w:sz w:val="22"/>
          <w:szCs w:val="22"/>
          <w:lang w:val="cy-GB"/>
        </w:rPr>
        <w:t>Voriconazol</w:t>
      </w:r>
      <w:r w:rsidR="00BD7C02" w:rsidRPr="00C52C4C">
        <w:rPr>
          <w:sz w:val="22"/>
          <w:szCs w:val="22"/>
          <w:lang w:val="cy-GB"/>
        </w:rPr>
        <w:t xml:space="preserve"> Accord </w:t>
      </w:r>
      <w:r w:rsidR="0002447E" w:rsidRPr="00C52C4C">
        <w:rPr>
          <w:sz w:val="22"/>
          <w:szCs w:val="22"/>
          <w:lang w:val="es-ES_tradnl"/>
        </w:rPr>
        <w:t>#</w:t>
      </w:r>
      <w:r w:rsidR="00D061AA" w:rsidRPr="00C52C4C">
        <w:rPr>
          <w:sz w:val="22"/>
          <w:szCs w:val="22"/>
          <w:lang w:val="es-ES_tradnl"/>
        </w:rPr>
        <w:t>50 mg</w:t>
      </w:r>
    </w:p>
    <w:p w14:paraId="4F90900D" w14:textId="77777777" w:rsidR="006432E3" w:rsidRDefault="006432E3" w:rsidP="00D061AA">
      <w:pPr>
        <w:tabs>
          <w:tab w:val="left" w:pos="567"/>
        </w:tabs>
        <w:rPr>
          <w:sz w:val="22"/>
          <w:szCs w:val="22"/>
          <w:lang w:val="es-ES_tradnl"/>
        </w:rPr>
      </w:pPr>
    </w:p>
    <w:p w14:paraId="77F333A3" w14:textId="77777777" w:rsidR="006432E3" w:rsidRPr="002F2886" w:rsidRDefault="006432E3" w:rsidP="006432E3">
      <w:pPr>
        <w:widowControl w:val="0"/>
        <w:rPr>
          <w:color w:val="000000"/>
          <w:sz w:val="22"/>
          <w:szCs w:val="22"/>
        </w:rPr>
      </w:pPr>
    </w:p>
    <w:p w14:paraId="4810EA27" w14:textId="77777777" w:rsidR="006432E3" w:rsidRPr="002F2886" w:rsidRDefault="006432E3" w:rsidP="006432E3">
      <w:pPr>
        <w:pStyle w:val="EMEATitlePAC"/>
        <w:keepNext w:val="0"/>
        <w:keepLines w:val="0"/>
        <w:widowControl w:val="0"/>
        <w:pBdr>
          <w:top w:val="single" w:sz="4" w:space="0" w:color="auto"/>
        </w:pBdr>
        <w:tabs>
          <w:tab w:val="left" w:pos="567"/>
        </w:tabs>
        <w:ind w:left="567" w:hanging="567"/>
        <w:rPr>
          <w:caps w:val="0"/>
          <w:szCs w:val="22"/>
          <w:lang w:val="es-ES"/>
        </w:rPr>
      </w:pPr>
      <w:r w:rsidRPr="002F2886">
        <w:rPr>
          <w:caps w:val="0"/>
          <w:szCs w:val="22"/>
          <w:lang w:val="es-ES"/>
        </w:rPr>
        <w:t>17.</w:t>
      </w:r>
      <w:r w:rsidRPr="002F2886">
        <w:rPr>
          <w:caps w:val="0"/>
          <w:szCs w:val="22"/>
          <w:lang w:val="es-ES"/>
        </w:rPr>
        <w:tab/>
        <w:t>IDENTIFICADOR ÚNICO - CÓDIGO DE BARRAS 2D</w:t>
      </w:r>
    </w:p>
    <w:p w14:paraId="4BF3B069" w14:textId="77777777" w:rsidR="006432E3" w:rsidRPr="002F2886" w:rsidRDefault="006432E3" w:rsidP="006432E3">
      <w:pPr>
        <w:pStyle w:val="EMEABodyText"/>
        <w:widowControl w:val="0"/>
        <w:rPr>
          <w:szCs w:val="22"/>
          <w:lang w:val="es-ES"/>
        </w:rPr>
      </w:pPr>
    </w:p>
    <w:p w14:paraId="5EC3889B" w14:textId="77777777" w:rsidR="006432E3" w:rsidRPr="002F2886" w:rsidRDefault="006432E3" w:rsidP="006432E3">
      <w:pPr>
        <w:pStyle w:val="EMEABodyText"/>
        <w:widowControl w:val="0"/>
        <w:rPr>
          <w:szCs w:val="22"/>
          <w:lang w:val="es-ES"/>
        </w:rPr>
      </w:pPr>
      <w:r w:rsidRPr="002F2886">
        <w:rPr>
          <w:szCs w:val="22"/>
          <w:highlight w:val="lightGray"/>
          <w:lang w:val="es-ES"/>
        </w:rPr>
        <w:t>Incluido el código de barras 2D que lleva el identificador único.</w:t>
      </w:r>
    </w:p>
    <w:p w14:paraId="0E5C81B2" w14:textId="77777777" w:rsidR="006432E3" w:rsidRPr="002F2886" w:rsidRDefault="006432E3" w:rsidP="006432E3">
      <w:pPr>
        <w:pStyle w:val="EMEABodyText"/>
        <w:widowControl w:val="0"/>
        <w:rPr>
          <w:szCs w:val="22"/>
          <w:lang w:val="es-ES"/>
        </w:rPr>
      </w:pPr>
    </w:p>
    <w:p w14:paraId="0DE845E9" w14:textId="77777777" w:rsidR="006432E3" w:rsidRPr="002F2886" w:rsidRDefault="006432E3" w:rsidP="006432E3">
      <w:pPr>
        <w:pStyle w:val="EMEABodyText"/>
        <w:widowControl w:val="0"/>
        <w:rPr>
          <w:szCs w:val="22"/>
          <w:lang w:val="es-ES"/>
        </w:rPr>
      </w:pPr>
    </w:p>
    <w:p w14:paraId="22CEB09F" w14:textId="77777777" w:rsidR="006432E3" w:rsidRPr="002F2886" w:rsidRDefault="006432E3" w:rsidP="006432E3">
      <w:pPr>
        <w:pStyle w:val="EMEATitlePAC"/>
        <w:keepNext w:val="0"/>
        <w:keepLines w:val="0"/>
        <w:widowControl w:val="0"/>
        <w:tabs>
          <w:tab w:val="left" w:pos="567"/>
        </w:tabs>
        <w:ind w:left="567" w:hanging="567"/>
        <w:rPr>
          <w:caps w:val="0"/>
          <w:szCs w:val="22"/>
          <w:lang w:val="es-ES"/>
        </w:rPr>
      </w:pPr>
      <w:r w:rsidRPr="002F2886">
        <w:rPr>
          <w:caps w:val="0"/>
          <w:szCs w:val="22"/>
          <w:lang w:val="es-ES"/>
        </w:rPr>
        <w:t>18.</w:t>
      </w:r>
      <w:r w:rsidRPr="002F2886">
        <w:rPr>
          <w:caps w:val="0"/>
          <w:szCs w:val="22"/>
          <w:lang w:val="es-ES"/>
        </w:rPr>
        <w:tab/>
        <w:t>IDENTIFICADOR ÚNICO - INFORMACIÓN EN CARACTERES VISUALES</w:t>
      </w:r>
    </w:p>
    <w:p w14:paraId="6E5A8758" w14:textId="77777777" w:rsidR="006432E3" w:rsidRPr="002F2886" w:rsidRDefault="006432E3" w:rsidP="006432E3">
      <w:pPr>
        <w:pStyle w:val="EMEABodyText"/>
        <w:widowControl w:val="0"/>
        <w:rPr>
          <w:szCs w:val="22"/>
          <w:lang w:val="es-ES"/>
        </w:rPr>
      </w:pPr>
    </w:p>
    <w:p w14:paraId="22073507" w14:textId="77777777" w:rsidR="006432E3" w:rsidRPr="002F2886" w:rsidRDefault="006432E3" w:rsidP="006432E3">
      <w:pPr>
        <w:tabs>
          <w:tab w:val="left" w:pos="567"/>
        </w:tabs>
        <w:spacing w:line="260" w:lineRule="exact"/>
        <w:rPr>
          <w:sz w:val="22"/>
          <w:szCs w:val="22"/>
          <w:lang w:bidi="es-ES"/>
        </w:rPr>
      </w:pPr>
      <w:r w:rsidRPr="002F2886">
        <w:rPr>
          <w:sz w:val="22"/>
          <w:szCs w:val="22"/>
          <w:lang w:bidi="es-ES"/>
        </w:rPr>
        <w:t>PC:</w:t>
      </w:r>
    </w:p>
    <w:p w14:paraId="098A2357" w14:textId="77777777" w:rsidR="006432E3" w:rsidRPr="002F2886" w:rsidRDefault="006432E3" w:rsidP="006432E3">
      <w:pPr>
        <w:tabs>
          <w:tab w:val="left" w:pos="567"/>
        </w:tabs>
        <w:spacing w:line="260" w:lineRule="exact"/>
        <w:rPr>
          <w:sz w:val="22"/>
          <w:szCs w:val="22"/>
          <w:lang w:bidi="es-ES"/>
        </w:rPr>
      </w:pPr>
      <w:r w:rsidRPr="002F2886">
        <w:rPr>
          <w:sz w:val="22"/>
          <w:szCs w:val="22"/>
          <w:lang w:bidi="es-ES"/>
        </w:rPr>
        <w:t>SN:</w:t>
      </w:r>
    </w:p>
    <w:p w14:paraId="137A7343" w14:textId="77777777" w:rsidR="006432E3" w:rsidRPr="002F2886" w:rsidRDefault="006432E3" w:rsidP="006432E3">
      <w:pPr>
        <w:tabs>
          <w:tab w:val="left" w:pos="567"/>
        </w:tabs>
        <w:spacing w:line="260" w:lineRule="exact"/>
        <w:rPr>
          <w:sz w:val="22"/>
          <w:szCs w:val="22"/>
        </w:rPr>
      </w:pPr>
      <w:r w:rsidRPr="002F2886">
        <w:rPr>
          <w:sz w:val="22"/>
          <w:szCs w:val="22"/>
          <w:lang w:bidi="es-ES"/>
        </w:rPr>
        <w:t>NN:</w:t>
      </w:r>
    </w:p>
    <w:p w14:paraId="5BA47CB9" w14:textId="77777777" w:rsidR="006432E3" w:rsidRPr="002F2886" w:rsidRDefault="006432E3" w:rsidP="006432E3">
      <w:pPr>
        <w:widowControl w:val="0"/>
        <w:rPr>
          <w:b/>
          <w:color w:val="000000"/>
          <w:sz w:val="22"/>
          <w:szCs w:val="22"/>
          <w:u w:val="single"/>
        </w:rPr>
      </w:pPr>
    </w:p>
    <w:p w14:paraId="5051A590" w14:textId="77777777" w:rsidR="006432E3" w:rsidRDefault="006432E3" w:rsidP="00D061AA">
      <w:pPr>
        <w:tabs>
          <w:tab w:val="left" w:pos="567"/>
        </w:tabs>
        <w:rPr>
          <w:sz w:val="22"/>
          <w:szCs w:val="22"/>
          <w:lang w:val="es-ES_tradnl"/>
        </w:rPr>
      </w:pPr>
    </w:p>
    <w:p w14:paraId="674975C7" w14:textId="77777777" w:rsidR="006432E3" w:rsidRDefault="006432E3" w:rsidP="00D061AA">
      <w:pPr>
        <w:tabs>
          <w:tab w:val="left" w:pos="567"/>
        </w:tabs>
        <w:rPr>
          <w:sz w:val="22"/>
          <w:szCs w:val="22"/>
          <w:lang w:val="es-ES_tradnl"/>
        </w:rPr>
      </w:pPr>
    </w:p>
    <w:p w14:paraId="083845CA" w14:textId="77777777" w:rsidR="00D061AA" w:rsidRDefault="00D061AA" w:rsidP="00D061AA">
      <w:pPr>
        <w:tabs>
          <w:tab w:val="left" w:pos="567"/>
        </w:tabs>
        <w:rPr>
          <w:sz w:val="22"/>
          <w:szCs w:val="22"/>
          <w:lang w:val="es-ES_tradnl"/>
        </w:rPr>
      </w:pPr>
      <w:r w:rsidRPr="00C52C4C">
        <w:rPr>
          <w:sz w:val="22"/>
          <w:szCs w:val="22"/>
          <w:lang w:val="es-ES_tradnl"/>
        </w:rPr>
        <w:br w:type="page"/>
      </w:r>
    </w:p>
    <w:p w14:paraId="71D9F879" w14:textId="77777777" w:rsidR="006432E3" w:rsidRDefault="006432E3" w:rsidP="00D061AA">
      <w:pPr>
        <w:tabs>
          <w:tab w:val="left" w:pos="567"/>
        </w:tabs>
        <w:rPr>
          <w:sz w:val="22"/>
          <w:szCs w:val="22"/>
          <w:lang w:val="es-ES_tradnl"/>
        </w:rPr>
      </w:pPr>
    </w:p>
    <w:p w14:paraId="521E2C99" w14:textId="77777777" w:rsidR="006432E3" w:rsidRPr="00C52C4C" w:rsidRDefault="006432E3" w:rsidP="00D061AA">
      <w:pPr>
        <w:tabs>
          <w:tab w:val="left" w:pos="567"/>
        </w:tabs>
        <w:rPr>
          <w:b/>
          <w:sz w:val="22"/>
          <w:szCs w:val="22"/>
          <w:lang w:val="es-ES_tradnl"/>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5CE8A3C9" w14:textId="77777777" w:rsidTr="00EE4A64">
        <w:tc>
          <w:tcPr>
            <w:tcW w:w="9287" w:type="dxa"/>
          </w:tcPr>
          <w:p w14:paraId="6AA1C01F" w14:textId="77777777" w:rsidR="00D061AA" w:rsidRPr="00C52C4C" w:rsidRDefault="00D061AA" w:rsidP="00EE4A64">
            <w:pPr>
              <w:tabs>
                <w:tab w:val="left" w:pos="567"/>
              </w:tabs>
              <w:rPr>
                <w:b/>
                <w:sz w:val="22"/>
                <w:szCs w:val="22"/>
                <w:lang w:val="es-ES_tradnl"/>
              </w:rPr>
            </w:pPr>
            <w:r w:rsidRPr="00C52C4C">
              <w:rPr>
                <w:b/>
                <w:sz w:val="22"/>
                <w:szCs w:val="22"/>
                <w:lang w:val="es-ES_tradnl"/>
              </w:rPr>
              <w:t>INFORMACIÓN MÍNIMA A INCLUIR EN BLÍSTERS O TIRAS</w:t>
            </w:r>
          </w:p>
          <w:p w14:paraId="5A545D98" w14:textId="77777777" w:rsidR="00D061AA" w:rsidRPr="00C52C4C" w:rsidRDefault="00D061AA" w:rsidP="00EE4A64">
            <w:pPr>
              <w:tabs>
                <w:tab w:val="left" w:pos="567"/>
              </w:tabs>
              <w:rPr>
                <w:sz w:val="22"/>
                <w:szCs w:val="22"/>
                <w:u w:val="single"/>
                <w:lang w:val="es-ES_tradnl"/>
              </w:rPr>
            </w:pPr>
          </w:p>
          <w:p w14:paraId="7197857B" w14:textId="77777777" w:rsidR="00D061AA" w:rsidRPr="00C52C4C" w:rsidRDefault="00D061AA" w:rsidP="00EE4A64">
            <w:pPr>
              <w:tabs>
                <w:tab w:val="left" w:pos="567"/>
              </w:tabs>
              <w:rPr>
                <w:b/>
                <w:sz w:val="22"/>
                <w:szCs w:val="22"/>
                <w:lang w:val="es-ES_tradnl"/>
              </w:rPr>
            </w:pPr>
            <w:r w:rsidRPr="00C52C4C">
              <w:rPr>
                <w:sz w:val="22"/>
                <w:szCs w:val="22"/>
                <w:u w:val="single"/>
                <w:lang w:val="es-ES_tradnl"/>
              </w:rPr>
              <w:t>Blíster de aluminio con comprimidos recubiertos con película de 50 mg (blísteres de todas las presentaciones)</w:t>
            </w:r>
          </w:p>
        </w:tc>
      </w:tr>
    </w:tbl>
    <w:p w14:paraId="63E049A2" w14:textId="77777777" w:rsidR="00D061AA" w:rsidRDefault="00D061AA" w:rsidP="00D061AA">
      <w:pPr>
        <w:tabs>
          <w:tab w:val="left" w:pos="567"/>
        </w:tabs>
        <w:rPr>
          <w:sz w:val="22"/>
          <w:szCs w:val="22"/>
          <w:lang w:val="es-ES_tradnl"/>
        </w:rPr>
      </w:pPr>
    </w:p>
    <w:p w14:paraId="2E75B01B" w14:textId="77777777" w:rsidR="006432E3" w:rsidRPr="00C52C4C" w:rsidRDefault="006432E3"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1FD1D0A7" w14:textId="77777777" w:rsidTr="00EE4A64">
        <w:tc>
          <w:tcPr>
            <w:tcW w:w="9287" w:type="dxa"/>
          </w:tcPr>
          <w:p w14:paraId="73F1D6FE"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1.</w:t>
            </w:r>
            <w:r w:rsidRPr="00C52C4C">
              <w:rPr>
                <w:b/>
                <w:sz w:val="22"/>
                <w:szCs w:val="22"/>
                <w:lang w:val="es-ES_tradnl"/>
              </w:rPr>
              <w:tab/>
            </w:r>
            <w:smartTag w:uri="urn:schemas-microsoft-com:office:smarttags" w:element="PersonName">
              <w:r w:rsidRPr="00C52C4C">
                <w:rPr>
                  <w:b/>
                  <w:sz w:val="22"/>
                  <w:szCs w:val="22"/>
                  <w:lang w:val="es-ES_tradnl"/>
                </w:rPr>
                <w:t>NO</w:t>
              </w:r>
            </w:smartTag>
            <w:r w:rsidRPr="00C52C4C">
              <w:rPr>
                <w:b/>
                <w:sz w:val="22"/>
                <w:szCs w:val="22"/>
                <w:lang w:val="es-ES_tradnl"/>
              </w:rPr>
              <w:t xml:space="preserve">MBRE </w:t>
            </w:r>
            <w:smartTag w:uri="urn:schemas-microsoft-com:office:smarttags" w:element="PersonName">
              <w:r w:rsidRPr="00C52C4C">
                <w:rPr>
                  <w:b/>
                  <w:sz w:val="22"/>
                  <w:szCs w:val="22"/>
                  <w:lang w:val="es-ES_tradnl"/>
                </w:rPr>
                <w:t>D</w:t>
              </w:r>
              <w:smartTag w:uri="urn:schemas-microsoft-com:office:smarttags" w:element="PersonName">
                <w:r w:rsidRPr="00C52C4C">
                  <w:rPr>
                    <w:b/>
                    <w:sz w:val="22"/>
                    <w:szCs w:val="22"/>
                    <w:lang w:val="es-ES_tradnl"/>
                  </w:rPr>
                  <w:t>E</w:t>
                </w:r>
              </w:smartTag>
            </w:smartTag>
            <w:r w:rsidRPr="00C52C4C">
              <w:rPr>
                <w:b/>
                <w:sz w:val="22"/>
                <w:szCs w:val="22"/>
                <w:lang w:val="es-ES_tradnl"/>
              </w:rPr>
              <w:t>L MEDICAMENTO</w:t>
            </w:r>
          </w:p>
        </w:tc>
      </w:tr>
    </w:tbl>
    <w:p w14:paraId="4F3E4C3E" w14:textId="77777777" w:rsidR="00D061AA" w:rsidRPr="00C52C4C" w:rsidRDefault="00D061AA" w:rsidP="00D061AA">
      <w:pPr>
        <w:tabs>
          <w:tab w:val="left" w:pos="567"/>
        </w:tabs>
        <w:ind w:left="567" w:hanging="567"/>
        <w:rPr>
          <w:sz w:val="22"/>
          <w:szCs w:val="22"/>
          <w:lang w:val="es-ES_tradnl"/>
        </w:rPr>
      </w:pPr>
    </w:p>
    <w:p w14:paraId="23FFBB7F" w14:textId="77777777" w:rsidR="00D061AA" w:rsidRPr="00C52C4C" w:rsidRDefault="008D11BB" w:rsidP="00D061AA">
      <w:pPr>
        <w:tabs>
          <w:tab w:val="left" w:pos="567"/>
        </w:tabs>
        <w:rPr>
          <w:sz w:val="22"/>
          <w:szCs w:val="22"/>
          <w:lang w:val="es-ES_tradnl"/>
        </w:rPr>
      </w:pPr>
      <w:r w:rsidRPr="00C52C4C">
        <w:rPr>
          <w:sz w:val="22"/>
          <w:szCs w:val="22"/>
        </w:rPr>
        <w:t>Voriconazol</w:t>
      </w:r>
      <w:r w:rsidR="00BD7C02" w:rsidRPr="00C52C4C">
        <w:rPr>
          <w:sz w:val="22"/>
          <w:szCs w:val="22"/>
        </w:rPr>
        <w:t xml:space="preserve"> Accord </w:t>
      </w:r>
      <w:r w:rsidR="00D061AA" w:rsidRPr="00C52C4C">
        <w:rPr>
          <w:sz w:val="22"/>
          <w:szCs w:val="22"/>
          <w:lang w:val="es-ES_tradnl"/>
        </w:rPr>
        <w:t>50 mg comprimidos recubiertos con película</w:t>
      </w:r>
    </w:p>
    <w:p w14:paraId="24C8A9DD" w14:textId="77777777" w:rsidR="00D061AA" w:rsidRPr="00C52C4C" w:rsidRDefault="00C514D0" w:rsidP="00D061AA">
      <w:pPr>
        <w:tabs>
          <w:tab w:val="left" w:pos="567"/>
        </w:tabs>
        <w:ind w:left="567" w:hanging="567"/>
        <w:rPr>
          <w:sz w:val="22"/>
          <w:szCs w:val="22"/>
          <w:lang w:val="es-ES_tradnl"/>
        </w:rPr>
      </w:pPr>
      <w:r>
        <w:rPr>
          <w:sz w:val="22"/>
          <w:szCs w:val="22"/>
          <w:lang w:val="es-ES_tradnl"/>
        </w:rPr>
        <w:t>v</w:t>
      </w:r>
      <w:r w:rsidR="00D061AA" w:rsidRPr="00C52C4C">
        <w:rPr>
          <w:sz w:val="22"/>
          <w:szCs w:val="22"/>
          <w:lang w:val="es-ES_tradnl"/>
        </w:rPr>
        <w:t>oriconazol</w:t>
      </w:r>
    </w:p>
    <w:p w14:paraId="41295C00" w14:textId="77777777" w:rsidR="00D061AA" w:rsidRPr="00C52C4C" w:rsidRDefault="00D061AA" w:rsidP="00D061AA">
      <w:pPr>
        <w:tabs>
          <w:tab w:val="left" w:pos="567"/>
        </w:tabs>
        <w:rPr>
          <w:sz w:val="22"/>
          <w:szCs w:val="22"/>
          <w:lang w:val="es-ES_tradnl"/>
        </w:rPr>
      </w:pPr>
    </w:p>
    <w:p w14:paraId="6ABB483C"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7CA45A2E" w14:textId="77777777" w:rsidTr="00EE4A64">
        <w:tc>
          <w:tcPr>
            <w:tcW w:w="9287" w:type="dxa"/>
          </w:tcPr>
          <w:p w14:paraId="2DCF16A4"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2.</w:t>
            </w:r>
            <w:r w:rsidRPr="00C52C4C">
              <w:rPr>
                <w:b/>
                <w:sz w:val="22"/>
                <w:szCs w:val="22"/>
                <w:lang w:val="es-ES_tradnl"/>
              </w:rPr>
              <w:tab/>
            </w:r>
            <w:smartTag w:uri="urn:schemas-microsoft-com:office:smarttags" w:element="PersonName">
              <w:r w:rsidRPr="00C52C4C">
                <w:rPr>
                  <w:b/>
                  <w:sz w:val="22"/>
                  <w:szCs w:val="22"/>
                  <w:lang w:val="es-ES_tradnl"/>
                </w:rPr>
                <w:t>NO</w:t>
              </w:r>
            </w:smartTag>
            <w:r w:rsidRPr="00C52C4C">
              <w:rPr>
                <w:b/>
                <w:sz w:val="22"/>
                <w:szCs w:val="22"/>
                <w:lang w:val="es-ES_tradnl"/>
              </w:rPr>
              <w:t xml:space="preserve">MBRE </w:t>
            </w:r>
            <w:smartTag w:uri="urn:schemas-microsoft-com:office:smarttags" w:element="PersonName">
              <w:r w:rsidRPr="00C52C4C">
                <w:rPr>
                  <w:b/>
                  <w:sz w:val="22"/>
                  <w:szCs w:val="22"/>
                  <w:lang w:val="es-ES_tradnl"/>
                </w:rPr>
                <w:t>D</w:t>
              </w:r>
              <w:smartTag w:uri="urn:schemas-microsoft-com:office:smarttags" w:element="PersonName">
                <w:r w:rsidRPr="00C52C4C">
                  <w:rPr>
                    <w:b/>
                    <w:sz w:val="22"/>
                    <w:szCs w:val="22"/>
                    <w:lang w:val="es-ES_tradnl"/>
                  </w:rPr>
                  <w:t>E</w:t>
                </w:r>
              </w:smartTag>
            </w:smartTag>
            <w:r w:rsidRPr="00C52C4C">
              <w:rPr>
                <w:b/>
                <w:sz w:val="22"/>
                <w:szCs w:val="22"/>
                <w:lang w:val="es-ES_tradnl"/>
              </w:rPr>
              <w:t>L T</w:t>
            </w:r>
            <w:smartTag w:uri="urn:schemas-microsoft-com:office:smarttags" w:element="PersonName">
              <w:r w:rsidRPr="00C52C4C">
                <w:rPr>
                  <w:b/>
                  <w:sz w:val="22"/>
                  <w:szCs w:val="22"/>
                  <w:lang w:val="es-ES_tradnl"/>
                </w:rPr>
                <w:t>IT</w:t>
              </w:r>
            </w:smartTag>
            <w:r w:rsidRPr="00C52C4C">
              <w:rPr>
                <w:b/>
                <w:sz w:val="22"/>
                <w:szCs w:val="22"/>
                <w:lang w:val="es-ES_tradnl"/>
              </w:rPr>
              <w:t xml:space="preserve">ULAR </w:t>
            </w:r>
            <w:smartTag w:uri="urn:schemas-microsoft-com:office:smarttags" w:element="PersonName">
              <w:r w:rsidRPr="00C52C4C">
                <w:rPr>
                  <w:b/>
                  <w:sz w:val="22"/>
                  <w:szCs w:val="22"/>
                  <w:lang w:val="es-ES_tradnl"/>
                </w:rPr>
                <w:t>DE</w:t>
              </w:r>
            </w:smartTag>
            <w:r w:rsidRPr="00C52C4C">
              <w:rPr>
                <w:b/>
                <w:sz w:val="22"/>
                <w:szCs w:val="22"/>
                <w:lang w:val="es-ES_tradnl"/>
              </w:rPr>
              <w:t xml:space="preserve"> </w:t>
            </w:r>
            <w:smartTag w:uri="urn:schemas-microsoft-com:office:smarttags" w:element="PersonName">
              <w:smartTagPr>
                <w:attr w:name="ProductID" w:val="LA AUTORIZACIￓN DE"/>
              </w:smartTagPr>
              <w:r w:rsidRPr="00C52C4C">
                <w:rPr>
                  <w:b/>
                  <w:sz w:val="22"/>
                  <w:szCs w:val="22"/>
                  <w:lang w:val="es-ES_tradnl"/>
                </w:rPr>
                <w:t xml:space="preserve">LA AUTORIZACIÓN </w:t>
              </w:r>
              <w:smartTag w:uri="urn:schemas-microsoft-com:office:smarttags" w:element="PersonName">
                <w:r w:rsidRPr="00C52C4C">
                  <w:rPr>
                    <w:b/>
                    <w:sz w:val="22"/>
                    <w:szCs w:val="22"/>
                    <w:lang w:val="es-ES_tradnl"/>
                  </w:rPr>
                  <w:t>DE</w:t>
                </w:r>
              </w:smartTag>
            </w:smartTag>
            <w:r w:rsidRPr="00C52C4C">
              <w:rPr>
                <w:b/>
                <w:sz w:val="22"/>
                <w:szCs w:val="22"/>
                <w:lang w:val="es-ES_tradnl"/>
              </w:rPr>
              <w:t xml:space="preserve"> COMERCIALIZACIÓN</w:t>
            </w:r>
          </w:p>
        </w:tc>
      </w:tr>
    </w:tbl>
    <w:p w14:paraId="4824974A" w14:textId="77777777" w:rsidR="00D061AA" w:rsidRPr="00C52C4C" w:rsidRDefault="00D061AA" w:rsidP="00D061AA">
      <w:pPr>
        <w:tabs>
          <w:tab w:val="left" w:pos="567"/>
        </w:tabs>
        <w:rPr>
          <w:sz w:val="22"/>
          <w:szCs w:val="22"/>
          <w:lang w:val="es-ES_tradnl"/>
        </w:rPr>
      </w:pPr>
    </w:p>
    <w:p w14:paraId="3ECCC009" w14:textId="77777777" w:rsidR="00D061AA" w:rsidRPr="00C52C4C" w:rsidRDefault="00BD7C02" w:rsidP="00D061AA">
      <w:pPr>
        <w:tabs>
          <w:tab w:val="left" w:pos="567"/>
        </w:tabs>
        <w:rPr>
          <w:sz w:val="22"/>
          <w:szCs w:val="22"/>
          <w:lang w:val="es-ES_tradnl"/>
        </w:rPr>
      </w:pPr>
      <w:r w:rsidRPr="00C52C4C">
        <w:rPr>
          <w:sz w:val="22"/>
          <w:szCs w:val="22"/>
          <w:lang w:val="es-ES_tradnl"/>
        </w:rPr>
        <w:t>Accord</w:t>
      </w:r>
    </w:p>
    <w:p w14:paraId="4FEFDE0E" w14:textId="77777777" w:rsidR="00D061AA" w:rsidRPr="00C52C4C" w:rsidRDefault="00D061AA" w:rsidP="00D061AA">
      <w:pPr>
        <w:tabs>
          <w:tab w:val="left" w:pos="567"/>
        </w:tabs>
        <w:rPr>
          <w:sz w:val="22"/>
          <w:szCs w:val="22"/>
          <w:lang w:val="es-ES_tradnl"/>
        </w:rPr>
      </w:pPr>
    </w:p>
    <w:p w14:paraId="40268F2F"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6D1AD22B" w14:textId="77777777" w:rsidTr="00EE4A64">
        <w:tc>
          <w:tcPr>
            <w:tcW w:w="9287" w:type="dxa"/>
          </w:tcPr>
          <w:p w14:paraId="224FDE96"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3.</w:t>
            </w:r>
            <w:r w:rsidRPr="00C52C4C">
              <w:rPr>
                <w:b/>
                <w:sz w:val="22"/>
                <w:szCs w:val="22"/>
                <w:lang w:val="es-ES_tradnl"/>
              </w:rPr>
              <w:tab/>
              <w:t xml:space="preserve">FECHA </w:t>
            </w:r>
            <w:smartTag w:uri="urn:schemas-microsoft-com:office:smarttags" w:element="PersonName">
              <w:r w:rsidRPr="00C52C4C">
                <w:rPr>
                  <w:b/>
                  <w:sz w:val="22"/>
                  <w:szCs w:val="22"/>
                  <w:lang w:val="es-ES_tradnl"/>
                </w:rPr>
                <w:t>DE</w:t>
              </w:r>
            </w:smartTag>
            <w:r w:rsidRPr="00C52C4C">
              <w:rPr>
                <w:b/>
                <w:sz w:val="22"/>
                <w:szCs w:val="22"/>
                <w:lang w:val="es-ES_tradnl"/>
              </w:rPr>
              <w:t xml:space="preserve"> CADUCIDAD</w:t>
            </w:r>
          </w:p>
        </w:tc>
      </w:tr>
    </w:tbl>
    <w:p w14:paraId="38FDA5DF" w14:textId="77777777" w:rsidR="00D061AA" w:rsidRPr="00C52C4C" w:rsidRDefault="00D061AA" w:rsidP="00D061AA">
      <w:pPr>
        <w:tabs>
          <w:tab w:val="left" w:pos="567"/>
        </w:tabs>
        <w:rPr>
          <w:sz w:val="22"/>
          <w:szCs w:val="22"/>
          <w:lang w:val="es-ES_tradnl"/>
        </w:rPr>
      </w:pPr>
    </w:p>
    <w:p w14:paraId="75D1255D" w14:textId="77777777" w:rsidR="00D061AA" w:rsidRPr="00C52C4C" w:rsidRDefault="0002447E" w:rsidP="00D061AA">
      <w:pPr>
        <w:tabs>
          <w:tab w:val="left" w:pos="567"/>
        </w:tabs>
        <w:rPr>
          <w:sz w:val="22"/>
          <w:szCs w:val="22"/>
          <w:lang w:val="es-ES_tradnl"/>
        </w:rPr>
      </w:pPr>
      <w:r w:rsidRPr="00C52C4C">
        <w:rPr>
          <w:sz w:val="22"/>
          <w:szCs w:val="22"/>
          <w:lang w:val="es-ES_tradnl"/>
        </w:rPr>
        <w:t>EXP</w:t>
      </w:r>
    </w:p>
    <w:p w14:paraId="73935A51" w14:textId="77777777" w:rsidR="00D061AA" w:rsidRPr="00C52C4C" w:rsidRDefault="00D061AA" w:rsidP="00D061AA">
      <w:pPr>
        <w:tabs>
          <w:tab w:val="left" w:pos="567"/>
        </w:tabs>
        <w:rPr>
          <w:sz w:val="22"/>
          <w:szCs w:val="22"/>
          <w:lang w:val="es-ES_tradnl"/>
        </w:rPr>
      </w:pPr>
    </w:p>
    <w:p w14:paraId="76FCC73D"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3F629A39" w14:textId="77777777" w:rsidTr="00EE4A64">
        <w:tc>
          <w:tcPr>
            <w:tcW w:w="9287" w:type="dxa"/>
          </w:tcPr>
          <w:p w14:paraId="5A746C10"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4.</w:t>
            </w:r>
            <w:r w:rsidRPr="00C52C4C">
              <w:rPr>
                <w:b/>
                <w:sz w:val="22"/>
                <w:szCs w:val="22"/>
                <w:lang w:val="es-ES_tradnl"/>
              </w:rPr>
              <w:tab/>
              <w:t>NÚME</w:t>
            </w:r>
            <w:smartTag w:uri="urn:schemas-microsoft-com:office:smarttags" w:element="PersonName">
              <w:r w:rsidRPr="00C52C4C">
                <w:rPr>
                  <w:b/>
                  <w:sz w:val="22"/>
                  <w:szCs w:val="22"/>
                  <w:lang w:val="es-ES_tradnl"/>
                </w:rPr>
                <w:t>RO</w:t>
              </w:r>
            </w:smartTag>
            <w:r w:rsidRPr="00C52C4C">
              <w:rPr>
                <w:b/>
                <w:sz w:val="22"/>
                <w:szCs w:val="22"/>
                <w:lang w:val="es-ES_tradnl"/>
              </w:rPr>
              <w:t xml:space="preserve"> </w:t>
            </w:r>
            <w:smartTag w:uri="urn:schemas-microsoft-com:office:smarttags" w:element="PersonName">
              <w:r w:rsidRPr="00C52C4C">
                <w:rPr>
                  <w:b/>
                  <w:sz w:val="22"/>
                  <w:szCs w:val="22"/>
                  <w:lang w:val="es-ES_tradnl"/>
                </w:rPr>
                <w:t>DE</w:t>
              </w:r>
            </w:smartTag>
            <w:r w:rsidRPr="00C52C4C">
              <w:rPr>
                <w:b/>
                <w:sz w:val="22"/>
                <w:szCs w:val="22"/>
                <w:lang w:val="es-ES_tradnl"/>
              </w:rPr>
              <w:t xml:space="preserve"> LOTE </w:t>
            </w:r>
            <w:smartTag w:uri="urn:schemas-microsoft-com:office:smarttags" w:element="PersonName">
              <w:r w:rsidRPr="00C52C4C">
                <w:rPr>
                  <w:b/>
                  <w:sz w:val="22"/>
                  <w:szCs w:val="22"/>
                  <w:lang w:val="es-ES_tradnl"/>
                </w:rPr>
                <w:t>D</w:t>
              </w:r>
              <w:smartTag w:uri="urn:schemas-microsoft-com:office:smarttags" w:element="PersonName">
                <w:r w:rsidRPr="00C52C4C">
                  <w:rPr>
                    <w:b/>
                    <w:sz w:val="22"/>
                    <w:szCs w:val="22"/>
                    <w:lang w:val="es-ES_tradnl"/>
                  </w:rPr>
                  <w:t>E</w:t>
                </w:r>
              </w:smartTag>
            </w:smartTag>
            <w:r w:rsidRPr="00C52C4C">
              <w:rPr>
                <w:b/>
                <w:sz w:val="22"/>
                <w:szCs w:val="22"/>
                <w:lang w:val="es-ES_tradnl"/>
              </w:rPr>
              <w:t>L FABRICANTE</w:t>
            </w:r>
          </w:p>
        </w:tc>
      </w:tr>
    </w:tbl>
    <w:p w14:paraId="44C35293" w14:textId="77777777" w:rsidR="00D061AA" w:rsidRPr="00C52C4C" w:rsidRDefault="00D061AA" w:rsidP="00D061AA">
      <w:pPr>
        <w:tabs>
          <w:tab w:val="left" w:pos="567"/>
        </w:tabs>
        <w:rPr>
          <w:sz w:val="22"/>
          <w:szCs w:val="22"/>
          <w:lang w:val="es-ES_tradnl"/>
        </w:rPr>
      </w:pPr>
    </w:p>
    <w:p w14:paraId="1443B163" w14:textId="77777777" w:rsidR="00D061AA" w:rsidRPr="00C52C4C" w:rsidRDefault="00D061AA" w:rsidP="00D061AA">
      <w:pPr>
        <w:tabs>
          <w:tab w:val="left" w:pos="567"/>
        </w:tabs>
        <w:rPr>
          <w:sz w:val="22"/>
          <w:szCs w:val="22"/>
          <w:lang w:val="es-ES_tradnl"/>
        </w:rPr>
      </w:pPr>
      <w:r w:rsidRPr="00C52C4C">
        <w:rPr>
          <w:sz w:val="22"/>
          <w:szCs w:val="22"/>
          <w:lang w:val="es-ES_tradnl"/>
        </w:rPr>
        <w:t>Lot</w:t>
      </w:r>
    </w:p>
    <w:p w14:paraId="03F8F098" w14:textId="77777777" w:rsidR="00D061AA" w:rsidRPr="00C52C4C" w:rsidRDefault="00D061AA" w:rsidP="00D061AA">
      <w:pPr>
        <w:tabs>
          <w:tab w:val="left" w:pos="567"/>
        </w:tabs>
        <w:rPr>
          <w:sz w:val="22"/>
          <w:szCs w:val="22"/>
          <w:lang w:val="es-ES_tradnl"/>
        </w:rPr>
      </w:pPr>
    </w:p>
    <w:p w14:paraId="0032B198"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5BBE0A93" w14:textId="77777777" w:rsidTr="00EE4A64">
        <w:tc>
          <w:tcPr>
            <w:tcW w:w="9287" w:type="dxa"/>
          </w:tcPr>
          <w:p w14:paraId="33D3B470"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5.</w:t>
            </w:r>
            <w:r w:rsidRPr="00C52C4C">
              <w:rPr>
                <w:b/>
                <w:sz w:val="22"/>
                <w:szCs w:val="22"/>
                <w:lang w:val="es-ES_tradnl"/>
              </w:rPr>
              <w:tab/>
              <w:t>OT</w:t>
            </w:r>
            <w:smartTag w:uri="urn:schemas-microsoft-com:office:smarttags" w:element="PersonName">
              <w:r w:rsidRPr="00C52C4C">
                <w:rPr>
                  <w:b/>
                  <w:sz w:val="22"/>
                  <w:szCs w:val="22"/>
                  <w:lang w:val="es-ES_tradnl"/>
                </w:rPr>
                <w:t>RO</w:t>
              </w:r>
            </w:smartTag>
            <w:r w:rsidRPr="00C52C4C">
              <w:rPr>
                <w:b/>
                <w:sz w:val="22"/>
                <w:szCs w:val="22"/>
                <w:lang w:val="es-ES_tradnl"/>
              </w:rPr>
              <w:t>S</w:t>
            </w:r>
          </w:p>
        </w:tc>
      </w:tr>
    </w:tbl>
    <w:p w14:paraId="24A8821F" w14:textId="77777777" w:rsidR="00D061AA" w:rsidRPr="00C52C4C" w:rsidRDefault="00D061AA" w:rsidP="00D061AA">
      <w:pPr>
        <w:tabs>
          <w:tab w:val="left" w:pos="567"/>
        </w:tabs>
        <w:rPr>
          <w:b/>
          <w:sz w:val="22"/>
          <w:szCs w:val="22"/>
          <w:u w:val="single"/>
          <w:lang w:val="es-ES_tradnl"/>
        </w:rPr>
      </w:pPr>
    </w:p>
    <w:p w14:paraId="6F949522" w14:textId="77777777" w:rsidR="00D061AA" w:rsidRPr="00C52C4C" w:rsidRDefault="00D061AA" w:rsidP="00D061AA">
      <w:pPr>
        <w:tabs>
          <w:tab w:val="left" w:pos="567"/>
        </w:tabs>
        <w:rPr>
          <w:b/>
          <w:sz w:val="22"/>
          <w:szCs w:val="22"/>
          <w:u w:val="single"/>
          <w:lang w:val="es-ES_tradnl"/>
        </w:rPr>
      </w:pPr>
      <w:r w:rsidRPr="00C52C4C">
        <w:rPr>
          <w:sz w:val="22"/>
          <w:szCs w:val="22"/>
          <w:lang w:val="es-ES_tradnl"/>
        </w:rPr>
        <w:br w:type="page"/>
      </w:r>
      <w:bookmarkStart w:id="14" w:name="OLE_LINK6"/>
      <w:bookmarkStart w:id="15" w:name="OLE_LINK7"/>
    </w:p>
    <w:bookmarkEnd w:id="14"/>
    <w:bookmarkEnd w:id="15"/>
    <w:p w14:paraId="322A2A32" w14:textId="77777777" w:rsidR="00D061AA" w:rsidRPr="00C52C4C" w:rsidRDefault="00D061AA" w:rsidP="00D061AA">
      <w:pPr>
        <w:tabs>
          <w:tab w:val="left" w:pos="567"/>
        </w:tabs>
        <w:rPr>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12819764" w14:textId="77777777" w:rsidTr="00EE4A64">
        <w:trPr>
          <w:trHeight w:val="1040"/>
        </w:trPr>
        <w:tc>
          <w:tcPr>
            <w:tcW w:w="9287" w:type="dxa"/>
            <w:tcBorders>
              <w:bottom w:val="single" w:sz="4" w:space="0" w:color="auto"/>
            </w:tcBorders>
          </w:tcPr>
          <w:p w14:paraId="16A188EC" w14:textId="77777777" w:rsidR="00D061AA" w:rsidRPr="00C52C4C" w:rsidRDefault="00D061AA" w:rsidP="00EE4A64">
            <w:pPr>
              <w:tabs>
                <w:tab w:val="left" w:pos="567"/>
              </w:tabs>
              <w:rPr>
                <w:sz w:val="22"/>
                <w:szCs w:val="22"/>
                <w:u w:val="single"/>
                <w:lang w:val="es-ES_tradnl"/>
              </w:rPr>
            </w:pPr>
            <w:r w:rsidRPr="00C52C4C">
              <w:rPr>
                <w:b/>
                <w:sz w:val="22"/>
                <w:szCs w:val="22"/>
                <w:lang w:val="es-ES_tradnl"/>
              </w:rPr>
              <w:t xml:space="preserve">INFORMACIÓN QUE </w:t>
            </w:r>
            <w:smartTag w:uri="urn:schemas-microsoft-com:office:smarttags" w:element="PersonName">
              <w:r w:rsidRPr="00C52C4C">
                <w:rPr>
                  <w:b/>
                  <w:sz w:val="22"/>
                  <w:szCs w:val="22"/>
                  <w:lang w:val="es-ES_tradnl"/>
                </w:rPr>
                <w:t>DE</w:t>
              </w:r>
            </w:smartTag>
            <w:r w:rsidRPr="00C52C4C">
              <w:rPr>
                <w:b/>
                <w:sz w:val="22"/>
                <w:szCs w:val="22"/>
                <w:lang w:val="es-ES_tradnl"/>
              </w:rPr>
              <w:t xml:space="preserve">BE </w:t>
            </w:r>
            <w:smartTag w:uri="urn:schemas-microsoft-com:office:smarttags" w:element="PersonName">
              <w:r w:rsidRPr="00C52C4C">
                <w:rPr>
                  <w:b/>
                  <w:sz w:val="22"/>
                  <w:szCs w:val="22"/>
                  <w:lang w:val="es-ES_tradnl"/>
                </w:rPr>
                <w:t>FI</w:t>
              </w:r>
            </w:smartTag>
            <w:r w:rsidRPr="00C52C4C">
              <w:rPr>
                <w:b/>
                <w:sz w:val="22"/>
                <w:szCs w:val="22"/>
                <w:lang w:val="es-ES_tradnl"/>
              </w:rPr>
              <w:t xml:space="preserve">GURAR EN </w:t>
            </w:r>
            <w:smartTag w:uri="urn:schemas-microsoft-com:office:smarttags" w:element="PersonName">
              <w:r w:rsidRPr="00C52C4C">
                <w:rPr>
                  <w:b/>
                  <w:sz w:val="22"/>
                  <w:szCs w:val="22"/>
                  <w:lang w:val="es-ES_tradnl"/>
                </w:rPr>
                <w:t>EL</w:t>
              </w:r>
            </w:smartTag>
            <w:r w:rsidRPr="00C52C4C">
              <w:rPr>
                <w:b/>
                <w:sz w:val="22"/>
                <w:szCs w:val="22"/>
                <w:lang w:val="es-ES_tradnl"/>
              </w:rPr>
              <w:t xml:space="preserve"> EMBALAJE EXTERIOR</w:t>
            </w:r>
          </w:p>
          <w:p w14:paraId="4E0E8785" w14:textId="77777777" w:rsidR="00387935" w:rsidRPr="00C52C4C" w:rsidRDefault="00387935" w:rsidP="00EE4A64">
            <w:pPr>
              <w:tabs>
                <w:tab w:val="left" w:pos="567"/>
              </w:tabs>
              <w:rPr>
                <w:sz w:val="22"/>
                <w:szCs w:val="22"/>
                <w:u w:val="single"/>
                <w:lang w:val="es-ES_tradnl"/>
              </w:rPr>
            </w:pPr>
          </w:p>
          <w:p w14:paraId="1E71E597" w14:textId="77777777" w:rsidR="00D061AA" w:rsidRPr="00344F86" w:rsidRDefault="00D061AA" w:rsidP="00EE4A64">
            <w:pPr>
              <w:tabs>
                <w:tab w:val="left" w:pos="567"/>
              </w:tabs>
              <w:rPr>
                <w:b/>
                <w:sz w:val="22"/>
                <w:szCs w:val="22"/>
                <w:lang w:val="es-ES_tradnl"/>
              </w:rPr>
            </w:pPr>
            <w:r w:rsidRPr="00F65F25">
              <w:rPr>
                <w:sz w:val="22"/>
                <w:szCs w:val="22"/>
                <w:lang w:val="es-ES_tradnl"/>
              </w:rPr>
              <w:t>Envase con comprimidos recubiertos con película de 200 mg acondicionados en blíster – Envase de 2, 10, 14, 20, 28, 30, 50, 56 y 100 comprimidos</w:t>
            </w:r>
          </w:p>
        </w:tc>
      </w:tr>
    </w:tbl>
    <w:p w14:paraId="1099A063" w14:textId="77777777" w:rsidR="00D061AA" w:rsidRPr="00C52C4C" w:rsidRDefault="00D061AA" w:rsidP="00D061AA">
      <w:pPr>
        <w:tabs>
          <w:tab w:val="left" w:pos="567"/>
        </w:tabs>
        <w:rPr>
          <w:sz w:val="22"/>
          <w:szCs w:val="22"/>
          <w:lang w:val="es-ES_tradnl"/>
        </w:rPr>
      </w:pPr>
    </w:p>
    <w:p w14:paraId="70AAAD42"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63421C18" w14:textId="77777777" w:rsidTr="00EE4A64">
        <w:tc>
          <w:tcPr>
            <w:tcW w:w="9287" w:type="dxa"/>
          </w:tcPr>
          <w:p w14:paraId="5EC5BF20"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1.</w:t>
            </w:r>
            <w:r w:rsidRPr="00C52C4C">
              <w:rPr>
                <w:b/>
                <w:sz w:val="22"/>
                <w:szCs w:val="22"/>
                <w:lang w:val="es-ES_tradnl"/>
              </w:rPr>
              <w:tab/>
            </w:r>
            <w:smartTag w:uri="urn:schemas-microsoft-com:office:smarttags" w:element="PersonName">
              <w:r w:rsidRPr="00C52C4C">
                <w:rPr>
                  <w:b/>
                  <w:sz w:val="22"/>
                  <w:szCs w:val="22"/>
                  <w:lang w:val="es-ES_tradnl"/>
                </w:rPr>
                <w:t>NO</w:t>
              </w:r>
            </w:smartTag>
            <w:r w:rsidRPr="00C52C4C">
              <w:rPr>
                <w:b/>
                <w:sz w:val="22"/>
                <w:szCs w:val="22"/>
                <w:lang w:val="es-ES_tradnl"/>
              </w:rPr>
              <w:t xml:space="preserve">MBRE </w:t>
            </w:r>
            <w:smartTag w:uri="urn:schemas-microsoft-com:office:smarttags" w:element="PersonName">
              <w:r w:rsidRPr="00C52C4C">
                <w:rPr>
                  <w:b/>
                  <w:sz w:val="22"/>
                  <w:szCs w:val="22"/>
                  <w:lang w:val="es-ES_tradnl"/>
                </w:rPr>
                <w:t>D</w:t>
              </w:r>
              <w:smartTag w:uri="urn:schemas-microsoft-com:office:smarttags" w:element="PersonName">
                <w:r w:rsidRPr="00C52C4C">
                  <w:rPr>
                    <w:b/>
                    <w:sz w:val="22"/>
                    <w:szCs w:val="22"/>
                    <w:lang w:val="es-ES_tradnl"/>
                  </w:rPr>
                  <w:t>E</w:t>
                </w:r>
              </w:smartTag>
            </w:smartTag>
            <w:r w:rsidRPr="00C52C4C">
              <w:rPr>
                <w:b/>
                <w:sz w:val="22"/>
                <w:szCs w:val="22"/>
                <w:lang w:val="es-ES_tradnl"/>
              </w:rPr>
              <w:t>L MEDICAMENTO</w:t>
            </w:r>
          </w:p>
        </w:tc>
      </w:tr>
    </w:tbl>
    <w:p w14:paraId="7A3CAD04" w14:textId="77777777" w:rsidR="00D061AA" w:rsidRPr="00C52C4C" w:rsidRDefault="00D061AA" w:rsidP="00D061AA">
      <w:pPr>
        <w:tabs>
          <w:tab w:val="left" w:pos="567"/>
        </w:tabs>
        <w:rPr>
          <w:sz w:val="22"/>
          <w:szCs w:val="22"/>
          <w:lang w:val="es-ES_tradnl"/>
        </w:rPr>
      </w:pPr>
    </w:p>
    <w:p w14:paraId="04C66CAA" w14:textId="77777777" w:rsidR="00D061AA" w:rsidRPr="00C52C4C" w:rsidRDefault="008D11BB" w:rsidP="00D061AA">
      <w:pPr>
        <w:tabs>
          <w:tab w:val="left" w:pos="567"/>
        </w:tabs>
        <w:rPr>
          <w:sz w:val="22"/>
          <w:szCs w:val="22"/>
          <w:lang w:val="es-ES_tradnl"/>
        </w:rPr>
      </w:pPr>
      <w:r w:rsidRPr="00C52C4C">
        <w:rPr>
          <w:sz w:val="22"/>
          <w:szCs w:val="22"/>
        </w:rPr>
        <w:t>Voriconazol</w:t>
      </w:r>
      <w:r w:rsidR="00BD7C02" w:rsidRPr="00C52C4C">
        <w:rPr>
          <w:sz w:val="22"/>
          <w:szCs w:val="22"/>
        </w:rPr>
        <w:t xml:space="preserve"> Accord </w:t>
      </w:r>
      <w:r w:rsidR="00D061AA" w:rsidRPr="00C52C4C">
        <w:rPr>
          <w:sz w:val="22"/>
          <w:szCs w:val="22"/>
          <w:lang w:val="es-ES_tradnl"/>
        </w:rPr>
        <w:t>200 mg comprimidos recubiertos con película</w:t>
      </w:r>
    </w:p>
    <w:p w14:paraId="4B437320" w14:textId="77777777" w:rsidR="00D061AA" w:rsidRPr="00C52C4C" w:rsidRDefault="00C514D0" w:rsidP="00D061AA">
      <w:pPr>
        <w:tabs>
          <w:tab w:val="left" w:pos="567"/>
        </w:tabs>
        <w:rPr>
          <w:sz w:val="22"/>
          <w:szCs w:val="22"/>
          <w:lang w:val="pt-PT"/>
        </w:rPr>
      </w:pPr>
      <w:r>
        <w:rPr>
          <w:sz w:val="22"/>
          <w:szCs w:val="22"/>
          <w:lang w:val="pt-PT"/>
        </w:rPr>
        <w:t>v</w:t>
      </w:r>
      <w:r w:rsidR="00D061AA" w:rsidRPr="00C52C4C">
        <w:rPr>
          <w:sz w:val="22"/>
          <w:szCs w:val="22"/>
          <w:lang w:val="pt-PT"/>
        </w:rPr>
        <w:t>oriconazol</w:t>
      </w:r>
    </w:p>
    <w:p w14:paraId="75A46365" w14:textId="77777777" w:rsidR="00D061AA" w:rsidRPr="00C52C4C" w:rsidRDefault="00D061AA" w:rsidP="00D061AA">
      <w:pPr>
        <w:tabs>
          <w:tab w:val="left" w:pos="567"/>
        </w:tabs>
        <w:rPr>
          <w:sz w:val="22"/>
          <w:szCs w:val="22"/>
          <w:lang w:val="pt-PT"/>
        </w:rPr>
      </w:pPr>
    </w:p>
    <w:p w14:paraId="3E86128D" w14:textId="77777777" w:rsidR="00D061AA" w:rsidRPr="00C52C4C" w:rsidRDefault="00D061AA" w:rsidP="00D061AA">
      <w:pPr>
        <w:tabs>
          <w:tab w:val="left" w:pos="567"/>
        </w:tabs>
        <w:rPr>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02264944" w14:textId="77777777" w:rsidTr="00EE4A64">
        <w:tc>
          <w:tcPr>
            <w:tcW w:w="9287" w:type="dxa"/>
          </w:tcPr>
          <w:p w14:paraId="3882849D" w14:textId="77777777" w:rsidR="00D061AA" w:rsidRPr="00C52C4C" w:rsidRDefault="00D061AA" w:rsidP="00EE4A64">
            <w:pPr>
              <w:tabs>
                <w:tab w:val="left" w:pos="567"/>
              </w:tabs>
              <w:ind w:left="567" w:hanging="567"/>
              <w:rPr>
                <w:b/>
                <w:sz w:val="22"/>
                <w:szCs w:val="22"/>
                <w:lang w:val="pt-PT"/>
              </w:rPr>
            </w:pPr>
            <w:r w:rsidRPr="00C52C4C">
              <w:rPr>
                <w:b/>
                <w:sz w:val="22"/>
                <w:szCs w:val="22"/>
                <w:lang w:val="pt-PT"/>
              </w:rPr>
              <w:t>2.</w:t>
            </w:r>
            <w:r w:rsidRPr="00C52C4C">
              <w:rPr>
                <w:b/>
                <w:sz w:val="22"/>
                <w:szCs w:val="22"/>
                <w:lang w:val="pt-PT"/>
              </w:rPr>
              <w:tab/>
              <w:t>PRINCIPIO(S) ACTIVO(S)</w:t>
            </w:r>
          </w:p>
        </w:tc>
      </w:tr>
    </w:tbl>
    <w:p w14:paraId="11D55B18" w14:textId="77777777" w:rsidR="00D061AA" w:rsidRPr="00C52C4C" w:rsidRDefault="00D061AA" w:rsidP="00D061AA">
      <w:pPr>
        <w:tabs>
          <w:tab w:val="left" w:pos="567"/>
        </w:tabs>
        <w:rPr>
          <w:sz w:val="22"/>
          <w:szCs w:val="22"/>
          <w:lang w:val="pt-PT"/>
        </w:rPr>
      </w:pPr>
    </w:p>
    <w:p w14:paraId="411473B3"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Cada comprimido contiene 200 mg de voriconazol. </w:t>
      </w:r>
    </w:p>
    <w:p w14:paraId="48A76B8D" w14:textId="77777777" w:rsidR="00D061AA" w:rsidRPr="00C52C4C" w:rsidRDefault="00D061AA" w:rsidP="00D061AA">
      <w:pPr>
        <w:tabs>
          <w:tab w:val="left" w:pos="567"/>
        </w:tabs>
        <w:rPr>
          <w:sz w:val="22"/>
          <w:szCs w:val="22"/>
          <w:lang w:val="es-ES_tradnl"/>
        </w:rPr>
      </w:pPr>
    </w:p>
    <w:p w14:paraId="59D5CBAD"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0DDB286F" w14:textId="77777777" w:rsidTr="00EE4A64">
        <w:tc>
          <w:tcPr>
            <w:tcW w:w="9287" w:type="dxa"/>
          </w:tcPr>
          <w:p w14:paraId="79F38250"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3.</w:t>
            </w:r>
            <w:r w:rsidRPr="00C52C4C">
              <w:rPr>
                <w:b/>
                <w:sz w:val="22"/>
                <w:szCs w:val="22"/>
                <w:lang w:val="es-ES_tradnl"/>
              </w:rPr>
              <w:tab/>
              <w:t>L</w:t>
            </w:r>
            <w:smartTag w:uri="urn:schemas-microsoft-com:office:smarttags" w:element="PersonName">
              <w:r w:rsidRPr="00C52C4C">
                <w:rPr>
                  <w:b/>
                  <w:sz w:val="22"/>
                  <w:szCs w:val="22"/>
                  <w:lang w:val="es-ES_tradnl"/>
                </w:rPr>
                <w:t>IS</w:t>
              </w:r>
            </w:smartTag>
            <w:r w:rsidRPr="00C52C4C">
              <w:rPr>
                <w:b/>
                <w:sz w:val="22"/>
                <w:szCs w:val="22"/>
                <w:lang w:val="es-ES_tradnl"/>
              </w:rPr>
              <w:t xml:space="preserve">TA </w:t>
            </w:r>
            <w:smartTag w:uri="urn:schemas-microsoft-com:office:smarttags" w:element="PersonName">
              <w:r w:rsidRPr="00C52C4C">
                <w:rPr>
                  <w:b/>
                  <w:sz w:val="22"/>
                  <w:szCs w:val="22"/>
                  <w:lang w:val="es-ES_tradnl"/>
                </w:rPr>
                <w:t>DE</w:t>
              </w:r>
            </w:smartTag>
            <w:r w:rsidRPr="00C52C4C">
              <w:rPr>
                <w:b/>
                <w:sz w:val="22"/>
                <w:szCs w:val="22"/>
                <w:lang w:val="es-ES_tradnl"/>
              </w:rPr>
              <w:t xml:space="preserve"> EXCIPIENTES</w:t>
            </w:r>
          </w:p>
        </w:tc>
      </w:tr>
    </w:tbl>
    <w:p w14:paraId="2BAAD70F" w14:textId="77777777" w:rsidR="00D061AA" w:rsidRPr="00C52C4C" w:rsidRDefault="00D061AA" w:rsidP="00D061AA">
      <w:pPr>
        <w:tabs>
          <w:tab w:val="left" w:pos="567"/>
        </w:tabs>
        <w:rPr>
          <w:sz w:val="22"/>
          <w:szCs w:val="22"/>
          <w:lang w:val="es-ES_tradnl"/>
        </w:rPr>
      </w:pPr>
    </w:p>
    <w:p w14:paraId="54091EC8" w14:textId="77777777" w:rsidR="00D061AA" w:rsidRPr="00C52C4C" w:rsidRDefault="00D061AA" w:rsidP="00D061AA">
      <w:pPr>
        <w:tabs>
          <w:tab w:val="left" w:pos="567"/>
        </w:tabs>
        <w:rPr>
          <w:sz w:val="22"/>
          <w:szCs w:val="22"/>
          <w:lang w:val="es-ES_tradnl"/>
        </w:rPr>
      </w:pPr>
      <w:r w:rsidRPr="00C52C4C">
        <w:rPr>
          <w:sz w:val="22"/>
          <w:szCs w:val="22"/>
          <w:lang w:val="es-ES_tradnl"/>
        </w:rPr>
        <w:t>Contiene lactosa monohidrato. Para mayor información consultar el prospecto.</w:t>
      </w:r>
    </w:p>
    <w:p w14:paraId="7CEED1AB" w14:textId="77777777" w:rsidR="00D061AA" w:rsidRPr="00C52C4C" w:rsidRDefault="00D061AA" w:rsidP="00D061AA">
      <w:pPr>
        <w:tabs>
          <w:tab w:val="left" w:pos="567"/>
        </w:tabs>
        <w:rPr>
          <w:sz w:val="22"/>
          <w:szCs w:val="22"/>
          <w:lang w:val="es-ES_tradnl"/>
        </w:rPr>
      </w:pPr>
    </w:p>
    <w:p w14:paraId="70EE865A"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1FD61207" w14:textId="77777777" w:rsidTr="00EE4A64">
        <w:tc>
          <w:tcPr>
            <w:tcW w:w="9287" w:type="dxa"/>
          </w:tcPr>
          <w:p w14:paraId="09A52701"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4.</w:t>
            </w:r>
            <w:r w:rsidRPr="00C52C4C">
              <w:rPr>
                <w:b/>
                <w:sz w:val="22"/>
                <w:szCs w:val="22"/>
                <w:lang w:val="es-ES_tradnl"/>
              </w:rPr>
              <w:tab/>
              <w:t xml:space="preserve">FORMA FARMACÉUTICA Y CONTENIDO </w:t>
            </w:r>
            <w:smartTag w:uri="urn:schemas-microsoft-com:office:smarttags" w:element="PersonName">
              <w:r w:rsidRPr="00C52C4C">
                <w:rPr>
                  <w:b/>
                  <w:sz w:val="22"/>
                  <w:szCs w:val="22"/>
                  <w:lang w:val="es-ES_tradnl"/>
                </w:rPr>
                <w:t>D</w:t>
              </w:r>
              <w:smartTag w:uri="urn:schemas-microsoft-com:office:smarttags" w:element="PersonName">
                <w:r w:rsidRPr="00C52C4C">
                  <w:rPr>
                    <w:b/>
                    <w:sz w:val="22"/>
                    <w:szCs w:val="22"/>
                    <w:lang w:val="es-ES_tradnl"/>
                  </w:rPr>
                  <w:t>E</w:t>
                </w:r>
              </w:smartTag>
            </w:smartTag>
            <w:r w:rsidRPr="00C52C4C">
              <w:rPr>
                <w:b/>
                <w:sz w:val="22"/>
                <w:szCs w:val="22"/>
                <w:lang w:val="es-ES_tradnl"/>
              </w:rPr>
              <w:t>L ENVA</w:t>
            </w:r>
            <w:smartTag w:uri="urn:schemas-microsoft-com:office:smarttags" w:element="PersonName">
              <w:r w:rsidRPr="00C52C4C">
                <w:rPr>
                  <w:b/>
                  <w:sz w:val="22"/>
                  <w:szCs w:val="22"/>
                  <w:lang w:val="es-ES_tradnl"/>
                </w:rPr>
                <w:t>SE</w:t>
              </w:r>
            </w:smartTag>
          </w:p>
        </w:tc>
      </w:tr>
    </w:tbl>
    <w:p w14:paraId="727E6703" w14:textId="77777777" w:rsidR="00D061AA" w:rsidRPr="00C52C4C" w:rsidRDefault="00D061AA" w:rsidP="00D061AA">
      <w:pPr>
        <w:tabs>
          <w:tab w:val="left" w:pos="567"/>
        </w:tabs>
        <w:rPr>
          <w:sz w:val="22"/>
          <w:szCs w:val="22"/>
          <w:lang w:val="es-ES_tradnl"/>
        </w:rPr>
      </w:pPr>
    </w:p>
    <w:p w14:paraId="7642E170" w14:textId="77777777" w:rsidR="00D061AA" w:rsidRPr="00C52C4C" w:rsidRDefault="00D061AA" w:rsidP="00D061AA">
      <w:pPr>
        <w:tabs>
          <w:tab w:val="left" w:pos="567"/>
        </w:tabs>
        <w:rPr>
          <w:sz w:val="22"/>
          <w:szCs w:val="22"/>
          <w:lang w:val="es-ES_tradnl"/>
        </w:rPr>
      </w:pPr>
      <w:r w:rsidRPr="00C52C4C">
        <w:rPr>
          <w:sz w:val="22"/>
          <w:szCs w:val="22"/>
          <w:lang w:val="es-ES_tradnl"/>
        </w:rPr>
        <w:t>2 comprimidos recubiertos con película</w:t>
      </w:r>
    </w:p>
    <w:p w14:paraId="7ECF6F8F" w14:textId="77777777" w:rsidR="00D061AA" w:rsidRPr="001A4823" w:rsidRDefault="00D061AA" w:rsidP="00D061AA">
      <w:pPr>
        <w:tabs>
          <w:tab w:val="left" w:pos="567"/>
        </w:tabs>
        <w:rPr>
          <w:sz w:val="22"/>
          <w:szCs w:val="22"/>
          <w:highlight w:val="lightGray"/>
          <w:lang w:val="es-ES_tradnl"/>
        </w:rPr>
      </w:pPr>
      <w:r w:rsidRPr="001A4823">
        <w:rPr>
          <w:sz w:val="22"/>
          <w:szCs w:val="22"/>
          <w:highlight w:val="lightGray"/>
          <w:lang w:val="es-ES_tradnl"/>
        </w:rPr>
        <w:t>10 comprimidos recubiertos con película</w:t>
      </w:r>
    </w:p>
    <w:p w14:paraId="76F7B41C" w14:textId="77777777" w:rsidR="00D061AA" w:rsidRPr="001A4823" w:rsidRDefault="00D061AA" w:rsidP="00D061AA">
      <w:pPr>
        <w:tabs>
          <w:tab w:val="left" w:pos="567"/>
        </w:tabs>
        <w:rPr>
          <w:sz w:val="22"/>
          <w:szCs w:val="22"/>
          <w:highlight w:val="lightGray"/>
          <w:lang w:val="es-ES_tradnl"/>
        </w:rPr>
      </w:pPr>
      <w:r w:rsidRPr="001A4823">
        <w:rPr>
          <w:sz w:val="22"/>
          <w:szCs w:val="22"/>
          <w:highlight w:val="lightGray"/>
          <w:lang w:val="es-ES_tradnl"/>
        </w:rPr>
        <w:t>14 comprimidos recubiertos con película</w:t>
      </w:r>
    </w:p>
    <w:p w14:paraId="17C59D6C" w14:textId="77777777" w:rsidR="00D061AA" w:rsidRPr="001A4823" w:rsidRDefault="00D061AA" w:rsidP="00D061AA">
      <w:pPr>
        <w:tabs>
          <w:tab w:val="left" w:pos="567"/>
        </w:tabs>
        <w:rPr>
          <w:sz w:val="22"/>
          <w:szCs w:val="22"/>
          <w:highlight w:val="lightGray"/>
          <w:lang w:val="es-ES_tradnl"/>
        </w:rPr>
      </w:pPr>
      <w:r w:rsidRPr="001A4823">
        <w:rPr>
          <w:sz w:val="22"/>
          <w:szCs w:val="22"/>
          <w:highlight w:val="lightGray"/>
          <w:lang w:val="es-ES_tradnl"/>
        </w:rPr>
        <w:t>20 comprimidos recubiertos con película</w:t>
      </w:r>
    </w:p>
    <w:p w14:paraId="1334E678" w14:textId="77777777" w:rsidR="00D061AA" w:rsidRPr="001A4823" w:rsidRDefault="00D061AA" w:rsidP="00D061AA">
      <w:pPr>
        <w:tabs>
          <w:tab w:val="left" w:pos="567"/>
        </w:tabs>
        <w:rPr>
          <w:sz w:val="22"/>
          <w:szCs w:val="22"/>
          <w:highlight w:val="lightGray"/>
          <w:lang w:val="es-ES_tradnl"/>
        </w:rPr>
      </w:pPr>
      <w:r w:rsidRPr="001A4823">
        <w:rPr>
          <w:sz w:val="22"/>
          <w:szCs w:val="22"/>
          <w:highlight w:val="lightGray"/>
          <w:lang w:val="es-ES_tradnl"/>
        </w:rPr>
        <w:t>28 comprimidos recubiertos con película</w:t>
      </w:r>
    </w:p>
    <w:p w14:paraId="6F7A3FD7" w14:textId="77777777" w:rsidR="00D061AA" w:rsidRPr="001A4823" w:rsidRDefault="00D061AA" w:rsidP="00D061AA">
      <w:pPr>
        <w:tabs>
          <w:tab w:val="left" w:pos="567"/>
        </w:tabs>
        <w:rPr>
          <w:sz w:val="22"/>
          <w:szCs w:val="22"/>
          <w:highlight w:val="lightGray"/>
          <w:lang w:val="es-ES_tradnl"/>
        </w:rPr>
      </w:pPr>
      <w:r w:rsidRPr="001A4823">
        <w:rPr>
          <w:sz w:val="22"/>
          <w:szCs w:val="22"/>
          <w:highlight w:val="lightGray"/>
          <w:lang w:val="es-ES_tradnl"/>
        </w:rPr>
        <w:t>30 comprimidos recubiertos con película</w:t>
      </w:r>
    </w:p>
    <w:p w14:paraId="3FF0086D" w14:textId="77777777" w:rsidR="00D061AA" w:rsidRPr="001A4823" w:rsidRDefault="00D061AA" w:rsidP="00D061AA">
      <w:pPr>
        <w:tabs>
          <w:tab w:val="left" w:pos="567"/>
        </w:tabs>
        <w:rPr>
          <w:sz w:val="22"/>
          <w:szCs w:val="22"/>
          <w:highlight w:val="lightGray"/>
          <w:lang w:val="es-ES_tradnl"/>
        </w:rPr>
      </w:pPr>
      <w:r w:rsidRPr="001A4823">
        <w:rPr>
          <w:sz w:val="22"/>
          <w:szCs w:val="22"/>
          <w:highlight w:val="lightGray"/>
          <w:lang w:val="es-ES_tradnl"/>
        </w:rPr>
        <w:t>50 comprimidos recubiertos con película</w:t>
      </w:r>
    </w:p>
    <w:p w14:paraId="76801808" w14:textId="77777777" w:rsidR="00D061AA" w:rsidRPr="001A4823" w:rsidRDefault="00D061AA" w:rsidP="00D061AA">
      <w:pPr>
        <w:tabs>
          <w:tab w:val="left" w:pos="567"/>
        </w:tabs>
        <w:rPr>
          <w:sz w:val="22"/>
          <w:szCs w:val="22"/>
          <w:highlight w:val="lightGray"/>
          <w:lang w:val="es-ES_tradnl"/>
        </w:rPr>
      </w:pPr>
      <w:r w:rsidRPr="001A4823">
        <w:rPr>
          <w:sz w:val="22"/>
          <w:szCs w:val="22"/>
          <w:highlight w:val="lightGray"/>
          <w:lang w:val="es-ES_tradnl"/>
        </w:rPr>
        <w:t>56 comprimidos recubiertos con película</w:t>
      </w:r>
    </w:p>
    <w:p w14:paraId="2B26F454" w14:textId="77777777" w:rsidR="00D061AA" w:rsidRPr="001A4823" w:rsidRDefault="00D061AA" w:rsidP="00D061AA">
      <w:pPr>
        <w:tabs>
          <w:tab w:val="left" w:pos="567"/>
        </w:tabs>
        <w:rPr>
          <w:sz w:val="22"/>
          <w:szCs w:val="22"/>
          <w:highlight w:val="lightGray"/>
          <w:lang w:val="es-ES_tradnl"/>
        </w:rPr>
      </w:pPr>
      <w:r w:rsidRPr="001A4823">
        <w:rPr>
          <w:sz w:val="22"/>
          <w:szCs w:val="22"/>
          <w:highlight w:val="lightGray"/>
          <w:lang w:val="es-ES_tradnl"/>
        </w:rPr>
        <w:t>100 comprimidos recubiertos con película</w:t>
      </w:r>
    </w:p>
    <w:p w14:paraId="1077F317" w14:textId="77777777" w:rsidR="009777DF" w:rsidRPr="001A4823" w:rsidRDefault="009777DF" w:rsidP="009777DF">
      <w:pPr>
        <w:jc w:val="both"/>
        <w:rPr>
          <w:sz w:val="22"/>
          <w:szCs w:val="22"/>
          <w:highlight w:val="lightGray"/>
        </w:rPr>
      </w:pPr>
      <w:r w:rsidRPr="001A4823">
        <w:rPr>
          <w:sz w:val="22"/>
          <w:szCs w:val="22"/>
          <w:highlight w:val="lightGray"/>
        </w:rPr>
        <w:t xml:space="preserve">10x1 </w:t>
      </w:r>
      <w:r w:rsidRPr="001A4823">
        <w:rPr>
          <w:sz w:val="22"/>
          <w:szCs w:val="22"/>
          <w:highlight w:val="lightGray"/>
          <w:lang w:val="es-ES_tradnl"/>
        </w:rPr>
        <w:t>comprimidos recubiertos con película</w:t>
      </w:r>
    </w:p>
    <w:p w14:paraId="64B57226" w14:textId="77777777" w:rsidR="009777DF" w:rsidRPr="001A4823" w:rsidRDefault="009777DF" w:rsidP="009777DF">
      <w:pPr>
        <w:jc w:val="both"/>
        <w:rPr>
          <w:sz w:val="22"/>
          <w:szCs w:val="22"/>
          <w:highlight w:val="lightGray"/>
        </w:rPr>
      </w:pPr>
      <w:r w:rsidRPr="001A4823">
        <w:rPr>
          <w:sz w:val="22"/>
          <w:szCs w:val="22"/>
          <w:highlight w:val="lightGray"/>
        </w:rPr>
        <w:t xml:space="preserve">14x1 </w:t>
      </w:r>
      <w:r w:rsidRPr="001A4823">
        <w:rPr>
          <w:sz w:val="22"/>
          <w:szCs w:val="22"/>
          <w:highlight w:val="lightGray"/>
          <w:lang w:val="es-ES_tradnl"/>
        </w:rPr>
        <w:t>comprimidos recubiertos con película</w:t>
      </w:r>
    </w:p>
    <w:p w14:paraId="1FE90FDF" w14:textId="77777777" w:rsidR="009777DF" w:rsidRPr="001A4823" w:rsidRDefault="009777DF" w:rsidP="009777DF">
      <w:pPr>
        <w:jc w:val="both"/>
        <w:rPr>
          <w:sz w:val="22"/>
          <w:szCs w:val="22"/>
          <w:highlight w:val="lightGray"/>
        </w:rPr>
      </w:pPr>
      <w:r w:rsidRPr="001A4823">
        <w:rPr>
          <w:sz w:val="22"/>
          <w:szCs w:val="22"/>
          <w:highlight w:val="lightGray"/>
        </w:rPr>
        <w:t xml:space="preserve">28x1 </w:t>
      </w:r>
      <w:r w:rsidRPr="001A4823">
        <w:rPr>
          <w:sz w:val="22"/>
          <w:szCs w:val="22"/>
          <w:highlight w:val="lightGray"/>
          <w:lang w:val="es-ES_tradnl"/>
        </w:rPr>
        <w:t>comprimidos recubiertos con película</w:t>
      </w:r>
    </w:p>
    <w:p w14:paraId="4B129F59" w14:textId="77777777" w:rsidR="009777DF" w:rsidRPr="001A4823" w:rsidRDefault="009777DF" w:rsidP="009777DF">
      <w:pPr>
        <w:jc w:val="both"/>
        <w:rPr>
          <w:sz w:val="22"/>
          <w:szCs w:val="22"/>
          <w:highlight w:val="lightGray"/>
        </w:rPr>
      </w:pPr>
      <w:r w:rsidRPr="001A4823">
        <w:rPr>
          <w:sz w:val="22"/>
          <w:szCs w:val="22"/>
          <w:highlight w:val="lightGray"/>
        </w:rPr>
        <w:t xml:space="preserve">30x1 </w:t>
      </w:r>
      <w:r w:rsidRPr="001A4823">
        <w:rPr>
          <w:sz w:val="22"/>
          <w:szCs w:val="22"/>
          <w:highlight w:val="lightGray"/>
          <w:lang w:val="es-ES_tradnl"/>
        </w:rPr>
        <w:t>comprimidos recubiertos con película</w:t>
      </w:r>
    </w:p>
    <w:p w14:paraId="24780229" w14:textId="77777777" w:rsidR="009777DF" w:rsidRPr="001A4823" w:rsidRDefault="009777DF" w:rsidP="009777DF">
      <w:pPr>
        <w:jc w:val="both"/>
        <w:rPr>
          <w:sz w:val="22"/>
          <w:szCs w:val="22"/>
          <w:highlight w:val="lightGray"/>
        </w:rPr>
      </w:pPr>
      <w:r w:rsidRPr="001A4823">
        <w:rPr>
          <w:sz w:val="22"/>
          <w:szCs w:val="22"/>
          <w:highlight w:val="lightGray"/>
        </w:rPr>
        <w:t xml:space="preserve">56x1 </w:t>
      </w:r>
      <w:r w:rsidRPr="001A4823">
        <w:rPr>
          <w:sz w:val="22"/>
          <w:szCs w:val="22"/>
          <w:highlight w:val="lightGray"/>
          <w:lang w:val="es-ES_tradnl"/>
        </w:rPr>
        <w:t>comprimidos recubiertos con película</w:t>
      </w:r>
    </w:p>
    <w:p w14:paraId="2AF796CB" w14:textId="77777777" w:rsidR="009777DF" w:rsidRPr="00C52C4C" w:rsidRDefault="009777DF" w:rsidP="009777DF">
      <w:pPr>
        <w:jc w:val="both"/>
        <w:rPr>
          <w:sz w:val="22"/>
          <w:szCs w:val="22"/>
        </w:rPr>
      </w:pPr>
      <w:r w:rsidRPr="001A4823">
        <w:rPr>
          <w:sz w:val="22"/>
          <w:szCs w:val="22"/>
          <w:highlight w:val="lightGray"/>
        </w:rPr>
        <w:t xml:space="preserve">100x1 </w:t>
      </w:r>
      <w:r w:rsidRPr="001A4823">
        <w:rPr>
          <w:sz w:val="22"/>
          <w:szCs w:val="22"/>
          <w:highlight w:val="lightGray"/>
          <w:lang w:val="es-ES_tradnl"/>
        </w:rPr>
        <w:t>comprimidos recubiertos con película</w:t>
      </w:r>
    </w:p>
    <w:p w14:paraId="7760B08D" w14:textId="77777777" w:rsidR="00D061AA" w:rsidRPr="00C52C4C" w:rsidRDefault="00D061AA" w:rsidP="00D061AA">
      <w:pPr>
        <w:tabs>
          <w:tab w:val="left" w:pos="567"/>
        </w:tabs>
        <w:rPr>
          <w:sz w:val="22"/>
          <w:szCs w:val="22"/>
          <w:lang w:val="es-ES_tradnl"/>
        </w:rPr>
      </w:pPr>
    </w:p>
    <w:p w14:paraId="53620403"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3AC8AA07" w14:textId="77777777" w:rsidTr="00EE4A64">
        <w:tc>
          <w:tcPr>
            <w:tcW w:w="9287" w:type="dxa"/>
          </w:tcPr>
          <w:p w14:paraId="7240CB6B"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5.</w:t>
            </w:r>
            <w:r w:rsidRPr="00C52C4C">
              <w:rPr>
                <w:b/>
                <w:sz w:val="22"/>
                <w:szCs w:val="22"/>
                <w:lang w:val="es-ES_tradnl"/>
              </w:rPr>
              <w:tab/>
              <w:t xml:space="preserve">FORMA Y VÍA(S) </w:t>
            </w:r>
            <w:smartTag w:uri="urn:schemas-microsoft-com:office:smarttags" w:element="PersonName">
              <w:r w:rsidRPr="00C52C4C">
                <w:rPr>
                  <w:b/>
                  <w:sz w:val="22"/>
                  <w:szCs w:val="22"/>
                  <w:lang w:val="es-ES_tradnl"/>
                </w:rPr>
                <w:t>DE</w:t>
              </w:r>
            </w:smartTag>
            <w:r w:rsidRPr="00C52C4C">
              <w:rPr>
                <w:b/>
                <w:sz w:val="22"/>
                <w:szCs w:val="22"/>
                <w:lang w:val="es-ES_tradnl"/>
              </w:rPr>
              <w:t xml:space="preserve"> ADMIN</w:t>
            </w:r>
            <w:smartTag w:uri="urn:schemas-microsoft-com:office:smarttags" w:element="PersonName">
              <w:r w:rsidRPr="00C52C4C">
                <w:rPr>
                  <w:b/>
                  <w:sz w:val="22"/>
                  <w:szCs w:val="22"/>
                  <w:lang w:val="es-ES_tradnl"/>
                </w:rPr>
                <w:t>IS</w:t>
              </w:r>
            </w:smartTag>
            <w:r w:rsidRPr="00C52C4C">
              <w:rPr>
                <w:b/>
                <w:sz w:val="22"/>
                <w:szCs w:val="22"/>
                <w:lang w:val="es-ES_tradnl"/>
              </w:rPr>
              <w:t>TRACIÓN</w:t>
            </w:r>
          </w:p>
        </w:tc>
      </w:tr>
    </w:tbl>
    <w:p w14:paraId="3F2FA696" w14:textId="77777777" w:rsidR="00D061AA" w:rsidRPr="00C52C4C" w:rsidRDefault="00D061AA" w:rsidP="00D061AA">
      <w:pPr>
        <w:tabs>
          <w:tab w:val="left" w:pos="567"/>
        </w:tabs>
        <w:rPr>
          <w:sz w:val="22"/>
          <w:szCs w:val="22"/>
          <w:lang w:val="es-ES_tradnl"/>
        </w:rPr>
      </w:pPr>
    </w:p>
    <w:p w14:paraId="22168C61" w14:textId="77777777" w:rsidR="00D061AA" w:rsidRPr="00C52C4C" w:rsidRDefault="00D061AA" w:rsidP="00D061AA">
      <w:pPr>
        <w:tabs>
          <w:tab w:val="left" w:pos="567"/>
        </w:tabs>
        <w:rPr>
          <w:sz w:val="22"/>
          <w:szCs w:val="22"/>
          <w:lang w:val="es-ES_tradnl"/>
        </w:rPr>
      </w:pPr>
      <w:r w:rsidRPr="00C52C4C">
        <w:rPr>
          <w:sz w:val="22"/>
          <w:szCs w:val="22"/>
          <w:lang w:val="es-ES_tradnl"/>
        </w:rPr>
        <w:t>Leer el prospecto antes de utilizar este medicamento.</w:t>
      </w:r>
    </w:p>
    <w:p w14:paraId="56142E71" w14:textId="77777777" w:rsidR="00D061AA" w:rsidRPr="00C52C4C" w:rsidRDefault="00D061AA" w:rsidP="00D061AA">
      <w:pPr>
        <w:tabs>
          <w:tab w:val="left" w:pos="567"/>
        </w:tabs>
        <w:rPr>
          <w:sz w:val="22"/>
          <w:szCs w:val="22"/>
          <w:lang w:val="es-ES_tradnl"/>
        </w:rPr>
      </w:pPr>
      <w:r w:rsidRPr="00C52C4C">
        <w:rPr>
          <w:sz w:val="22"/>
          <w:szCs w:val="22"/>
          <w:lang w:val="es-ES_tradnl"/>
        </w:rPr>
        <w:t>Vía oral</w:t>
      </w:r>
    </w:p>
    <w:p w14:paraId="5F4690A5" w14:textId="77777777" w:rsidR="00D061AA" w:rsidRPr="00C52C4C" w:rsidRDefault="00D061AA" w:rsidP="00D061AA">
      <w:pPr>
        <w:tabs>
          <w:tab w:val="left" w:pos="567"/>
        </w:tabs>
        <w:rPr>
          <w:sz w:val="22"/>
          <w:szCs w:val="22"/>
          <w:lang w:val="es-ES_tradnl"/>
        </w:rPr>
      </w:pPr>
    </w:p>
    <w:p w14:paraId="312803DA"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1942161D" w14:textId="77777777" w:rsidTr="00EE4A64">
        <w:tc>
          <w:tcPr>
            <w:tcW w:w="9287" w:type="dxa"/>
          </w:tcPr>
          <w:p w14:paraId="672889F9"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6.</w:t>
            </w:r>
            <w:r w:rsidRPr="00C52C4C">
              <w:rPr>
                <w:b/>
                <w:sz w:val="22"/>
                <w:szCs w:val="22"/>
                <w:lang w:val="es-ES_tradnl"/>
              </w:rPr>
              <w:tab/>
              <w:t xml:space="preserve">ADVERTENCIA ESPECIAL </w:t>
            </w:r>
            <w:smartTag w:uri="urn:schemas-microsoft-com:office:smarttags" w:element="PersonName">
              <w:r w:rsidRPr="00C52C4C">
                <w:rPr>
                  <w:b/>
                  <w:sz w:val="22"/>
                  <w:szCs w:val="22"/>
                  <w:lang w:val="es-ES_tradnl"/>
                </w:rPr>
                <w:t>DE</w:t>
              </w:r>
            </w:smartTag>
            <w:r w:rsidRPr="00C52C4C">
              <w:rPr>
                <w:b/>
                <w:sz w:val="22"/>
                <w:szCs w:val="22"/>
                <w:lang w:val="es-ES_tradnl"/>
              </w:rPr>
              <w:t xml:space="preserve"> QUE </w:t>
            </w:r>
            <w:smartTag w:uri="urn:schemas-microsoft-com:office:smarttags" w:element="PersonName">
              <w:r w:rsidRPr="00C52C4C">
                <w:rPr>
                  <w:b/>
                  <w:sz w:val="22"/>
                  <w:szCs w:val="22"/>
                  <w:lang w:val="es-ES_tradnl"/>
                </w:rPr>
                <w:t>EL</w:t>
              </w:r>
            </w:smartTag>
            <w:r w:rsidRPr="00C52C4C">
              <w:rPr>
                <w:b/>
                <w:sz w:val="22"/>
                <w:szCs w:val="22"/>
                <w:lang w:val="es-ES_tradnl"/>
              </w:rPr>
              <w:t xml:space="preserve"> MEDICAMENTO </w:t>
            </w:r>
            <w:smartTag w:uri="urn:schemas-microsoft-com:office:smarttags" w:element="PersonName">
              <w:r w:rsidRPr="00C52C4C">
                <w:rPr>
                  <w:b/>
                  <w:sz w:val="22"/>
                  <w:szCs w:val="22"/>
                  <w:lang w:val="es-ES_tradnl"/>
                </w:rPr>
                <w:t>DE</w:t>
              </w:r>
            </w:smartTag>
            <w:r w:rsidRPr="00C52C4C">
              <w:rPr>
                <w:b/>
                <w:sz w:val="22"/>
                <w:szCs w:val="22"/>
                <w:lang w:val="es-ES_tradnl"/>
              </w:rPr>
              <w:t>BE MANTENER</w:t>
            </w:r>
            <w:smartTag w:uri="urn:schemas-microsoft-com:office:smarttags" w:element="PersonName">
              <w:r w:rsidRPr="00C52C4C">
                <w:rPr>
                  <w:b/>
                  <w:sz w:val="22"/>
                  <w:szCs w:val="22"/>
                  <w:lang w:val="es-ES_tradnl"/>
                </w:rPr>
                <w:t>SE</w:t>
              </w:r>
            </w:smartTag>
            <w:r w:rsidRPr="00C52C4C">
              <w:rPr>
                <w:b/>
                <w:sz w:val="22"/>
                <w:szCs w:val="22"/>
                <w:lang w:val="es-ES_tradnl"/>
              </w:rPr>
              <w:t xml:space="preserve"> FUERA </w:t>
            </w:r>
            <w:smartTag w:uri="urn:schemas-microsoft-com:office:smarttags" w:element="PersonName">
              <w:r w:rsidRPr="00C52C4C">
                <w:rPr>
                  <w:b/>
                  <w:sz w:val="22"/>
                  <w:szCs w:val="22"/>
                  <w:lang w:val="es-ES_tradnl"/>
                </w:rPr>
                <w:t>DE</w:t>
              </w:r>
            </w:smartTag>
            <w:r w:rsidRPr="00C52C4C">
              <w:rPr>
                <w:b/>
                <w:sz w:val="22"/>
                <w:szCs w:val="22"/>
                <w:lang w:val="es-ES_tradnl"/>
              </w:rPr>
              <w:t xml:space="preserve"> </w:t>
            </w:r>
            <w:smartTag w:uri="urn:schemas-microsoft-com:office:smarttags" w:element="PersonName">
              <w:smartTagPr>
                <w:attr w:name="ProductID" w:val="LA VISTA Y"/>
              </w:smartTagPr>
              <w:r w:rsidRPr="00C52C4C">
                <w:rPr>
                  <w:b/>
                  <w:sz w:val="22"/>
                  <w:szCs w:val="22"/>
                  <w:lang w:val="es-ES_tradnl"/>
                </w:rPr>
                <w:t>LA V</w:t>
              </w:r>
              <w:smartTag w:uri="urn:schemas-microsoft-com:office:smarttags" w:element="PersonName">
                <w:r w:rsidRPr="00C52C4C">
                  <w:rPr>
                    <w:b/>
                    <w:sz w:val="22"/>
                    <w:szCs w:val="22"/>
                    <w:lang w:val="es-ES_tradnl"/>
                  </w:rPr>
                  <w:t>IS</w:t>
                </w:r>
              </w:smartTag>
              <w:r w:rsidRPr="00C52C4C">
                <w:rPr>
                  <w:b/>
                  <w:sz w:val="22"/>
                  <w:szCs w:val="22"/>
                  <w:lang w:val="es-ES_tradnl"/>
                </w:rPr>
                <w:t>TA Y</w:t>
              </w:r>
            </w:smartTag>
            <w:r w:rsidRPr="00C52C4C">
              <w:rPr>
                <w:b/>
                <w:sz w:val="22"/>
                <w:szCs w:val="22"/>
                <w:lang w:val="es-ES_tradnl"/>
              </w:rPr>
              <w:t xml:space="preserve"> </w:t>
            </w:r>
            <w:smartTag w:uri="urn:schemas-microsoft-com:office:smarttags" w:element="PersonName">
              <w:r w:rsidRPr="00C52C4C">
                <w:rPr>
                  <w:b/>
                  <w:sz w:val="22"/>
                  <w:szCs w:val="22"/>
                  <w:lang w:val="es-ES_tradnl"/>
                </w:rPr>
                <w:t>D</w:t>
              </w:r>
              <w:smartTag w:uri="urn:schemas-microsoft-com:office:smarttags" w:element="PersonName">
                <w:r w:rsidRPr="00C52C4C">
                  <w:rPr>
                    <w:b/>
                    <w:sz w:val="22"/>
                    <w:szCs w:val="22"/>
                    <w:lang w:val="es-ES_tradnl"/>
                  </w:rPr>
                  <w:t>E</w:t>
                </w:r>
              </w:smartTag>
            </w:smartTag>
            <w:r w:rsidRPr="00C52C4C">
              <w:rPr>
                <w:b/>
                <w:sz w:val="22"/>
                <w:szCs w:val="22"/>
                <w:lang w:val="es-ES_tradnl"/>
              </w:rPr>
              <w:t xml:space="preserve">L ALCANCE </w:t>
            </w:r>
            <w:smartTag w:uri="urn:schemas-microsoft-com:office:smarttags" w:element="PersonName">
              <w:r w:rsidRPr="00C52C4C">
                <w:rPr>
                  <w:b/>
                  <w:sz w:val="22"/>
                  <w:szCs w:val="22"/>
                  <w:lang w:val="es-ES_tradnl"/>
                </w:rPr>
                <w:t>DE</w:t>
              </w:r>
            </w:smartTag>
            <w:r w:rsidRPr="00C52C4C">
              <w:rPr>
                <w:b/>
                <w:sz w:val="22"/>
                <w:szCs w:val="22"/>
                <w:lang w:val="es-ES_tradnl"/>
              </w:rPr>
              <w:t xml:space="preserve"> LOS NIÑOS</w:t>
            </w:r>
          </w:p>
        </w:tc>
      </w:tr>
    </w:tbl>
    <w:p w14:paraId="1757054B" w14:textId="77777777" w:rsidR="00D061AA" w:rsidRPr="00C52C4C" w:rsidRDefault="00D061AA" w:rsidP="00D061AA">
      <w:pPr>
        <w:tabs>
          <w:tab w:val="left" w:pos="567"/>
        </w:tabs>
        <w:rPr>
          <w:sz w:val="22"/>
          <w:szCs w:val="22"/>
          <w:lang w:val="es-ES_tradnl"/>
        </w:rPr>
      </w:pPr>
    </w:p>
    <w:p w14:paraId="0072CEEA" w14:textId="77777777" w:rsidR="00D061AA" w:rsidRPr="00C52C4C" w:rsidRDefault="00D061AA" w:rsidP="00D061AA">
      <w:pPr>
        <w:tabs>
          <w:tab w:val="left" w:pos="567"/>
        </w:tabs>
        <w:rPr>
          <w:sz w:val="22"/>
          <w:szCs w:val="22"/>
          <w:lang w:val="es-ES_tradnl"/>
        </w:rPr>
      </w:pPr>
      <w:r w:rsidRPr="00C52C4C">
        <w:rPr>
          <w:sz w:val="22"/>
          <w:szCs w:val="22"/>
          <w:lang w:val="es-ES_tradnl"/>
        </w:rPr>
        <w:t>Mantener fuera de la vista y del alcance de los niños.</w:t>
      </w:r>
    </w:p>
    <w:p w14:paraId="4F78911E" w14:textId="77777777" w:rsidR="00D061AA" w:rsidRPr="00C52C4C" w:rsidRDefault="00D061AA" w:rsidP="00D061AA">
      <w:pPr>
        <w:tabs>
          <w:tab w:val="left" w:pos="567"/>
        </w:tabs>
        <w:rPr>
          <w:sz w:val="22"/>
          <w:szCs w:val="22"/>
          <w:lang w:val="es-ES_tradnl"/>
        </w:rPr>
      </w:pPr>
    </w:p>
    <w:p w14:paraId="5F6408E2" w14:textId="77777777" w:rsidR="00D061AA" w:rsidRPr="00C52C4C" w:rsidRDefault="00D061AA" w:rsidP="00D061AA">
      <w:pPr>
        <w:tabs>
          <w:tab w:val="left" w:pos="567"/>
        </w:tabs>
        <w:rPr>
          <w:sz w:val="22"/>
          <w:szCs w:val="22"/>
          <w:lang w:val="es-ES_tradnl"/>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25E1C2E4" w14:textId="77777777" w:rsidTr="006A16B9">
        <w:tc>
          <w:tcPr>
            <w:tcW w:w="9287" w:type="dxa"/>
          </w:tcPr>
          <w:p w14:paraId="1BB5BB5E"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7.</w:t>
            </w:r>
            <w:r w:rsidRPr="00C52C4C">
              <w:rPr>
                <w:b/>
                <w:sz w:val="22"/>
                <w:szCs w:val="22"/>
                <w:lang w:val="es-ES_tradnl"/>
              </w:rPr>
              <w:tab/>
              <w:t xml:space="preserve">OTRAS ADVERTENCIAS ESPECIALES, </w:t>
            </w:r>
            <w:smartTag w:uri="urn:schemas-microsoft-com:office:smarttags" w:element="PersonName">
              <w:r w:rsidRPr="00C52C4C">
                <w:rPr>
                  <w:b/>
                  <w:sz w:val="22"/>
                  <w:szCs w:val="22"/>
                  <w:lang w:val="es-ES_tradnl"/>
                </w:rPr>
                <w:t>SI</w:t>
              </w:r>
            </w:smartTag>
            <w:r w:rsidRPr="00C52C4C">
              <w:rPr>
                <w:b/>
                <w:sz w:val="22"/>
                <w:szCs w:val="22"/>
                <w:lang w:val="es-ES_tradnl"/>
              </w:rPr>
              <w:t xml:space="preserve"> ES NECESARIO</w:t>
            </w:r>
          </w:p>
        </w:tc>
      </w:tr>
    </w:tbl>
    <w:p w14:paraId="60FE7214" w14:textId="77777777" w:rsidR="0074669E" w:rsidRPr="00C52C4C" w:rsidRDefault="0074669E" w:rsidP="0074669E">
      <w:pPr>
        <w:rPr>
          <w:vanish/>
          <w:sz w:val="22"/>
          <w:szCs w:val="22"/>
        </w:rPr>
      </w:pPr>
    </w:p>
    <w:tbl>
      <w:tblPr>
        <w:tblpPr w:leftFromText="180" w:rightFromText="180" w:vertAnchor="text" w:horzAnchor="margin" w:tblpY="627"/>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16B9" w:rsidRPr="00C52C4C" w14:paraId="5B89C281" w14:textId="77777777" w:rsidTr="006A16B9">
        <w:tc>
          <w:tcPr>
            <w:tcW w:w="9287" w:type="dxa"/>
          </w:tcPr>
          <w:p w14:paraId="1C6B4D86" w14:textId="77777777" w:rsidR="006A16B9" w:rsidRPr="00C52C4C" w:rsidRDefault="006A16B9" w:rsidP="006A16B9">
            <w:pPr>
              <w:keepNext/>
              <w:tabs>
                <w:tab w:val="left" w:pos="567"/>
              </w:tabs>
              <w:ind w:left="567" w:hanging="567"/>
              <w:rPr>
                <w:b/>
                <w:sz w:val="22"/>
                <w:szCs w:val="22"/>
                <w:lang w:val="es-ES_tradnl"/>
              </w:rPr>
            </w:pPr>
            <w:r w:rsidRPr="00C52C4C">
              <w:rPr>
                <w:b/>
                <w:sz w:val="22"/>
                <w:szCs w:val="22"/>
                <w:lang w:val="es-ES_tradnl"/>
              </w:rPr>
              <w:lastRenderedPageBreak/>
              <w:t>8.</w:t>
            </w:r>
            <w:r w:rsidRPr="00C52C4C">
              <w:rPr>
                <w:b/>
                <w:sz w:val="22"/>
                <w:szCs w:val="22"/>
                <w:lang w:val="es-ES_tradnl"/>
              </w:rPr>
              <w:tab/>
              <w:t xml:space="preserve">FECHA </w:t>
            </w:r>
            <w:smartTag w:uri="urn:schemas-microsoft-com:office:smarttags" w:element="PersonName">
              <w:r w:rsidRPr="00C52C4C">
                <w:rPr>
                  <w:b/>
                  <w:sz w:val="22"/>
                  <w:szCs w:val="22"/>
                  <w:lang w:val="es-ES_tradnl"/>
                </w:rPr>
                <w:t>DE</w:t>
              </w:r>
            </w:smartTag>
            <w:r w:rsidRPr="00C52C4C">
              <w:rPr>
                <w:b/>
                <w:sz w:val="22"/>
                <w:szCs w:val="22"/>
                <w:lang w:val="es-ES_tradnl"/>
              </w:rPr>
              <w:t xml:space="preserve"> CADUCIDAD</w:t>
            </w:r>
          </w:p>
        </w:tc>
      </w:tr>
    </w:tbl>
    <w:p w14:paraId="4EF7AAE0" w14:textId="77777777" w:rsidR="00D061AA" w:rsidRPr="00C52C4C" w:rsidRDefault="00D061AA" w:rsidP="00C5074E">
      <w:pPr>
        <w:keepNext/>
        <w:tabs>
          <w:tab w:val="left" w:pos="567"/>
        </w:tabs>
        <w:rPr>
          <w:sz w:val="22"/>
          <w:szCs w:val="22"/>
          <w:lang w:val="es-ES_tradnl"/>
        </w:rPr>
      </w:pPr>
      <w:r w:rsidRPr="00C52C4C">
        <w:rPr>
          <w:sz w:val="22"/>
          <w:szCs w:val="22"/>
          <w:lang w:val="es-ES_tradnl"/>
        </w:rPr>
        <w:t>CAD</w:t>
      </w:r>
    </w:p>
    <w:p w14:paraId="0E632F51" w14:textId="77777777" w:rsidR="00D061AA" w:rsidRPr="00C52C4C" w:rsidRDefault="00D061AA" w:rsidP="00C5074E">
      <w:pPr>
        <w:keepNext/>
        <w:tabs>
          <w:tab w:val="left" w:pos="567"/>
        </w:tabs>
        <w:rPr>
          <w:sz w:val="22"/>
          <w:szCs w:val="22"/>
          <w:lang w:val="es-ES_tradnl"/>
        </w:rPr>
      </w:pPr>
    </w:p>
    <w:p w14:paraId="0E1AE509" w14:textId="77777777" w:rsidR="00D061AA" w:rsidRDefault="00D061AA" w:rsidP="00C5074E">
      <w:pPr>
        <w:keepNext/>
        <w:tabs>
          <w:tab w:val="left" w:pos="567"/>
        </w:tabs>
        <w:rPr>
          <w:sz w:val="22"/>
          <w:szCs w:val="22"/>
          <w:lang w:val="es-ES_tradnl"/>
        </w:rPr>
      </w:pPr>
    </w:p>
    <w:p w14:paraId="38D13CFF" w14:textId="77777777" w:rsidR="006432E3" w:rsidRPr="00C52C4C" w:rsidRDefault="006432E3" w:rsidP="00C5074E">
      <w:pPr>
        <w:keepNext/>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6A74E7EE" w14:textId="77777777" w:rsidTr="00EE4A64">
        <w:tc>
          <w:tcPr>
            <w:tcW w:w="9287" w:type="dxa"/>
          </w:tcPr>
          <w:p w14:paraId="4E1DDB5A" w14:textId="77777777" w:rsidR="00D061AA" w:rsidRPr="00C52C4C" w:rsidRDefault="00D061AA" w:rsidP="00C5074E">
            <w:pPr>
              <w:keepNext/>
              <w:tabs>
                <w:tab w:val="left" w:pos="567"/>
              </w:tabs>
              <w:ind w:left="567" w:hanging="567"/>
              <w:rPr>
                <w:sz w:val="22"/>
                <w:szCs w:val="22"/>
                <w:lang w:val="es-ES_tradnl"/>
              </w:rPr>
            </w:pPr>
            <w:r w:rsidRPr="00C52C4C">
              <w:rPr>
                <w:b/>
                <w:sz w:val="22"/>
                <w:szCs w:val="22"/>
                <w:lang w:val="es-ES_tradnl"/>
              </w:rPr>
              <w:t>9.</w:t>
            </w:r>
            <w:r w:rsidRPr="00C52C4C">
              <w:rPr>
                <w:b/>
                <w:sz w:val="22"/>
                <w:szCs w:val="22"/>
                <w:lang w:val="es-ES_tradnl"/>
              </w:rPr>
              <w:tab/>
              <w:t xml:space="preserve">CONDICIONES ESPECIALES </w:t>
            </w:r>
            <w:smartTag w:uri="urn:schemas-microsoft-com:office:smarttags" w:element="PersonName">
              <w:r w:rsidRPr="00C52C4C">
                <w:rPr>
                  <w:b/>
                  <w:sz w:val="22"/>
                  <w:szCs w:val="22"/>
                  <w:lang w:val="es-ES_tradnl"/>
                </w:rPr>
                <w:t>DE</w:t>
              </w:r>
            </w:smartTag>
            <w:r w:rsidRPr="00C52C4C">
              <w:rPr>
                <w:b/>
                <w:sz w:val="22"/>
                <w:szCs w:val="22"/>
                <w:lang w:val="es-ES_tradnl"/>
              </w:rPr>
              <w:t xml:space="preserve"> CON</w:t>
            </w:r>
            <w:smartTag w:uri="urn:schemas-microsoft-com:office:smarttags" w:element="PersonName">
              <w:r w:rsidRPr="00C52C4C">
                <w:rPr>
                  <w:b/>
                  <w:sz w:val="22"/>
                  <w:szCs w:val="22"/>
                  <w:lang w:val="es-ES_tradnl"/>
                </w:rPr>
                <w:t>SE</w:t>
              </w:r>
            </w:smartTag>
            <w:r w:rsidRPr="00C52C4C">
              <w:rPr>
                <w:b/>
                <w:sz w:val="22"/>
                <w:szCs w:val="22"/>
                <w:lang w:val="es-ES_tradnl"/>
              </w:rPr>
              <w:t>RVACIÓN</w:t>
            </w:r>
          </w:p>
        </w:tc>
      </w:tr>
    </w:tbl>
    <w:p w14:paraId="21F2864E" w14:textId="77777777" w:rsidR="00D061AA" w:rsidRPr="00C52C4C" w:rsidRDefault="00D061AA" w:rsidP="00C5074E">
      <w:pPr>
        <w:keepNext/>
        <w:tabs>
          <w:tab w:val="left" w:pos="567"/>
        </w:tabs>
        <w:rPr>
          <w:sz w:val="22"/>
          <w:szCs w:val="22"/>
          <w:lang w:val="es-ES_tradnl"/>
        </w:rPr>
      </w:pPr>
    </w:p>
    <w:p w14:paraId="701726F0" w14:textId="77777777" w:rsidR="00D061AA" w:rsidRPr="00C52C4C" w:rsidRDefault="00D061AA" w:rsidP="00D061AA">
      <w:pPr>
        <w:tabs>
          <w:tab w:val="left" w:pos="567"/>
        </w:tabs>
        <w:rPr>
          <w:sz w:val="22"/>
          <w:szCs w:val="22"/>
          <w:lang w:val="es-ES_tradnl"/>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33D8BE5B" w14:textId="77777777" w:rsidTr="00EE4A64">
        <w:tc>
          <w:tcPr>
            <w:tcW w:w="9287" w:type="dxa"/>
          </w:tcPr>
          <w:p w14:paraId="433DC5C4" w14:textId="77777777" w:rsidR="00D061AA" w:rsidRPr="00C52C4C" w:rsidRDefault="00D061AA" w:rsidP="00EE4A64">
            <w:pPr>
              <w:keepNext/>
              <w:tabs>
                <w:tab w:val="left" w:pos="567"/>
              </w:tabs>
              <w:ind w:left="567" w:hanging="567"/>
              <w:rPr>
                <w:b/>
                <w:sz w:val="22"/>
                <w:szCs w:val="22"/>
                <w:lang w:val="es-ES_tradnl"/>
              </w:rPr>
            </w:pPr>
            <w:r w:rsidRPr="00C52C4C">
              <w:rPr>
                <w:b/>
                <w:sz w:val="22"/>
                <w:szCs w:val="22"/>
                <w:lang w:val="es-ES_tradnl"/>
              </w:rPr>
              <w:t>10.</w:t>
            </w:r>
            <w:r w:rsidRPr="00C52C4C">
              <w:rPr>
                <w:b/>
                <w:sz w:val="22"/>
                <w:szCs w:val="22"/>
                <w:lang w:val="es-ES_tradnl"/>
              </w:rPr>
              <w:tab/>
              <w:t xml:space="preserve">PRECAUCIONES ESPECIALES </w:t>
            </w:r>
            <w:smartTag w:uri="urn:schemas-microsoft-com:office:smarttags" w:element="PersonName">
              <w:r w:rsidRPr="00C52C4C">
                <w:rPr>
                  <w:b/>
                  <w:sz w:val="22"/>
                  <w:szCs w:val="22"/>
                  <w:lang w:val="es-ES_tradnl"/>
                </w:rPr>
                <w:t>DE</w:t>
              </w:r>
            </w:smartTag>
            <w:r w:rsidRPr="00C52C4C">
              <w:rPr>
                <w:b/>
                <w:sz w:val="22"/>
                <w:szCs w:val="22"/>
                <w:lang w:val="es-ES_tradnl"/>
              </w:rPr>
              <w:t xml:space="preserve"> </w:t>
            </w:r>
            <w:smartTag w:uri="urn:schemas-microsoft-com:office:smarttags" w:element="PersonName">
              <w:r w:rsidRPr="00C52C4C">
                <w:rPr>
                  <w:b/>
                  <w:sz w:val="22"/>
                  <w:szCs w:val="22"/>
                  <w:lang w:val="es-ES_tradnl"/>
                </w:rPr>
                <w:t>EL</w:t>
              </w:r>
            </w:smartTag>
            <w:r w:rsidRPr="00C52C4C">
              <w:rPr>
                <w:b/>
                <w:sz w:val="22"/>
                <w:szCs w:val="22"/>
                <w:lang w:val="es-ES_tradnl"/>
              </w:rPr>
              <w:t xml:space="preserve">IMINACIÓN </w:t>
            </w:r>
            <w:smartTag w:uri="urn:schemas-microsoft-com:office:smarttags" w:element="PersonName">
              <w:r w:rsidRPr="00C52C4C">
                <w:rPr>
                  <w:b/>
                  <w:sz w:val="22"/>
                  <w:szCs w:val="22"/>
                  <w:lang w:val="es-ES_tradnl"/>
                </w:rPr>
                <w:t>D</w:t>
              </w:r>
              <w:smartTag w:uri="urn:schemas-microsoft-com:office:smarttags" w:element="PersonName">
                <w:r w:rsidRPr="00C52C4C">
                  <w:rPr>
                    <w:b/>
                    <w:sz w:val="22"/>
                    <w:szCs w:val="22"/>
                    <w:lang w:val="es-ES_tradnl"/>
                  </w:rPr>
                  <w:t>E</w:t>
                </w:r>
              </w:smartTag>
            </w:smartTag>
            <w:r w:rsidRPr="00C52C4C">
              <w:rPr>
                <w:b/>
                <w:sz w:val="22"/>
                <w:szCs w:val="22"/>
                <w:lang w:val="es-ES_tradnl"/>
              </w:rPr>
              <w:t xml:space="preserve">L MEDICAMENTO </w:t>
            </w:r>
            <w:smartTag w:uri="urn:schemas-microsoft-com:office:smarttags" w:element="PersonName">
              <w:r w:rsidRPr="00C52C4C">
                <w:rPr>
                  <w:b/>
                  <w:sz w:val="22"/>
                  <w:szCs w:val="22"/>
                  <w:lang w:val="es-ES_tradnl"/>
                </w:rPr>
                <w:t>NO</w:t>
              </w:r>
            </w:smartTag>
            <w:r w:rsidRPr="00C52C4C">
              <w:rPr>
                <w:b/>
                <w:sz w:val="22"/>
                <w:szCs w:val="22"/>
                <w:lang w:val="es-ES_tradnl"/>
              </w:rPr>
              <w:t xml:space="preserve"> UTILIZADO Y </w:t>
            </w:r>
            <w:smartTag w:uri="urn:schemas-microsoft-com:office:smarttags" w:element="PersonName">
              <w:r w:rsidRPr="00C52C4C">
                <w:rPr>
                  <w:b/>
                  <w:sz w:val="22"/>
                  <w:szCs w:val="22"/>
                  <w:lang w:val="es-ES_tradnl"/>
                </w:rPr>
                <w:t>DE</w:t>
              </w:r>
            </w:smartTag>
            <w:r w:rsidRPr="00C52C4C">
              <w:rPr>
                <w:b/>
                <w:sz w:val="22"/>
                <w:szCs w:val="22"/>
                <w:lang w:val="es-ES_tradnl"/>
              </w:rPr>
              <w:t xml:space="preserve"> LOS MATERIALES </w:t>
            </w:r>
            <w:smartTag w:uri="urn:schemas-microsoft-com:office:smarttags" w:element="PersonName">
              <w:r w:rsidRPr="00C52C4C">
                <w:rPr>
                  <w:b/>
                  <w:sz w:val="22"/>
                  <w:szCs w:val="22"/>
                  <w:lang w:val="es-ES_tradnl"/>
                </w:rPr>
                <w:t>DE</w:t>
              </w:r>
            </w:smartTag>
            <w:r w:rsidRPr="00C52C4C">
              <w:rPr>
                <w:b/>
                <w:sz w:val="22"/>
                <w:szCs w:val="22"/>
                <w:lang w:val="es-ES_tradnl"/>
              </w:rPr>
              <w:t xml:space="preserve">RIVADOS </w:t>
            </w:r>
            <w:smartTag w:uri="urn:schemas-microsoft-com:office:smarttags" w:element="PersonName">
              <w:r w:rsidRPr="00C52C4C">
                <w:rPr>
                  <w:b/>
                  <w:sz w:val="22"/>
                  <w:szCs w:val="22"/>
                  <w:lang w:val="es-ES_tradnl"/>
                </w:rPr>
                <w:t>DE</w:t>
              </w:r>
            </w:smartTag>
            <w:r w:rsidRPr="00C52C4C">
              <w:rPr>
                <w:b/>
                <w:sz w:val="22"/>
                <w:szCs w:val="22"/>
                <w:lang w:val="es-ES_tradnl"/>
              </w:rPr>
              <w:t xml:space="preserve"> SU USO (CUANDO CORRESPONDA)</w:t>
            </w:r>
          </w:p>
        </w:tc>
      </w:tr>
    </w:tbl>
    <w:p w14:paraId="1D0B6DD8" w14:textId="77777777" w:rsidR="00D061AA" w:rsidRPr="00C52C4C" w:rsidRDefault="00D061AA" w:rsidP="00D061AA">
      <w:pPr>
        <w:tabs>
          <w:tab w:val="left" w:pos="567"/>
        </w:tabs>
        <w:rPr>
          <w:sz w:val="22"/>
          <w:szCs w:val="22"/>
          <w:lang w:val="es-ES_tradnl"/>
        </w:rPr>
      </w:pPr>
    </w:p>
    <w:p w14:paraId="5A81C791"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7278711D" w14:textId="77777777" w:rsidTr="00EE4A64">
        <w:tc>
          <w:tcPr>
            <w:tcW w:w="9287" w:type="dxa"/>
          </w:tcPr>
          <w:p w14:paraId="3FD1E62F"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11.</w:t>
            </w:r>
            <w:r w:rsidRPr="00C52C4C">
              <w:rPr>
                <w:b/>
                <w:sz w:val="22"/>
                <w:szCs w:val="22"/>
                <w:lang w:val="es-ES_tradnl"/>
              </w:rPr>
              <w:tab/>
            </w:r>
            <w:smartTag w:uri="urn:schemas-microsoft-com:office:smarttags" w:element="PersonName">
              <w:r w:rsidRPr="00C52C4C">
                <w:rPr>
                  <w:b/>
                  <w:sz w:val="22"/>
                  <w:szCs w:val="22"/>
                  <w:lang w:val="es-ES_tradnl"/>
                </w:rPr>
                <w:t>NO</w:t>
              </w:r>
            </w:smartTag>
            <w:r w:rsidRPr="00C52C4C">
              <w:rPr>
                <w:b/>
                <w:sz w:val="22"/>
                <w:szCs w:val="22"/>
                <w:lang w:val="es-ES_tradnl"/>
              </w:rPr>
              <w:t xml:space="preserve">MBRE Y DIRECCIÓN </w:t>
            </w:r>
            <w:smartTag w:uri="urn:schemas-microsoft-com:office:smarttags" w:element="PersonName">
              <w:r w:rsidRPr="00C52C4C">
                <w:rPr>
                  <w:b/>
                  <w:sz w:val="22"/>
                  <w:szCs w:val="22"/>
                  <w:lang w:val="es-ES_tradnl"/>
                </w:rPr>
                <w:t>D</w:t>
              </w:r>
              <w:smartTag w:uri="urn:schemas-microsoft-com:office:smarttags" w:element="PersonName">
                <w:r w:rsidRPr="00C52C4C">
                  <w:rPr>
                    <w:b/>
                    <w:sz w:val="22"/>
                    <w:szCs w:val="22"/>
                    <w:lang w:val="es-ES_tradnl"/>
                  </w:rPr>
                  <w:t>E</w:t>
                </w:r>
              </w:smartTag>
            </w:smartTag>
            <w:r w:rsidRPr="00C52C4C">
              <w:rPr>
                <w:b/>
                <w:sz w:val="22"/>
                <w:szCs w:val="22"/>
                <w:lang w:val="es-ES_tradnl"/>
              </w:rPr>
              <w:t>L T</w:t>
            </w:r>
            <w:smartTag w:uri="urn:schemas-microsoft-com:office:smarttags" w:element="PersonName">
              <w:r w:rsidRPr="00C52C4C">
                <w:rPr>
                  <w:b/>
                  <w:sz w:val="22"/>
                  <w:szCs w:val="22"/>
                  <w:lang w:val="es-ES_tradnl"/>
                </w:rPr>
                <w:t>IT</w:t>
              </w:r>
            </w:smartTag>
            <w:r w:rsidRPr="00C52C4C">
              <w:rPr>
                <w:b/>
                <w:sz w:val="22"/>
                <w:szCs w:val="22"/>
                <w:lang w:val="es-ES_tradnl"/>
              </w:rPr>
              <w:t xml:space="preserve">ULAR </w:t>
            </w:r>
            <w:smartTag w:uri="urn:schemas-microsoft-com:office:smarttags" w:element="PersonName">
              <w:r w:rsidRPr="00C52C4C">
                <w:rPr>
                  <w:b/>
                  <w:sz w:val="22"/>
                  <w:szCs w:val="22"/>
                  <w:lang w:val="es-ES_tradnl"/>
                </w:rPr>
                <w:t>DE</w:t>
              </w:r>
            </w:smartTag>
            <w:r w:rsidRPr="00C52C4C">
              <w:rPr>
                <w:b/>
                <w:sz w:val="22"/>
                <w:szCs w:val="22"/>
                <w:lang w:val="es-ES_tradnl"/>
              </w:rPr>
              <w:t xml:space="preserve"> </w:t>
            </w:r>
            <w:smartTag w:uri="urn:schemas-microsoft-com:office:smarttags" w:element="PersonName">
              <w:smartTagPr>
                <w:attr w:name="ProductID" w:val="LA AUTORIZACIￓN DE"/>
              </w:smartTagPr>
              <w:r w:rsidRPr="00C52C4C">
                <w:rPr>
                  <w:b/>
                  <w:sz w:val="22"/>
                  <w:szCs w:val="22"/>
                  <w:lang w:val="es-ES_tradnl"/>
                </w:rPr>
                <w:t xml:space="preserve">LA AUTORIZACIÓN </w:t>
              </w:r>
              <w:smartTag w:uri="urn:schemas-microsoft-com:office:smarttags" w:element="PersonName">
                <w:r w:rsidRPr="00C52C4C">
                  <w:rPr>
                    <w:b/>
                    <w:sz w:val="22"/>
                    <w:szCs w:val="22"/>
                    <w:lang w:val="es-ES_tradnl"/>
                  </w:rPr>
                  <w:t>DE</w:t>
                </w:r>
              </w:smartTag>
            </w:smartTag>
            <w:r w:rsidRPr="00C52C4C">
              <w:rPr>
                <w:b/>
                <w:sz w:val="22"/>
                <w:szCs w:val="22"/>
                <w:lang w:val="es-ES_tradnl"/>
              </w:rPr>
              <w:t xml:space="preserve"> COMERCIALIZACIÓN</w:t>
            </w:r>
          </w:p>
        </w:tc>
      </w:tr>
    </w:tbl>
    <w:p w14:paraId="11984FC9" w14:textId="77777777" w:rsidR="00D061AA" w:rsidRPr="00C52C4C" w:rsidRDefault="00D061AA" w:rsidP="00D061AA">
      <w:pPr>
        <w:tabs>
          <w:tab w:val="left" w:pos="567"/>
        </w:tabs>
        <w:rPr>
          <w:sz w:val="22"/>
          <w:szCs w:val="22"/>
          <w:lang w:val="es-ES_tradnl"/>
        </w:rPr>
      </w:pPr>
    </w:p>
    <w:p w14:paraId="1B399B60" w14:textId="77777777" w:rsidR="004A1A96" w:rsidRPr="004A1A96" w:rsidRDefault="004A1A96" w:rsidP="004A1A96">
      <w:pPr>
        <w:rPr>
          <w:sz w:val="22"/>
          <w:szCs w:val="22"/>
          <w:lang w:val="pl-PL"/>
        </w:rPr>
      </w:pPr>
      <w:r w:rsidRPr="004A1A96">
        <w:rPr>
          <w:sz w:val="22"/>
          <w:szCs w:val="22"/>
          <w:lang w:val="pl-PL"/>
        </w:rPr>
        <w:t xml:space="preserve">Accord Healthcare S.L.U. </w:t>
      </w:r>
    </w:p>
    <w:p w14:paraId="0C0A850D" w14:textId="77777777" w:rsidR="004A1A96" w:rsidRPr="004A1A96" w:rsidRDefault="004A1A96" w:rsidP="004A1A96">
      <w:pPr>
        <w:rPr>
          <w:sz w:val="22"/>
          <w:szCs w:val="22"/>
          <w:lang w:val="pl-PL"/>
        </w:rPr>
      </w:pPr>
      <w:r w:rsidRPr="004A1A96">
        <w:rPr>
          <w:sz w:val="22"/>
          <w:szCs w:val="22"/>
          <w:lang w:val="pl-PL"/>
        </w:rPr>
        <w:t xml:space="preserve">World Trade Center, Moll de Barcelona, s/n, </w:t>
      </w:r>
    </w:p>
    <w:p w14:paraId="0A9EE8AA" w14:textId="77777777" w:rsidR="004A1A96" w:rsidRPr="004A1A96" w:rsidRDefault="004A1A96" w:rsidP="004A1A96">
      <w:pPr>
        <w:rPr>
          <w:sz w:val="22"/>
          <w:szCs w:val="22"/>
          <w:lang w:val="pl-PL"/>
        </w:rPr>
      </w:pPr>
      <w:r w:rsidRPr="004A1A96">
        <w:rPr>
          <w:sz w:val="22"/>
          <w:szCs w:val="22"/>
          <w:lang w:val="pl-PL"/>
        </w:rPr>
        <w:t xml:space="preserve">Edifici Est 6ª planta, </w:t>
      </w:r>
    </w:p>
    <w:p w14:paraId="0D508A4B" w14:textId="77777777" w:rsidR="004A1A96" w:rsidRPr="004A1A96" w:rsidRDefault="004A1A96" w:rsidP="004A1A96">
      <w:pPr>
        <w:rPr>
          <w:sz w:val="22"/>
          <w:szCs w:val="22"/>
          <w:lang w:val="pl-PL"/>
        </w:rPr>
      </w:pPr>
      <w:r w:rsidRPr="004A1A96">
        <w:rPr>
          <w:sz w:val="22"/>
          <w:szCs w:val="22"/>
          <w:lang w:val="pl-PL"/>
        </w:rPr>
        <w:t xml:space="preserve">08039 Barcelona, </w:t>
      </w:r>
    </w:p>
    <w:p w14:paraId="65D60C20" w14:textId="77777777" w:rsidR="00D061AA" w:rsidRPr="00C52C4C" w:rsidRDefault="004A1A96" w:rsidP="00D061AA">
      <w:pPr>
        <w:tabs>
          <w:tab w:val="left" w:pos="567"/>
        </w:tabs>
        <w:rPr>
          <w:sz w:val="22"/>
          <w:szCs w:val="22"/>
        </w:rPr>
      </w:pPr>
      <w:r w:rsidRPr="004A1A96">
        <w:rPr>
          <w:sz w:val="22"/>
          <w:szCs w:val="22"/>
          <w:lang w:val="en-IN"/>
        </w:rPr>
        <w:t>España</w:t>
      </w:r>
    </w:p>
    <w:p w14:paraId="5F9C2042" w14:textId="77777777" w:rsidR="00D061AA" w:rsidRPr="00C52C4C" w:rsidRDefault="00D061AA" w:rsidP="00D061AA">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0A3B8F60" w14:textId="77777777" w:rsidTr="00EE4A64">
        <w:tc>
          <w:tcPr>
            <w:tcW w:w="9287" w:type="dxa"/>
          </w:tcPr>
          <w:p w14:paraId="038E6EC1"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12.</w:t>
            </w:r>
            <w:r w:rsidRPr="00C52C4C">
              <w:rPr>
                <w:b/>
                <w:sz w:val="22"/>
                <w:szCs w:val="22"/>
                <w:lang w:val="es-ES_tradnl"/>
              </w:rPr>
              <w:tab/>
              <w:t>NÚME</w:t>
            </w:r>
            <w:smartTag w:uri="urn:schemas-microsoft-com:office:smarttags" w:element="PersonName">
              <w:r w:rsidRPr="00C52C4C">
                <w:rPr>
                  <w:b/>
                  <w:sz w:val="22"/>
                  <w:szCs w:val="22"/>
                  <w:lang w:val="es-ES_tradnl"/>
                </w:rPr>
                <w:t>RO</w:t>
              </w:r>
            </w:smartTag>
            <w:r w:rsidRPr="00C52C4C">
              <w:rPr>
                <w:b/>
                <w:sz w:val="22"/>
                <w:szCs w:val="22"/>
                <w:lang w:val="es-ES_tradnl"/>
              </w:rPr>
              <w:t xml:space="preserve">(S) </w:t>
            </w:r>
            <w:smartTag w:uri="urn:schemas-microsoft-com:office:smarttags" w:element="PersonName">
              <w:r w:rsidRPr="00C52C4C">
                <w:rPr>
                  <w:b/>
                  <w:sz w:val="22"/>
                  <w:szCs w:val="22"/>
                  <w:lang w:val="es-ES_tradnl"/>
                </w:rPr>
                <w:t>DE</w:t>
              </w:r>
            </w:smartTag>
            <w:r w:rsidRPr="00C52C4C">
              <w:rPr>
                <w:b/>
                <w:sz w:val="22"/>
                <w:szCs w:val="22"/>
                <w:lang w:val="es-ES_tradnl"/>
              </w:rPr>
              <w:t xml:space="preserve"> </w:t>
            </w:r>
            <w:smartTag w:uri="urn:schemas-microsoft-com:office:smarttags" w:element="PersonName">
              <w:smartTagPr>
                <w:attr w:name="ProductID" w:val="LA AUTORIZACIￓN DE"/>
              </w:smartTagPr>
              <w:r w:rsidRPr="00C52C4C">
                <w:rPr>
                  <w:b/>
                  <w:sz w:val="22"/>
                  <w:szCs w:val="22"/>
                  <w:lang w:val="es-ES_tradnl"/>
                </w:rPr>
                <w:t xml:space="preserve">LA AUTORIZACIÓN </w:t>
              </w:r>
              <w:smartTag w:uri="urn:schemas-microsoft-com:office:smarttags" w:element="PersonName">
                <w:r w:rsidRPr="00C52C4C">
                  <w:rPr>
                    <w:b/>
                    <w:sz w:val="22"/>
                    <w:szCs w:val="22"/>
                    <w:lang w:val="es-ES_tradnl"/>
                  </w:rPr>
                  <w:t>DE</w:t>
                </w:r>
              </w:smartTag>
            </w:smartTag>
            <w:r w:rsidRPr="00C52C4C">
              <w:rPr>
                <w:b/>
                <w:sz w:val="22"/>
                <w:szCs w:val="22"/>
                <w:lang w:val="es-ES_tradnl"/>
              </w:rPr>
              <w:t xml:space="preserve"> COMERCIALIZACIÓN</w:t>
            </w:r>
          </w:p>
        </w:tc>
      </w:tr>
    </w:tbl>
    <w:p w14:paraId="29F7FE43" w14:textId="77777777" w:rsidR="00D061AA" w:rsidRPr="00C52C4C" w:rsidRDefault="00D061AA" w:rsidP="00D061AA">
      <w:pPr>
        <w:tabs>
          <w:tab w:val="left" w:pos="567"/>
        </w:tabs>
        <w:rPr>
          <w:sz w:val="22"/>
          <w:szCs w:val="22"/>
          <w:lang w:val="es-ES_tradnl"/>
        </w:rPr>
      </w:pPr>
    </w:p>
    <w:p w14:paraId="29E22682" w14:textId="77777777" w:rsidR="0002447E" w:rsidRPr="001A4823" w:rsidRDefault="0002447E" w:rsidP="0002447E">
      <w:pPr>
        <w:tabs>
          <w:tab w:val="left" w:pos="567"/>
        </w:tabs>
        <w:rPr>
          <w:sz w:val="22"/>
          <w:szCs w:val="22"/>
          <w:highlight w:val="lightGray"/>
          <w:lang w:val="es-ES_tradnl"/>
        </w:rPr>
      </w:pPr>
      <w:r w:rsidRPr="00C52C4C">
        <w:rPr>
          <w:sz w:val="22"/>
          <w:szCs w:val="22"/>
          <w:lang w:val="es-ES_tradnl"/>
        </w:rPr>
        <w:t xml:space="preserve">EU/1/13/835/010  </w:t>
      </w:r>
      <w:r w:rsidRPr="001A4823">
        <w:rPr>
          <w:sz w:val="22"/>
          <w:szCs w:val="22"/>
          <w:highlight w:val="lightGray"/>
          <w:lang w:val="es-ES_tradnl"/>
        </w:rPr>
        <w:t>2 comprimidos recubiertos con película</w:t>
      </w:r>
    </w:p>
    <w:p w14:paraId="63EC1EB8" w14:textId="77777777" w:rsidR="0002447E" w:rsidRPr="001A4823" w:rsidRDefault="0002447E" w:rsidP="0002447E">
      <w:pPr>
        <w:tabs>
          <w:tab w:val="left" w:pos="567"/>
        </w:tabs>
        <w:rPr>
          <w:sz w:val="22"/>
          <w:szCs w:val="22"/>
          <w:highlight w:val="lightGray"/>
          <w:lang w:val="es-ES_tradnl"/>
        </w:rPr>
      </w:pPr>
      <w:r w:rsidRPr="001A4823">
        <w:rPr>
          <w:sz w:val="22"/>
          <w:szCs w:val="22"/>
          <w:highlight w:val="lightGray"/>
          <w:lang w:val="es-ES_tradnl"/>
        </w:rPr>
        <w:t>EU/1/13/835/011  10 comprimidos recubiertos con película</w:t>
      </w:r>
    </w:p>
    <w:p w14:paraId="74635C58" w14:textId="77777777" w:rsidR="0002447E" w:rsidRPr="001A4823" w:rsidRDefault="0002447E" w:rsidP="0002447E">
      <w:pPr>
        <w:tabs>
          <w:tab w:val="left" w:pos="567"/>
        </w:tabs>
        <w:rPr>
          <w:sz w:val="22"/>
          <w:szCs w:val="22"/>
          <w:highlight w:val="lightGray"/>
          <w:lang w:val="es-ES_tradnl"/>
        </w:rPr>
      </w:pPr>
      <w:r w:rsidRPr="001A4823">
        <w:rPr>
          <w:sz w:val="22"/>
          <w:szCs w:val="22"/>
          <w:highlight w:val="lightGray"/>
          <w:lang w:val="es-ES_tradnl"/>
        </w:rPr>
        <w:t>EU/1/13/835/012  14 comprimidos recubiertos con película</w:t>
      </w:r>
    </w:p>
    <w:p w14:paraId="22DAA491" w14:textId="77777777" w:rsidR="0002447E" w:rsidRPr="001A4823" w:rsidRDefault="0002447E" w:rsidP="0002447E">
      <w:pPr>
        <w:tabs>
          <w:tab w:val="left" w:pos="567"/>
        </w:tabs>
        <w:rPr>
          <w:sz w:val="22"/>
          <w:szCs w:val="22"/>
          <w:highlight w:val="lightGray"/>
          <w:lang w:val="es-ES_tradnl"/>
        </w:rPr>
      </w:pPr>
      <w:r w:rsidRPr="001A4823">
        <w:rPr>
          <w:sz w:val="22"/>
          <w:szCs w:val="22"/>
          <w:highlight w:val="lightGray"/>
          <w:lang w:val="es-ES_tradnl"/>
        </w:rPr>
        <w:t>EU/1/13/835/013  20 comprimidos recubiertos con película</w:t>
      </w:r>
    </w:p>
    <w:p w14:paraId="38E8073F" w14:textId="77777777" w:rsidR="0002447E" w:rsidRPr="001A4823" w:rsidRDefault="0002447E" w:rsidP="0002447E">
      <w:pPr>
        <w:tabs>
          <w:tab w:val="left" w:pos="567"/>
        </w:tabs>
        <w:rPr>
          <w:sz w:val="22"/>
          <w:szCs w:val="22"/>
          <w:highlight w:val="lightGray"/>
          <w:lang w:val="es-ES_tradnl"/>
        </w:rPr>
      </w:pPr>
      <w:r w:rsidRPr="001A4823">
        <w:rPr>
          <w:sz w:val="22"/>
          <w:szCs w:val="22"/>
          <w:highlight w:val="lightGray"/>
          <w:lang w:val="es-ES_tradnl"/>
        </w:rPr>
        <w:t>EU/1/13/835/014  28 comprimidos recubiertos con película</w:t>
      </w:r>
    </w:p>
    <w:p w14:paraId="386ADB0C" w14:textId="77777777" w:rsidR="0002447E" w:rsidRPr="001A4823" w:rsidRDefault="0002447E" w:rsidP="0002447E">
      <w:pPr>
        <w:tabs>
          <w:tab w:val="left" w:pos="567"/>
        </w:tabs>
        <w:rPr>
          <w:sz w:val="22"/>
          <w:szCs w:val="22"/>
          <w:highlight w:val="lightGray"/>
          <w:lang w:val="es-ES_tradnl"/>
        </w:rPr>
      </w:pPr>
      <w:r w:rsidRPr="001A4823">
        <w:rPr>
          <w:sz w:val="22"/>
          <w:szCs w:val="22"/>
          <w:highlight w:val="lightGray"/>
          <w:lang w:val="es-ES_tradnl"/>
        </w:rPr>
        <w:t>EU/1/13/835/015  30 comprimidos recubiertos con película</w:t>
      </w:r>
    </w:p>
    <w:p w14:paraId="7662290F" w14:textId="77777777" w:rsidR="0002447E" w:rsidRPr="001A4823" w:rsidRDefault="0002447E" w:rsidP="0002447E">
      <w:pPr>
        <w:tabs>
          <w:tab w:val="left" w:pos="567"/>
        </w:tabs>
        <w:rPr>
          <w:sz w:val="22"/>
          <w:szCs w:val="22"/>
          <w:highlight w:val="lightGray"/>
          <w:lang w:val="es-ES_tradnl"/>
        </w:rPr>
      </w:pPr>
      <w:r w:rsidRPr="001A4823">
        <w:rPr>
          <w:sz w:val="22"/>
          <w:szCs w:val="22"/>
          <w:highlight w:val="lightGray"/>
          <w:lang w:val="es-ES_tradnl"/>
        </w:rPr>
        <w:t>EU/1/13/835/016  50 comprimidos recubiertos con película</w:t>
      </w:r>
    </w:p>
    <w:p w14:paraId="2ECE0C27" w14:textId="77777777" w:rsidR="0002447E" w:rsidRPr="001A4823" w:rsidRDefault="0002447E" w:rsidP="0002447E">
      <w:pPr>
        <w:tabs>
          <w:tab w:val="left" w:pos="567"/>
        </w:tabs>
        <w:rPr>
          <w:sz w:val="22"/>
          <w:szCs w:val="22"/>
          <w:highlight w:val="lightGray"/>
          <w:lang w:val="es-ES_tradnl"/>
        </w:rPr>
      </w:pPr>
      <w:r w:rsidRPr="001A4823">
        <w:rPr>
          <w:sz w:val="22"/>
          <w:szCs w:val="22"/>
          <w:highlight w:val="lightGray"/>
          <w:lang w:val="es-ES_tradnl"/>
        </w:rPr>
        <w:t>EU/1/13/835/017  56 comprimidos recubiertos con película</w:t>
      </w:r>
    </w:p>
    <w:p w14:paraId="31B4F6A1" w14:textId="77777777" w:rsidR="0002447E" w:rsidRPr="001A4823" w:rsidRDefault="0002447E" w:rsidP="0002447E">
      <w:pPr>
        <w:tabs>
          <w:tab w:val="left" w:pos="567"/>
        </w:tabs>
        <w:rPr>
          <w:sz w:val="22"/>
          <w:szCs w:val="22"/>
          <w:highlight w:val="lightGray"/>
          <w:lang w:val="es-ES_tradnl"/>
        </w:rPr>
      </w:pPr>
      <w:r w:rsidRPr="001A4823">
        <w:rPr>
          <w:sz w:val="22"/>
          <w:szCs w:val="22"/>
          <w:highlight w:val="lightGray"/>
          <w:lang w:val="es-ES_tradnl"/>
        </w:rPr>
        <w:t>EU/1/13/835/018  100 comprimidos recubiertos con película</w:t>
      </w:r>
    </w:p>
    <w:p w14:paraId="06665CC0" w14:textId="77777777" w:rsidR="00D10331" w:rsidRPr="001A4823" w:rsidRDefault="00D10331" w:rsidP="00D10331">
      <w:pPr>
        <w:pStyle w:val="Default"/>
        <w:rPr>
          <w:sz w:val="22"/>
          <w:szCs w:val="22"/>
          <w:highlight w:val="lightGray"/>
          <w:lang w:val="es-ES"/>
        </w:rPr>
      </w:pPr>
      <w:r w:rsidRPr="001A4823">
        <w:rPr>
          <w:sz w:val="22"/>
          <w:szCs w:val="22"/>
          <w:highlight w:val="lightGray"/>
          <w:lang w:val="es-ES"/>
        </w:rPr>
        <w:t xml:space="preserve">EU/1/13/835/025 10x1 </w:t>
      </w:r>
      <w:r w:rsidRPr="001A4823">
        <w:rPr>
          <w:sz w:val="22"/>
          <w:szCs w:val="22"/>
          <w:highlight w:val="lightGray"/>
          <w:lang w:val="es-ES_tradnl"/>
        </w:rPr>
        <w:t>comprimidos recubiertos con película</w:t>
      </w:r>
    </w:p>
    <w:p w14:paraId="2000F88F" w14:textId="77777777" w:rsidR="00D10331" w:rsidRPr="001A4823" w:rsidRDefault="00D10331" w:rsidP="00D10331">
      <w:pPr>
        <w:jc w:val="both"/>
        <w:rPr>
          <w:sz w:val="22"/>
          <w:szCs w:val="22"/>
          <w:highlight w:val="lightGray"/>
        </w:rPr>
      </w:pPr>
      <w:r w:rsidRPr="001A4823">
        <w:rPr>
          <w:sz w:val="22"/>
          <w:szCs w:val="22"/>
          <w:highlight w:val="lightGray"/>
        </w:rPr>
        <w:t xml:space="preserve">EU/1/13/835/026 14x1 </w:t>
      </w:r>
      <w:r w:rsidRPr="001A4823">
        <w:rPr>
          <w:sz w:val="22"/>
          <w:szCs w:val="22"/>
          <w:highlight w:val="lightGray"/>
          <w:lang w:val="es-ES_tradnl"/>
        </w:rPr>
        <w:t>comprimidos recubiertos con película</w:t>
      </w:r>
    </w:p>
    <w:p w14:paraId="604C5260" w14:textId="77777777" w:rsidR="00D10331" w:rsidRPr="001A4823" w:rsidRDefault="00D10331" w:rsidP="00D10331">
      <w:pPr>
        <w:jc w:val="both"/>
        <w:rPr>
          <w:sz w:val="22"/>
          <w:szCs w:val="22"/>
          <w:highlight w:val="lightGray"/>
        </w:rPr>
      </w:pPr>
      <w:r w:rsidRPr="001A4823">
        <w:rPr>
          <w:sz w:val="22"/>
          <w:szCs w:val="22"/>
          <w:highlight w:val="lightGray"/>
        </w:rPr>
        <w:t xml:space="preserve">EU/1/13/835/027 28x1 </w:t>
      </w:r>
      <w:r w:rsidRPr="001A4823">
        <w:rPr>
          <w:sz w:val="22"/>
          <w:szCs w:val="22"/>
          <w:highlight w:val="lightGray"/>
          <w:lang w:val="es-ES_tradnl"/>
        </w:rPr>
        <w:t>comprimidos recubiertos con película</w:t>
      </w:r>
    </w:p>
    <w:p w14:paraId="6B011134" w14:textId="77777777" w:rsidR="00D10331" w:rsidRPr="001A4823" w:rsidRDefault="00D10331" w:rsidP="00D10331">
      <w:pPr>
        <w:jc w:val="both"/>
        <w:rPr>
          <w:sz w:val="22"/>
          <w:szCs w:val="22"/>
          <w:highlight w:val="lightGray"/>
        </w:rPr>
      </w:pPr>
      <w:r w:rsidRPr="001A4823">
        <w:rPr>
          <w:sz w:val="22"/>
          <w:szCs w:val="22"/>
          <w:highlight w:val="lightGray"/>
        </w:rPr>
        <w:t xml:space="preserve">EU/1/13/835/028 30x1 </w:t>
      </w:r>
      <w:r w:rsidRPr="001A4823">
        <w:rPr>
          <w:sz w:val="22"/>
          <w:szCs w:val="22"/>
          <w:highlight w:val="lightGray"/>
          <w:lang w:val="es-ES_tradnl"/>
        </w:rPr>
        <w:t>comprimidos recubiertos con película</w:t>
      </w:r>
    </w:p>
    <w:p w14:paraId="22FDDA0C" w14:textId="77777777" w:rsidR="00D10331" w:rsidRPr="001A4823" w:rsidRDefault="00D10331" w:rsidP="00D10331">
      <w:pPr>
        <w:jc w:val="both"/>
        <w:rPr>
          <w:sz w:val="22"/>
          <w:szCs w:val="22"/>
          <w:highlight w:val="lightGray"/>
        </w:rPr>
      </w:pPr>
      <w:r w:rsidRPr="001A4823">
        <w:rPr>
          <w:sz w:val="22"/>
          <w:szCs w:val="22"/>
          <w:highlight w:val="lightGray"/>
        </w:rPr>
        <w:t xml:space="preserve">EU/1/13/835/029 56x1 </w:t>
      </w:r>
      <w:r w:rsidRPr="001A4823">
        <w:rPr>
          <w:sz w:val="22"/>
          <w:szCs w:val="22"/>
          <w:highlight w:val="lightGray"/>
          <w:lang w:val="es-ES_tradnl"/>
        </w:rPr>
        <w:t>comprimidos recubiertos con película</w:t>
      </w:r>
    </w:p>
    <w:p w14:paraId="7FA2D666" w14:textId="77777777" w:rsidR="00D10331" w:rsidRPr="00C52C4C" w:rsidRDefault="00D10331" w:rsidP="00D10331">
      <w:pPr>
        <w:jc w:val="both"/>
        <w:rPr>
          <w:b/>
          <w:sz w:val="22"/>
          <w:szCs w:val="22"/>
        </w:rPr>
      </w:pPr>
      <w:r w:rsidRPr="001A4823">
        <w:rPr>
          <w:sz w:val="22"/>
          <w:szCs w:val="22"/>
          <w:highlight w:val="lightGray"/>
        </w:rPr>
        <w:t xml:space="preserve">EU/1/13/835/030 100x1 </w:t>
      </w:r>
      <w:r w:rsidRPr="001A4823">
        <w:rPr>
          <w:sz w:val="22"/>
          <w:szCs w:val="22"/>
          <w:highlight w:val="lightGray"/>
          <w:lang w:val="es-ES_tradnl"/>
        </w:rPr>
        <w:t>comprimidos recubiertos con película</w:t>
      </w:r>
    </w:p>
    <w:p w14:paraId="2507F14E" w14:textId="77777777" w:rsidR="0002447E" w:rsidRPr="00D30A8E" w:rsidRDefault="0002447E" w:rsidP="00D061AA">
      <w:pPr>
        <w:tabs>
          <w:tab w:val="left" w:pos="567"/>
        </w:tabs>
        <w:rPr>
          <w:sz w:val="22"/>
          <w:szCs w:val="22"/>
          <w:lang w:val="es-ES_tradnl"/>
        </w:rPr>
      </w:pPr>
    </w:p>
    <w:p w14:paraId="3CC106B1"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7E9BF842" w14:textId="77777777" w:rsidTr="00EE4A64">
        <w:tc>
          <w:tcPr>
            <w:tcW w:w="9287" w:type="dxa"/>
          </w:tcPr>
          <w:p w14:paraId="542A8778"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13.</w:t>
            </w:r>
            <w:r w:rsidRPr="00C52C4C">
              <w:rPr>
                <w:b/>
                <w:sz w:val="22"/>
                <w:szCs w:val="22"/>
                <w:lang w:val="es-ES_tradnl"/>
              </w:rPr>
              <w:tab/>
              <w:t>NÚME</w:t>
            </w:r>
            <w:smartTag w:uri="urn:schemas-microsoft-com:office:smarttags" w:element="PersonName">
              <w:r w:rsidRPr="00C52C4C">
                <w:rPr>
                  <w:b/>
                  <w:sz w:val="22"/>
                  <w:szCs w:val="22"/>
                  <w:lang w:val="es-ES_tradnl"/>
                </w:rPr>
                <w:t>RO</w:t>
              </w:r>
            </w:smartTag>
            <w:r w:rsidRPr="00C52C4C">
              <w:rPr>
                <w:b/>
                <w:sz w:val="22"/>
                <w:szCs w:val="22"/>
                <w:lang w:val="es-ES_tradnl"/>
              </w:rPr>
              <w:t xml:space="preserve"> </w:t>
            </w:r>
            <w:smartTag w:uri="urn:schemas-microsoft-com:office:smarttags" w:element="PersonName">
              <w:r w:rsidRPr="00C52C4C">
                <w:rPr>
                  <w:b/>
                  <w:sz w:val="22"/>
                  <w:szCs w:val="22"/>
                  <w:lang w:val="es-ES_tradnl"/>
                </w:rPr>
                <w:t>DE</w:t>
              </w:r>
            </w:smartTag>
            <w:r w:rsidRPr="00C52C4C">
              <w:rPr>
                <w:b/>
                <w:sz w:val="22"/>
                <w:szCs w:val="22"/>
                <w:lang w:val="es-ES_tradnl"/>
              </w:rPr>
              <w:t xml:space="preserve"> LOTE </w:t>
            </w:r>
            <w:smartTag w:uri="urn:schemas-microsoft-com:office:smarttags" w:element="PersonName">
              <w:r w:rsidRPr="00C52C4C">
                <w:rPr>
                  <w:b/>
                  <w:sz w:val="22"/>
                  <w:szCs w:val="22"/>
                  <w:lang w:val="es-ES_tradnl"/>
                </w:rPr>
                <w:t>D</w:t>
              </w:r>
              <w:smartTag w:uri="urn:schemas-microsoft-com:office:smarttags" w:element="PersonName">
                <w:r w:rsidRPr="00C52C4C">
                  <w:rPr>
                    <w:b/>
                    <w:sz w:val="22"/>
                    <w:szCs w:val="22"/>
                    <w:lang w:val="es-ES_tradnl"/>
                  </w:rPr>
                  <w:t>E</w:t>
                </w:r>
              </w:smartTag>
            </w:smartTag>
            <w:r w:rsidRPr="00C52C4C">
              <w:rPr>
                <w:b/>
                <w:sz w:val="22"/>
                <w:szCs w:val="22"/>
                <w:lang w:val="es-ES_tradnl"/>
              </w:rPr>
              <w:t>L FABRICANTE</w:t>
            </w:r>
          </w:p>
        </w:tc>
      </w:tr>
    </w:tbl>
    <w:p w14:paraId="408FEADF" w14:textId="77777777" w:rsidR="00D061AA" w:rsidRPr="00C52C4C" w:rsidRDefault="00D061AA" w:rsidP="00D061AA">
      <w:pPr>
        <w:tabs>
          <w:tab w:val="left" w:pos="567"/>
        </w:tabs>
        <w:rPr>
          <w:sz w:val="22"/>
          <w:szCs w:val="22"/>
          <w:lang w:val="es-ES_tradnl"/>
        </w:rPr>
      </w:pPr>
    </w:p>
    <w:p w14:paraId="6C324041" w14:textId="77777777" w:rsidR="00D061AA" w:rsidRPr="00C52C4C" w:rsidRDefault="00D061AA" w:rsidP="00D061AA">
      <w:pPr>
        <w:tabs>
          <w:tab w:val="left" w:pos="567"/>
        </w:tabs>
        <w:rPr>
          <w:sz w:val="22"/>
          <w:szCs w:val="22"/>
          <w:lang w:val="es-ES_tradnl"/>
        </w:rPr>
      </w:pPr>
      <w:r w:rsidRPr="00C52C4C">
        <w:rPr>
          <w:sz w:val="22"/>
          <w:szCs w:val="22"/>
          <w:lang w:val="es-ES_tradnl"/>
        </w:rPr>
        <w:t>Lote</w:t>
      </w:r>
    </w:p>
    <w:p w14:paraId="5ED7F63F" w14:textId="77777777" w:rsidR="00D061AA" w:rsidRPr="00D30A8E" w:rsidRDefault="00D061AA" w:rsidP="00D061AA">
      <w:pPr>
        <w:tabs>
          <w:tab w:val="left" w:pos="567"/>
        </w:tabs>
        <w:rPr>
          <w:sz w:val="22"/>
          <w:szCs w:val="22"/>
          <w:lang w:val="es-ES_tradnl"/>
        </w:rPr>
      </w:pPr>
    </w:p>
    <w:p w14:paraId="1E0EB9D0" w14:textId="77777777" w:rsidR="006A16B9" w:rsidRPr="00C52C4C" w:rsidRDefault="006A16B9"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7D64A7FB" w14:textId="77777777" w:rsidTr="00EE4A64">
        <w:tc>
          <w:tcPr>
            <w:tcW w:w="9287" w:type="dxa"/>
          </w:tcPr>
          <w:p w14:paraId="35FB1BC2"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14.</w:t>
            </w:r>
            <w:r w:rsidRPr="00C52C4C">
              <w:rPr>
                <w:b/>
                <w:sz w:val="22"/>
                <w:szCs w:val="22"/>
                <w:lang w:val="es-ES_tradnl"/>
              </w:rPr>
              <w:tab/>
              <w:t xml:space="preserve">CONDICIONES GENERALES </w:t>
            </w:r>
            <w:smartTag w:uri="urn:schemas-microsoft-com:office:smarttags" w:element="PersonName">
              <w:r w:rsidRPr="00C52C4C">
                <w:rPr>
                  <w:b/>
                  <w:sz w:val="22"/>
                  <w:szCs w:val="22"/>
                  <w:lang w:val="es-ES_tradnl"/>
                </w:rPr>
                <w:t>DE</w:t>
              </w:r>
            </w:smartTag>
            <w:r w:rsidRPr="00C52C4C">
              <w:rPr>
                <w:b/>
                <w:sz w:val="22"/>
                <w:szCs w:val="22"/>
                <w:lang w:val="es-ES_tradnl"/>
              </w:rPr>
              <w:t xml:space="preserve"> D</w:t>
            </w:r>
            <w:smartTag w:uri="urn:schemas-microsoft-com:office:smarttags" w:element="PersonName">
              <w:r w:rsidRPr="00C52C4C">
                <w:rPr>
                  <w:b/>
                  <w:sz w:val="22"/>
                  <w:szCs w:val="22"/>
                  <w:lang w:val="es-ES_tradnl"/>
                </w:rPr>
                <w:t>IS</w:t>
              </w:r>
            </w:smartTag>
            <w:r w:rsidRPr="00C52C4C">
              <w:rPr>
                <w:b/>
                <w:sz w:val="22"/>
                <w:szCs w:val="22"/>
                <w:lang w:val="es-ES_tradnl"/>
              </w:rPr>
              <w:t>PENSACIÓN</w:t>
            </w:r>
          </w:p>
        </w:tc>
      </w:tr>
    </w:tbl>
    <w:p w14:paraId="198D4577" w14:textId="77777777" w:rsidR="00D061AA" w:rsidRPr="00C52C4C" w:rsidRDefault="00D061AA" w:rsidP="00D061AA">
      <w:pPr>
        <w:tabs>
          <w:tab w:val="left" w:pos="567"/>
        </w:tabs>
        <w:rPr>
          <w:sz w:val="22"/>
          <w:szCs w:val="22"/>
          <w:lang w:val="es-ES_tradnl"/>
        </w:rPr>
      </w:pPr>
    </w:p>
    <w:p w14:paraId="5BAEB4AE"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0375C5A1" w14:textId="77777777" w:rsidTr="00EE4A64">
        <w:tc>
          <w:tcPr>
            <w:tcW w:w="9287" w:type="dxa"/>
          </w:tcPr>
          <w:p w14:paraId="585657DE"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15.</w:t>
            </w:r>
            <w:r w:rsidRPr="00C52C4C">
              <w:rPr>
                <w:b/>
                <w:sz w:val="22"/>
                <w:szCs w:val="22"/>
                <w:lang w:val="es-ES_tradnl"/>
              </w:rPr>
              <w:tab/>
              <w:t xml:space="preserve">INSTRUCCIONES </w:t>
            </w:r>
            <w:smartTag w:uri="urn:schemas-microsoft-com:office:smarttags" w:element="PersonName">
              <w:r w:rsidRPr="00C52C4C">
                <w:rPr>
                  <w:b/>
                  <w:sz w:val="22"/>
                  <w:szCs w:val="22"/>
                  <w:lang w:val="es-ES_tradnl"/>
                </w:rPr>
                <w:t>DE</w:t>
              </w:r>
            </w:smartTag>
            <w:r w:rsidRPr="00C52C4C">
              <w:rPr>
                <w:b/>
                <w:sz w:val="22"/>
                <w:szCs w:val="22"/>
                <w:lang w:val="es-ES_tradnl"/>
              </w:rPr>
              <w:t xml:space="preserve"> USO</w:t>
            </w:r>
          </w:p>
        </w:tc>
      </w:tr>
    </w:tbl>
    <w:p w14:paraId="582B6D21" w14:textId="77777777" w:rsidR="00D061AA" w:rsidRPr="00C52C4C" w:rsidRDefault="00D061AA" w:rsidP="00D061AA">
      <w:pPr>
        <w:tabs>
          <w:tab w:val="left" w:pos="567"/>
        </w:tabs>
        <w:rPr>
          <w:b/>
          <w:sz w:val="22"/>
          <w:szCs w:val="22"/>
          <w:u w:val="single"/>
          <w:lang w:val="es-ES_tradnl"/>
        </w:rPr>
      </w:pPr>
    </w:p>
    <w:p w14:paraId="15067B4F" w14:textId="77777777" w:rsidR="00D061AA" w:rsidRPr="00C52C4C" w:rsidRDefault="00D061AA" w:rsidP="00D061AA">
      <w:pPr>
        <w:tabs>
          <w:tab w:val="left" w:pos="567"/>
        </w:tabs>
        <w:rPr>
          <w:b/>
          <w:sz w:val="22"/>
          <w:szCs w:val="22"/>
          <w:u w:val="single"/>
          <w:lang w:val="es-ES_tradnl"/>
        </w:rPr>
      </w:pPr>
    </w:p>
    <w:p w14:paraId="34B543E4" w14:textId="77777777" w:rsidR="00D061AA" w:rsidRPr="00C52C4C" w:rsidRDefault="00D061AA" w:rsidP="00D061AA">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s-ES_tradnl"/>
        </w:rPr>
      </w:pPr>
      <w:r w:rsidRPr="00C52C4C">
        <w:rPr>
          <w:b/>
          <w:sz w:val="22"/>
          <w:szCs w:val="22"/>
          <w:lang w:val="es-ES_tradnl"/>
        </w:rPr>
        <w:t>16.</w:t>
      </w:r>
      <w:r w:rsidRPr="00C52C4C">
        <w:rPr>
          <w:b/>
          <w:sz w:val="22"/>
          <w:szCs w:val="22"/>
          <w:lang w:val="es-ES_tradnl"/>
        </w:rPr>
        <w:tab/>
        <w:t>INFORMACIÓN EN BRAILLE</w:t>
      </w:r>
    </w:p>
    <w:p w14:paraId="28FA5287" w14:textId="77777777" w:rsidR="00D061AA" w:rsidRPr="00C52C4C" w:rsidRDefault="00D061AA" w:rsidP="00D061AA">
      <w:pPr>
        <w:tabs>
          <w:tab w:val="left" w:pos="567"/>
        </w:tabs>
        <w:rPr>
          <w:b/>
          <w:sz w:val="22"/>
          <w:szCs w:val="22"/>
          <w:u w:val="single"/>
          <w:lang w:val="es-ES_tradnl"/>
        </w:rPr>
      </w:pPr>
    </w:p>
    <w:p w14:paraId="263CD093" w14:textId="77777777" w:rsidR="00D061AA" w:rsidRDefault="008D11BB" w:rsidP="00D061AA">
      <w:pPr>
        <w:tabs>
          <w:tab w:val="left" w:pos="567"/>
        </w:tabs>
        <w:rPr>
          <w:sz w:val="22"/>
          <w:szCs w:val="22"/>
          <w:lang w:val="es-ES_tradnl"/>
        </w:rPr>
      </w:pPr>
      <w:r w:rsidRPr="00C52C4C">
        <w:rPr>
          <w:sz w:val="22"/>
          <w:szCs w:val="22"/>
          <w:lang w:val="cy-GB"/>
        </w:rPr>
        <w:t>Voriconazol</w:t>
      </w:r>
      <w:r w:rsidR="005461EA" w:rsidRPr="00C52C4C">
        <w:rPr>
          <w:sz w:val="22"/>
          <w:szCs w:val="22"/>
          <w:lang w:val="cy-GB"/>
        </w:rPr>
        <w:t xml:space="preserve"> Accord </w:t>
      </w:r>
      <w:r w:rsidR="0002447E" w:rsidRPr="00C52C4C">
        <w:rPr>
          <w:sz w:val="22"/>
          <w:szCs w:val="22"/>
          <w:lang w:val="es-ES_tradnl"/>
        </w:rPr>
        <w:t>#</w:t>
      </w:r>
      <w:r w:rsidR="00D061AA" w:rsidRPr="00C52C4C">
        <w:rPr>
          <w:sz w:val="22"/>
          <w:szCs w:val="22"/>
          <w:lang w:val="es-ES_tradnl"/>
        </w:rPr>
        <w:t>200 mg</w:t>
      </w:r>
    </w:p>
    <w:p w14:paraId="061A4E7A" w14:textId="77777777" w:rsidR="006432E3" w:rsidRDefault="006432E3" w:rsidP="00D061AA">
      <w:pPr>
        <w:tabs>
          <w:tab w:val="left" w:pos="567"/>
        </w:tabs>
        <w:rPr>
          <w:sz w:val="22"/>
          <w:szCs w:val="22"/>
          <w:lang w:val="es-ES_tradnl"/>
        </w:rPr>
      </w:pPr>
    </w:p>
    <w:p w14:paraId="3A416534" w14:textId="77777777" w:rsidR="006432E3" w:rsidRPr="002F2886" w:rsidRDefault="006432E3" w:rsidP="006432E3">
      <w:pPr>
        <w:widowControl w:val="0"/>
        <w:rPr>
          <w:color w:val="000000"/>
          <w:sz w:val="22"/>
          <w:szCs w:val="22"/>
        </w:rPr>
      </w:pPr>
    </w:p>
    <w:p w14:paraId="79D44F48" w14:textId="77777777" w:rsidR="006432E3" w:rsidRPr="002F2886" w:rsidRDefault="006432E3" w:rsidP="006432E3">
      <w:pPr>
        <w:pStyle w:val="EMEATitlePAC"/>
        <w:keepNext w:val="0"/>
        <w:keepLines w:val="0"/>
        <w:widowControl w:val="0"/>
        <w:pBdr>
          <w:top w:val="single" w:sz="4" w:space="0" w:color="auto"/>
        </w:pBdr>
        <w:tabs>
          <w:tab w:val="left" w:pos="567"/>
        </w:tabs>
        <w:ind w:left="567" w:hanging="567"/>
        <w:rPr>
          <w:caps w:val="0"/>
          <w:szCs w:val="22"/>
          <w:lang w:val="es-ES"/>
        </w:rPr>
      </w:pPr>
      <w:r w:rsidRPr="002F2886">
        <w:rPr>
          <w:caps w:val="0"/>
          <w:szCs w:val="22"/>
          <w:lang w:val="es-ES"/>
        </w:rPr>
        <w:t>17.</w:t>
      </w:r>
      <w:r w:rsidRPr="002F2886">
        <w:rPr>
          <w:caps w:val="0"/>
          <w:szCs w:val="22"/>
          <w:lang w:val="es-ES"/>
        </w:rPr>
        <w:tab/>
        <w:t>IDENTIFICADOR ÚNICO - CÓDIGO DE BARRAS 2D</w:t>
      </w:r>
    </w:p>
    <w:p w14:paraId="60F283BA" w14:textId="77777777" w:rsidR="006432E3" w:rsidRPr="002F2886" w:rsidRDefault="006432E3" w:rsidP="006432E3">
      <w:pPr>
        <w:pStyle w:val="EMEABodyText"/>
        <w:widowControl w:val="0"/>
        <w:rPr>
          <w:szCs w:val="22"/>
          <w:lang w:val="es-ES"/>
        </w:rPr>
      </w:pPr>
    </w:p>
    <w:p w14:paraId="52B4591A" w14:textId="77777777" w:rsidR="006432E3" w:rsidRPr="002F2886" w:rsidRDefault="006432E3" w:rsidP="006432E3">
      <w:pPr>
        <w:pStyle w:val="EMEABodyText"/>
        <w:widowControl w:val="0"/>
        <w:rPr>
          <w:szCs w:val="22"/>
          <w:lang w:val="es-ES"/>
        </w:rPr>
      </w:pPr>
      <w:r w:rsidRPr="002F2886">
        <w:rPr>
          <w:szCs w:val="22"/>
          <w:highlight w:val="lightGray"/>
          <w:lang w:val="es-ES"/>
        </w:rPr>
        <w:t>Incluido el código de barras 2D que lleva el identificador único.</w:t>
      </w:r>
    </w:p>
    <w:p w14:paraId="6BCB0ED0" w14:textId="77777777" w:rsidR="006432E3" w:rsidRPr="002F2886" w:rsidRDefault="006432E3" w:rsidP="006432E3">
      <w:pPr>
        <w:pStyle w:val="EMEABodyText"/>
        <w:widowControl w:val="0"/>
        <w:rPr>
          <w:szCs w:val="22"/>
          <w:lang w:val="es-ES"/>
        </w:rPr>
      </w:pPr>
    </w:p>
    <w:p w14:paraId="68042FA1" w14:textId="77777777" w:rsidR="006432E3" w:rsidRPr="002F2886" w:rsidRDefault="006432E3" w:rsidP="006432E3">
      <w:pPr>
        <w:pStyle w:val="EMEABodyText"/>
        <w:widowControl w:val="0"/>
        <w:rPr>
          <w:szCs w:val="22"/>
          <w:lang w:val="es-ES"/>
        </w:rPr>
      </w:pPr>
    </w:p>
    <w:p w14:paraId="03A42D40" w14:textId="77777777" w:rsidR="006432E3" w:rsidRPr="002F2886" w:rsidRDefault="006432E3" w:rsidP="006432E3">
      <w:pPr>
        <w:pStyle w:val="EMEATitlePAC"/>
        <w:keepNext w:val="0"/>
        <w:keepLines w:val="0"/>
        <w:widowControl w:val="0"/>
        <w:tabs>
          <w:tab w:val="left" w:pos="567"/>
        </w:tabs>
        <w:ind w:left="567" w:hanging="567"/>
        <w:rPr>
          <w:caps w:val="0"/>
          <w:szCs w:val="22"/>
          <w:lang w:val="es-ES"/>
        </w:rPr>
      </w:pPr>
      <w:r w:rsidRPr="002F2886">
        <w:rPr>
          <w:caps w:val="0"/>
          <w:szCs w:val="22"/>
          <w:lang w:val="es-ES"/>
        </w:rPr>
        <w:t>18.</w:t>
      </w:r>
      <w:r w:rsidRPr="002F2886">
        <w:rPr>
          <w:caps w:val="0"/>
          <w:szCs w:val="22"/>
          <w:lang w:val="es-ES"/>
        </w:rPr>
        <w:tab/>
        <w:t>IDENTIFICADOR ÚNICO - INFORMACIÓN EN CARACTERES VISUALES</w:t>
      </w:r>
    </w:p>
    <w:p w14:paraId="4C68AA18" w14:textId="77777777" w:rsidR="006432E3" w:rsidRPr="002F2886" w:rsidRDefault="006432E3" w:rsidP="006432E3">
      <w:pPr>
        <w:pStyle w:val="EMEABodyText"/>
        <w:widowControl w:val="0"/>
        <w:rPr>
          <w:szCs w:val="22"/>
          <w:lang w:val="es-ES"/>
        </w:rPr>
      </w:pPr>
    </w:p>
    <w:p w14:paraId="66523D3F" w14:textId="77777777" w:rsidR="006432E3" w:rsidRPr="002F2886" w:rsidRDefault="006432E3" w:rsidP="006432E3">
      <w:pPr>
        <w:tabs>
          <w:tab w:val="left" w:pos="567"/>
        </w:tabs>
        <w:spacing w:line="260" w:lineRule="exact"/>
        <w:rPr>
          <w:sz w:val="22"/>
          <w:szCs w:val="22"/>
          <w:lang w:bidi="es-ES"/>
        </w:rPr>
      </w:pPr>
      <w:r w:rsidRPr="002F2886">
        <w:rPr>
          <w:sz w:val="22"/>
          <w:szCs w:val="22"/>
          <w:lang w:bidi="es-ES"/>
        </w:rPr>
        <w:t>PC:</w:t>
      </w:r>
    </w:p>
    <w:p w14:paraId="7C04949E" w14:textId="77777777" w:rsidR="006432E3" w:rsidRPr="002F2886" w:rsidRDefault="006432E3" w:rsidP="006432E3">
      <w:pPr>
        <w:tabs>
          <w:tab w:val="left" w:pos="567"/>
        </w:tabs>
        <w:spacing w:line="260" w:lineRule="exact"/>
        <w:rPr>
          <w:sz w:val="22"/>
          <w:szCs w:val="22"/>
          <w:lang w:bidi="es-ES"/>
        </w:rPr>
      </w:pPr>
      <w:r w:rsidRPr="002F2886">
        <w:rPr>
          <w:sz w:val="22"/>
          <w:szCs w:val="22"/>
          <w:lang w:bidi="es-ES"/>
        </w:rPr>
        <w:t>SN:</w:t>
      </w:r>
    </w:p>
    <w:p w14:paraId="56C65F78" w14:textId="77777777" w:rsidR="006432E3" w:rsidRPr="002F2886" w:rsidRDefault="006432E3" w:rsidP="006432E3">
      <w:pPr>
        <w:tabs>
          <w:tab w:val="left" w:pos="567"/>
        </w:tabs>
        <w:spacing w:line="260" w:lineRule="exact"/>
        <w:rPr>
          <w:sz w:val="22"/>
          <w:szCs w:val="22"/>
        </w:rPr>
      </w:pPr>
      <w:r w:rsidRPr="002F2886">
        <w:rPr>
          <w:sz w:val="22"/>
          <w:szCs w:val="22"/>
          <w:lang w:bidi="es-ES"/>
        </w:rPr>
        <w:t>NN:</w:t>
      </w:r>
    </w:p>
    <w:p w14:paraId="134951FE" w14:textId="77777777" w:rsidR="006432E3" w:rsidRPr="002F2886" w:rsidRDefault="006432E3" w:rsidP="006432E3">
      <w:pPr>
        <w:widowControl w:val="0"/>
        <w:rPr>
          <w:b/>
          <w:color w:val="000000"/>
          <w:sz w:val="22"/>
          <w:szCs w:val="22"/>
          <w:u w:val="single"/>
        </w:rPr>
      </w:pPr>
    </w:p>
    <w:p w14:paraId="7EDB371D" w14:textId="77777777" w:rsidR="006432E3" w:rsidRDefault="006432E3" w:rsidP="00D061AA">
      <w:pPr>
        <w:tabs>
          <w:tab w:val="left" w:pos="567"/>
        </w:tabs>
        <w:rPr>
          <w:sz w:val="22"/>
          <w:szCs w:val="22"/>
          <w:lang w:val="es-ES_tradnl"/>
        </w:rPr>
      </w:pPr>
    </w:p>
    <w:p w14:paraId="3ADE5C6E" w14:textId="77777777" w:rsidR="006432E3" w:rsidRPr="00C52C4C" w:rsidRDefault="006432E3" w:rsidP="00D061AA">
      <w:pPr>
        <w:tabs>
          <w:tab w:val="left" w:pos="567"/>
        </w:tabs>
        <w:rPr>
          <w:sz w:val="22"/>
          <w:szCs w:val="22"/>
          <w:lang w:val="es-ES_tradnl"/>
        </w:rPr>
      </w:pPr>
    </w:p>
    <w:p w14:paraId="7F8CBC67" w14:textId="77777777" w:rsidR="00D061AA" w:rsidRDefault="00D061AA" w:rsidP="00D061AA">
      <w:pPr>
        <w:tabs>
          <w:tab w:val="left" w:pos="567"/>
        </w:tabs>
        <w:rPr>
          <w:b/>
          <w:sz w:val="22"/>
          <w:szCs w:val="22"/>
          <w:u w:val="single"/>
          <w:lang w:val="es-ES_tradnl"/>
        </w:rPr>
      </w:pPr>
      <w:r w:rsidRPr="00C52C4C">
        <w:rPr>
          <w:b/>
          <w:sz w:val="22"/>
          <w:szCs w:val="22"/>
          <w:u w:val="single"/>
          <w:lang w:val="es-ES_tradnl"/>
        </w:rPr>
        <w:br w:type="page"/>
      </w:r>
    </w:p>
    <w:p w14:paraId="5524B074" w14:textId="77777777" w:rsidR="00D30A8E" w:rsidRPr="00C52C4C" w:rsidRDefault="00D30A8E" w:rsidP="00D061AA">
      <w:pPr>
        <w:tabs>
          <w:tab w:val="left" w:pos="567"/>
        </w:tabs>
        <w:rPr>
          <w:b/>
          <w:sz w:val="22"/>
          <w:szCs w:val="22"/>
          <w:u w:val="single"/>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412F7AAC" w14:textId="77777777" w:rsidTr="00EE4A64">
        <w:tc>
          <w:tcPr>
            <w:tcW w:w="9287" w:type="dxa"/>
          </w:tcPr>
          <w:p w14:paraId="7B9247DA" w14:textId="77777777" w:rsidR="00D061AA" w:rsidRPr="00C52C4C" w:rsidRDefault="00D061AA" w:rsidP="00EE4A64">
            <w:pPr>
              <w:tabs>
                <w:tab w:val="left" w:pos="567"/>
              </w:tabs>
              <w:rPr>
                <w:b/>
                <w:sz w:val="22"/>
                <w:szCs w:val="22"/>
                <w:lang w:val="es-ES_tradnl"/>
              </w:rPr>
            </w:pPr>
            <w:r w:rsidRPr="00C52C4C">
              <w:rPr>
                <w:b/>
                <w:sz w:val="22"/>
                <w:szCs w:val="22"/>
                <w:lang w:val="es-ES_tradnl"/>
              </w:rPr>
              <w:t>INFORMACIÓN MÍNIMA A INCLUIR EN BLÍSTERS O TIRAS</w:t>
            </w:r>
          </w:p>
          <w:p w14:paraId="35DB5DBF" w14:textId="77777777" w:rsidR="00D061AA" w:rsidRPr="00C52C4C" w:rsidRDefault="00D061AA" w:rsidP="00EE4A64">
            <w:pPr>
              <w:tabs>
                <w:tab w:val="left" w:pos="567"/>
              </w:tabs>
              <w:rPr>
                <w:sz w:val="22"/>
                <w:szCs w:val="22"/>
                <w:u w:val="single"/>
                <w:lang w:val="es-ES_tradnl"/>
              </w:rPr>
            </w:pPr>
          </w:p>
          <w:p w14:paraId="3BA8436D" w14:textId="77777777" w:rsidR="00D061AA" w:rsidRPr="00344F86" w:rsidRDefault="00D061AA" w:rsidP="00EE4A64">
            <w:pPr>
              <w:tabs>
                <w:tab w:val="left" w:pos="567"/>
              </w:tabs>
              <w:rPr>
                <w:b/>
                <w:sz w:val="22"/>
                <w:szCs w:val="22"/>
                <w:lang w:val="es-ES_tradnl"/>
              </w:rPr>
            </w:pPr>
            <w:r w:rsidRPr="00F65F25">
              <w:rPr>
                <w:b/>
                <w:sz w:val="22"/>
                <w:szCs w:val="22"/>
                <w:lang w:val="es-ES_tradnl"/>
              </w:rPr>
              <w:t>Blíster de aluminio con comprimidos recubiertos con película de 200 mg (blísteres de todas las presentaciones)</w:t>
            </w:r>
          </w:p>
        </w:tc>
      </w:tr>
    </w:tbl>
    <w:p w14:paraId="5581FCAA" w14:textId="77777777" w:rsidR="00D061AA" w:rsidRPr="00C52C4C" w:rsidRDefault="00D061AA" w:rsidP="00D061AA">
      <w:pPr>
        <w:tabs>
          <w:tab w:val="left" w:pos="567"/>
        </w:tabs>
        <w:rPr>
          <w:sz w:val="22"/>
          <w:szCs w:val="22"/>
          <w:lang w:val="es-ES_tradnl"/>
        </w:rPr>
      </w:pPr>
    </w:p>
    <w:p w14:paraId="76C6D9F9" w14:textId="77777777" w:rsidR="00AC5BF4" w:rsidRPr="00C52C4C" w:rsidRDefault="00AC5BF4" w:rsidP="00D061AA">
      <w:pPr>
        <w:tabs>
          <w:tab w:val="left" w:pos="567"/>
        </w:tabs>
        <w:rPr>
          <w:sz w:val="22"/>
          <w:szCs w:val="22"/>
          <w:lang w:val="es-ES_tradnl"/>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6C940B47" w14:textId="77777777" w:rsidTr="006A16B9">
        <w:tc>
          <w:tcPr>
            <w:tcW w:w="9287" w:type="dxa"/>
          </w:tcPr>
          <w:p w14:paraId="45A52BF4"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1.</w:t>
            </w:r>
            <w:r w:rsidRPr="00C52C4C">
              <w:rPr>
                <w:b/>
                <w:sz w:val="22"/>
                <w:szCs w:val="22"/>
                <w:lang w:val="es-ES_tradnl"/>
              </w:rPr>
              <w:tab/>
            </w:r>
            <w:smartTag w:uri="urn:schemas-microsoft-com:office:smarttags" w:element="PersonName">
              <w:r w:rsidRPr="00C52C4C">
                <w:rPr>
                  <w:b/>
                  <w:sz w:val="22"/>
                  <w:szCs w:val="22"/>
                  <w:lang w:val="es-ES_tradnl"/>
                </w:rPr>
                <w:t>NO</w:t>
              </w:r>
            </w:smartTag>
            <w:r w:rsidRPr="00C52C4C">
              <w:rPr>
                <w:b/>
                <w:sz w:val="22"/>
                <w:szCs w:val="22"/>
                <w:lang w:val="es-ES_tradnl"/>
              </w:rPr>
              <w:t xml:space="preserve">MBRE </w:t>
            </w:r>
            <w:smartTag w:uri="urn:schemas-microsoft-com:office:smarttags" w:element="PersonName">
              <w:r w:rsidRPr="00C52C4C">
                <w:rPr>
                  <w:b/>
                  <w:sz w:val="22"/>
                  <w:szCs w:val="22"/>
                  <w:lang w:val="es-ES_tradnl"/>
                </w:rPr>
                <w:t>D</w:t>
              </w:r>
              <w:smartTag w:uri="urn:schemas-microsoft-com:office:smarttags" w:element="PersonName">
                <w:r w:rsidRPr="00C52C4C">
                  <w:rPr>
                    <w:b/>
                    <w:sz w:val="22"/>
                    <w:szCs w:val="22"/>
                    <w:lang w:val="es-ES_tradnl"/>
                  </w:rPr>
                  <w:t>E</w:t>
                </w:r>
              </w:smartTag>
            </w:smartTag>
            <w:r w:rsidRPr="00C52C4C">
              <w:rPr>
                <w:b/>
                <w:sz w:val="22"/>
                <w:szCs w:val="22"/>
                <w:lang w:val="es-ES_tradnl"/>
              </w:rPr>
              <w:t>L MEDICAMENTO</w:t>
            </w:r>
          </w:p>
        </w:tc>
      </w:tr>
    </w:tbl>
    <w:p w14:paraId="06818241" w14:textId="77777777" w:rsidR="00D061AA" w:rsidRPr="00C52C4C" w:rsidRDefault="00D061AA" w:rsidP="00D061AA">
      <w:pPr>
        <w:tabs>
          <w:tab w:val="left" w:pos="567"/>
        </w:tabs>
        <w:ind w:left="567" w:hanging="567"/>
        <w:rPr>
          <w:sz w:val="22"/>
          <w:szCs w:val="22"/>
          <w:lang w:val="es-ES_tradnl"/>
        </w:rPr>
      </w:pPr>
    </w:p>
    <w:p w14:paraId="316EBAFA" w14:textId="77777777" w:rsidR="00D061AA" w:rsidRPr="00C52C4C" w:rsidRDefault="008D11BB" w:rsidP="00D061AA">
      <w:pPr>
        <w:tabs>
          <w:tab w:val="left" w:pos="567"/>
        </w:tabs>
        <w:rPr>
          <w:sz w:val="22"/>
          <w:szCs w:val="22"/>
          <w:lang w:val="es-ES_tradnl"/>
        </w:rPr>
      </w:pPr>
      <w:r w:rsidRPr="00C52C4C">
        <w:rPr>
          <w:sz w:val="22"/>
          <w:szCs w:val="22"/>
        </w:rPr>
        <w:t>Voriconazol</w:t>
      </w:r>
      <w:r w:rsidR="005461EA" w:rsidRPr="00C52C4C">
        <w:rPr>
          <w:sz w:val="22"/>
          <w:szCs w:val="22"/>
        </w:rPr>
        <w:t xml:space="preserve"> Accord </w:t>
      </w:r>
      <w:r w:rsidR="00D061AA" w:rsidRPr="00C52C4C">
        <w:rPr>
          <w:sz w:val="22"/>
          <w:szCs w:val="22"/>
          <w:lang w:val="es-ES_tradnl"/>
        </w:rPr>
        <w:t>200 mg comprimidos recubiertos con película</w:t>
      </w:r>
    </w:p>
    <w:p w14:paraId="0007C79D" w14:textId="77777777" w:rsidR="00D061AA" w:rsidRPr="00C52C4C" w:rsidRDefault="00C514D0" w:rsidP="00D061AA">
      <w:pPr>
        <w:tabs>
          <w:tab w:val="left" w:pos="567"/>
        </w:tabs>
        <w:ind w:left="567" w:hanging="567"/>
        <w:rPr>
          <w:sz w:val="22"/>
          <w:szCs w:val="22"/>
          <w:lang w:val="es-ES_tradnl"/>
        </w:rPr>
      </w:pPr>
      <w:r>
        <w:rPr>
          <w:sz w:val="22"/>
          <w:szCs w:val="22"/>
          <w:lang w:val="es-ES_tradnl"/>
        </w:rPr>
        <w:t>v</w:t>
      </w:r>
      <w:r w:rsidR="00D061AA" w:rsidRPr="00C52C4C">
        <w:rPr>
          <w:sz w:val="22"/>
          <w:szCs w:val="22"/>
          <w:lang w:val="es-ES_tradnl"/>
        </w:rPr>
        <w:t>oriconazol</w:t>
      </w:r>
    </w:p>
    <w:p w14:paraId="45818DC1" w14:textId="77777777" w:rsidR="00D061AA" w:rsidRPr="00C52C4C" w:rsidRDefault="00D061AA" w:rsidP="00D061AA">
      <w:pPr>
        <w:tabs>
          <w:tab w:val="left" w:pos="567"/>
        </w:tabs>
        <w:rPr>
          <w:sz w:val="22"/>
          <w:szCs w:val="22"/>
          <w:lang w:val="es-ES_tradnl"/>
        </w:rPr>
      </w:pPr>
    </w:p>
    <w:p w14:paraId="1627F60A"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7DD1CDEC" w14:textId="77777777" w:rsidTr="00EE4A64">
        <w:tc>
          <w:tcPr>
            <w:tcW w:w="9287" w:type="dxa"/>
          </w:tcPr>
          <w:p w14:paraId="1616A558"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2.</w:t>
            </w:r>
            <w:r w:rsidRPr="00C52C4C">
              <w:rPr>
                <w:b/>
                <w:sz w:val="22"/>
                <w:szCs w:val="22"/>
                <w:lang w:val="es-ES_tradnl"/>
              </w:rPr>
              <w:tab/>
            </w:r>
            <w:smartTag w:uri="urn:schemas-microsoft-com:office:smarttags" w:element="PersonName">
              <w:r w:rsidRPr="00C52C4C">
                <w:rPr>
                  <w:b/>
                  <w:sz w:val="22"/>
                  <w:szCs w:val="22"/>
                  <w:lang w:val="es-ES_tradnl"/>
                </w:rPr>
                <w:t>NO</w:t>
              </w:r>
            </w:smartTag>
            <w:r w:rsidRPr="00C52C4C">
              <w:rPr>
                <w:b/>
                <w:sz w:val="22"/>
                <w:szCs w:val="22"/>
                <w:lang w:val="es-ES_tradnl"/>
              </w:rPr>
              <w:t xml:space="preserve">MBRE </w:t>
            </w:r>
            <w:smartTag w:uri="urn:schemas-microsoft-com:office:smarttags" w:element="PersonName">
              <w:r w:rsidRPr="00C52C4C">
                <w:rPr>
                  <w:b/>
                  <w:sz w:val="22"/>
                  <w:szCs w:val="22"/>
                  <w:lang w:val="es-ES_tradnl"/>
                </w:rPr>
                <w:t>D</w:t>
              </w:r>
              <w:smartTag w:uri="urn:schemas-microsoft-com:office:smarttags" w:element="PersonName">
                <w:r w:rsidRPr="00C52C4C">
                  <w:rPr>
                    <w:b/>
                    <w:sz w:val="22"/>
                    <w:szCs w:val="22"/>
                    <w:lang w:val="es-ES_tradnl"/>
                  </w:rPr>
                  <w:t>E</w:t>
                </w:r>
              </w:smartTag>
            </w:smartTag>
            <w:r w:rsidRPr="00C52C4C">
              <w:rPr>
                <w:b/>
                <w:sz w:val="22"/>
                <w:szCs w:val="22"/>
                <w:lang w:val="es-ES_tradnl"/>
              </w:rPr>
              <w:t>L T</w:t>
            </w:r>
            <w:smartTag w:uri="urn:schemas-microsoft-com:office:smarttags" w:element="PersonName">
              <w:r w:rsidRPr="00C52C4C">
                <w:rPr>
                  <w:b/>
                  <w:sz w:val="22"/>
                  <w:szCs w:val="22"/>
                  <w:lang w:val="es-ES_tradnl"/>
                </w:rPr>
                <w:t>IT</w:t>
              </w:r>
            </w:smartTag>
            <w:r w:rsidRPr="00C52C4C">
              <w:rPr>
                <w:b/>
                <w:sz w:val="22"/>
                <w:szCs w:val="22"/>
                <w:lang w:val="es-ES_tradnl"/>
              </w:rPr>
              <w:t xml:space="preserve">ULAR </w:t>
            </w:r>
            <w:smartTag w:uri="urn:schemas-microsoft-com:office:smarttags" w:element="PersonName">
              <w:r w:rsidRPr="00C52C4C">
                <w:rPr>
                  <w:b/>
                  <w:sz w:val="22"/>
                  <w:szCs w:val="22"/>
                  <w:lang w:val="es-ES_tradnl"/>
                </w:rPr>
                <w:t>DE</w:t>
              </w:r>
            </w:smartTag>
            <w:r w:rsidRPr="00C52C4C">
              <w:rPr>
                <w:b/>
                <w:sz w:val="22"/>
                <w:szCs w:val="22"/>
                <w:lang w:val="es-ES_tradnl"/>
              </w:rPr>
              <w:t xml:space="preserve"> </w:t>
            </w:r>
            <w:smartTag w:uri="urn:schemas-microsoft-com:office:smarttags" w:element="PersonName">
              <w:smartTagPr>
                <w:attr w:name="ProductID" w:val="LA AUTORIZACIￓN DE"/>
              </w:smartTagPr>
              <w:r w:rsidRPr="00C52C4C">
                <w:rPr>
                  <w:b/>
                  <w:sz w:val="22"/>
                  <w:szCs w:val="22"/>
                  <w:lang w:val="es-ES_tradnl"/>
                </w:rPr>
                <w:t xml:space="preserve">LA AUTORIZACIÓN </w:t>
              </w:r>
              <w:smartTag w:uri="urn:schemas-microsoft-com:office:smarttags" w:element="PersonName">
                <w:r w:rsidRPr="00C52C4C">
                  <w:rPr>
                    <w:b/>
                    <w:sz w:val="22"/>
                    <w:szCs w:val="22"/>
                    <w:lang w:val="es-ES_tradnl"/>
                  </w:rPr>
                  <w:t>DE</w:t>
                </w:r>
              </w:smartTag>
            </w:smartTag>
            <w:r w:rsidRPr="00C52C4C">
              <w:rPr>
                <w:b/>
                <w:sz w:val="22"/>
                <w:szCs w:val="22"/>
                <w:lang w:val="es-ES_tradnl"/>
              </w:rPr>
              <w:t xml:space="preserve"> COMERCIALIZACIÓN</w:t>
            </w:r>
          </w:p>
        </w:tc>
      </w:tr>
    </w:tbl>
    <w:p w14:paraId="74D5D656" w14:textId="77777777" w:rsidR="00D061AA" w:rsidRPr="00C52C4C" w:rsidRDefault="00D061AA" w:rsidP="00D061AA">
      <w:pPr>
        <w:tabs>
          <w:tab w:val="left" w:pos="567"/>
        </w:tabs>
        <w:rPr>
          <w:sz w:val="22"/>
          <w:szCs w:val="22"/>
          <w:lang w:val="es-ES_tradnl"/>
        </w:rPr>
      </w:pPr>
    </w:p>
    <w:p w14:paraId="4A8C87F8" w14:textId="77777777" w:rsidR="00D061AA" w:rsidRPr="00C52C4C" w:rsidRDefault="005461EA" w:rsidP="00D061AA">
      <w:pPr>
        <w:tabs>
          <w:tab w:val="left" w:pos="567"/>
        </w:tabs>
        <w:rPr>
          <w:sz w:val="22"/>
          <w:szCs w:val="22"/>
          <w:lang w:val="es-ES_tradnl"/>
        </w:rPr>
      </w:pPr>
      <w:r w:rsidRPr="00C52C4C">
        <w:rPr>
          <w:sz w:val="22"/>
          <w:szCs w:val="22"/>
          <w:lang w:val="es-ES_tradnl"/>
        </w:rPr>
        <w:t>Accord</w:t>
      </w:r>
    </w:p>
    <w:p w14:paraId="0C491023" w14:textId="77777777" w:rsidR="00D061AA" w:rsidRPr="00C52C4C" w:rsidRDefault="00D061AA" w:rsidP="00D061AA">
      <w:pPr>
        <w:tabs>
          <w:tab w:val="left" w:pos="567"/>
        </w:tabs>
        <w:rPr>
          <w:sz w:val="22"/>
          <w:szCs w:val="22"/>
          <w:lang w:val="es-ES_tradnl"/>
        </w:rPr>
      </w:pPr>
    </w:p>
    <w:p w14:paraId="69FCB66D"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5F074183" w14:textId="77777777" w:rsidTr="00EE4A64">
        <w:tc>
          <w:tcPr>
            <w:tcW w:w="9287" w:type="dxa"/>
          </w:tcPr>
          <w:p w14:paraId="1EEF57C7"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3.</w:t>
            </w:r>
            <w:r w:rsidRPr="00C52C4C">
              <w:rPr>
                <w:b/>
                <w:sz w:val="22"/>
                <w:szCs w:val="22"/>
                <w:lang w:val="es-ES_tradnl"/>
              </w:rPr>
              <w:tab/>
              <w:t xml:space="preserve">FECHA </w:t>
            </w:r>
            <w:smartTag w:uri="urn:schemas-microsoft-com:office:smarttags" w:element="PersonName">
              <w:r w:rsidRPr="00C52C4C">
                <w:rPr>
                  <w:b/>
                  <w:sz w:val="22"/>
                  <w:szCs w:val="22"/>
                  <w:lang w:val="es-ES_tradnl"/>
                </w:rPr>
                <w:t>DE</w:t>
              </w:r>
            </w:smartTag>
            <w:r w:rsidRPr="00C52C4C">
              <w:rPr>
                <w:b/>
                <w:sz w:val="22"/>
                <w:szCs w:val="22"/>
                <w:lang w:val="es-ES_tradnl"/>
              </w:rPr>
              <w:t xml:space="preserve"> CADUCIDAD</w:t>
            </w:r>
          </w:p>
        </w:tc>
      </w:tr>
    </w:tbl>
    <w:p w14:paraId="34691EB9" w14:textId="77777777" w:rsidR="00D061AA" w:rsidRPr="00C52C4C" w:rsidRDefault="00D061AA" w:rsidP="00D061AA">
      <w:pPr>
        <w:tabs>
          <w:tab w:val="left" w:pos="567"/>
        </w:tabs>
        <w:rPr>
          <w:sz w:val="22"/>
          <w:szCs w:val="22"/>
          <w:lang w:val="es-ES_tradnl"/>
        </w:rPr>
      </w:pPr>
    </w:p>
    <w:p w14:paraId="3FCC7AC5" w14:textId="77777777" w:rsidR="00D061AA" w:rsidRPr="00C52C4C" w:rsidRDefault="0002447E" w:rsidP="00D061AA">
      <w:pPr>
        <w:tabs>
          <w:tab w:val="left" w:pos="567"/>
        </w:tabs>
        <w:rPr>
          <w:sz w:val="22"/>
          <w:szCs w:val="22"/>
          <w:lang w:val="es-ES_tradnl"/>
        </w:rPr>
      </w:pPr>
      <w:r w:rsidRPr="00C52C4C">
        <w:rPr>
          <w:sz w:val="22"/>
          <w:szCs w:val="22"/>
          <w:lang w:val="es-ES_tradnl"/>
        </w:rPr>
        <w:t>EXP</w:t>
      </w:r>
    </w:p>
    <w:p w14:paraId="228EB00F" w14:textId="77777777" w:rsidR="00D061AA" w:rsidRPr="00C52C4C" w:rsidRDefault="00D061AA" w:rsidP="00D061AA">
      <w:pPr>
        <w:tabs>
          <w:tab w:val="left" w:pos="567"/>
        </w:tabs>
        <w:rPr>
          <w:sz w:val="22"/>
          <w:szCs w:val="22"/>
          <w:lang w:val="es-ES_tradnl"/>
        </w:rPr>
      </w:pPr>
    </w:p>
    <w:p w14:paraId="5704F6C8" w14:textId="77777777" w:rsidR="00D061AA" w:rsidRPr="00C52C4C" w:rsidRDefault="00D061AA" w:rsidP="00D061AA">
      <w:pPr>
        <w:tabs>
          <w:tab w:val="left" w:pos="567"/>
        </w:tabs>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1AA" w:rsidRPr="00C52C4C" w14:paraId="5AEA4EFB" w14:textId="77777777" w:rsidTr="00EE4A64">
        <w:tc>
          <w:tcPr>
            <w:tcW w:w="9287" w:type="dxa"/>
          </w:tcPr>
          <w:p w14:paraId="747C2D7F" w14:textId="77777777" w:rsidR="00D061AA" w:rsidRPr="00C52C4C" w:rsidRDefault="00D061AA" w:rsidP="00EE4A64">
            <w:pPr>
              <w:tabs>
                <w:tab w:val="left" w:pos="567"/>
              </w:tabs>
              <w:ind w:left="567" w:hanging="567"/>
              <w:rPr>
                <w:b/>
                <w:sz w:val="22"/>
                <w:szCs w:val="22"/>
                <w:lang w:val="es-ES_tradnl"/>
              </w:rPr>
            </w:pPr>
            <w:r w:rsidRPr="00C52C4C">
              <w:rPr>
                <w:b/>
                <w:sz w:val="22"/>
                <w:szCs w:val="22"/>
                <w:lang w:val="es-ES_tradnl"/>
              </w:rPr>
              <w:t>4.</w:t>
            </w:r>
            <w:r w:rsidRPr="00C52C4C">
              <w:rPr>
                <w:b/>
                <w:sz w:val="22"/>
                <w:szCs w:val="22"/>
                <w:lang w:val="es-ES_tradnl"/>
              </w:rPr>
              <w:tab/>
              <w:t>NÚME</w:t>
            </w:r>
            <w:smartTag w:uri="urn:schemas-microsoft-com:office:smarttags" w:element="PersonName">
              <w:r w:rsidRPr="00C52C4C">
                <w:rPr>
                  <w:b/>
                  <w:sz w:val="22"/>
                  <w:szCs w:val="22"/>
                  <w:lang w:val="es-ES_tradnl"/>
                </w:rPr>
                <w:t>RO</w:t>
              </w:r>
            </w:smartTag>
            <w:r w:rsidRPr="00C52C4C">
              <w:rPr>
                <w:b/>
                <w:sz w:val="22"/>
                <w:szCs w:val="22"/>
                <w:lang w:val="es-ES_tradnl"/>
              </w:rPr>
              <w:t xml:space="preserve"> </w:t>
            </w:r>
            <w:smartTag w:uri="urn:schemas-microsoft-com:office:smarttags" w:element="PersonName">
              <w:r w:rsidRPr="00C52C4C">
                <w:rPr>
                  <w:b/>
                  <w:sz w:val="22"/>
                  <w:szCs w:val="22"/>
                  <w:lang w:val="es-ES_tradnl"/>
                </w:rPr>
                <w:t>DE</w:t>
              </w:r>
            </w:smartTag>
            <w:r w:rsidRPr="00C52C4C">
              <w:rPr>
                <w:b/>
                <w:sz w:val="22"/>
                <w:szCs w:val="22"/>
                <w:lang w:val="es-ES_tradnl"/>
              </w:rPr>
              <w:t xml:space="preserve"> LOTE </w:t>
            </w:r>
            <w:smartTag w:uri="urn:schemas-microsoft-com:office:smarttags" w:element="PersonName">
              <w:r w:rsidRPr="00C52C4C">
                <w:rPr>
                  <w:b/>
                  <w:sz w:val="22"/>
                  <w:szCs w:val="22"/>
                  <w:lang w:val="es-ES_tradnl"/>
                </w:rPr>
                <w:t>D</w:t>
              </w:r>
              <w:smartTag w:uri="urn:schemas-microsoft-com:office:smarttags" w:element="PersonName">
                <w:r w:rsidRPr="00C52C4C">
                  <w:rPr>
                    <w:b/>
                    <w:sz w:val="22"/>
                    <w:szCs w:val="22"/>
                    <w:lang w:val="es-ES_tradnl"/>
                  </w:rPr>
                  <w:t>E</w:t>
                </w:r>
              </w:smartTag>
            </w:smartTag>
            <w:r w:rsidRPr="00C52C4C">
              <w:rPr>
                <w:b/>
                <w:sz w:val="22"/>
                <w:szCs w:val="22"/>
                <w:lang w:val="es-ES_tradnl"/>
              </w:rPr>
              <w:t>L FABRICANTE</w:t>
            </w:r>
          </w:p>
        </w:tc>
      </w:tr>
    </w:tbl>
    <w:p w14:paraId="69E4D81C" w14:textId="77777777" w:rsidR="00D061AA" w:rsidRPr="00C52C4C" w:rsidRDefault="00D061AA" w:rsidP="00D061AA">
      <w:pPr>
        <w:tabs>
          <w:tab w:val="left" w:pos="567"/>
        </w:tabs>
        <w:rPr>
          <w:sz w:val="22"/>
          <w:szCs w:val="22"/>
          <w:lang w:val="es-ES_tradnl"/>
        </w:rPr>
      </w:pPr>
    </w:p>
    <w:p w14:paraId="0B439DB7" w14:textId="77777777" w:rsidR="00D061AA" w:rsidRPr="00C52C4C" w:rsidRDefault="00D061AA" w:rsidP="00D061AA">
      <w:pPr>
        <w:tabs>
          <w:tab w:val="left" w:pos="567"/>
        </w:tabs>
        <w:rPr>
          <w:sz w:val="22"/>
          <w:szCs w:val="22"/>
          <w:lang w:val="es-ES_tradnl"/>
        </w:rPr>
      </w:pPr>
      <w:r w:rsidRPr="00C52C4C">
        <w:rPr>
          <w:sz w:val="22"/>
          <w:szCs w:val="22"/>
          <w:lang w:val="es-ES_tradnl"/>
        </w:rPr>
        <w:t>Lot</w:t>
      </w:r>
    </w:p>
    <w:p w14:paraId="3C062C67" w14:textId="77777777" w:rsidR="00D061AA" w:rsidRPr="00C52C4C" w:rsidRDefault="00D061AA" w:rsidP="00D061AA">
      <w:pPr>
        <w:tabs>
          <w:tab w:val="left" w:pos="567"/>
        </w:tabs>
        <w:rPr>
          <w:sz w:val="22"/>
          <w:szCs w:val="22"/>
          <w:lang w:val="es-ES_tradnl"/>
        </w:rPr>
      </w:pPr>
    </w:p>
    <w:p w14:paraId="53E24ABA" w14:textId="77777777" w:rsidR="00D061AA" w:rsidRPr="00C52C4C" w:rsidRDefault="00D061AA" w:rsidP="00D061AA">
      <w:pPr>
        <w:tabs>
          <w:tab w:val="left" w:pos="567"/>
        </w:tabs>
        <w:rPr>
          <w:sz w:val="22"/>
          <w:szCs w:val="22"/>
          <w:lang w:val="pt-PT"/>
        </w:rPr>
      </w:pPr>
    </w:p>
    <w:p w14:paraId="2B599D36" w14:textId="77777777" w:rsidR="00D061AA" w:rsidRPr="00C52C4C" w:rsidRDefault="00D061AA" w:rsidP="00D061AA">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s-ES_tradnl"/>
        </w:rPr>
      </w:pPr>
      <w:r w:rsidRPr="00C52C4C">
        <w:rPr>
          <w:b/>
          <w:sz w:val="22"/>
          <w:szCs w:val="22"/>
          <w:lang w:val="es-ES_tradnl"/>
        </w:rPr>
        <w:t>5.</w:t>
      </w:r>
      <w:r w:rsidRPr="00C52C4C">
        <w:rPr>
          <w:b/>
          <w:sz w:val="22"/>
          <w:szCs w:val="22"/>
          <w:lang w:val="es-ES_tradnl"/>
        </w:rPr>
        <w:tab/>
        <w:t>OT</w:t>
      </w:r>
      <w:smartTag w:uri="urn:schemas-microsoft-com:office:smarttags" w:element="PersonName">
        <w:r w:rsidRPr="00C52C4C">
          <w:rPr>
            <w:b/>
            <w:sz w:val="22"/>
            <w:szCs w:val="22"/>
            <w:lang w:val="es-ES_tradnl"/>
          </w:rPr>
          <w:t>RO</w:t>
        </w:r>
      </w:smartTag>
      <w:r w:rsidRPr="00C52C4C">
        <w:rPr>
          <w:b/>
          <w:sz w:val="22"/>
          <w:szCs w:val="22"/>
          <w:lang w:val="es-ES_tradnl"/>
        </w:rPr>
        <w:t>S</w:t>
      </w:r>
    </w:p>
    <w:p w14:paraId="27F0D9B7" w14:textId="77777777" w:rsidR="00D061AA" w:rsidRPr="00C52C4C" w:rsidRDefault="00D061AA" w:rsidP="00D061AA">
      <w:pPr>
        <w:tabs>
          <w:tab w:val="left" w:pos="567"/>
        </w:tabs>
        <w:rPr>
          <w:sz w:val="22"/>
          <w:szCs w:val="22"/>
          <w:lang w:val="es-ES_tradnl"/>
        </w:rPr>
      </w:pPr>
    </w:p>
    <w:p w14:paraId="5DDD04B1" w14:textId="77777777" w:rsidR="00D061AA" w:rsidRPr="00C52C4C" w:rsidRDefault="00D061AA" w:rsidP="00D061AA">
      <w:pPr>
        <w:tabs>
          <w:tab w:val="left" w:pos="567"/>
        </w:tabs>
        <w:rPr>
          <w:b/>
          <w:sz w:val="22"/>
          <w:szCs w:val="22"/>
          <w:u w:val="single"/>
          <w:lang w:val="es-ES_tradnl"/>
        </w:rPr>
      </w:pPr>
      <w:r w:rsidRPr="00C52C4C">
        <w:rPr>
          <w:b/>
          <w:sz w:val="22"/>
          <w:szCs w:val="22"/>
          <w:u w:val="single"/>
          <w:lang w:val="es-ES_tradnl"/>
        </w:rPr>
        <w:br w:type="page"/>
      </w:r>
    </w:p>
    <w:p w14:paraId="0309D185" w14:textId="77777777" w:rsidR="00D061AA" w:rsidRPr="00C52C4C" w:rsidRDefault="00D061AA" w:rsidP="00D061AA">
      <w:pPr>
        <w:tabs>
          <w:tab w:val="left" w:pos="567"/>
        </w:tabs>
        <w:jc w:val="center"/>
        <w:rPr>
          <w:sz w:val="22"/>
          <w:szCs w:val="22"/>
        </w:rPr>
      </w:pPr>
    </w:p>
    <w:p w14:paraId="2AB79F47" w14:textId="77777777" w:rsidR="00D061AA" w:rsidRPr="00C52C4C" w:rsidRDefault="00D061AA" w:rsidP="00D061AA">
      <w:pPr>
        <w:tabs>
          <w:tab w:val="left" w:pos="567"/>
        </w:tabs>
        <w:jc w:val="center"/>
        <w:rPr>
          <w:sz w:val="22"/>
          <w:szCs w:val="22"/>
        </w:rPr>
      </w:pPr>
    </w:p>
    <w:p w14:paraId="616636F8" w14:textId="77777777" w:rsidR="00D061AA" w:rsidRPr="00C52C4C" w:rsidRDefault="00D061AA" w:rsidP="00D061AA">
      <w:pPr>
        <w:tabs>
          <w:tab w:val="left" w:pos="567"/>
        </w:tabs>
        <w:jc w:val="center"/>
        <w:rPr>
          <w:sz w:val="22"/>
          <w:szCs w:val="22"/>
        </w:rPr>
      </w:pPr>
    </w:p>
    <w:p w14:paraId="2957A036" w14:textId="77777777" w:rsidR="00D061AA" w:rsidRPr="00C52C4C" w:rsidRDefault="00D061AA" w:rsidP="00D061AA">
      <w:pPr>
        <w:tabs>
          <w:tab w:val="left" w:pos="567"/>
        </w:tabs>
        <w:jc w:val="center"/>
        <w:rPr>
          <w:sz w:val="22"/>
          <w:szCs w:val="22"/>
        </w:rPr>
      </w:pPr>
    </w:p>
    <w:p w14:paraId="21AA0279" w14:textId="77777777" w:rsidR="00D061AA" w:rsidRPr="00C52C4C" w:rsidRDefault="00D061AA" w:rsidP="00D061AA">
      <w:pPr>
        <w:tabs>
          <w:tab w:val="left" w:pos="567"/>
        </w:tabs>
        <w:jc w:val="center"/>
        <w:rPr>
          <w:sz w:val="22"/>
          <w:szCs w:val="22"/>
        </w:rPr>
      </w:pPr>
    </w:p>
    <w:p w14:paraId="122DA10B" w14:textId="77777777" w:rsidR="00691B2A" w:rsidRPr="00C52C4C" w:rsidRDefault="00691B2A" w:rsidP="00D061AA">
      <w:pPr>
        <w:tabs>
          <w:tab w:val="left" w:pos="567"/>
        </w:tabs>
        <w:jc w:val="center"/>
        <w:rPr>
          <w:sz w:val="22"/>
          <w:szCs w:val="22"/>
        </w:rPr>
      </w:pPr>
    </w:p>
    <w:p w14:paraId="7B87E89A" w14:textId="77777777" w:rsidR="00691B2A" w:rsidRPr="00C52C4C" w:rsidRDefault="00691B2A" w:rsidP="00D061AA">
      <w:pPr>
        <w:tabs>
          <w:tab w:val="left" w:pos="567"/>
        </w:tabs>
        <w:jc w:val="center"/>
        <w:rPr>
          <w:sz w:val="22"/>
          <w:szCs w:val="22"/>
        </w:rPr>
      </w:pPr>
    </w:p>
    <w:p w14:paraId="27F35255" w14:textId="77777777" w:rsidR="00AC5BF4" w:rsidRPr="00C52C4C" w:rsidRDefault="00AC5BF4" w:rsidP="00D061AA">
      <w:pPr>
        <w:tabs>
          <w:tab w:val="left" w:pos="567"/>
        </w:tabs>
        <w:jc w:val="center"/>
        <w:rPr>
          <w:sz w:val="22"/>
          <w:szCs w:val="22"/>
        </w:rPr>
      </w:pPr>
    </w:p>
    <w:p w14:paraId="3CAA606B" w14:textId="77777777" w:rsidR="00AC5BF4" w:rsidRPr="00C52C4C" w:rsidRDefault="00AC5BF4" w:rsidP="00D061AA">
      <w:pPr>
        <w:tabs>
          <w:tab w:val="left" w:pos="567"/>
        </w:tabs>
        <w:jc w:val="center"/>
        <w:rPr>
          <w:sz w:val="22"/>
          <w:szCs w:val="22"/>
        </w:rPr>
      </w:pPr>
    </w:p>
    <w:p w14:paraId="6F41C508" w14:textId="77777777" w:rsidR="00691B2A" w:rsidRPr="00C52C4C" w:rsidRDefault="00691B2A" w:rsidP="00D061AA">
      <w:pPr>
        <w:tabs>
          <w:tab w:val="left" w:pos="567"/>
        </w:tabs>
        <w:jc w:val="center"/>
        <w:rPr>
          <w:sz w:val="22"/>
          <w:szCs w:val="22"/>
        </w:rPr>
      </w:pPr>
    </w:p>
    <w:p w14:paraId="4930ADC8" w14:textId="77777777" w:rsidR="00691B2A" w:rsidRPr="00C52C4C" w:rsidRDefault="00691B2A" w:rsidP="00D061AA">
      <w:pPr>
        <w:tabs>
          <w:tab w:val="left" w:pos="567"/>
        </w:tabs>
        <w:jc w:val="center"/>
        <w:rPr>
          <w:sz w:val="22"/>
          <w:szCs w:val="22"/>
        </w:rPr>
      </w:pPr>
    </w:p>
    <w:p w14:paraId="6B879E75" w14:textId="77777777" w:rsidR="00691B2A" w:rsidRPr="00C52C4C" w:rsidRDefault="00691B2A" w:rsidP="00D061AA">
      <w:pPr>
        <w:tabs>
          <w:tab w:val="left" w:pos="567"/>
        </w:tabs>
        <w:jc w:val="center"/>
        <w:rPr>
          <w:sz w:val="22"/>
          <w:szCs w:val="22"/>
        </w:rPr>
      </w:pPr>
    </w:p>
    <w:p w14:paraId="4CD6CF50" w14:textId="77777777" w:rsidR="00691B2A" w:rsidRPr="00C52C4C" w:rsidRDefault="00691B2A" w:rsidP="00D061AA">
      <w:pPr>
        <w:tabs>
          <w:tab w:val="left" w:pos="567"/>
        </w:tabs>
        <w:jc w:val="center"/>
        <w:rPr>
          <w:sz w:val="22"/>
          <w:szCs w:val="22"/>
        </w:rPr>
      </w:pPr>
    </w:p>
    <w:p w14:paraId="67DBFD9C" w14:textId="77777777" w:rsidR="00D061AA" w:rsidRPr="00C52C4C" w:rsidRDefault="00D061AA" w:rsidP="001528C6">
      <w:pPr>
        <w:tabs>
          <w:tab w:val="left" w:pos="567"/>
        </w:tabs>
        <w:rPr>
          <w:sz w:val="22"/>
          <w:szCs w:val="22"/>
        </w:rPr>
      </w:pPr>
    </w:p>
    <w:p w14:paraId="7D9D49CC" w14:textId="77777777" w:rsidR="00640401" w:rsidRPr="00C52C4C" w:rsidRDefault="00640401" w:rsidP="00D061AA">
      <w:pPr>
        <w:tabs>
          <w:tab w:val="left" w:pos="567"/>
        </w:tabs>
        <w:jc w:val="center"/>
        <w:rPr>
          <w:sz w:val="22"/>
          <w:szCs w:val="22"/>
        </w:rPr>
      </w:pPr>
    </w:p>
    <w:p w14:paraId="1625082E" w14:textId="77777777" w:rsidR="00640401" w:rsidRPr="00C52C4C" w:rsidRDefault="00640401" w:rsidP="00D061AA">
      <w:pPr>
        <w:tabs>
          <w:tab w:val="left" w:pos="567"/>
        </w:tabs>
        <w:jc w:val="center"/>
        <w:rPr>
          <w:sz w:val="22"/>
          <w:szCs w:val="22"/>
        </w:rPr>
      </w:pPr>
    </w:p>
    <w:p w14:paraId="25B783EF" w14:textId="77777777" w:rsidR="00640401" w:rsidRPr="00C52C4C" w:rsidRDefault="00640401" w:rsidP="00D061AA">
      <w:pPr>
        <w:tabs>
          <w:tab w:val="left" w:pos="567"/>
        </w:tabs>
        <w:jc w:val="center"/>
        <w:rPr>
          <w:sz w:val="22"/>
          <w:szCs w:val="22"/>
        </w:rPr>
      </w:pPr>
    </w:p>
    <w:p w14:paraId="0C4D3CA6" w14:textId="77777777" w:rsidR="00640401" w:rsidRPr="00C52C4C" w:rsidRDefault="00640401" w:rsidP="00D061AA">
      <w:pPr>
        <w:tabs>
          <w:tab w:val="left" w:pos="567"/>
        </w:tabs>
        <w:jc w:val="center"/>
        <w:rPr>
          <w:sz w:val="22"/>
          <w:szCs w:val="22"/>
        </w:rPr>
      </w:pPr>
    </w:p>
    <w:p w14:paraId="0A1C5119" w14:textId="77777777" w:rsidR="00640401" w:rsidRPr="00C52C4C" w:rsidRDefault="00640401" w:rsidP="00D061AA">
      <w:pPr>
        <w:tabs>
          <w:tab w:val="left" w:pos="567"/>
        </w:tabs>
        <w:jc w:val="center"/>
        <w:rPr>
          <w:sz w:val="22"/>
          <w:szCs w:val="22"/>
        </w:rPr>
      </w:pPr>
    </w:p>
    <w:p w14:paraId="7B5FE6AC" w14:textId="77777777" w:rsidR="00640401" w:rsidRPr="00C52C4C" w:rsidRDefault="00640401" w:rsidP="00D061AA">
      <w:pPr>
        <w:tabs>
          <w:tab w:val="left" w:pos="567"/>
        </w:tabs>
        <w:jc w:val="center"/>
        <w:rPr>
          <w:sz w:val="22"/>
          <w:szCs w:val="22"/>
        </w:rPr>
      </w:pPr>
    </w:p>
    <w:p w14:paraId="29215656" w14:textId="77777777" w:rsidR="00D061AA" w:rsidRPr="00C52C4C" w:rsidRDefault="00D061AA" w:rsidP="00D061AA">
      <w:pPr>
        <w:tabs>
          <w:tab w:val="left" w:pos="567"/>
        </w:tabs>
        <w:jc w:val="center"/>
        <w:rPr>
          <w:sz w:val="22"/>
          <w:szCs w:val="22"/>
        </w:rPr>
      </w:pPr>
    </w:p>
    <w:p w14:paraId="7EF9F2D6" w14:textId="77777777" w:rsidR="00D061AA" w:rsidRPr="00C52C4C" w:rsidRDefault="00D061AA" w:rsidP="00D061AA">
      <w:pPr>
        <w:tabs>
          <w:tab w:val="left" w:pos="567"/>
        </w:tabs>
        <w:jc w:val="center"/>
        <w:rPr>
          <w:b/>
          <w:bCs/>
          <w:sz w:val="22"/>
          <w:szCs w:val="22"/>
        </w:rPr>
      </w:pPr>
    </w:p>
    <w:p w14:paraId="55E5F487" w14:textId="77777777" w:rsidR="00D061AA" w:rsidRPr="00C52C4C" w:rsidRDefault="00D061AA" w:rsidP="00AA094E">
      <w:pPr>
        <w:pStyle w:val="17"/>
        <w:rPr>
          <w:lang w:val="es-ES_tradnl"/>
        </w:rPr>
      </w:pPr>
      <w:r w:rsidRPr="00C52C4C">
        <w:t>B.</w:t>
      </w:r>
      <w:r w:rsidRPr="00C52C4C">
        <w:rPr>
          <w:lang w:val="es-ES_tradnl"/>
        </w:rPr>
        <w:t xml:space="preserve"> P</w:t>
      </w:r>
      <w:smartTag w:uri="urn:schemas-microsoft-com:office:smarttags" w:element="PersonName">
        <w:r w:rsidRPr="00C52C4C">
          <w:rPr>
            <w:lang w:val="es-ES_tradnl"/>
          </w:rPr>
          <w:t>RO</w:t>
        </w:r>
      </w:smartTag>
      <w:r w:rsidRPr="00C52C4C">
        <w:rPr>
          <w:lang w:val="es-ES_tradnl"/>
        </w:rPr>
        <w:t>SPECTO</w:t>
      </w:r>
    </w:p>
    <w:p w14:paraId="71E2B163" w14:textId="77777777" w:rsidR="00D061AA" w:rsidRPr="00C52C4C" w:rsidRDefault="00D061AA" w:rsidP="00D061AA">
      <w:pPr>
        <w:tabs>
          <w:tab w:val="left" w:pos="567"/>
        </w:tabs>
        <w:jc w:val="center"/>
        <w:rPr>
          <w:b/>
          <w:sz w:val="22"/>
          <w:szCs w:val="22"/>
          <w:lang w:val="es-ES_tradnl"/>
        </w:rPr>
      </w:pPr>
    </w:p>
    <w:p w14:paraId="20BC14B5" w14:textId="77777777" w:rsidR="00D061AA" w:rsidRPr="00C52C4C" w:rsidRDefault="00D061AA" w:rsidP="00D061AA">
      <w:pPr>
        <w:tabs>
          <w:tab w:val="left" w:pos="567"/>
        </w:tabs>
        <w:jc w:val="center"/>
        <w:rPr>
          <w:sz w:val="22"/>
          <w:szCs w:val="22"/>
          <w:lang w:val="es-ES_tradnl"/>
        </w:rPr>
      </w:pPr>
      <w:r w:rsidRPr="00C52C4C">
        <w:rPr>
          <w:b/>
          <w:sz w:val="22"/>
          <w:szCs w:val="22"/>
          <w:lang w:val="es-ES_tradnl"/>
        </w:rPr>
        <w:br w:type="page"/>
      </w:r>
      <w:r w:rsidRPr="00C52C4C" w:rsidDel="00FB3E80">
        <w:rPr>
          <w:b/>
          <w:sz w:val="22"/>
          <w:szCs w:val="22"/>
          <w:lang w:val="es-ES_tradnl"/>
        </w:rPr>
        <w:lastRenderedPageBreak/>
        <w:t xml:space="preserve"> </w:t>
      </w:r>
      <w:bookmarkStart w:id="16" w:name="Manuf_2"/>
      <w:bookmarkEnd w:id="16"/>
      <w:r w:rsidRPr="00C52C4C">
        <w:rPr>
          <w:b/>
          <w:sz w:val="22"/>
          <w:szCs w:val="22"/>
          <w:lang w:val="es-ES_tradnl"/>
        </w:rPr>
        <w:t>P</w:t>
      </w:r>
      <w:r w:rsidR="006929AC">
        <w:rPr>
          <w:b/>
          <w:sz w:val="22"/>
          <w:szCs w:val="22"/>
          <w:lang w:val="es-ES_tradnl"/>
        </w:rPr>
        <w:t>rospecto</w:t>
      </w:r>
      <w:r w:rsidRPr="00C52C4C">
        <w:rPr>
          <w:b/>
          <w:sz w:val="22"/>
          <w:szCs w:val="22"/>
          <w:lang w:val="es-ES_tradnl"/>
        </w:rPr>
        <w:t xml:space="preserve">: </w:t>
      </w:r>
      <w:r w:rsidR="006929AC">
        <w:rPr>
          <w:b/>
          <w:sz w:val="22"/>
          <w:szCs w:val="22"/>
          <w:lang w:val="es-ES_tradnl"/>
        </w:rPr>
        <w:t xml:space="preserve">información </w:t>
      </w:r>
      <w:r w:rsidRPr="00C52C4C">
        <w:rPr>
          <w:b/>
          <w:sz w:val="22"/>
          <w:szCs w:val="22"/>
          <w:lang w:val="es-ES_tradnl"/>
        </w:rPr>
        <w:t xml:space="preserve"> </w:t>
      </w:r>
      <w:r w:rsidR="006929AC">
        <w:rPr>
          <w:b/>
          <w:sz w:val="22"/>
          <w:szCs w:val="22"/>
          <w:lang w:val="es-ES_tradnl"/>
        </w:rPr>
        <w:t>para el usuario</w:t>
      </w:r>
    </w:p>
    <w:p w14:paraId="6A733367" w14:textId="77777777" w:rsidR="00D061AA" w:rsidRPr="00C52C4C" w:rsidRDefault="00D061AA" w:rsidP="00D061AA">
      <w:pPr>
        <w:tabs>
          <w:tab w:val="left" w:pos="567"/>
        </w:tabs>
        <w:rPr>
          <w:sz w:val="22"/>
          <w:szCs w:val="22"/>
          <w:lang w:val="es-ES_tradnl"/>
        </w:rPr>
      </w:pPr>
    </w:p>
    <w:p w14:paraId="6087D37A" w14:textId="77777777" w:rsidR="00D061AA" w:rsidRPr="00C52C4C" w:rsidRDefault="008D11BB" w:rsidP="00D061AA">
      <w:pPr>
        <w:numPr>
          <w:ilvl w:val="12"/>
          <w:numId w:val="0"/>
        </w:numPr>
        <w:tabs>
          <w:tab w:val="left" w:pos="567"/>
        </w:tabs>
        <w:jc w:val="center"/>
        <w:rPr>
          <w:b/>
          <w:sz w:val="22"/>
          <w:szCs w:val="22"/>
          <w:lang w:val="es-ES_tradnl"/>
        </w:rPr>
      </w:pPr>
      <w:bookmarkStart w:id="17" w:name="_Hlk79050348"/>
      <w:r w:rsidRPr="00C52C4C">
        <w:rPr>
          <w:b/>
          <w:bCs/>
          <w:sz w:val="22"/>
          <w:szCs w:val="22"/>
        </w:rPr>
        <w:t>Voriconazol</w:t>
      </w:r>
      <w:r w:rsidR="003D734F" w:rsidRPr="00C52C4C">
        <w:rPr>
          <w:b/>
          <w:bCs/>
          <w:sz w:val="22"/>
          <w:szCs w:val="22"/>
        </w:rPr>
        <w:t xml:space="preserve"> Accord </w:t>
      </w:r>
      <w:r w:rsidR="00D061AA" w:rsidRPr="00C52C4C">
        <w:rPr>
          <w:b/>
          <w:sz w:val="22"/>
          <w:szCs w:val="22"/>
          <w:lang w:val="es-ES_tradnl"/>
        </w:rPr>
        <w:t>50 mg comprimidos recubiertos con película</w:t>
      </w:r>
    </w:p>
    <w:bookmarkEnd w:id="17"/>
    <w:p w14:paraId="55C8E016" w14:textId="77777777" w:rsidR="00D061AA" w:rsidRPr="00C52C4C" w:rsidRDefault="008D11BB" w:rsidP="00D061AA">
      <w:pPr>
        <w:numPr>
          <w:ilvl w:val="12"/>
          <w:numId w:val="0"/>
        </w:numPr>
        <w:tabs>
          <w:tab w:val="left" w:pos="567"/>
        </w:tabs>
        <w:jc w:val="center"/>
        <w:rPr>
          <w:b/>
          <w:sz w:val="22"/>
          <w:szCs w:val="22"/>
          <w:lang w:val="es-ES_tradnl"/>
        </w:rPr>
      </w:pPr>
      <w:r w:rsidRPr="00C52C4C">
        <w:rPr>
          <w:b/>
          <w:bCs/>
          <w:sz w:val="22"/>
          <w:szCs w:val="22"/>
        </w:rPr>
        <w:t>Voriconazol</w:t>
      </w:r>
      <w:r w:rsidR="003D734F" w:rsidRPr="00C52C4C">
        <w:rPr>
          <w:b/>
          <w:bCs/>
          <w:sz w:val="22"/>
          <w:szCs w:val="22"/>
        </w:rPr>
        <w:t xml:space="preserve"> Accord </w:t>
      </w:r>
      <w:r w:rsidR="00D061AA" w:rsidRPr="00C52C4C">
        <w:rPr>
          <w:b/>
          <w:sz w:val="22"/>
          <w:szCs w:val="22"/>
          <w:lang w:val="es-ES_tradnl"/>
        </w:rPr>
        <w:t>200 mg comprimidos recubiertos con película</w:t>
      </w:r>
    </w:p>
    <w:p w14:paraId="164993FF" w14:textId="77777777" w:rsidR="00D061AA" w:rsidRPr="00C52C4C" w:rsidRDefault="00C514D0" w:rsidP="00D061AA">
      <w:pPr>
        <w:tabs>
          <w:tab w:val="left" w:pos="567"/>
        </w:tabs>
        <w:jc w:val="center"/>
        <w:rPr>
          <w:sz w:val="22"/>
          <w:szCs w:val="22"/>
          <w:lang w:val="es-ES_tradnl"/>
        </w:rPr>
      </w:pPr>
      <w:r>
        <w:rPr>
          <w:sz w:val="22"/>
          <w:szCs w:val="22"/>
          <w:lang w:val="es-ES_tradnl"/>
        </w:rPr>
        <w:t>v</w:t>
      </w:r>
      <w:r w:rsidR="00D061AA" w:rsidRPr="00C52C4C">
        <w:rPr>
          <w:sz w:val="22"/>
          <w:szCs w:val="22"/>
          <w:lang w:val="es-ES_tradnl"/>
        </w:rPr>
        <w:t>oriconazol</w:t>
      </w:r>
    </w:p>
    <w:p w14:paraId="1FBF559C" w14:textId="77777777" w:rsidR="00D061AA" w:rsidRPr="00C52C4C" w:rsidRDefault="00D061AA" w:rsidP="00D061AA">
      <w:pPr>
        <w:tabs>
          <w:tab w:val="left" w:pos="567"/>
        </w:tabs>
        <w:jc w:val="center"/>
        <w:rPr>
          <w:sz w:val="22"/>
          <w:szCs w:val="22"/>
          <w:lang w:val="es-ES_tradnl"/>
        </w:rPr>
      </w:pPr>
    </w:p>
    <w:p w14:paraId="0A440F73" w14:textId="77777777" w:rsidR="00D061AA" w:rsidRPr="00C52C4C" w:rsidRDefault="00D061AA" w:rsidP="00D061AA">
      <w:pPr>
        <w:numPr>
          <w:ilvl w:val="12"/>
          <w:numId w:val="0"/>
        </w:numPr>
        <w:tabs>
          <w:tab w:val="left" w:pos="567"/>
        </w:tabs>
        <w:ind w:right="-2"/>
        <w:rPr>
          <w:b/>
          <w:sz w:val="22"/>
          <w:szCs w:val="22"/>
          <w:lang w:val="es-ES_tradnl"/>
        </w:rPr>
      </w:pPr>
      <w:bookmarkStart w:id="18" w:name="OLE_LINK8"/>
      <w:bookmarkStart w:id="19" w:name="OLE_LINK9"/>
      <w:r w:rsidRPr="00C52C4C">
        <w:rPr>
          <w:b/>
          <w:sz w:val="22"/>
          <w:szCs w:val="22"/>
          <w:lang w:val="es-ES_tradnl"/>
        </w:rPr>
        <w:t xml:space="preserve">Lea todo el prospecto detenidamente antes de empezar a tomar </w:t>
      </w:r>
      <w:r w:rsidR="00C514D0">
        <w:rPr>
          <w:b/>
          <w:sz w:val="22"/>
          <w:szCs w:val="22"/>
          <w:lang w:val="es-ES_tradnl"/>
        </w:rPr>
        <w:t>este</w:t>
      </w:r>
      <w:r w:rsidRPr="00C52C4C">
        <w:rPr>
          <w:b/>
          <w:sz w:val="22"/>
          <w:szCs w:val="22"/>
          <w:lang w:val="es-ES_tradnl"/>
        </w:rPr>
        <w:t xml:space="preserve"> medicamento, porque contiene información importante para usted.</w:t>
      </w:r>
    </w:p>
    <w:p w14:paraId="70117715" w14:textId="77777777" w:rsidR="00D061AA" w:rsidRPr="00C52C4C" w:rsidRDefault="00D061AA" w:rsidP="00D061AA">
      <w:pPr>
        <w:numPr>
          <w:ilvl w:val="12"/>
          <w:numId w:val="0"/>
        </w:numPr>
        <w:tabs>
          <w:tab w:val="left" w:pos="567"/>
        </w:tabs>
        <w:ind w:right="-2"/>
        <w:rPr>
          <w:sz w:val="22"/>
          <w:szCs w:val="22"/>
          <w:lang w:val="es-ES_tradnl"/>
        </w:rPr>
      </w:pPr>
      <w:r w:rsidRPr="00C52C4C">
        <w:rPr>
          <w:sz w:val="22"/>
          <w:szCs w:val="22"/>
          <w:lang w:val="es-ES_tradnl"/>
        </w:rPr>
        <w:t>-</w:t>
      </w:r>
      <w:r w:rsidRPr="00C52C4C">
        <w:rPr>
          <w:sz w:val="22"/>
          <w:szCs w:val="22"/>
          <w:lang w:val="es-ES_tradnl"/>
        </w:rPr>
        <w:tab/>
        <w:t>Conserve este prospecto, ya que puede tener que volver a leerlo.</w:t>
      </w:r>
    </w:p>
    <w:p w14:paraId="69124555" w14:textId="77777777" w:rsidR="00D061AA" w:rsidRPr="00C52C4C" w:rsidRDefault="00D061AA" w:rsidP="00D061AA">
      <w:pPr>
        <w:numPr>
          <w:ilvl w:val="12"/>
          <w:numId w:val="0"/>
        </w:numPr>
        <w:tabs>
          <w:tab w:val="left" w:pos="567"/>
        </w:tabs>
        <w:ind w:right="-2"/>
        <w:rPr>
          <w:sz w:val="22"/>
          <w:szCs w:val="22"/>
          <w:lang w:val="es-ES_tradnl"/>
        </w:rPr>
      </w:pPr>
      <w:r w:rsidRPr="00C52C4C">
        <w:rPr>
          <w:sz w:val="22"/>
          <w:szCs w:val="22"/>
          <w:lang w:val="es-ES_tradnl"/>
        </w:rPr>
        <w:t>-</w:t>
      </w:r>
      <w:r w:rsidRPr="00C52C4C">
        <w:rPr>
          <w:sz w:val="22"/>
          <w:szCs w:val="22"/>
          <w:lang w:val="es-ES_tradnl"/>
        </w:rPr>
        <w:tab/>
        <w:t>Si tiene alguna duda, consulte a su médico</w:t>
      </w:r>
      <w:r w:rsidR="0090615B" w:rsidRPr="00C52C4C">
        <w:rPr>
          <w:sz w:val="22"/>
          <w:szCs w:val="22"/>
          <w:lang w:val="es-ES_tradnl"/>
        </w:rPr>
        <w:t>,</w:t>
      </w:r>
      <w:r w:rsidRPr="00C52C4C">
        <w:rPr>
          <w:sz w:val="22"/>
          <w:szCs w:val="22"/>
          <w:lang w:val="es-ES_tradnl"/>
        </w:rPr>
        <w:t>farmacéutico</w:t>
      </w:r>
      <w:r w:rsidR="0090615B" w:rsidRPr="00C52C4C">
        <w:rPr>
          <w:sz w:val="22"/>
          <w:szCs w:val="22"/>
          <w:lang w:val="es-ES_tradnl"/>
        </w:rPr>
        <w:t xml:space="preserve"> o enfermero</w:t>
      </w:r>
      <w:r w:rsidRPr="00C52C4C">
        <w:rPr>
          <w:sz w:val="22"/>
          <w:szCs w:val="22"/>
          <w:lang w:val="es-ES_tradnl"/>
        </w:rPr>
        <w:t>.</w:t>
      </w:r>
    </w:p>
    <w:p w14:paraId="7CFAAC83" w14:textId="77777777" w:rsidR="00D061AA" w:rsidRPr="00C52C4C" w:rsidRDefault="00D061AA" w:rsidP="00D061AA">
      <w:pPr>
        <w:numPr>
          <w:ilvl w:val="12"/>
          <w:numId w:val="0"/>
        </w:numPr>
        <w:tabs>
          <w:tab w:val="left" w:pos="567"/>
        </w:tabs>
        <w:ind w:left="600" w:right="-2" w:hanging="600"/>
        <w:rPr>
          <w:sz w:val="22"/>
          <w:szCs w:val="22"/>
          <w:lang w:val="es-ES_tradnl"/>
        </w:rPr>
      </w:pPr>
      <w:r w:rsidRPr="00C52C4C">
        <w:rPr>
          <w:sz w:val="22"/>
          <w:szCs w:val="22"/>
          <w:lang w:val="es-ES_tradnl"/>
        </w:rPr>
        <w:t>-</w:t>
      </w:r>
      <w:r w:rsidRPr="00C52C4C">
        <w:rPr>
          <w:sz w:val="22"/>
          <w:szCs w:val="22"/>
          <w:lang w:val="es-ES_tradnl"/>
        </w:rPr>
        <w:tab/>
        <w:t>Este medicamento se le ha recetado solamente a usted y no debe dárselo a otras personas, aunque tengan los mismos síntomas, ya que puede perjudicarles.</w:t>
      </w:r>
    </w:p>
    <w:p w14:paraId="37B9073D" w14:textId="77777777" w:rsidR="00D061AA" w:rsidRPr="00C52C4C" w:rsidRDefault="00D061AA" w:rsidP="00D061AA">
      <w:pPr>
        <w:numPr>
          <w:ilvl w:val="12"/>
          <w:numId w:val="0"/>
        </w:numPr>
        <w:tabs>
          <w:tab w:val="left" w:pos="567"/>
        </w:tabs>
        <w:ind w:left="600" w:right="-2" w:hanging="600"/>
        <w:rPr>
          <w:sz w:val="22"/>
          <w:szCs w:val="22"/>
          <w:lang w:val="es-ES_tradnl"/>
        </w:rPr>
      </w:pPr>
      <w:r w:rsidRPr="00C52C4C">
        <w:rPr>
          <w:sz w:val="22"/>
          <w:szCs w:val="22"/>
          <w:lang w:val="es-ES_tradnl"/>
        </w:rPr>
        <w:t>-</w:t>
      </w:r>
      <w:r w:rsidRPr="00C52C4C">
        <w:rPr>
          <w:sz w:val="22"/>
          <w:szCs w:val="22"/>
          <w:lang w:val="es-ES_tradnl"/>
        </w:rPr>
        <w:tab/>
        <w:t>Si experimenta efectos adversos, consulte a su médico</w:t>
      </w:r>
      <w:r w:rsidR="0090615B" w:rsidRPr="00C52C4C">
        <w:rPr>
          <w:sz w:val="22"/>
          <w:szCs w:val="22"/>
          <w:lang w:val="es-ES_tradnl"/>
        </w:rPr>
        <w:t>,</w:t>
      </w:r>
      <w:r w:rsidRPr="00C52C4C">
        <w:rPr>
          <w:sz w:val="22"/>
          <w:szCs w:val="22"/>
          <w:lang w:val="es-ES_tradnl"/>
        </w:rPr>
        <w:t xml:space="preserve"> farmacéutico</w:t>
      </w:r>
      <w:r w:rsidR="0090615B" w:rsidRPr="00C52C4C">
        <w:rPr>
          <w:sz w:val="22"/>
          <w:szCs w:val="22"/>
          <w:lang w:val="es-ES_tradnl"/>
        </w:rPr>
        <w:t xml:space="preserve"> o enfermero</w:t>
      </w:r>
      <w:r w:rsidRPr="00C52C4C">
        <w:rPr>
          <w:sz w:val="22"/>
          <w:szCs w:val="22"/>
          <w:lang w:val="es-ES_tradnl"/>
        </w:rPr>
        <w:t>, incluso si se trata de efectos adversos que no aparecen en este prospecto.</w:t>
      </w:r>
      <w:r w:rsidR="0090615B" w:rsidRPr="00C52C4C">
        <w:rPr>
          <w:sz w:val="22"/>
          <w:szCs w:val="22"/>
          <w:lang w:val="es-ES_tradnl"/>
        </w:rPr>
        <w:t xml:space="preserve"> Ver sección 4.</w:t>
      </w:r>
    </w:p>
    <w:bookmarkEnd w:id="18"/>
    <w:bookmarkEnd w:id="19"/>
    <w:p w14:paraId="50578D7F" w14:textId="77777777" w:rsidR="00D061AA" w:rsidRPr="00C52C4C" w:rsidRDefault="00D061AA" w:rsidP="00D061AA">
      <w:pPr>
        <w:numPr>
          <w:ilvl w:val="12"/>
          <w:numId w:val="0"/>
        </w:numPr>
        <w:tabs>
          <w:tab w:val="left" w:pos="567"/>
        </w:tabs>
        <w:ind w:right="-2"/>
        <w:rPr>
          <w:sz w:val="22"/>
          <w:szCs w:val="22"/>
          <w:lang w:val="es-ES_tradnl"/>
        </w:rPr>
      </w:pPr>
    </w:p>
    <w:p w14:paraId="49DC0EE9" w14:textId="77777777" w:rsidR="00D061AA" w:rsidRPr="00C52C4C" w:rsidRDefault="00D061AA" w:rsidP="00D061AA">
      <w:pPr>
        <w:numPr>
          <w:ilvl w:val="12"/>
          <w:numId w:val="0"/>
        </w:numPr>
        <w:tabs>
          <w:tab w:val="left" w:pos="567"/>
        </w:tabs>
        <w:ind w:right="-2"/>
        <w:rPr>
          <w:b/>
          <w:sz w:val="22"/>
          <w:szCs w:val="22"/>
          <w:lang w:val="es-ES_tradnl"/>
        </w:rPr>
      </w:pPr>
      <w:r w:rsidRPr="00C52C4C">
        <w:rPr>
          <w:b/>
          <w:sz w:val="22"/>
          <w:szCs w:val="22"/>
          <w:lang w:val="es-ES_tradnl"/>
        </w:rPr>
        <w:t>Contenido del prospecto</w:t>
      </w:r>
    </w:p>
    <w:p w14:paraId="1A34EF51" w14:textId="77777777" w:rsidR="00D061AA" w:rsidRPr="00C52C4C" w:rsidRDefault="00D061AA" w:rsidP="00D061AA">
      <w:pPr>
        <w:tabs>
          <w:tab w:val="left" w:pos="567"/>
        </w:tabs>
        <w:ind w:right="-29"/>
        <w:rPr>
          <w:sz w:val="22"/>
          <w:szCs w:val="22"/>
          <w:lang w:val="es-ES_tradnl"/>
        </w:rPr>
      </w:pPr>
      <w:r w:rsidRPr="00C52C4C">
        <w:rPr>
          <w:sz w:val="22"/>
          <w:szCs w:val="22"/>
          <w:lang w:val="es-ES_tradnl"/>
        </w:rPr>
        <w:t>1.</w:t>
      </w:r>
      <w:r w:rsidRPr="00C52C4C">
        <w:rPr>
          <w:sz w:val="22"/>
          <w:szCs w:val="22"/>
          <w:lang w:val="es-ES_tradnl"/>
        </w:rPr>
        <w:tab/>
        <w:t xml:space="preserve">Qué es </w:t>
      </w:r>
      <w:r w:rsidR="008D11BB"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Pr="00C52C4C">
        <w:rPr>
          <w:sz w:val="22"/>
          <w:szCs w:val="22"/>
          <w:lang w:val="es-ES_tradnl"/>
        </w:rPr>
        <w:t>y para qué se utiliza</w:t>
      </w:r>
    </w:p>
    <w:p w14:paraId="7BCDB4C3" w14:textId="77777777" w:rsidR="00D061AA" w:rsidRPr="00C52C4C" w:rsidRDefault="00D061AA" w:rsidP="00D061AA">
      <w:pPr>
        <w:tabs>
          <w:tab w:val="left" w:pos="567"/>
        </w:tabs>
        <w:ind w:right="-29"/>
        <w:rPr>
          <w:sz w:val="22"/>
          <w:szCs w:val="22"/>
          <w:lang w:val="es-ES_tradnl"/>
        </w:rPr>
      </w:pPr>
      <w:r w:rsidRPr="00C52C4C">
        <w:rPr>
          <w:sz w:val="22"/>
          <w:szCs w:val="22"/>
          <w:lang w:val="es-ES_tradnl"/>
        </w:rPr>
        <w:t>2.</w:t>
      </w:r>
      <w:r w:rsidRPr="00C52C4C">
        <w:rPr>
          <w:sz w:val="22"/>
          <w:szCs w:val="22"/>
          <w:lang w:val="es-ES_tradnl"/>
        </w:rPr>
        <w:tab/>
        <w:t>Qué necesita saber antes de empezar a to</w:t>
      </w:r>
      <w:smartTag w:uri="urn:schemas-microsoft-com:office:smarttags" w:element="PersonName">
        <w:r w:rsidRPr="00C52C4C">
          <w:rPr>
            <w:sz w:val="22"/>
            <w:szCs w:val="22"/>
            <w:lang w:val="es-ES_tradnl"/>
          </w:rPr>
          <w:t>ma</w:t>
        </w:r>
      </w:smartTag>
      <w:r w:rsidRPr="00C52C4C">
        <w:rPr>
          <w:sz w:val="22"/>
          <w:szCs w:val="22"/>
          <w:lang w:val="es-ES_tradnl"/>
        </w:rPr>
        <w:t xml:space="preserve">r </w:t>
      </w:r>
      <w:r w:rsidR="008D11BB" w:rsidRPr="00C52C4C">
        <w:rPr>
          <w:bCs/>
          <w:sz w:val="22"/>
          <w:szCs w:val="22"/>
        </w:rPr>
        <w:t>Voriconazol</w:t>
      </w:r>
      <w:r w:rsidR="003D734F" w:rsidRPr="00C52C4C">
        <w:rPr>
          <w:bCs/>
          <w:sz w:val="22"/>
          <w:szCs w:val="22"/>
        </w:rPr>
        <w:t xml:space="preserve"> Accord</w:t>
      </w:r>
    </w:p>
    <w:p w14:paraId="1D9CA1D7" w14:textId="77777777" w:rsidR="00D061AA" w:rsidRPr="00C52C4C" w:rsidRDefault="00D061AA" w:rsidP="00D061AA">
      <w:pPr>
        <w:tabs>
          <w:tab w:val="left" w:pos="567"/>
        </w:tabs>
        <w:ind w:right="-29"/>
        <w:rPr>
          <w:sz w:val="22"/>
          <w:szCs w:val="22"/>
          <w:lang w:val="es-ES_tradnl"/>
        </w:rPr>
      </w:pPr>
      <w:r w:rsidRPr="00C52C4C">
        <w:rPr>
          <w:sz w:val="22"/>
          <w:szCs w:val="22"/>
          <w:lang w:val="es-ES_tradnl"/>
        </w:rPr>
        <w:t>3.</w:t>
      </w:r>
      <w:r w:rsidRPr="00C52C4C">
        <w:rPr>
          <w:sz w:val="22"/>
          <w:szCs w:val="22"/>
          <w:lang w:val="es-ES_tradnl"/>
        </w:rPr>
        <w:tab/>
        <w:t>Cómo to</w:t>
      </w:r>
      <w:smartTag w:uri="urn:schemas-microsoft-com:office:smarttags" w:element="PersonName">
        <w:r w:rsidRPr="00C52C4C">
          <w:rPr>
            <w:sz w:val="22"/>
            <w:szCs w:val="22"/>
            <w:lang w:val="es-ES_tradnl"/>
          </w:rPr>
          <w:t>ma</w:t>
        </w:r>
      </w:smartTag>
      <w:r w:rsidRPr="00C52C4C">
        <w:rPr>
          <w:sz w:val="22"/>
          <w:szCs w:val="22"/>
          <w:lang w:val="es-ES_tradnl"/>
        </w:rPr>
        <w:t xml:space="preserve">r </w:t>
      </w:r>
      <w:r w:rsidR="008D11BB" w:rsidRPr="00C52C4C">
        <w:rPr>
          <w:bCs/>
          <w:sz w:val="22"/>
          <w:szCs w:val="22"/>
        </w:rPr>
        <w:t>Voriconazol</w:t>
      </w:r>
      <w:r w:rsidR="003D734F" w:rsidRPr="00C52C4C">
        <w:rPr>
          <w:bCs/>
          <w:sz w:val="22"/>
          <w:szCs w:val="22"/>
        </w:rPr>
        <w:t xml:space="preserve"> Accord</w:t>
      </w:r>
    </w:p>
    <w:p w14:paraId="1CF97878" w14:textId="77777777" w:rsidR="00D061AA" w:rsidRPr="00C52C4C" w:rsidRDefault="00D061AA" w:rsidP="00D061AA">
      <w:pPr>
        <w:tabs>
          <w:tab w:val="left" w:pos="567"/>
        </w:tabs>
        <w:ind w:right="-29"/>
        <w:rPr>
          <w:sz w:val="22"/>
          <w:szCs w:val="22"/>
          <w:lang w:val="es-ES_tradnl"/>
        </w:rPr>
      </w:pPr>
      <w:r w:rsidRPr="00C52C4C">
        <w:rPr>
          <w:sz w:val="22"/>
          <w:szCs w:val="22"/>
          <w:lang w:val="es-ES_tradnl"/>
        </w:rPr>
        <w:t>4.</w:t>
      </w:r>
      <w:r w:rsidRPr="00C52C4C">
        <w:rPr>
          <w:sz w:val="22"/>
          <w:szCs w:val="22"/>
          <w:lang w:val="es-ES_tradnl"/>
        </w:rPr>
        <w:tab/>
        <w:t>Posibles efectos adversos</w:t>
      </w:r>
    </w:p>
    <w:p w14:paraId="298F5263" w14:textId="77777777" w:rsidR="00D061AA" w:rsidRPr="00C52C4C" w:rsidRDefault="00D061AA" w:rsidP="00D061AA">
      <w:pPr>
        <w:tabs>
          <w:tab w:val="left" w:pos="567"/>
        </w:tabs>
        <w:ind w:right="-29"/>
        <w:rPr>
          <w:sz w:val="22"/>
          <w:szCs w:val="22"/>
          <w:lang w:val="es-ES_tradnl"/>
        </w:rPr>
      </w:pPr>
      <w:r w:rsidRPr="00C52C4C">
        <w:rPr>
          <w:sz w:val="22"/>
          <w:szCs w:val="22"/>
          <w:lang w:val="es-ES_tradnl"/>
        </w:rPr>
        <w:t>5.</w:t>
      </w:r>
      <w:r w:rsidRPr="00C52C4C">
        <w:rPr>
          <w:sz w:val="22"/>
          <w:szCs w:val="22"/>
          <w:lang w:val="es-ES_tradnl"/>
        </w:rPr>
        <w:tab/>
        <w:t xml:space="preserve">Conservación de </w:t>
      </w:r>
      <w:r w:rsidR="008D11BB" w:rsidRPr="00C52C4C">
        <w:rPr>
          <w:bCs/>
          <w:sz w:val="22"/>
          <w:szCs w:val="22"/>
        </w:rPr>
        <w:t>Voriconazol</w:t>
      </w:r>
      <w:r w:rsidR="003D734F" w:rsidRPr="00C52C4C">
        <w:rPr>
          <w:bCs/>
          <w:sz w:val="22"/>
          <w:szCs w:val="22"/>
        </w:rPr>
        <w:t xml:space="preserve"> Accord</w:t>
      </w:r>
    </w:p>
    <w:p w14:paraId="7A585BAE" w14:textId="77777777" w:rsidR="00D061AA" w:rsidRPr="00C52C4C" w:rsidRDefault="00D061AA" w:rsidP="00D061AA">
      <w:pPr>
        <w:tabs>
          <w:tab w:val="left" w:pos="567"/>
        </w:tabs>
        <w:ind w:right="-29"/>
        <w:rPr>
          <w:sz w:val="22"/>
          <w:szCs w:val="22"/>
          <w:lang w:val="es-ES_tradnl"/>
        </w:rPr>
      </w:pPr>
      <w:r w:rsidRPr="00C52C4C">
        <w:rPr>
          <w:sz w:val="22"/>
          <w:szCs w:val="22"/>
          <w:lang w:val="es-ES_tradnl"/>
        </w:rPr>
        <w:t>6.</w:t>
      </w:r>
      <w:r w:rsidRPr="00C52C4C">
        <w:rPr>
          <w:sz w:val="22"/>
          <w:szCs w:val="22"/>
          <w:lang w:val="es-ES_tradnl"/>
        </w:rPr>
        <w:tab/>
        <w:t>Contenido del envase e información adicional</w:t>
      </w:r>
    </w:p>
    <w:p w14:paraId="2AC21980" w14:textId="77777777" w:rsidR="00D061AA" w:rsidRPr="00C52C4C" w:rsidRDefault="00D061AA" w:rsidP="00D061AA">
      <w:pPr>
        <w:numPr>
          <w:ilvl w:val="12"/>
          <w:numId w:val="0"/>
        </w:numPr>
        <w:tabs>
          <w:tab w:val="left" w:pos="567"/>
        </w:tabs>
        <w:rPr>
          <w:sz w:val="22"/>
          <w:szCs w:val="22"/>
          <w:lang w:val="es-ES_tradnl"/>
        </w:rPr>
      </w:pPr>
    </w:p>
    <w:p w14:paraId="7358FD91" w14:textId="77777777" w:rsidR="00D061AA" w:rsidRPr="00C52C4C" w:rsidRDefault="00D061AA" w:rsidP="00D061AA">
      <w:pPr>
        <w:tabs>
          <w:tab w:val="left" w:pos="567"/>
        </w:tabs>
        <w:rPr>
          <w:sz w:val="22"/>
          <w:szCs w:val="22"/>
          <w:lang w:val="es-ES_tradnl"/>
        </w:rPr>
      </w:pPr>
    </w:p>
    <w:p w14:paraId="38049B1D" w14:textId="77777777" w:rsidR="00D061AA" w:rsidRPr="00C52C4C" w:rsidRDefault="00D061AA" w:rsidP="00D061AA">
      <w:pPr>
        <w:tabs>
          <w:tab w:val="left" w:pos="567"/>
        </w:tabs>
        <w:ind w:left="540" w:right="-2" w:hanging="540"/>
        <w:rPr>
          <w:sz w:val="22"/>
          <w:szCs w:val="22"/>
          <w:lang w:val="es-ES_tradnl"/>
        </w:rPr>
      </w:pPr>
      <w:r w:rsidRPr="00C52C4C">
        <w:rPr>
          <w:b/>
          <w:sz w:val="22"/>
          <w:szCs w:val="22"/>
          <w:lang w:val="es-ES_tradnl"/>
        </w:rPr>
        <w:t>1.</w:t>
      </w:r>
      <w:r w:rsidRPr="00C52C4C">
        <w:rPr>
          <w:b/>
          <w:sz w:val="22"/>
          <w:szCs w:val="22"/>
          <w:lang w:val="es-ES_tradnl"/>
        </w:rPr>
        <w:tab/>
        <w:t xml:space="preserve">Qué es </w:t>
      </w:r>
      <w:r w:rsidR="008D11BB" w:rsidRPr="00C52C4C">
        <w:rPr>
          <w:b/>
          <w:bCs/>
          <w:sz w:val="22"/>
          <w:szCs w:val="22"/>
        </w:rPr>
        <w:t>Voriconazol</w:t>
      </w:r>
      <w:r w:rsidR="003D734F" w:rsidRPr="00C52C4C">
        <w:rPr>
          <w:b/>
          <w:bCs/>
          <w:sz w:val="22"/>
          <w:szCs w:val="22"/>
        </w:rPr>
        <w:t xml:space="preserve"> Accord </w:t>
      </w:r>
      <w:r w:rsidRPr="00C52C4C">
        <w:rPr>
          <w:b/>
          <w:sz w:val="22"/>
          <w:szCs w:val="22"/>
          <w:lang w:val="es-ES_tradnl"/>
        </w:rPr>
        <w:t xml:space="preserve">y para qué se utiliza </w:t>
      </w:r>
    </w:p>
    <w:p w14:paraId="23BF6FB1" w14:textId="77777777" w:rsidR="00D061AA" w:rsidRPr="00C52C4C" w:rsidRDefault="00D061AA" w:rsidP="00D061AA">
      <w:pPr>
        <w:tabs>
          <w:tab w:val="left" w:pos="567"/>
        </w:tabs>
        <w:rPr>
          <w:sz w:val="22"/>
          <w:szCs w:val="22"/>
          <w:lang w:val="es-ES_tradnl"/>
        </w:rPr>
      </w:pPr>
    </w:p>
    <w:p w14:paraId="022CB012" w14:textId="77777777" w:rsidR="00D061AA" w:rsidRPr="00C52C4C" w:rsidRDefault="008D11BB" w:rsidP="00D061AA">
      <w:pPr>
        <w:tabs>
          <w:tab w:val="left" w:pos="567"/>
        </w:tabs>
        <w:rPr>
          <w:sz w:val="22"/>
          <w:szCs w:val="22"/>
          <w:lang w:val="es-ES_tradnl"/>
        </w:rPr>
      </w:pPr>
      <w:r w:rsidRPr="00C52C4C">
        <w:rPr>
          <w:bCs/>
          <w:sz w:val="22"/>
          <w:szCs w:val="22"/>
          <w:lang w:val="it-IT"/>
        </w:rPr>
        <w:t>Voriconazol</w:t>
      </w:r>
      <w:r w:rsidR="003D734F" w:rsidRPr="00C52C4C">
        <w:rPr>
          <w:bCs/>
          <w:sz w:val="22"/>
          <w:szCs w:val="22"/>
          <w:lang w:val="it-IT"/>
        </w:rPr>
        <w:t xml:space="preserve"> Accord</w:t>
      </w:r>
      <w:r w:rsidR="003D734F" w:rsidRPr="00C52C4C">
        <w:rPr>
          <w:b/>
          <w:bCs/>
          <w:sz w:val="22"/>
          <w:szCs w:val="22"/>
          <w:lang w:val="it-IT"/>
        </w:rPr>
        <w:t xml:space="preserve"> </w:t>
      </w:r>
      <w:r w:rsidR="00D061AA" w:rsidRPr="00C52C4C">
        <w:rPr>
          <w:sz w:val="22"/>
          <w:szCs w:val="22"/>
          <w:lang w:val="it-IT"/>
        </w:rPr>
        <w:t xml:space="preserve">contiene el principio activo voriconazol. </w:t>
      </w:r>
      <w:r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00D061AA" w:rsidRPr="00C52C4C">
        <w:rPr>
          <w:sz w:val="22"/>
          <w:szCs w:val="22"/>
          <w:lang w:val="es-ES_tradnl"/>
        </w:rPr>
        <w:t>es un medicamento antifúngico. Actúa eliminando o impidiendo el crecimiento de los hongos que producen infecciones.</w:t>
      </w:r>
    </w:p>
    <w:p w14:paraId="076B630E" w14:textId="77777777" w:rsidR="00D061AA" w:rsidRPr="00C52C4C" w:rsidRDefault="00D061AA" w:rsidP="00D061AA">
      <w:pPr>
        <w:tabs>
          <w:tab w:val="left" w:pos="567"/>
        </w:tabs>
        <w:rPr>
          <w:sz w:val="22"/>
          <w:szCs w:val="22"/>
          <w:lang w:val="es-ES_tradnl"/>
        </w:rPr>
      </w:pPr>
    </w:p>
    <w:p w14:paraId="3DC3D2A0" w14:textId="77777777" w:rsidR="00D061AA" w:rsidRPr="00C52C4C" w:rsidRDefault="00D061AA" w:rsidP="00D061AA">
      <w:pPr>
        <w:tabs>
          <w:tab w:val="left" w:pos="567"/>
        </w:tabs>
        <w:rPr>
          <w:sz w:val="22"/>
          <w:szCs w:val="22"/>
          <w:lang w:val="es-ES_tradnl"/>
        </w:rPr>
      </w:pPr>
      <w:r w:rsidRPr="00C52C4C">
        <w:rPr>
          <w:sz w:val="22"/>
          <w:szCs w:val="22"/>
          <w:lang w:val="es-ES_tradnl"/>
        </w:rPr>
        <w:t>Se utiliza para el tratamiento de pacientes (adultos y niños de 2 años de edad o mayores) con:</w:t>
      </w:r>
    </w:p>
    <w:p w14:paraId="1C7419FC" w14:textId="77777777" w:rsidR="00D061AA" w:rsidRPr="00C52C4C" w:rsidRDefault="00D061AA" w:rsidP="00623360">
      <w:pPr>
        <w:numPr>
          <w:ilvl w:val="0"/>
          <w:numId w:val="8"/>
        </w:numPr>
        <w:tabs>
          <w:tab w:val="left" w:pos="567"/>
        </w:tabs>
        <w:ind w:left="567" w:hanging="567"/>
        <w:rPr>
          <w:i/>
          <w:sz w:val="22"/>
          <w:szCs w:val="22"/>
          <w:lang w:val="es-ES_tradnl"/>
        </w:rPr>
      </w:pPr>
      <w:r w:rsidRPr="00C52C4C">
        <w:rPr>
          <w:sz w:val="22"/>
          <w:szCs w:val="22"/>
          <w:lang w:val="es-ES_tradnl"/>
        </w:rPr>
        <w:t xml:space="preserve">aspergilosis invasiva (un tipo de infección fúngica producida por </w:t>
      </w:r>
      <w:r w:rsidRPr="00C52C4C">
        <w:rPr>
          <w:i/>
          <w:sz w:val="22"/>
          <w:szCs w:val="22"/>
          <w:lang w:val="es-ES_tradnl"/>
        </w:rPr>
        <w:t>Aspergillus sp</w:t>
      </w:r>
      <w:r w:rsidRPr="00C52C4C">
        <w:rPr>
          <w:sz w:val="22"/>
          <w:szCs w:val="22"/>
          <w:lang w:val="es-ES_tradnl"/>
        </w:rPr>
        <w:t>),</w:t>
      </w:r>
    </w:p>
    <w:p w14:paraId="2D15A93F" w14:textId="77777777" w:rsidR="00D061AA" w:rsidRPr="00C52C4C" w:rsidRDefault="00D061AA" w:rsidP="00623360">
      <w:pPr>
        <w:numPr>
          <w:ilvl w:val="0"/>
          <w:numId w:val="8"/>
        </w:numPr>
        <w:tabs>
          <w:tab w:val="left" w:pos="567"/>
        </w:tabs>
        <w:ind w:left="567" w:hanging="567"/>
        <w:rPr>
          <w:sz w:val="22"/>
          <w:szCs w:val="22"/>
          <w:lang w:val="es-ES_tradnl"/>
        </w:rPr>
      </w:pPr>
      <w:r w:rsidRPr="00C52C4C">
        <w:rPr>
          <w:sz w:val="22"/>
          <w:szCs w:val="22"/>
          <w:lang w:val="es-ES_tradnl"/>
        </w:rPr>
        <w:t xml:space="preserve">candidemia (otro tipo de infección fúngica producida por </w:t>
      </w:r>
      <w:r w:rsidRPr="00C52C4C">
        <w:rPr>
          <w:i/>
          <w:sz w:val="22"/>
          <w:szCs w:val="22"/>
          <w:lang w:val="es-ES_tradnl"/>
        </w:rPr>
        <w:t>Candida sp</w:t>
      </w:r>
      <w:r w:rsidRPr="00C52C4C">
        <w:rPr>
          <w:sz w:val="22"/>
          <w:szCs w:val="22"/>
          <w:lang w:val="es-ES_tradnl"/>
        </w:rPr>
        <w:t>) en pacientes no neutropénicos (pacientes que no tienen un recuento anormalmente bajo de glóbulos blancos),</w:t>
      </w:r>
    </w:p>
    <w:p w14:paraId="330AA16A" w14:textId="77777777" w:rsidR="00D061AA" w:rsidRPr="00C52C4C" w:rsidRDefault="00D061AA" w:rsidP="00623360">
      <w:pPr>
        <w:numPr>
          <w:ilvl w:val="0"/>
          <w:numId w:val="8"/>
        </w:numPr>
        <w:tabs>
          <w:tab w:val="left" w:pos="567"/>
        </w:tabs>
        <w:ind w:left="567" w:hanging="567"/>
        <w:rPr>
          <w:sz w:val="22"/>
          <w:szCs w:val="22"/>
          <w:lang w:val="es-ES_tradnl"/>
        </w:rPr>
      </w:pPr>
      <w:r w:rsidRPr="00C52C4C">
        <w:rPr>
          <w:sz w:val="22"/>
          <w:szCs w:val="22"/>
          <w:lang w:val="es-ES_tradnl"/>
        </w:rPr>
        <w:t xml:space="preserve">infecciones graves invasivas producidas por </w:t>
      </w:r>
      <w:r w:rsidRPr="00C52C4C">
        <w:rPr>
          <w:i/>
          <w:sz w:val="22"/>
          <w:szCs w:val="22"/>
          <w:lang w:val="es-ES_tradnl"/>
        </w:rPr>
        <w:t>Candida sp</w:t>
      </w:r>
      <w:r w:rsidRPr="00C52C4C">
        <w:rPr>
          <w:sz w:val="22"/>
          <w:szCs w:val="22"/>
          <w:lang w:val="es-ES_tradnl"/>
        </w:rPr>
        <w:t>, cuando el hongo es resistente a fluconazol (otro medicamento antifúngico),</w:t>
      </w:r>
    </w:p>
    <w:p w14:paraId="39DF3CF2" w14:textId="77777777" w:rsidR="00D061AA" w:rsidRPr="00C52C4C" w:rsidRDefault="00D061AA" w:rsidP="00623360">
      <w:pPr>
        <w:numPr>
          <w:ilvl w:val="0"/>
          <w:numId w:val="8"/>
        </w:numPr>
        <w:tabs>
          <w:tab w:val="left" w:pos="567"/>
        </w:tabs>
        <w:ind w:left="567" w:hanging="567"/>
        <w:rPr>
          <w:sz w:val="22"/>
          <w:szCs w:val="22"/>
          <w:u w:val="single"/>
          <w:lang w:val="es-ES_tradnl"/>
        </w:rPr>
      </w:pPr>
      <w:r w:rsidRPr="00C52C4C">
        <w:rPr>
          <w:sz w:val="22"/>
          <w:szCs w:val="22"/>
          <w:lang w:val="es-ES_tradnl"/>
        </w:rPr>
        <w:t xml:space="preserve">infecciones fúngicas graves producidas por </w:t>
      </w:r>
      <w:r w:rsidRPr="00C52C4C">
        <w:rPr>
          <w:i/>
          <w:sz w:val="22"/>
          <w:szCs w:val="22"/>
          <w:lang w:val="es-ES_tradnl"/>
        </w:rPr>
        <w:t xml:space="preserve">Scedosporium sp </w:t>
      </w:r>
      <w:r w:rsidRPr="00C52C4C">
        <w:rPr>
          <w:sz w:val="22"/>
          <w:szCs w:val="22"/>
          <w:lang w:val="es-ES_tradnl"/>
        </w:rPr>
        <w:t xml:space="preserve">o por </w:t>
      </w:r>
      <w:r w:rsidRPr="00C52C4C">
        <w:rPr>
          <w:i/>
          <w:sz w:val="22"/>
          <w:szCs w:val="22"/>
          <w:lang w:val="es-ES_tradnl"/>
        </w:rPr>
        <w:t xml:space="preserve">Fusarium sp </w:t>
      </w:r>
      <w:r w:rsidRPr="00C52C4C">
        <w:rPr>
          <w:sz w:val="22"/>
          <w:szCs w:val="22"/>
          <w:lang w:val="es-ES_tradnl"/>
        </w:rPr>
        <w:t>(dos especies diferentes de hongos).</w:t>
      </w:r>
    </w:p>
    <w:p w14:paraId="4431D6CC" w14:textId="77777777" w:rsidR="00D061AA" w:rsidRPr="00C52C4C" w:rsidRDefault="00D061AA" w:rsidP="00D061AA">
      <w:pPr>
        <w:tabs>
          <w:tab w:val="left" w:pos="567"/>
        </w:tabs>
        <w:ind w:left="567" w:hanging="567"/>
        <w:rPr>
          <w:sz w:val="22"/>
          <w:szCs w:val="22"/>
          <w:lang w:val="es-ES_tradnl"/>
        </w:rPr>
      </w:pPr>
    </w:p>
    <w:p w14:paraId="470A2381" w14:textId="77777777" w:rsidR="00D061AA" w:rsidRPr="00C52C4C" w:rsidRDefault="008D11BB" w:rsidP="00D061AA">
      <w:pPr>
        <w:tabs>
          <w:tab w:val="left" w:pos="567"/>
        </w:tabs>
        <w:rPr>
          <w:sz w:val="22"/>
          <w:szCs w:val="22"/>
          <w:lang w:val="es-ES_tradnl"/>
        </w:rPr>
      </w:pPr>
      <w:r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00D061AA" w:rsidRPr="00C52C4C">
        <w:rPr>
          <w:sz w:val="22"/>
          <w:szCs w:val="22"/>
          <w:lang w:val="es-ES_tradnl"/>
        </w:rPr>
        <w:t>se utiliza en pacientes con infecciones fúngicas graves que pueden poner en riesgo la vida.</w:t>
      </w:r>
    </w:p>
    <w:p w14:paraId="6B00EC12" w14:textId="77777777" w:rsidR="0090615B" w:rsidRPr="00C52C4C" w:rsidRDefault="0090615B" w:rsidP="0090615B">
      <w:pPr>
        <w:tabs>
          <w:tab w:val="left" w:pos="567"/>
        </w:tabs>
        <w:rPr>
          <w:sz w:val="22"/>
          <w:szCs w:val="22"/>
          <w:lang w:val="es-ES_tradnl"/>
        </w:rPr>
      </w:pPr>
    </w:p>
    <w:p w14:paraId="1D6D5112" w14:textId="77777777" w:rsidR="0090615B" w:rsidRPr="00C52C4C" w:rsidRDefault="0090615B" w:rsidP="0090615B">
      <w:pPr>
        <w:tabs>
          <w:tab w:val="left" w:pos="567"/>
        </w:tabs>
        <w:rPr>
          <w:sz w:val="22"/>
          <w:szCs w:val="22"/>
          <w:lang w:val="es-ES_tradnl"/>
        </w:rPr>
      </w:pPr>
      <w:r w:rsidRPr="00C52C4C">
        <w:rPr>
          <w:sz w:val="22"/>
          <w:szCs w:val="22"/>
          <w:lang w:val="es-ES_tradnl"/>
        </w:rPr>
        <w:t>Prevención de infecciones fúngicas en los receptores de un trasplante de médula ósea de alto riesgo.</w:t>
      </w:r>
    </w:p>
    <w:p w14:paraId="05CBF3FD" w14:textId="77777777" w:rsidR="0090615B" w:rsidRPr="00C52C4C" w:rsidRDefault="0090615B" w:rsidP="00D061AA">
      <w:pPr>
        <w:tabs>
          <w:tab w:val="left" w:pos="567"/>
        </w:tabs>
        <w:rPr>
          <w:sz w:val="22"/>
          <w:szCs w:val="22"/>
          <w:lang w:val="es-ES_tradnl"/>
        </w:rPr>
      </w:pPr>
    </w:p>
    <w:p w14:paraId="7C5BD938"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Este medicamento debe utilizarse únicamente bajo supervisión médica. </w:t>
      </w:r>
    </w:p>
    <w:p w14:paraId="6AA92EE7" w14:textId="77777777" w:rsidR="00D061AA" w:rsidRPr="00C52C4C" w:rsidRDefault="00D061AA" w:rsidP="00D061AA">
      <w:pPr>
        <w:tabs>
          <w:tab w:val="left" w:pos="567"/>
        </w:tabs>
        <w:rPr>
          <w:sz w:val="22"/>
          <w:szCs w:val="22"/>
          <w:lang w:val="es-ES_tradnl"/>
        </w:rPr>
      </w:pPr>
    </w:p>
    <w:p w14:paraId="777953F8" w14:textId="77777777" w:rsidR="00D061AA" w:rsidRPr="00C52C4C" w:rsidRDefault="00D061AA" w:rsidP="00D061AA">
      <w:pPr>
        <w:tabs>
          <w:tab w:val="left" w:pos="567"/>
        </w:tabs>
        <w:rPr>
          <w:sz w:val="22"/>
          <w:szCs w:val="22"/>
          <w:lang w:val="es-ES_tradnl"/>
        </w:rPr>
      </w:pPr>
    </w:p>
    <w:p w14:paraId="04973B32" w14:textId="77777777" w:rsidR="00D061AA" w:rsidRPr="00C52C4C" w:rsidRDefault="00D061AA" w:rsidP="00D061AA">
      <w:pPr>
        <w:tabs>
          <w:tab w:val="left" w:pos="567"/>
        </w:tabs>
        <w:ind w:left="540" w:right="-2" w:hanging="540"/>
        <w:rPr>
          <w:sz w:val="22"/>
          <w:szCs w:val="22"/>
          <w:lang w:val="es-ES_tradnl"/>
        </w:rPr>
      </w:pPr>
      <w:r w:rsidRPr="00C52C4C">
        <w:rPr>
          <w:b/>
          <w:sz w:val="22"/>
          <w:szCs w:val="22"/>
          <w:lang w:val="es-ES_tradnl"/>
        </w:rPr>
        <w:t>2.</w:t>
      </w:r>
      <w:r w:rsidRPr="00C52C4C">
        <w:rPr>
          <w:b/>
          <w:sz w:val="22"/>
          <w:szCs w:val="22"/>
          <w:lang w:val="es-ES_tradnl"/>
        </w:rPr>
        <w:tab/>
        <w:t xml:space="preserve">Qué necesita saber antes de empezar a tomar </w:t>
      </w:r>
      <w:r w:rsidR="008D11BB" w:rsidRPr="00C52C4C">
        <w:rPr>
          <w:b/>
          <w:bCs/>
          <w:sz w:val="22"/>
          <w:szCs w:val="22"/>
        </w:rPr>
        <w:t>Voriconazol</w:t>
      </w:r>
      <w:r w:rsidR="003D734F" w:rsidRPr="00C52C4C">
        <w:rPr>
          <w:b/>
          <w:bCs/>
          <w:sz w:val="22"/>
          <w:szCs w:val="22"/>
        </w:rPr>
        <w:t xml:space="preserve"> Accord </w:t>
      </w:r>
    </w:p>
    <w:p w14:paraId="38C6A86F" w14:textId="77777777" w:rsidR="00D061AA" w:rsidRPr="00C52C4C" w:rsidRDefault="00D061AA" w:rsidP="00D061AA">
      <w:pPr>
        <w:tabs>
          <w:tab w:val="left" w:pos="567"/>
        </w:tabs>
        <w:ind w:right="-2"/>
        <w:rPr>
          <w:sz w:val="22"/>
          <w:szCs w:val="22"/>
          <w:lang w:val="es-ES_tradnl"/>
        </w:rPr>
      </w:pPr>
    </w:p>
    <w:p w14:paraId="383877CD" w14:textId="77777777" w:rsidR="00D061AA" w:rsidRPr="00C52C4C" w:rsidRDefault="00D061AA" w:rsidP="00D061AA">
      <w:pPr>
        <w:tabs>
          <w:tab w:val="left" w:pos="567"/>
        </w:tabs>
        <w:ind w:right="-2"/>
        <w:rPr>
          <w:b/>
          <w:sz w:val="22"/>
          <w:szCs w:val="22"/>
          <w:lang w:val="es-ES_tradnl"/>
        </w:rPr>
      </w:pPr>
      <w:r w:rsidRPr="00C52C4C">
        <w:rPr>
          <w:b/>
          <w:sz w:val="22"/>
          <w:szCs w:val="22"/>
          <w:lang w:val="es-ES_tradnl"/>
        </w:rPr>
        <w:t xml:space="preserve">No tome </w:t>
      </w:r>
      <w:r w:rsidR="008D11BB" w:rsidRPr="00C52C4C">
        <w:rPr>
          <w:b/>
          <w:bCs/>
          <w:sz w:val="22"/>
          <w:szCs w:val="22"/>
        </w:rPr>
        <w:t>Voriconazol</w:t>
      </w:r>
      <w:r w:rsidR="003D734F" w:rsidRPr="00C52C4C">
        <w:rPr>
          <w:b/>
          <w:bCs/>
          <w:sz w:val="22"/>
          <w:szCs w:val="22"/>
        </w:rPr>
        <w:t xml:space="preserve"> Accord </w:t>
      </w:r>
    </w:p>
    <w:p w14:paraId="6958C644" w14:textId="77777777" w:rsidR="00D061AA" w:rsidRPr="00C52C4C" w:rsidRDefault="00D061AA" w:rsidP="002869DC">
      <w:pPr>
        <w:tabs>
          <w:tab w:val="left" w:pos="567"/>
        </w:tabs>
        <w:rPr>
          <w:sz w:val="22"/>
          <w:szCs w:val="22"/>
          <w:lang w:val="es-ES_tradnl"/>
        </w:rPr>
      </w:pPr>
      <w:r w:rsidRPr="00C52C4C">
        <w:rPr>
          <w:sz w:val="22"/>
          <w:szCs w:val="22"/>
          <w:lang w:val="es-ES_tradnl"/>
        </w:rPr>
        <w:t xml:space="preserve">si es alérgico a voriconazol o a </w:t>
      </w:r>
      <w:r w:rsidR="00C514D0">
        <w:rPr>
          <w:sz w:val="22"/>
          <w:szCs w:val="22"/>
          <w:lang w:val="es-ES_tradnl"/>
        </w:rPr>
        <w:t xml:space="preserve">alguno </w:t>
      </w:r>
      <w:r w:rsidRPr="00C52C4C">
        <w:rPr>
          <w:sz w:val="22"/>
          <w:szCs w:val="22"/>
          <w:lang w:val="es-ES_tradnl"/>
        </w:rPr>
        <w:t xml:space="preserve">de los demás componentes de </w:t>
      </w:r>
      <w:r w:rsidR="009C0F49" w:rsidRPr="00C52C4C">
        <w:rPr>
          <w:bCs/>
          <w:sz w:val="22"/>
          <w:szCs w:val="22"/>
        </w:rPr>
        <w:t>este medicamento</w:t>
      </w:r>
      <w:r w:rsidR="003D734F" w:rsidRPr="00C52C4C">
        <w:rPr>
          <w:b/>
          <w:bCs/>
          <w:sz w:val="22"/>
          <w:szCs w:val="22"/>
        </w:rPr>
        <w:t xml:space="preserve"> </w:t>
      </w:r>
      <w:r w:rsidRPr="00C52C4C">
        <w:rPr>
          <w:sz w:val="22"/>
          <w:szCs w:val="22"/>
          <w:lang w:val="es-ES_tradnl"/>
        </w:rPr>
        <w:t>(incluidos en la sección 6).</w:t>
      </w:r>
    </w:p>
    <w:p w14:paraId="0DBB13E5" w14:textId="77777777" w:rsidR="00D061AA" w:rsidRPr="00C52C4C" w:rsidRDefault="00D061AA" w:rsidP="00D061AA">
      <w:pPr>
        <w:tabs>
          <w:tab w:val="left" w:pos="567"/>
        </w:tabs>
        <w:ind w:left="567"/>
        <w:rPr>
          <w:sz w:val="22"/>
          <w:szCs w:val="22"/>
          <w:lang w:val="es-ES_tradnl"/>
        </w:rPr>
      </w:pPr>
    </w:p>
    <w:p w14:paraId="5CF6EEF6" w14:textId="77777777" w:rsidR="00D061AA" w:rsidRPr="00C52C4C" w:rsidDel="002C20BA" w:rsidRDefault="00D061AA" w:rsidP="00D061AA">
      <w:pPr>
        <w:numPr>
          <w:ilvl w:val="12"/>
          <w:numId w:val="0"/>
        </w:numPr>
        <w:tabs>
          <w:tab w:val="left" w:pos="567"/>
        </w:tabs>
        <w:ind w:right="-2"/>
        <w:rPr>
          <w:sz w:val="22"/>
          <w:szCs w:val="22"/>
          <w:lang w:val="es-ES_tradnl"/>
        </w:rPr>
      </w:pPr>
      <w:r w:rsidRPr="00C52C4C">
        <w:rPr>
          <w:sz w:val="22"/>
          <w:szCs w:val="22"/>
          <w:lang w:val="es-ES_tradnl"/>
        </w:rPr>
        <w:t xml:space="preserve">Es muy importante que informe a su médico o farmacéutico si está utilizando o ha utilizado recientemente otros medicamentos, incluso los adquiridos sin receta, o plantas medicinales. </w:t>
      </w:r>
    </w:p>
    <w:p w14:paraId="083A4B1B" w14:textId="77777777" w:rsidR="00D061AA" w:rsidRPr="00C52C4C" w:rsidRDefault="00D061AA" w:rsidP="00D061AA">
      <w:pPr>
        <w:numPr>
          <w:ilvl w:val="12"/>
          <w:numId w:val="0"/>
        </w:numPr>
        <w:tabs>
          <w:tab w:val="left" w:pos="567"/>
        </w:tabs>
        <w:ind w:right="-2"/>
        <w:rPr>
          <w:sz w:val="22"/>
          <w:szCs w:val="22"/>
          <w:lang w:val="es-ES_tradnl"/>
        </w:rPr>
      </w:pPr>
    </w:p>
    <w:p w14:paraId="3F600853" w14:textId="77777777" w:rsidR="00D061AA" w:rsidRPr="00C52C4C" w:rsidRDefault="00D061AA" w:rsidP="00D061AA">
      <w:pPr>
        <w:numPr>
          <w:ilvl w:val="12"/>
          <w:numId w:val="0"/>
        </w:numPr>
        <w:tabs>
          <w:tab w:val="left" w:pos="567"/>
        </w:tabs>
        <w:ind w:right="-2"/>
        <w:rPr>
          <w:sz w:val="22"/>
          <w:szCs w:val="22"/>
          <w:lang w:val="es-ES_tradnl"/>
        </w:rPr>
      </w:pPr>
      <w:r w:rsidRPr="00C52C4C">
        <w:rPr>
          <w:sz w:val="22"/>
          <w:szCs w:val="22"/>
          <w:lang w:val="es-ES_tradnl"/>
        </w:rPr>
        <w:t xml:space="preserve">Durante el tratamiento con </w:t>
      </w:r>
      <w:r w:rsidR="008D11BB"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Pr="00C52C4C">
        <w:rPr>
          <w:sz w:val="22"/>
          <w:szCs w:val="22"/>
          <w:lang w:val="es-ES_tradnl"/>
        </w:rPr>
        <w:t>no debe tomar los medicamentos listados a continuación:</w:t>
      </w:r>
    </w:p>
    <w:p w14:paraId="622C36DC" w14:textId="77777777" w:rsidR="00D061AA" w:rsidRPr="00C52C4C" w:rsidRDefault="00D061AA" w:rsidP="00D061AA">
      <w:pPr>
        <w:numPr>
          <w:ilvl w:val="12"/>
          <w:numId w:val="0"/>
        </w:numPr>
        <w:tabs>
          <w:tab w:val="left" w:pos="567"/>
        </w:tabs>
        <w:ind w:right="-2"/>
        <w:rPr>
          <w:sz w:val="22"/>
          <w:szCs w:val="22"/>
          <w:lang w:val="es-ES_tradnl"/>
        </w:rPr>
      </w:pPr>
    </w:p>
    <w:p w14:paraId="5541868A" w14:textId="77777777" w:rsidR="00D061AA" w:rsidRPr="00C52C4C" w:rsidRDefault="00D061AA" w:rsidP="00623360">
      <w:pPr>
        <w:numPr>
          <w:ilvl w:val="0"/>
          <w:numId w:val="1"/>
        </w:numPr>
        <w:tabs>
          <w:tab w:val="clear" w:pos="360"/>
          <w:tab w:val="left" w:pos="567"/>
        </w:tabs>
        <w:rPr>
          <w:sz w:val="22"/>
          <w:szCs w:val="22"/>
          <w:lang w:val="es-ES_tradnl"/>
        </w:rPr>
      </w:pPr>
      <w:r w:rsidRPr="00C52C4C">
        <w:rPr>
          <w:sz w:val="22"/>
          <w:szCs w:val="22"/>
          <w:lang w:val="es-ES_tradnl"/>
        </w:rPr>
        <w:t>Terfenadina (utilizado para la alergia).</w:t>
      </w:r>
    </w:p>
    <w:p w14:paraId="4DD33632" w14:textId="77777777" w:rsidR="00D061AA" w:rsidRPr="00C52C4C" w:rsidRDefault="00D061AA" w:rsidP="00623360">
      <w:pPr>
        <w:numPr>
          <w:ilvl w:val="0"/>
          <w:numId w:val="1"/>
        </w:numPr>
        <w:tabs>
          <w:tab w:val="clear" w:pos="360"/>
          <w:tab w:val="left" w:pos="567"/>
        </w:tabs>
        <w:rPr>
          <w:sz w:val="22"/>
          <w:szCs w:val="22"/>
          <w:lang w:val="es-ES_tradnl"/>
        </w:rPr>
      </w:pPr>
      <w:r w:rsidRPr="00C52C4C">
        <w:rPr>
          <w:sz w:val="22"/>
          <w:szCs w:val="22"/>
          <w:lang w:val="es-ES_tradnl"/>
        </w:rPr>
        <w:t>Astemizol (utilizado para la alergia).</w:t>
      </w:r>
    </w:p>
    <w:p w14:paraId="3AD302BE" w14:textId="77777777" w:rsidR="00D061AA" w:rsidRPr="00C52C4C" w:rsidRDefault="00D061AA" w:rsidP="00623360">
      <w:pPr>
        <w:numPr>
          <w:ilvl w:val="0"/>
          <w:numId w:val="1"/>
        </w:numPr>
        <w:tabs>
          <w:tab w:val="clear" w:pos="360"/>
          <w:tab w:val="left" w:pos="567"/>
        </w:tabs>
        <w:rPr>
          <w:sz w:val="22"/>
          <w:szCs w:val="22"/>
          <w:lang w:val="es-ES_tradnl"/>
        </w:rPr>
      </w:pPr>
      <w:r w:rsidRPr="00C52C4C">
        <w:rPr>
          <w:sz w:val="22"/>
          <w:szCs w:val="22"/>
          <w:lang w:val="es-ES_tradnl"/>
        </w:rPr>
        <w:t>Cisaprida (utilizado para problemas digestivos).</w:t>
      </w:r>
    </w:p>
    <w:p w14:paraId="4C1D000D" w14:textId="77777777" w:rsidR="00D061AA" w:rsidRPr="00C52C4C" w:rsidRDefault="00D061AA" w:rsidP="00623360">
      <w:pPr>
        <w:numPr>
          <w:ilvl w:val="0"/>
          <w:numId w:val="1"/>
        </w:numPr>
        <w:tabs>
          <w:tab w:val="clear" w:pos="360"/>
          <w:tab w:val="left" w:pos="567"/>
        </w:tabs>
        <w:rPr>
          <w:sz w:val="22"/>
          <w:szCs w:val="22"/>
          <w:lang w:val="es-ES_tradnl"/>
        </w:rPr>
      </w:pPr>
      <w:r w:rsidRPr="00C52C4C">
        <w:rPr>
          <w:sz w:val="22"/>
          <w:szCs w:val="22"/>
          <w:lang w:val="es-ES_tradnl"/>
        </w:rPr>
        <w:t>Pimozida (utilizado para trastornos mentales).</w:t>
      </w:r>
    </w:p>
    <w:p w14:paraId="0F97C213" w14:textId="77777777" w:rsidR="00D061AA" w:rsidRDefault="00D061AA" w:rsidP="00623360">
      <w:pPr>
        <w:numPr>
          <w:ilvl w:val="0"/>
          <w:numId w:val="1"/>
        </w:numPr>
        <w:tabs>
          <w:tab w:val="clear" w:pos="360"/>
          <w:tab w:val="left" w:pos="567"/>
        </w:tabs>
        <w:rPr>
          <w:sz w:val="22"/>
          <w:szCs w:val="22"/>
          <w:lang w:val="es-ES_tradnl"/>
        </w:rPr>
      </w:pPr>
      <w:r w:rsidRPr="00C52C4C">
        <w:rPr>
          <w:sz w:val="22"/>
          <w:szCs w:val="22"/>
          <w:lang w:val="es-ES_tradnl"/>
        </w:rPr>
        <w:t>Quinidina (utilizado para arritmias cardiacas).</w:t>
      </w:r>
    </w:p>
    <w:p w14:paraId="4BFD1417" w14:textId="77777777" w:rsidR="00D21953" w:rsidRPr="00C52C4C" w:rsidRDefault="00D21953" w:rsidP="00623360">
      <w:pPr>
        <w:numPr>
          <w:ilvl w:val="0"/>
          <w:numId w:val="1"/>
        </w:numPr>
        <w:tabs>
          <w:tab w:val="clear" w:pos="360"/>
          <w:tab w:val="left" w:pos="567"/>
        </w:tabs>
        <w:rPr>
          <w:sz w:val="22"/>
          <w:szCs w:val="22"/>
          <w:lang w:val="es-ES_tradnl"/>
        </w:rPr>
      </w:pPr>
      <w:r w:rsidRPr="00D21953">
        <w:rPr>
          <w:sz w:val="22"/>
          <w:szCs w:val="22"/>
          <w:lang w:val="es-ES_tradnl"/>
        </w:rPr>
        <w:t>Ivabradina (utilizado para los síntomas de la insuficiencia cardíaca crónica).</w:t>
      </w:r>
    </w:p>
    <w:p w14:paraId="46F8913E" w14:textId="77777777" w:rsidR="00D061AA" w:rsidRPr="00C52C4C" w:rsidRDefault="00D061AA" w:rsidP="00623360">
      <w:pPr>
        <w:numPr>
          <w:ilvl w:val="0"/>
          <w:numId w:val="1"/>
        </w:numPr>
        <w:tabs>
          <w:tab w:val="clear" w:pos="360"/>
          <w:tab w:val="left" w:pos="567"/>
        </w:tabs>
        <w:rPr>
          <w:sz w:val="22"/>
          <w:szCs w:val="22"/>
          <w:lang w:val="es-ES_tradnl"/>
        </w:rPr>
      </w:pPr>
      <w:r w:rsidRPr="00C52C4C">
        <w:rPr>
          <w:sz w:val="22"/>
          <w:szCs w:val="22"/>
          <w:lang w:val="es-ES_tradnl"/>
        </w:rPr>
        <w:t>Rifampicina (utilizado para el tratamiento de la tuberculosis).</w:t>
      </w:r>
    </w:p>
    <w:p w14:paraId="48E8DE06" w14:textId="77777777" w:rsidR="00D061AA" w:rsidRPr="00C52C4C" w:rsidRDefault="00D061AA" w:rsidP="00623360">
      <w:pPr>
        <w:numPr>
          <w:ilvl w:val="0"/>
          <w:numId w:val="1"/>
        </w:numPr>
        <w:tabs>
          <w:tab w:val="clear" w:pos="360"/>
          <w:tab w:val="left" w:pos="567"/>
        </w:tabs>
        <w:ind w:left="567" w:hanging="567"/>
        <w:rPr>
          <w:sz w:val="22"/>
          <w:szCs w:val="22"/>
          <w:lang w:val="es-ES_tradnl"/>
        </w:rPr>
      </w:pPr>
      <w:r w:rsidRPr="00C52C4C">
        <w:rPr>
          <w:sz w:val="22"/>
          <w:szCs w:val="22"/>
          <w:lang w:val="es-ES_tradnl"/>
        </w:rPr>
        <w:t>Efavirenz (utilizado para el tratamiento del VIH) en dosis de 400 mg y superiores una vez al día.</w:t>
      </w:r>
    </w:p>
    <w:p w14:paraId="289A789A" w14:textId="77777777" w:rsidR="00D061AA" w:rsidRPr="00C52C4C" w:rsidRDefault="00D061AA" w:rsidP="00623360">
      <w:pPr>
        <w:numPr>
          <w:ilvl w:val="0"/>
          <w:numId w:val="1"/>
        </w:numPr>
        <w:tabs>
          <w:tab w:val="clear" w:pos="360"/>
          <w:tab w:val="left" w:pos="567"/>
        </w:tabs>
        <w:rPr>
          <w:sz w:val="22"/>
          <w:szCs w:val="22"/>
          <w:lang w:val="es-ES_tradnl"/>
        </w:rPr>
      </w:pPr>
      <w:r w:rsidRPr="00C52C4C">
        <w:rPr>
          <w:sz w:val="22"/>
          <w:szCs w:val="22"/>
          <w:lang w:val="es-ES_tradnl"/>
        </w:rPr>
        <w:t>Carbamazepina (utilizado para tratar las convulsiones).</w:t>
      </w:r>
    </w:p>
    <w:p w14:paraId="49117F6A" w14:textId="77777777" w:rsidR="00D061AA" w:rsidRPr="00C52C4C" w:rsidRDefault="00D061AA" w:rsidP="00623360">
      <w:pPr>
        <w:numPr>
          <w:ilvl w:val="0"/>
          <w:numId w:val="1"/>
        </w:numPr>
        <w:tabs>
          <w:tab w:val="clear" w:pos="360"/>
          <w:tab w:val="left" w:pos="567"/>
        </w:tabs>
        <w:rPr>
          <w:sz w:val="22"/>
          <w:szCs w:val="22"/>
          <w:lang w:val="es-ES_tradnl"/>
        </w:rPr>
      </w:pPr>
      <w:r w:rsidRPr="00C52C4C">
        <w:rPr>
          <w:sz w:val="22"/>
          <w:szCs w:val="22"/>
          <w:lang w:val="es-ES_tradnl"/>
        </w:rPr>
        <w:t>Fenobarbital (utilizado para el insomnio grave y las convulsiones).</w:t>
      </w:r>
    </w:p>
    <w:p w14:paraId="3F51ECAF" w14:textId="77777777" w:rsidR="00D061AA" w:rsidRPr="00C52C4C" w:rsidRDefault="00D061AA" w:rsidP="00623360">
      <w:pPr>
        <w:numPr>
          <w:ilvl w:val="0"/>
          <w:numId w:val="1"/>
        </w:numPr>
        <w:tabs>
          <w:tab w:val="clear" w:pos="360"/>
          <w:tab w:val="left" w:pos="567"/>
        </w:tabs>
        <w:ind w:left="567" w:hanging="567"/>
        <w:rPr>
          <w:sz w:val="22"/>
          <w:szCs w:val="22"/>
          <w:lang w:val="es-ES_tradnl"/>
        </w:rPr>
      </w:pPr>
      <w:r w:rsidRPr="00C52C4C">
        <w:rPr>
          <w:sz w:val="22"/>
          <w:szCs w:val="22"/>
          <w:lang w:val="es-ES_tradnl"/>
        </w:rPr>
        <w:t>Alcaloides ergotamínicos (p.ej.: ergotamina, dihidroergotamina; utilizados para la migraña).</w:t>
      </w:r>
    </w:p>
    <w:p w14:paraId="44F1D3FC" w14:textId="77777777" w:rsidR="00D061AA" w:rsidRPr="00C52C4C" w:rsidRDefault="00D061AA" w:rsidP="00623360">
      <w:pPr>
        <w:numPr>
          <w:ilvl w:val="0"/>
          <w:numId w:val="1"/>
        </w:numPr>
        <w:tabs>
          <w:tab w:val="clear" w:pos="360"/>
          <w:tab w:val="left" w:pos="567"/>
        </w:tabs>
        <w:rPr>
          <w:sz w:val="22"/>
          <w:szCs w:val="22"/>
          <w:lang w:val="es-ES_tradnl"/>
        </w:rPr>
      </w:pPr>
      <w:r w:rsidRPr="00C52C4C">
        <w:rPr>
          <w:sz w:val="22"/>
          <w:szCs w:val="22"/>
          <w:lang w:val="es-ES_tradnl"/>
        </w:rPr>
        <w:t>Sirolimus (utilizado en pacientes que han recibido un trasplante).</w:t>
      </w:r>
    </w:p>
    <w:p w14:paraId="0C5E3F4B" w14:textId="77777777" w:rsidR="00D061AA" w:rsidRPr="00C52C4C" w:rsidRDefault="00D061AA" w:rsidP="00623360">
      <w:pPr>
        <w:numPr>
          <w:ilvl w:val="0"/>
          <w:numId w:val="1"/>
        </w:numPr>
        <w:tabs>
          <w:tab w:val="clear" w:pos="360"/>
          <w:tab w:val="left" w:pos="567"/>
        </w:tabs>
        <w:ind w:left="600" w:hanging="600"/>
        <w:rPr>
          <w:sz w:val="22"/>
          <w:szCs w:val="22"/>
          <w:lang w:val="es-ES_tradnl"/>
        </w:rPr>
      </w:pPr>
      <w:r w:rsidRPr="00C52C4C">
        <w:rPr>
          <w:sz w:val="22"/>
          <w:szCs w:val="22"/>
          <w:lang w:val="es-ES_tradnl"/>
        </w:rPr>
        <w:t>Ritonavir (utilizado para el tratamiento del VIH) en dosis de 400 mg y superiores dos veces al día.</w:t>
      </w:r>
    </w:p>
    <w:p w14:paraId="16AEE46F" w14:textId="77777777" w:rsidR="00D00CF2" w:rsidRDefault="00D061AA" w:rsidP="00D00CF2">
      <w:pPr>
        <w:numPr>
          <w:ilvl w:val="0"/>
          <w:numId w:val="1"/>
        </w:numPr>
        <w:tabs>
          <w:tab w:val="clear" w:pos="360"/>
          <w:tab w:val="left" w:pos="567"/>
        </w:tabs>
        <w:ind w:left="600" w:hanging="600"/>
        <w:rPr>
          <w:sz w:val="22"/>
          <w:szCs w:val="22"/>
          <w:lang w:val="es-ES_tradnl"/>
        </w:rPr>
      </w:pPr>
      <w:r w:rsidRPr="00C52C4C">
        <w:rPr>
          <w:sz w:val="22"/>
          <w:szCs w:val="22"/>
          <w:lang w:val="es-ES_tradnl"/>
        </w:rPr>
        <w:t>Hierba de San Juan (hipérico, planta medicinal).</w:t>
      </w:r>
    </w:p>
    <w:p w14:paraId="4E7E350A" w14:textId="77777777" w:rsidR="00D00CF2" w:rsidRDefault="00D00CF2" w:rsidP="00D00CF2">
      <w:pPr>
        <w:numPr>
          <w:ilvl w:val="0"/>
          <w:numId w:val="1"/>
        </w:numPr>
        <w:tabs>
          <w:tab w:val="clear" w:pos="360"/>
          <w:tab w:val="left" w:pos="567"/>
        </w:tabs>
        <w:ind w:left="600" w:hanging="600"/>
        <w:rPr>
          <w:sz w:val="22"/>
          <w:szCs w:val="22"/>
          <w:lang w:val="es-ES_tradnl"/>
        </w:rPr>
      </w:pPr>
      <w:r w:rsidRPr="00D00CF2">
        <w:rPr>
          <w:sz w:val="22"/>
          <w:szCs w:val="22"/>
          <w:lang w:val="es-ES_tradnl"/>
        </w:rPr>
        <w:t>Naloxegol (utilizado para tratar el estreñimiento causado específicamente por analgésicos, llamados opioides [p. ej., morfina, oxicodona, fentanilo, tramadol, codeína]).</w:t>
      </w:r>
    </w:p>
    <w:p w14:paraId="5AC59BBF" w14:textId="77777777" w:rsidR="00D00CF2" w:rsidRDefault="00D00CF2" w:rsidP="00D00CF2">
      <w:pPr>
        <w:numPr>
          <w:ilvl w:val="0"/>
          <w:numId w:val="1"/>
        </w:numPr>
        <w:tabs>
          <w:tab w:val="clear" w:pos="360"/>
          <w:tab w:val="left" w:pos="567"/>
        </w:tabs>
        <w:ind w:left="600" w:hanging="600"/>
        <w:rPr>
          <w:sz w:val="22"/>
          <w:szCs w:val="22"/>
          <w:lang w:val="es-ES_tradnl"/>
        </w:rPr>
      </w:pPr>
      <w:r w:rsidRPr="00D00CF2">
        <w:rPr>
          <w:sz w:val="22"/>
          <w:szCs w:val="22"/>
          <w:lang w:val="es-ES_tradnl"/>
        </w:rPr>
        <w:t xml:space="preserve">Tolvaptán (utilizado para tratar la hiponatremia </w:t>
      </w:r>
      <w:r>
        <w:rPr>
          <w:sz w:val="22"/>
          <w:szCs w:val="22"/>
          <w:lang w:val="es-ES_tradnl"/>
        </w:rPr>
        <w:t>(</w:t>
      </w:r>
      <w:r w:rsidRPr="00D00CF2">
        <w:rPr>
          <w:sz w:val="22"/>
          <w:szCs w:val="22"/>
          <w:lang w:val="es-ES_tradnl"/>
        </w:rPr>
        <w:t>niveles bajos de sodio en sangre</w:t>
      </w:r>
      <w:r>
        <w:rPr>
          <w:sz w:val="22"/>
          <w:szCs w:val="22"/>
          <w:lang w:val="es-ES_tradnl"/>
        </w:rPr>
        <w:t>)</w:t>
      </w:r>
      <w:r w:rsidRPr="00D00CF2">
        <w:rPr>
          <w:sz w:val="22"/>
          <w:szCs w:val="22"/>
          <w:lang w:val="es-ES_tradnl"/>
        </w:rPr>
        <w:t xml:space="preserve"> o para ralentizar el deterioro de la función renal en pacientes con enfermedad renal poliquística).</w:t>
      </w:r>
    </w:p>
    <w:p w14:paraId="69F4C36E" w14:textId="77777777" w:rsidR="00D00CF2" w:rsidRPr="00D00CF2" w:rsidRDefault="00D00CF2" w:rsidP="00041B44">
      <w:pPr>
        <w:numPr>
          <w:ilvl w:val="0"/>
          <w:numId w:val="1"/>
        </w:numPr>
        <w:tabs>
          <w:tab w:val="clear" w:pos="360"/>
          <w:tab w:val="left" w:pos="567"/>
        </w:tabs>
        <w:ind w:left="600" w:hanging="600"/>
        <w:rPr>
          <w:sz w:val="22"/>
          <w:szCs w:val="22"/>
          <w:lang w:val="es-ES_tradnl"/>
        </w:rPr>
      </w:pPr>
      <w:r w:rsidRPr="00D00CF2">
        <w:rPr>
          <w:sz w:val="22"/>
          <w:szCs w:val="22"/>
          <w:lang w:val="es-ES_tradnl"/>
        </w:rPr>
        <w:t>Lurasidona (utilizada para tratar la depresión).</w:t>
      </w:r>
    </w:p>
    <w:p w14:paraId="6DFA3304" w14:textId="77777777" w:rsidR="00D21953" w:rsidRPr="00C52C4C" w:rsidRDefault="00D21953" w:rsidP="00623360">
      <w:pPr>
        <w:numPr>
          <w:ilvl w:val="0"/>
          <w:numId w:val="1"/>
        </w:numPr>
        <w:tabs>
          <w:tab w:val="clear" w:pos="360"/>
          <w:tab w:val="left" w:pos="567"/>
        </w:tabs>
        <w:ind w:left="600" w:hanging="600"/>
        <w:rPr>
          <w:sz w:val="22"/>
          <w:szCs w:val="22"/>
          <w:lang w:val="es-ES_tradnl"/>
        </w:rPr>
      </w:pPr>
      <w:r w:rsidRPr="00D21953">
        <w:rPr>
          <w:sz w:val="22"/>
          <w:szCs w:val="22"/>
          <w:lang w:val="es-ES_tradnl"/>
        </w:rPr>
        <w:t>Venetoclax (usado para el tratamiento de pacientes con leucemia linfocítica crónica [LLC]).</w:t>
      </w:r>
    </w:p>
    <w:p w14:paraId="32841B69" w14:textId="77777777" w:rsidR="00D061AA" w:rsidRPr="00C52C4C" w:rsidRDefault="00D061AA" w:rsidP="00D061AA">
      <w:pPr>
        <w:numPr>
          <w:ilvl w:val="12"/>
          <w:numId w:val="0"/>
        </w:numPr>
        <w:tabs>
          <w:tab w:val="left" w:pos="567"/>
        </w:tabs>
        <w:ind w:right="-2"/>
        <w:rPr>
          <w:sz w:val="22"/>
          <w:szCs w:val="22"/>
          <w:lang w:val="es-ES_tradnl"/>
        </w:rPr>
      </w:pPr>
    </w:p>
    <w:p w14:paraId="111C67D6" w14:textId="77777777" w:rsidR="00D061AA" w:rsidRPr="00C52C4C" w:rsidRDefault="00D061AA" w:rsidP="00D061AA">
      <w:pPr>
        <w:numPr>
          <w:ilvl w:val="12"/>
          <w:numId w:val="0"/>
        </w:numPr>
        <w:tabs>
          <w:tab w:val="left" w:pos="567"/>
        </w:tabs>
        <w:ind w:right="-2"/>
        <w:rPr>
          <w:b/>
          <w:sz w:val="22"/>
          <w:szCs w:val="22"/>
          <w:lang w:val="es-ES_tradnl"/>
        </w:rPr>
      </w:pPr>
      <w:r w:rsidRPr="00C52C4C">
        <w:rPr>
          <w:b/>
          <w:sz w:val="22"/>
          <w:szCs w:val="22"/>
          <w:lang w:val="es-ES_tradnl"/>
        </w:rPr>
        <w:t>Advertencias y precauciones</w:t>
      </w:r>
    </w:p>
    <w:p w14:paraId="09C8244F" w14:textId="77777777" w:rsidR="00D061AA" w:rsidRPr="00C52C4C" w:rsidRDefault="00D061AA" w:rsidP="00D061AA">
      <w:pPr>
        <w:numPr>
          <w:ilvl w:val="12"/>
          <w:numId w:val="0"/>
        </w:numPr>
        <w:tabs>
          <w:tab w:val="left" w:pos="567"/>
        </w:tabs>
        <w:ind w:right="-2"/>
        <w:rPr>
          <w:sz w:val="22"/>
          <w:szCs w:val="22"/>
          <w:lang w:val="es-ES_tradnl"/>
        </w:rPr>
      </w:pPr>
      <w:r w:rsidRPr="00C52C4C">
        <w:rPr>
          <w:sz w:val="22"/>
          <w:szCs w:val="22"/>
          <w:lang w:val="es-ES_tradnl"/>
        </w:rPr>
        <w:t>Consulte a su médico</w:t>
      </w:r>
      <w:r w:rsidR="0090615B" w:rsidRPr="00C52C4C">
        <w:rPr>
          <w:sz w:val="22"/>
          <w:szCs w:val="22"/>
          <w:lang w:val="es-ES_tradnl"/>
        </w:rPr>
        <w:t xml:space="preserve">, farmacéutico o enfermero </w:t>
      </w:r>
      <w:r w:rsidRPr="00C52C4C">
        <w:rPr>
          <w:sz w:val="22"/>
          <w:szCs w:val="22"/>
          <w:lang w:val="es-ES_tradnl"/>
        </w:rPr>
        <w:t xml:space="preserve">antes de empezar a tomar </w:t>
      </w:r>
      <w:r w:rsidR="008D11BB"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Pr="00C52C4C">
        <w:rPr>
          <w:sz w:val="22"/>
          <w:szCs w:val="22"/>
          <w:lang w:val="es-ES_tradnl"/>
        </w:rPr>
        <w:t>si:</w:t>
      </w:r>
    </w:p>
    <w:p w14:paraId="5E259A94" w14:textId="77777777" w:rsidR="00D061AA" w:rsidRPr="00C52C4C" w:rsidRDefault="00D061AA" w:rsidP="00D061AA">
      <w:pPr>
        <w:numPr>
          <w:ilvl w:val="12"/>
          <w:numId w:val="0"/>
        </w:numPr>
        <w:tabs>
          <w:tab w:val="left" w:pos="567"/>
        </w:tabs>
        <w:ind w:right="-2"/>
        <w:rPr>
          <w:sz w:val="22"/>
          <w:szCs w:val="22"/>
          <w:lang w:val="es-ES_tradnl"/>
        </w:rPr>
      </w:pPr>
    </w:p>
    <w:p w14:paraId="63A7FC3A" w14:textId="77777777" w:rsidR="00D061AA" w:rsidRPr="00C52C4C" w:rsidRDefault="00D061AA" w:rsidP="00623360">
      <w:pPr>
        <w:numPr>
          <w:ilvl w:val="0"/>
          <w:numId w:val="9"/>
        </w:numPr>
        <w:tabs>
          <w:tab w:val="clear" w:pos="360"/>
          <w:tab w:val="num" w:pos="567"/>
        </w:tabs>
        <w:ind w:left="567" w:right="-2" w:hanging="567"/>
        <w:rPr>
          <w:sz w:val="22"/>
          <w:szCs w:val="22"/>
          <w:lang w:val="es-ES_tradnl"/>
        </w:rPr>
      </w:pPr>
      <w:r w:rsidRPr="00C52C4C">
        <w:rPr>
          <w:sz w:val="22"/>
          <w:szCs w:val="22"/>
          <w:lang w:val="es-ES_tradnl"/>
        </w:rPr>
        <w:t>ha tenido una reacción alérgica a otros azoles.</w:t>
      </w:r>
    </w:p>
    <w:p w14:paraId="3E841C74" w14:textId="77777777" w:rsidR="00D061AA" w:rsidRPr="00C52C4C" w:rsidRDefault="00D061AA" w:rsidP="00623360">
      <w:pPr>
        <w:numPr>
          <w:ilvl w:val="0"/>
          <w:numId w:val="9"/>
        </w:numPr>
        <w:tabs>
          <w:tab w:val="clear" w:pos="360"/>
          <w:tab w:val="num" w:pos="-142"/>
          <w:tab w:val="num" w:pos="567"/>
        </w:tabs>
        <w:ind w:left="567" w:right="-2" w:hanging="567"/>
        <w:rPr>
          <w:sz w:val="22"/>
          <w:szCs w:val="22"/>
          <w:lang w:val="es-ES_tradnl"/>
        </w:rPr>
      </w:pPr>
      <w:r w:rsidRPr="00C52C4C">
        <w:rPr>
          <w:sz w:val="22"/>
          <w:szCs w:val="22"/>
          <w:lang w:val="es-ES_tradnl"/>
        </w:rPr>
        <w:t xml:space="preserve">padece o ha padecido alguna vez una enfermedad del hígado. Si padece una enfermedad del hígado, su médico podría prescribirle una dosis más baja de </w:t>
      </w:r>
      <w:r w:rsidR="008D11BB"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Pr="00C52C4C">
        <w:rPr>
          <w:sz w:val="22"/>
          <w:szCs w:val="22"/>
          <w:lang w:val="es-ES_tradnl"/>
        </w:rPr>
        <w:t xml:space="preserve">. Su médico también debería vigilar el funcionamiento de su hígado mientras está en tratamiento con </w:t>
      </w:r>
      <w:r w:rsidR="008D11BB"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Pr="00C52C4C">
        <w:rPr>
          <w:sz w:val="22"/>
          <w:szCs w:val="22"/>
          <w:lang w:val="es-ES_tradnl"/>
        </w:rPr>
        <w:t>realizándole análisis de sangre.</w:t>
      </w:r>
    </w:p>
    <w:p w14:paraId="6D4470BE" w14:textId="77777777" w:rsidR="00D061AA" w:rsidRPr="00C52C4C" w:rsidRDefault="00D061AA" w:rsidP="00623360">
      <w:pPr>
        <w:numPr>
          <w:ilvl w:val="0"/>
          <w:numId w:val="9"/>
        </w:numPr>
        <w:tabs>
          <w:tab w:val="clear" w:pos="360"/>
          <w:tab w:val="num" w:pos="-142"/>
          <w:tab w:val="left" w:pos="567"/>
        </w:tabs>
        <w:ind w:left="567" w:right="-2" w:hanging="567"/>
        <w:rPr>
          <w:sz w:val="22"/>
          <w:szCs w:val="22"/>
          <w:lang w:val="es-ES_tradnl"/>
        </w:rPr>
      </w:pPr>
      <w:r w:rsidRPr="00C52C4C">
        <w:rPr>
          <w:sz w:val="22"/>
          <w:szCs w:val="22"/>
          <w:lang w:val="es-ES_tradnl"/>
        </w:rPr>
        <w:t>sabe que padece una cardiomiopatía, latidos irregulares del corazón, ritmo lento de los latidos del corazón o una anomalía en el electrocardiograma (ECG) denominada “síndrome del QT</w:t>
      </w:r>
      <w:r w:rsidR="0090615B" w:rsidRPr="00C52C4C">
        <w:rPr>
          <w:sz w:val="22"/>
          <w:szCs w:val="22"/>
          <w:lang w:val="es-ES_tradnl"/>
        </w:rPr>
        <w:t>c</w:t>
      </w:r>
      <w:r w:rsidRPr="00C52C4C">
        <w:rPr>
          <w:sz w:val="22"/>
          <w:szCs w:val="22"/>
          <w:lang w:val="es-ES_tradnl"/>
        </w:rPr>
        <w:t xml:space="preserve"> prolongado”.</w:t>
      </w:r>
    </w:p>
    <w:p w14:paraId="75A62AB9" w14:textId="77777777" w:rsidR="00D061AA" w:rsidRPr="00C52C4C" w:rsidRDefault="00D061AA" w:rsidP="00D061AA">
      <w:pPr>
        <w:tabs>
          <w:tab w:val="left" w:pos="567"/>
        </w:tabs>
        <w:ind w:right="-2"/>
        <w:rPr>
          <w:sz w:val="22"/>
          <w:szCs w:val="22"/>
          <w:lang w:val="es-ES_tradnl"/>
        </w:rPr>
      </w:pPr>
    </w:p>
    <w:p w14:paraId="02C1E53C" w14:textId="25A178BB" w:rsidR="00CF6C1B" w:rsidRPr="00C52C4C" w:rsidRDefault="00D061AA" w:rsidP="00CF6C1B">
      <w:pPr>
        <w:rPr>
          <w:sz w:val="22"/>
          <w:szCs w:val="22"/>
          <w:lang w:val="es-ES_tradnl"/>
        </w:rPr>
      </w:pPr>
      <w:r w:rsidRPr="00C52C4C">
        <w:rPr>
          <w:sz w:val="22"/>
          <w:szCs w:val="22"/>
          <w:lang w:val="es-ES_tradnl"/>
        </w:rPr>
        <w:t xml:space="preserve">Debe evitar </w:t>
      </w:r>
      <w:r w:rsidR="0090615B" w:rsidRPr="00C52C4C">
        <w:rPr>
          <w:sz w:val="22"/>
          <w:szCs w:val="22"/>
          <w:lang w:val="es-ES_tradnl"/>
        </w:rPr>
        <w:t xml:space="preserve">cualquier </w:t>
      </w:r>
      <w:r w:rsidRPr="00C52C4C">
        <w:rPr>
          <w:sz w:val="22"/>
          <w:szCs w:val="22"/>
          <w:lang w:val="es-ES_tradnl"/>
        </w:rPr>
        <w:t xml:space="preserve">exposición al sol y a la luz solar durante el tratamiento. Es importante que se cubran las zonas expuestas y que se utilice una </w:t>
      </w:r>
      <w:smartTag w:uri="urn:schemas-microsoft-com:office:smarttags" w:element="PersonName">
        <w:r w:rsidRPr="00C52C4C">
          <w:rPr>
            <w:sz w:val="22"/>
            <w:szCs w:val="22"/>
            <w:lang w:val="es-ES_tradnl"/>
          </w:rPr>
          <w:t>pa</w:t>
        </w:r>
      </w:smartTag>
      <w:r w:rsidRPr="00C52C4C">
        <w:rPr>
          <w:sz w:val="22"/>
          <w:szCs w:val="22"/>
          <w:lang w:val="es-ES_tradnl"/>
        </w:rPr>
        <w:t>ntalla solar</w:t>
      </w:r>
      <w:r w:rsidR="00CF6C1B" w:rsidRPr="00C52C4C">
        <w:rPr>
          <w:sz w:val="22"/>
          <w:szCs w:val="22"/>
          <w:lang w:val="es-ES_tradnl"/>
        </w:rPr>
        <w:t xml:space="preserve"> con un factor de protección solar (FPS) alto</w:t>
      </w:r>
      <w:r w:rsidRPr="00C52C4C">
        <w:rPr>
          <w:sz w:val="22"/>
          <w:szCs w:val="22"/>
          <w:lang w:val="es-ES_tradnl"/>
        </w:rPr>
        <w:t xml:space="preserve">, ya que puede producirse una </w:t>
      </w:r>
      <w:smartTag w:uri="urn:schemas-microsoft-com:office:smarttags" w:element="PersonName">
        <w:r w:rsidRPr="00C52C4C">
          <w:rPr>
            <w:sz w:val="22"/>
            <w:szCs w:val="22"/>
            <w:lang w:val="es-ES_tradnl"/>
          </w:rPr>
          <w:t>ma</w:t>
        </w:r>
      </w:smartTag>
      <w:r w:rsidRPr="00C52C4C">
        <w:rPr>
          <w:sz w:val="22"/>
          <w:szCs w:val="22"/>
          <w:lang w:val="es-ES_tradnl"/>
        </w:rPr>
        <w:t>yor sensibilidad de la piel a los rayos UV del sol.</w:t>
      </w:r>
      <w:r w:rsidR="00CF6C1B" w:rsidRPr="00C52C4C">
        <w:rPr>
          <w:sz w:val="22"/>
          <w:szCs w:val="22"/>
          <w:lang w:val="es-ES_tradnl"/>
        </w:rPr>
        <w:t xml:space="preserve"> </w:t>
      </w:r>
      <w:r w:rsidR="00356EE5">
        <w:rPr>
          <w:sz w:val="22"/>
          <w:szCs w:val="22"/>
          <w:lang w:val="es-ES_tradnl"/>
        </w:rPr>
        <w:t>É</w:t>
      </w:r>
      <w:r w:rsidR="00356EE5" w:rsidRPr="00356EE5">
        <w:rPr>
          <w:sz w:val="22"/>
          <w:szCs w:val="22"/>
          <w:lang w:val="es-ES_tradnl"/>
        </w:rPr>
        <w:t xml:space="preserve">sta puede incrementarse aún más por el uso de otros medicamentos que sensibilicen la piel a la luz solar, como metotrexato. </w:t>
      </w:r>
      <w:r w:rsidR="00CF6C1B" w:rsidRPr="00C52C4C">
        <w:rPr>
          <w:sz w:val="22"/>
          <w:szCs w:val="22"/>
          <w:lang w:val="es-ES_tradnl"/>
        </w:rPr>
        <w:t>Estas precauciones también son aplicables a los niños.</w:t>
      </w:r>
    </w:p>
    <w:p w14:paraId="6383E32B" w14:textId="77777777" w:rsidR="00D061AA" w:rsidRPr="00C52C4C" w:rsidRDefault="00D061AA" w:rsidP="00D061AA">
      <w:pPr>
        <w:numPr>
          <w:ilvl w:val="12"/>
          <w:numId w:val="0"/>
        </w:numPr>
        <w:tabs>
          <w:tab w:val="left" w:pos="567"/>
        </w:tabs>
        <w:ind w:right="-2"/>
        <w:rPr>
          <w:sz w:val="22"/>
          <w:szCs w:val="22"/>
          <w:lang w:val="es-ES_tradnl"/>
        </w:rPr>
      </w:pPr>
    </w:p>
    <w:p w14:paraId="55AEE78D" w14:textId="77777777" w:rsidR="00D061AA" w:rsidRPr="00C52C4C" w:rsidRDefault="00D061AA" w:rsidP="00D061AA">
      <w:pPr>
        <w:numPr>
          <w:ilvl w:val="12"/>
          <w:numId w:val="0"/>
        </w:numPr>
        <w:tabs>
          <w:tab w:val="left" w:pos="567"/>
        </w:tabs>
        <w:ind w:right="-2"/>
        <w:rPr>
          <w:sz w:val="22"/>
          <w:szCs w:val="22"/>
          <w:lang w:val="es-ES_tradnl"/>
        </w:rPr>
      </w:pPr>
      <w:r w:rsidRPr="00C52C4C">
        <w:rPr>
          <w:sz w:val="22"/>
          <w:szCs w:val="22"/>
          <w:lang w:val="es-ES_tradnl"/>
        </w:rPr>
        <w:t xml:space="preserve">Mientras está en tratamiento con </w:t>
      </w:r>
      <w:r w:rsidR="008D11BB" w:rsidRPr="00C52C4C">
        <w:rPr>
          <w:bCs/>
          <w:sz w:val="22"/>
          <w:szCs w:val="22"/>
        </w:rPr>
        <w:t>Voriconazol</w:t>
      </w:r>
      <w:r w:rsidR="003D734F" w:rsidRPr="00C52C4C">
        <w:rPr>
          <w:bCs/>
          <w:sz w:val="22"/>
          <w:szCs w:val="22"/>
        </w:rPr>
        <w:t xml:space="preserve"> Accord</w:t>
      </w:r>
      <w:r w:rsidRPr="00C52C4C">
        <w:rPr>
          <w:sz w:val="22"/>
          <w:szCs w:val="22"/>
          <w:lang w:val="es-ES_tradnl"/>
        </w:rPr>
        <w:t>:</w:t>
      </w:r>
    </w:p>
    <w:p w14:paraId="31F5F187" w14:textId="77777777" w:rsidR="00CF6C1B" w:rsidRPr="00C52C4C" w:rsidRDefault="00130F8D" w:rsidP="001A4823">
      <w:pPr>
        <w:numPr>
          <w:ilvl w:val="0"/>
          <w:numId w:val="9"/>
        </w:numPr>
        <w:ind w:right="-2"/>
        <w:rPr>
          <w:sz w:val="22"/>
          <w:szCs w:val="22"/>
          <w:lang w:val="es-ES_tradnl"/>
        </w:rPr>
      </w:pPr>
      <w:r>
        <w:rPr>
          <w:sz w:val="22"/>
          <w:szCs w:val="22"/>
          <w:lang w:val="es-ES_tradnl"/>
        </w:rPr>
        <w:t>i</w:t>
      </w:r>
      <w:r w:rsidR="00D061AA" w:rsidRPr="00C52C4C">
        <w:rPr>
          <w:sz w:val="22"/>
          <w:szCs w:val="22"/>
          <w:lang w:val="es-ES_tradnl"/>
        </w:rPr>
        <w:t xml:space="preserve">nforme a su médico si se le produce </w:t>
      </w:r>
    </w:p>
    <w:p w14:paraId="433F91B3" w14:textId="77777777" w:rsidR="00CF6C1B" w:rsidRPr="00C52C4C" w:rsidRDefault="00CF6C1B" w:rsidP="001A4823">
      <w:pPr>
        <w:numPr>
          <w:ilvl w:val="0"/>
          <w:numId w:val="29"/>
        </w:numPr>
        <w:ind w:right="-2"/>
        <w:rPr>
          <w:sz w:val="22"/>
          <w:szCs w:val="22"/>
          <w:lang w:val="es-ES_tradnl"/>
        </w:rPr>
      </w:pPr>
      <w:r w:rsidRPr="00C52C4C">
        <w:rPr>
          <w:sz w:val="22"/>
          <w:szCs w:val="22"/>
          <w:lang w:val="es-ES_tradnl"/>
        </w:rPr>
        <w:t>quemadura solar</w:t>
      </w:r>
    </w:p>
    <w:p w14:paraId="78C548B4" w14:textId="77777777" w:rsidR="00CF6C1B" w:rsidRPr="00C52C4C" w:rsidRDefault="00D061AA" w:rsidP="001A4823">
      <w:pPr>
        <w:numPr>
          <w:ilvl w:val="0"/>
          <w:numId w:val="29"/>
        </w:numPr>
        <w:ind w:right="-2"/>
        <w:rPr>
          <w:sz w:val="22"/>
          <w:szCs w:val="22"/>
          <w:lang w:val="es-ES_tradnl"/>
        </w:rPr>
      </w:pPr>
      <w:r w:rsidRPr="00C52C4C">
        <w:rPr>
          <w:sz w:val="22"/>
          <w:szCs w:val="22"/>
          <w:lang w:val="es-ES_tradnl"/>
        </w:rPr>
        <w:t>erupción grave de la piel o ampollas</w:t>
      </w:r>
    </w:p>
    <w:p w14:paraId="438328F0" w14:textId="77777777" w:rsidR="00D061AA" w:rsidRPr="00C52C4C" w:rsidRDefault="00D061AA" w:rsidP="001A4823">
      <w:pPr>
        <w:numPr>
          <w:ilvl w:val="0"/>
          <w:numId w:val="29"/>
        </w:numPr>
        <w:ind w:right="-2"/>
        <w:rPr>
          <w:sz w:val="22"/>
          <w:szCs w:val="22"/>
          <w:lang w:val="es-ES_tradnl"/>
        </w:rPr>
      </w:pPr>
      <w:r w:rsidRPr="00C52C4C">
        <w:rPr>
          <w:sz w:val="22"/>
          <w:szCs w:val="22"/>
          <w:lang w:val="es-ES_tradnl"/>
        </w:rPr>
        <w:t>dolor de huesos</w:t>
      </w:r>
    </w:p>
    <w:p w14:paraId="19C6494B" w14:textId="77777777" w:rsidR="00CF6C1B" w:rsidRPr="00C52C4C" w:rsidRDefault="00CF6C1B" w:rsidP="00CF6C1B">
      <w:pPr>
        <w:tabs>
          <w:tab w:val="num" w:pos="567"/>
        </w:tabs>
        <w:ind w:left="567" w:right="-2"/>
        <w:rPr>
          <w:sz w:val="22"/>
          <w:szCs w:val="22"/>
          <w:lang w:val="es-ES_tradnl"/>
        </w:rPr>
      </w:pPr>
    </w:p>
    <w:p w14:paraId="66F68E5F" w14:textId="77777777" w:rsidR="00CF6C1B" w:rsidRDefault="00CF6C1B" w:rsidP="00CF6C1B">
      <w:pPr>
        <w:tabs>
          <w:tab w:val="num" w:pos="567"/>
        </w:tabs>
        <w:ind w:right="-2"/>
        <w:rPr>
          <w:sz w:val="22"/>
          <w:szCs w:val="22"/>
          <w:lang w:val="es-ES_tradnl"/>
        </w:rPr>
      </w:pPr>
      <w:r w:rsidRPr="00C52C4C">
        <w:rPr>
          <w:sz w:val="22"/>
          <w:szCs w:val="22"/>
          <w:lang w:val="es-ES_tradnl"/>
        </w:rPr>
        <w:t>Si desarrolla trastornos de la piel como los descritos anteriormente, es posible que su médico le remita a un dermatólogo, que tras la consulta puede considerar importante que se le examine de forma regular. Hay una pequeña probabilidad de que desarrolle cáncer de piel con el uso a largo plazo de Voriconazol Accord.</w:t>
      </w:r>
    </w:p>
    <w:p w14:paraId="1BC0C155" w14:textId="77777777" w:rsidR="00D21953" w:rsidRDefault="00D21953" w:rsidP="00CF6C1B">
      <w:pPr>
        <w:tabs>
          <w:tab w:val="num" w:pos="567"/>
        </w:tabs>
        <w:ind w:right="-2"/>
        <w:rPr>
          <w:sz w:val="22"/>
          <w:szCs w:val="22"/>
          <w:lang w:val="es-ES_tradnl"/>
        </w:rPr>
      </w:pPr>
    </w:p>
    <w:p w14:paraId="4CC5A628" w14:textId="77777777" w:rsidR="00D21953" w:rsidRPr="00D21953" w:rsidRDefault="00D21953" w:rsidP="00D21953">
      <w:pPr>
        <w:tabs>
          <w:tab w:val="num" w:pos="567"/>
        </w:tabs>
        <w:ind w:right="-2"/>
        <w:rPr>
          <w:sz w:val="22"/>
          <w:szCs w:val="22"/>
          <w:lang w:val="es-ES_tradnl"/>
        </w:rPr>
      </w:pPr>
      <w:r w:rsidRPr="00D21953">
        <w:rPr>
          <w:sz w:val="22"/>
          <w:szCs w:val="22"/>
          <w:lang w:val="es-ES_tradnl"/>
        </w:rPr>
        <w:t xml:space="preserve">Si desarrolla signos de “insuficiencia suprarrenal” en los que las glándulas suprarrenales no producen </w:t>
      </w:r>
    </w:p>
    <w:p w14:paraId="558422EC" w14:textId="77777777" w:rsidR="00D21953" w:rsidRPr="00D21953" w:rsidRDefault="00D21953" w:rsidP="00D21953">
      <w:pPr>
        <w:tabs>
          <w:tab w:val="num" w:pos="567"/>
        </w:tabs>
        <w:ind w:right="-2"/>
        <w:rPr>
          <w:sz w:val="22"/>
          <w:szCs w:val="22"/>
          <w:lang w:val="es-ES_tradnl"/>
        </w:rPr>
      </w:pPr>
      <w:r w:rsidRPr="00D21953">
        <w:rPr>
          <w:sz w:val="22"/>
          <w:szCs w:val="22"/>
          <w:lang w:val="es-ES_tradnl"/>
        </w:rPr>
        <w:t xml:space="preserve">cantidades suficientes de ciertas hormonas esteroides, tales como cortisol, que puede producir </w:t>
      </w:r>
    </w:p>
    <w:p w14:paraId="493CA222" w14:textId="77777777" w:rsidR="00D21953" w:rsidRPr="00D21953" w:rsidRDefault="00D21953" w:rsidP="00D21953">
      <w:pPr>
        <w:tabs>
          <w:tab w:val="num" w:pos="567"/>
        </w:tabs>
        <w:ind w:right="-2"/>
        <w:rPr>
          <w:sz w:val="22"/>
          <w:szCs w:val="22"/>
          <w:lang w:val="es-ES_tradnl"/>
        </w:rPr>
      </w:pPr>
      <w:r w:rsidRPr="00D21953">
        <w:rPr>
          <w:sz w:val="22"/>
          <w:szCs w:val="22"/>
          <w:lang w:val="es-ES_tradnl"/>
        </w:rPr>
        <w:t xml:space="preserve">síntomas como: cansancio crónico o prolongado, debilidad muscular, pérdida de apetito, pérdida de </w:t>
      </w:r>
    </w:p>
    <w:p w14:paraId="3624C97E" w14:textId="77777777" w:rsidR="00D21953" w:rsidRPr="00C52C4C" w:rsidRDefault="00D21953" w:rsidP="00D21953">
      <w:pPr>
        <w:tabs>
          <w:tab w:val="num" w:pos="567"/>
        </w:tabs>
        <w:ind w:right="-2"/>
        <w:rPr>
          <w:sz w:val="22"/>
          <w:szCs w:val="22"/>
          <w:lang w:val="es-ES_tradnl"/>
        </w:rPr>
      </w:pPr>
      <w:r w:rsidRPr="00D21953">
        <w:rPr>
          <w:sz w:val="22"/>
          <w:szCs w:val="22"/>
          <w:lang w:val="es-ES_tradnl"/>
        </w:rPr>
        <w:lastRenderedPageBreak/>
        <w:t>peso, dolor abdominal, informe a su médico.</w:t>
      </w:r>
    </w:p>
    <w:p w14:paraId="3C52CA21" w14:textId="77777777" w:rsidR="00CF6C1B" w:rsidRPr="00C52C4C" w:rsidRDefault="00CF6C1B" w:rsidP="00CF6C1B">
      <w:pPr>
        <w:ind w:right="-2"/>
        <w:rPr>
          <w:sz w:val="22"/>
          <w:szCs w:val="22"/>
          <w:lang w:val="es-ES_tradnl"/>
        </w:rPr>
      </w:pPr>
    </w:p>
    <w:p w14:paraId="4F212848" w14:textId="77777777" w:rsidR="00D00CF2" w:rsidRPr="00D00CF2" w:rsidRDefault="00D00CF2" w:rsidP="00D00CF2">
      <w:pPr>
        <w:tabs>
          <w:tab w:val="num" w:pos="567"/>
        </w:tabs>
        <w:ind w:right="-2"/>
        <w:rPr>
          <w:sz w:val="22"/>
          <w:szCs w:val="22"/>
          <w:lang w:val="es-ES_tradnl"/>
        </w:rPr>
      </w:pPr>
      <w:r w:rsidRPr="00D00CF2">
        <w:rPr>
          <w:sz w:val="22"/>
          <w:szCs w:val="22"/>
          <w:lang w:val="es-ES_tradnl"/>
        </w:rPr>
        <w:t xml:space="preserve">Si presenta signos del “síndrome de Cushing” en los que el cuerpo produce demasiada hormona </w:t>
      </w:r>
    </w:p>
    <w:p w14:paraId="46133942" w14:textId="77777777" w:rsidR="00D00CF2" w:rsidRPr="00D00CF2" w:rsidRDefault="00D00CF2" w:rsidP="00D00CF2">
      <w:pPr>
        <w:tabs>
          <w:tab w:val="num" w:pos="567"/>
        </w:tabs>
        <w:ind w:right="-2"/>
        <w:rPr>
          <w:sz w:val="22"/>
          <w:szCs w:val="22"/>
          <w:lang w:val="es-ES_tradnl"/>
        </w:rPr>
      </w:pPr>
      <w:r w:rsidRPr="00D00CF2">
        <w:rPr>
          <w:sz w:val="22"/>
          <w:szCs w:val="22"/>
          <w:lang w:val="es-ES_tradnl"/>
        </w:rPr>
        <w:t xml:space="preserve">cortisol que puede provocar síntomas como: aumento de peso, joroba de grasa entre los hombros, cara </w:t>
      </w:r>
    </w:p>
    <w:p w14:paraId="6A88706A" w14:textId="77777777" w:rsidR="00D00CF2" w:rsidRDefault="00D00CF2" w:rsidP="00D00CF2">
      <w:pPr>
        <w:tabs>
          <w:tab w:val="num" w:pos="567"/>
        </w:tabs>
        <w:ind w:right="-2"/>
        <w:rPr>
          <w:sz w:val="22"/>
          <w:szCs w:val="22"/>
          <w:lang w:val="es-ES_tradnl"/>
        </w:rPr>
      </w:pPr>
      <w:r w:rsidRPr="00D00CF2">
        <w:rPr>
          <w:sz w:val="22"/>
          <w:szCs w:val="22"/>
          <w:lang w:val="es-ES_tradnl"/>
        </w:rPr>
        <w:t>redondeada, oscurecimiento de la piel del vientre, muslos, senos y brazos, piel fina, aparición de moretones con facilidad, nivel alto de azúcar en sangre, crecimiento excesivo de vello o sudoración excesiva, informe a su médico.</w:t>
      </w:r>
    </w:p>
    <w:p w14:paraId="0F4D91BD" w14:textId="77777777" w:rsidR="00D00CF2" w:rsidRDefault="00D00CF2" w:rsidP="00D00CF2">
      <w:pPr>
        <w:tabs>
          <w:tab w:val="num" w:pos="567"/>
        </w:tabs>
        <w:ind w:right="-2"/>
        <w:rPr>
          <w:sz w:val="22"/>
          <w:szCs w:val="22"/>
          <w:lang w:val="es-ES_tradnl"/>
        </w:rPr>
      </w:pPr>
    </w:p>
    <w:p w14:paraId="2DDCC379" w14:textId="77777777" w:rsidR="00D061AA" w:rsidRPr="00C52C4C" w:rsidRDefault="00CF6C1B" w:rsidP="00D00CF2">
      <w:pPr>
        <w:tabs>
          <w:tab w:val="num" w:pos="567"/>
        </w:tabs>
        <w:ind w:right="-2"/>
        <w:rPr>
          <w:sz w:val="22"/>
          <w:szCs w:val="22"/>
          <w:lang w:val="es-ES_tradnl"/>
        </w:rPr>
      </w:pPr>
      <w:r w:rsidRPr="00C52C4C">
        <w:rPr>
          <w:sz w:val="22"/>
          <w:szCs w:val="22"/>
          <w:lang w:val="es-ES_tradnl"/>
        </w:rPr>
        <w:t xml:space="preserve">Su </w:t>
      </w:r>
      <w:r w:rsidR="00D061AA" w:rsidRPr="00C52C4C">
        <w:rPr>
          <w:sz w:val="22"/>
          <w:szCs w:val="22"/>
          <w:lang w:val="es-ES_tradnl"/>
        </w:rPr>
        <w:t>médico debe controlar el funcionamiento de su hígado y de sus riñones realizándole análisis de sangre.</w:t>
      </w:r>
    </w:p>
    <w:p w14:paraId="0943BB33" w14:textId="77777777" w:rsidR="00D061AA" w:rsidRPr="00C52C4C" w:rsidRDefault="00D061AA" w:rsidP="00D061AA">
      <w:pPr>
        <w:numPr>
          <w:ilvl w:val="12"/>
          <w:numId w:val="0"/>
        </w:numPr>
        <w:tabs>
          <w:tab w:val="left" w:pos="567"/>
        </w:tabs>
        <w:ind w:right="-2"/>
        <w:rPr>
          <w:sz w:val="22"/>
          <w:szCs w:val="22"/>
          <w:lang w:val="es-ES_tradnl"/>
        </w:rPr>
      </w:pPr>
    </w:p>
    <w:p w14:paraId="06713686" w14:textId="77777777" w:rsidR="00D061AA" w:rsidRPr="00C52C4C" w:rsidRDefault="00D061AA" w:rsidP="00D061AA">
      <w:pPr>
        <w:numPr>
          <w:ilvl w:val="12"/>
          <w:numId w:val="0"/>
        </w:numPr>
        <w:tabs>
          <w:tab w:val="left" w:pos="567"/>
        </w:tabs>
        <w:ind w:right="-2"/>
        <w:rPr>
          <w:b/>
          <w:sz w:val="22"/>
          <w:szCs w:val="22"/>
          <w:lang w:val="es-ES_tradnl"/>
        </w:rPr>
      </w:pPr>
      <w:r w:rsidRPr="00C52C4C">
        <w:rPr>
          <w:b/>
          <w:sz w:val="22"/>
          <w:szCs w:val="22"/>
          <w:lang w:val="es-ES_tradnl"/>
        </w:rPr>
        <w:t>Niños y adolescentes</w:t>
      </w:r>
    </w:p>
    <w:p w14:paraId="40455F7D" w14:textId="77777777" w:rsidR="00D061AA" w:rsidRPr="00C52C4C" w:rsidRDefault="008D11BB" w:rsidP="00D061AA">
      <w:pPr>
        <w:numPr>
          <w:ilvl w:val="12"/>
          <w:numId w:val="0"/>
        </w:numPr>
        <w:tabs>
          <w:tab w:val="left" w:pos="567"/>
        </w:tabs>
        <w:ind w:right="-2"/>
        <w:rPr>
          <w:sz w:val="22"/>
          <w:szCs w:val="22"/>
          <w:lang w:val="es-ES_tradnl"/>
        </w:rPr>
      </w:pPr>
      <w:r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00D061AA" w:rsidRPr="00C52C4C">
        <w:rPr>
          <w:sz w:val="22"/>
          <w:szCs w:val="22"/>
          <w:lang w:val="es-ES_tradnl"/>
        </w:rPr>
        <w:t>no debe administrarse a niños menores de 2 años.</w:t>
      </w:r>
    </w:p>
    <w:p w14:paraId="406D09B7" w14:textId="77777777" w:rsidR="00D061AA" w:rsidRPr="00C52C4C" w:rsidRDefault="00D061AA" w:rsidP="00D061AA">
      <w:pPr>
        <w:numPr>
          <w:ilvl w:val="12"/>
          <w:numId w:val="0"/>
        </w:numPr>
        <w:tabs>
          <w:tab w:val="left" w:pos="567"/>
        </w:tabs>
        <w:ind w:right="-2"/>
        <w:rPr>
          <w:sz w:val="22"/>
          <w:szCs w:val="22"/>
          <w:lang w:val="es-ES_tradnl"/>
        </w:rPr>
      </w:pPr>
    </w:p>
    <w:p w14:paraId="321A7A03" w14:textId="77777777" w:rsidR="00D061AA" w:rsidRPr="00C52C4C" w:rsidRDefault="00D061AA" w:rsidP="00D061AA">
      <w:pPr>
        <w:tabs>
          <w:tab w:val="left" w:pos="567"/>
        </w:tabs>
        <w:ind w:right="-2"/>
        <w:rPr>
          <w:sz w:val="22"/>
          <w:szCs w:val="22"/>
          <w:lang w:val="es-ES_tradnl"/>
        </w:rPr>
      </w:pPr>
      <w:r w:rsidRPr="00C52C4C">
        <w:rPr>
          <w:b/>
          <w:sz w:val="22"/>
          <w:szCs w:val="22"/>
          <w:lang w:val="es-ES_tradnl"/>
        </w:rPr>
        <w:t xml:space="preserve">Toma de </w:t>
      </w:r>
      <w:r w:rsidR="008D11BB" w:rsidRPr="00C52C4C">
        <w:rPr>
          <w:b/>
          <w:bCs/>
          <w:sz w:val="22"/>
          <w:szCs w:val="22"/>
        </w:rPr>
        <w:t>Voriconazol</w:t>
      </w:r>
      <w:r w:rsidR="003D734F" w:rsidRPr="00C52C4C">
        <w:rPr>
          <w:b/>
          <w:bCs/>
          <w:sz w:val="22"/>
          <w:szCs w:val="22"/>
        </w:rPr>
        <w:t xml:space="preserve"> Accord </w:t>
      </w:r>
      <w:r w:rsidRPr="00C52C4C">
        <w:rPr>
          <w:b/>
          <w:sz w:val="22"/>
          <w:szCs w:val="22"/>
          <w:lang w:val="es-ES_tradnl"/>
        </w:rPr>
        <w:t>con otros medicamentos</w:t>
      </w:r>
    </w:p>
    <w:p w14:paraId="3CC79856" w14:textId="77777777" w:rsidR="00D061AA" w:rsidRPr="00C52C4C" w:rsidRDefault="00D061AA" w:rsidP="00D061AA">
      <w:pPr>
        <w:tabs>
          <w:tab w:val="left" w:pos="567"/>
        </w:tabs>
        <w:ind w:right="-2"/>
        <w:rPr>
          <w:sz w:val="22"/>
          <w:szCs w:val="22"/>
          <w:lang w:val="es-ES_tradnl"/>
        </w:rPr>
      </w:pPr>
      <w:r w:rsidRPr="00C52C4C">
        <w:rPr>
          <w:sz w:val="22"/>
          <w:szCs w:val="22"/>
          <w:lang w:val="es-ES_tradnl"/>
        </w:rPr>
        <w:t>Informe a su médico o far</w:t>
      </w:r>
      <w:smartTag w:uri="urn:schemas-microsoft-com:office:smarttags" w:element="PersonName">
        <w:r w:rsidRPr="00C52C4C">
          <w:rPr>
            <w:sz w:val="22"/>
            <w:szCs w:val="22"/>
            <w:lang w:val="es-ES_tradnl"/>
          </w:rPr>
          <w:t>ma</w:t>
        </w:r>
      </w:smartTag>
      <w:r w:rsidRPr="00C52C4C">
        <w:rPr>
          <w:sz w:val="22"/>
          <w:szCs w:val="22"/>
          <w:lang w:val="es-ES_tradnl"/>
        </w:rPr>
        <w:t>céutico si está tomando</w:t>
      </w:r>
      <w:r w:rsidR="0090615B" w:rsidRPr="00C52C4C">
        <w:rPr>
          <w:sz w:val="22"/>
          <w:szCs w:val="22"/>
          <w:lang w:val="es-ES_tradnl"/>
        </w:rPr>
        <w:t xml:space="preserve">, </w:t>
      </w:r>
      <w:r w:rsidRPr="00C52C4C">
        <w:rPr>
          <w:sz w:val="22"/>
          <w:szCs w:val="22"/>
          <w:lang w:val="es-ES_tradnl"/>
        </w:rPr>
        <w:t>ha tomado recientemente</w:t>
      </w:r>
      <w:r w:rsidR="0090615B" w:rsidRPr="00C52C4C">
        <w:rPr>
          <w:sz w:val="22"/>
          <w:szCs w:val="22"/>
          <w:lang w:val="es-ES_tradnl"/>
        </w:rPr>
        <w:t xml:space="preserve"> </w:t>
      </w:r>
      <w:r w:rsidR="0090615B" w:rsidRPr="00C52C4C">
        <w:rPr>
          <w:noProof/>
          <w:sz w:val="22"/>
          <w:szCs w:val="22"/>
          <w:lang w:val="es-ES_tradnl"/>
        </w:rPr>
        <w:t>o podría tener que</w:t>
      </w:r>
      <w:r w:rsidR="0090615B" w:rsidRPr="00C52C4C">
        <w:rPr>
          <w:sz w:val="22"/>
          <w:szCs w:val="22"/>
          <w:lang w:val="es-ES_tradnl"/>
        </w:rPr>
        <w:t xml:space="preserve"> tomar</w:t>
      </w:r>
      <w:r w:rsidRPr="00C52C4C">
        <w:rPr>
          <w:sz w:val="22"/>
          <w:szCs w:val="22"/>
          <w:lang w:val="es-ES_tradnl"/>
        </w:rPr>
        <w:t xml:space="preserve"> otros medicamentos, incluidos los adquiridos sin receta.</w:t>
      </w:r>
    </w:p>
    <w:p w14:paraId="502BED83" w14:textId="77777777" w:rsidR="00D061AA" w:rsidRPr="00C52C4C" w:rsidRDefault="00D061AA" w:rsidP="00D061AA">
      <w:pPr>
        <w:tabs>
          <w:tab w:val="left" w:pos="567"/>
        </w:tabs>
        <w:ind w:right="-2"/>
        <w:rPr>
          <w:sz w:val="22"/>
          <w:szCs w:val="22"/>
          <w:lang w:val="es-ES_tradnl"/>
        </w:rPr>
      </w:pPr>
    </w:p>
    <w:p w14:paraId="4043A55D" w14:textId="77777777" w:rsidR="00D061AA" w:rsidRPr="00C52C4C" w:rsidRDefault="00D061AA" w:rsidP="00D061AA">
      <w:pPr>
        <w:tabs>
          <w:tab w:val="left" w:pos="567"/>
        </w:tabs>
        <w:ind w:right="-2"/>
        <w:rPr>
          <w:sz w:val="22"/>
          <w:szCs w:val="22"/>
          <w:lang w:val="es-ES_tradnl"/>
        </w:rPr>
      </w:pPr>
      <w:r w:rsidRPr="00C52C4C">
        <w:rPr>
          <w:sz w:val="22"/>
          <w:szCs w:val="22"/>
          <w:lang w:val="es-ES_tradnl"/>
        </w:rPr>
        <w:t xml:space="preserve">Algunos medicamentos, cuando se usan al mismo tiempo que </w:t>
      </w:r>
      <w:r w:rsidR="008D11BB" w:rsidRPr="00C52C4C">
        <w:rPr>
          <w:bCs/>
          <w:sz w:val="22"/>
          <w:szCs w:val="22"/>
        </w:rPr>
        <w:t>Voriconazol</w:t>
      </w:r>
      <w:r w:rsidR="003D734F" w:rsidRPr="00C52C4C">
        <w:rPr>
          <w:bCs/>
          <w:sz w:val="22"/>
          <w:szCs w:val="22"/>
        </w:rPr>
        <w:t xml:space="preserve"> Accord</w:t>
      </w:r>
      <w:r w:rsidRPr="00C52C4C">
        <w:rPr>
          <w:sz w:val="22"/>
          <w:szCs w:val="22"/>
          <w:lang w:val="es-ES_tradnl"/>
        </w:rPr>
        <w:t xml:space="preserve">, pueden afectar a la acción de </w:t>
      </w:r>
      <w:r w:rsidR="008D11BB"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Pr="00C52C4C">
        <w:rPr>
          <w:sz w:val="22"/>
          <w:szCs w:val="22"/>
          <w:lang w:val="es-ES_tradnl"/>
        </w:rPr>
        <w:t xml:space="preserve">o bien </w:t>
      </w:r>
      <w:r w:rsidR="008D11BB"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Pr="00C52C4C">
        <w:rPr>
          <w:sz w:val="22"/>
          <w:szCs w:val="22"/>
          <w:lang w:val="es-ES_tradnl"/>
        </w:rPr>
        <w:t>puede afectar a la acción de otros medicamentos.</w:t>
      </w:r>
    </w:p>
    <w:p w14:paraId="7E2BB467" w14:textId="77777777" w:rsidR="00D061AA" w:rsidRPr="00C52C4C" w:rsidRDefault="00D061AA" w:rsidP="00D061AA">
      <w:pPr>
        <w:pStyle w:val="Textonotaalfinal"/>
        <w:rPr>
          <w:szCs w:val="22"/>
          <w:lang w:val="es-ES_tradnl"/>
        </w:rPr>
      </w:pPr>
    </w:p>
    <w:p w14:paraId="6DB4C887" w14:textId="77777777" w:rsidR="00D061AA" w:rsidRPr="00C52C4C" w:rsidRDefault="00D061AA" w:rsidP="00D061AA">
      <w:pPr>
        <w:pStyle w:val="Textonotaalfinal"/>
        <w:rPr>
          <w:szCs w:val="22"/>
          <w:lang w:val="es-ES_tradnl"/>
        </w:rPr>
      </w:pPr>
      <w:r w:rsidRPr="00C52C4C">
        <w:rPr>
          <w:szCs w:val="22"/>
          <w:lang w:val="es-ES_tradnl"/>
        </w:rPr>
        <w:t xml:space="preserve">Informe a su médico si está usando los siguientes medicamentos, ya que el tratamiento simultáneo con </w:t>
      </w:r>
      <w:r w:rsidR="008D11BB" w:rsidRPr="00C52C4C">
        <w:rPr>
          <w:bCs/>
          <w:szCs w:val="22"/>
          <w:lang w:val="es-ES_tradnl"/>
        </w:rPr>
        <w:t>Voriconazol</w:t>
      </w:r>
      <w:r w:rsidR="003D734F" w:rsidRPr="00C52C4C">
        <w:rPr>
          <w:bCs/>
          <w:szCs w:val="22"/>
          <w:lang w:val="es-ES_tradnl"/>
        </w:rPr>
        <w:t xml:space="preserve"> Accord</w:t>
      </w:r>
      <w:r w:rsidR="003D734F" w:rsidRPr="00C52C4C">
        <w:rPr>
          <w:b/>
          <w:bCs/>
          <w:szCs w:val="22"/>
          <w:lang w:val="es-ES_tradnl"/>
        </w:rPr>
        <w:t xml:space="preserve"> </w:t>
      </w:r>
      <w:r w:rsidRPr="00C52C4C">
        <w:rPr>
          <w:szCs w:val="22"/>
          <w:lang w:val="es-ES_tradnl"/>
        </w:rPr>
        <w:t>debe evitarse si es posible:</w:t>
      </w:r>
    </w:p>
    <w:p w14:paraId="4B7DDFA6" w14:textId="77777777" w:rsidR="00D061AA" w:rsidRPr="00C52C4C" w:rsidRDefault="00D061AA" w:rsidP="00D061AA">
      <w:pPr>
        <w:pStyle w:val="Textonotaalfinal"/>
        <w:rPr>
          <w:szCs w:val="22"/>
          <w:lang w:val="es-ES_tradnl"/>
        </w:rPr>
      </w:pPr>
    </w:p>
    <w:p w14:paraId="36F9BFD8" w14:textId="77777777" w:rsidR="00D00CF2" w:rsidRDefault="00D061AA" w:rsidP="00D00CF2">
      <w:pPr>
        <w:pStyle w:val="Textonotaalfinal"/>
        <w:numPr>
          <w:ilvl w:val="0"/>
          <w:numId w:val="4"/>
        </w:numPr>
        <w:tabs>
          <w:tab w:val="clear" w:pos="720"/>
        </w:tabs>
        <w:ind w:left="360"/>
        <w:rPr>
          <w:szCs w:val="22"/>
          <w:lang w:val="es-ES_tradnl"/>
        </w:rPr>
      </w:pPr>
      <w:r w:rsidRPr="00C52C4C">
        <w:rPr>
          <w:szCs w:val="22"/>
          <w:lang w:val="es-ES_tradnl"/>
        </w:rPr>
        <w:t>Ritonavir (utilizado para el tratamiento del VIH) a dosis de 100 mg dos veces al día.</w:t>
      </w:r>
      <w:r w:rsidR="00D00CF2" w:rsidRPr="002869DC">
        <w:rPr>
          <w:lang w:val="es-ES"/>
        </w:rPr>
        <w:t xml:space="preserve"> </w:t>
      </w:r>
    </w:p>
    <w:p w14:paraId="26418176" w14:textId="77777777" w:rsidR="00D061AA" w:rsidRPr="00D00CF2" w:rsidRDefault="00D00CF2" w:rsidP="00041B44">
      <w:pPr>
        <w:pStyle w:val="Textonotaalfinal"/>
        <w:numPr>
          <w:ilvl w:val="0"/>
          <w:numId w:val="4"/>
        </w:numPr>
        <w:tabs>
          <w:tab w:val="clear" w:pos="720"/>
        </w:tabs>
        <w:ind w:left="567" w:hanging="567"/>
        <w:rPr>
          <w:szCs w:val="22"/>
          <w:lang w:val="es-ES_tradnl"/>
        </w:rPr>
      </w:pPr>
      <w:r w:rsidRPr="00D00CF2">
        <w:rPr>
          <w:szCs w:val="22"/>
          <w:lang w:val="es-ES_tradnl"/>
        </w:rPr>
        <w:t>Glasdegib (utilizado para el tratamiento del cáncer); si necesita utilizar ambos medicamentos, su  médico monitorizará su ritmo cardíaco frecuentemente.</w:t>
      </w:r>
    </w:p>
    <w:p w14:paraId="3A1043FD" w14:textId="77777777" w:rsidR="00D061AA" w:rsidRPr="00C52C4C" w:rsidRDefault="00D061AA" w:rsidP="00D061AA">
      <w:pPr>
        <w:pStyle w:val="Textonotaalfinal"/>
        <w:ind w:left="360"/>
        <w:rPr>
          <w:szCs w:val="22"/>
          <w:lang w:val="es-ES_tradnl"/>
        </w:rPr>
      </w:pPr>
    </w:p>
    <w:p w14:paraId="1D0D1CA0" w14:textId="77777777" w:rsidR="00D061AA" w:rsidRPr="00C52C4C" w:rsidRDefault="00D061AA" w:rsidP="00D061AA">
      <w:pPr>
        <w:pStyle w:val="Textonotaalfinal"/>
        <w:rPr>
          <w:szCs w:val="22"/>
          <w:lang w:val="es-ES_tradnl"/>
        </w:rPr>
      </w:pPr>
      <w:r w:rsidRPr="00C52C4C">
        <w:rPr>
          <w:szCs w:val="22"/>
          <w:lang w:val="es-ES_tradnl"/>
        </w:rPr>
        <w:t>Informe a su médico si está usando cualquiera de los siguientes medicamentos, ya que</w:t>
      </w:r>
      <w:r w:rsidR="0019701F">
        <w:rPr>
          <w:szCs w:val="22"/>
          <w:lang w:val="es-ES_tradnl"/>
        </w:rPr>
        <w:t xml:space="preserve"> se</w:t>
      </w:r>
      <w:r w:rsidRPr="00C52C4C">
        <w:rPr>
          <w:szCs w:val="22"/>
          <w:lang w:val="es-ES_tradnl"/>
        </w:rPr>
        <w:t xml:space="preserve"> debe evitar en la medida de lo posible el tratamiento al mismo tiempo que </w:t>
      </w:r>
      <w:r w:rsidR="008D11BB" w:rsidRPr="00C52C4C">
        <w:rPr>
          <w:bCs/>
          <w:szCs w:val="22"/>
          <w:lang w:val="es-ES_tradnl"/>
        </w:rPr>
        <w:t>Voriconazol</w:t>
      </w:r>
      <w:r w:rsidR="003D734F" w:rsidRPr="00C52C4C">
        <w:rPr>
          <w:bCs/>
          <w:szCs w:val="22"/>
          <w:lang w:val="es-ES_tradnl"/>
        </w:rPr>
        <w:t xml:space="preserve"> Accord</w:t>
      </w:r>
      <w:r w:rsidR="003D734F" w:rsidRPr="00C52C4C">
        <w:rPr>
          <w:b/>
          <w:bCs/>
          <w:szCs w:val="22"/>
          <w:lang w:val="es-ES_tradnl"/>
        </w:rPr>
        <w:t xml:space="preserve"> </w:t>
      </w:r>
      <w:r w:rsidRPr="00C52C4C">
        <w:rPr>
          <w:szCs w:val="22"/>
          <w:lang w:val="es-ES_tradnl"/>
        </w:rPr>
        <w:t>, y</w:t>
      </w:r>
      <w:r w:rsidR="0019701F">
        <w:rPr>
          <w:szCs w:val="22"/>
          <w:lang w:val="es-ES_tradnl"/>
        </w:rPr>
        <w:t xml:space="preserve"> </w:t>
      </w:r>
      <w:r w:rsidR="0019701F" w:rsidRPr="00C52C4C">
        <w:rPr>
          <w:szCs w:val="22"/>
          <w:lang w:val="es-ES_tradnl"/>
        </w:rPr>
        <w:t>se</w:t>
      </w:r>
      <w:r w:rsidRPr="00C52C4C">
        <w:rPr>
          <w:szCs w:val="22"/>
          <w:lang w:val="es-ES_tradnl"/>
        </w:rPr>
        <w:t xml:space="preserve"> puede necesitar un ajuste de la dosis de voriconazol:</w:t>
      </w:r>
    </w:p>
    <w:p w14:paraId="1B0FE631" w14:textId="77777777" w:rsidR="00D061AA" w:rsidRPr="00C52C4C" w:rsidRDefault="00D061AA" w:rsidP="00D061AA">
      <w:pPr>
        <w:pStyle w:val="Textonotaalfinal"/>
        <w:rPr>
          <w:szCs w:val="22"/>
          <w:lang w:val="es-ES_tradnl"/>
        </w:rPr>
      </w:pPr>
    </w:p>
    <w:p w14:paraId="4BFEA4E4" w14:textId="77777777" w:rsidR="00D061AA" w:rsidRPr="00C52C4C" w:rsidRDefault="00D061AA" w:rsidP="00623360">
      <w:pPr>
        <w:numPr>
          <w:ilvl w:val="0"/>
          <w:numId w:val="1"/>
        </w:numPr>
        <w:tabs>
          <w:tab w:val="clear" w:pos="360"/>
          <w:tab w:val="left" w:pos="567"/>
        </w:tabs>
        <w:ind w:left="567" w:hanging="567"/>
        <w:rPr>
          <w:sz w:val="22"/>
          <w:szCs w:val="22"/>
          <w:lang w:val="es-ES_tradnl"/>
        </w:rPr>
      </w:pPr>
      <w:r w:rsidRPr="00C52C4C">
        <w:rPr>
          <w:sz w:val="22"/>
          <w:szCs w:val="22"/>
          <w:lang w:val="es-ES_tradnl"/>
        </w:rPr>
        <w:t>Rifabutina (utilizado para el tratamiento de la tuberculosis). Si usted ya está en tratamiento con rifabutina, será necesario controlar su recuento sanguíneo y los efectos adversos de rifabutina.</w:t>
      </w:r>
    </w:p>
    <w:p w14:paraId="0308966C" w14:textId="77777777" w:rsidR="00D061AA" w:rsidRPr="00C52C4C" w:rsidRDefault="0019701F" w:rsidP="00F65F25">
      <w:pPr>
        <w:tabs>
          <w:tab w:val="left" w:pos="567"/>
        </w:tabs>
        <w:rPr>
          <w:sz w:val="22"/>
          <w:szCs w:val="22"/>
          <w:lang w:val="es-ES_tradnl"/>
        </w:rPr>
      </w:pPr>
      <w:r>
        <w:rPr>
          <w:sz w:val="22"/>
          <w:szCs w:val="22"/>
          <w:lang w:val="es-ES_tradnl"/>
        </w:rPr>
        <w:tab/>
      </w:r>
      <w:r w:rsidR="00D061AA" w:rsidRPr="00C52C4C">
        <w:rPr>
          <w:sz w:val="22"/>
          <w:szCs w:val="22"/>
          <w:lang w:val="es-ES_tradnl"/>
        </w:rPr>
        <w:t xml:space="preserve">Fenitoína (utilizado para tratar la epilepsia). Si usted ya está en tratamiento con fenitoína, será </w:t>
      </w:r>
      <w:r w:rsidR="00C3524C">
        <w:rPr>
          <w:sz w:val="22"/>
          <w:szCs w:val="22"/>
          <w:lang w:val="es-ES_tradnl"/>
        </w:rPr>
        <w:tab/>
      </w:r>
      <w:r w:rsidR="00D061AA" w:rsidRPr="00C52C4C">
        <w:rPr>
          <w:sz w:val="22"/>
          <w:szCs w:val="22"/>
          <w:lang w:val="es-ES_tradnl"/>
        </w:rPr>
        <w:t xml:space="preserve">necesario controlar la concentración de fenitoína en su sangre durante su tratamiento con </w:t>
      </w:r>
      <w:r w:rsidR="00C3524C">
        <w:rPr>
          <w:sz w:val="22"/>
          <w:szCs w:val="22"/>
          <w:lang w:val="es-ES_tradnl"/>
        </w:rPr>
        <w:tab/>
      </w:r>
      <w:r w:rsidR="008D11BB"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00D061AA" w:rsidRPr="00C52C4C">
        <w:rPr>
          <w:sz w:val="22"/>
          <w:szCs w:val="22"/>
          <w:lang w:val="es-ES_tradnl"/>
        </w:rPr>
        <w:t>y podría ser necesario ajustar su dosis.</w:t>
      </w:r>
    </w:p>
    <w:p w14:paraId="7B7F6DAB" w14:textId="77777777" w:rsidR="00D061AA" w:rsidRPr="00C52C4C" w:rsidRDefault="00D061AA" w:rsidP="00D061AA">
      <w:pPr>
        <w:tabs>
          <w:tab w:val="left" w:pos="567"/>
        </w:tabs>
        <w:ind w:left="567"/>
        <w:rPr>
          <w:sz w:val="22"/>
          <w:szCs w:val="22"/>
          <w:lang w:val="es-ES_tradnl"/>
        </w:rPr>
      </w:pPr>
    </w:p>
    <w:p w14:paraId="629F416B" w14:textId="77777777" w:rsidR="00D061AA" w:rsidRPr="00C52C4C" w:rsidRDefault="00D061AA" w:rsidP="00D061AA">
      <w:pPr>
        <w:tabs>
          <w:tab w:val="left" w:pos="567"/>
        </w:tabs>
        <w:rPr>
          <w:sz w:val="22"/>
          <w:szCs w:val="22"/>
          <w:lang w:val="es-ES_tradnl"/>
        </w:rPr>
      </w:pPr>
      <w:r w:rsidRPr="00C52C4C">
        <w:rPr>
          <w:sz w:val="22"/>
          <w:szCs w:val="22"/>
          <w:lang w:val="es-ES_tradnl"/>
        </w:rPr>
        <w:t xml:space="preserve">Comunique a su médico si está tomando alguno de los medicamentos siguientes, ya que puede necesitar un ajuste de dosis o un control para comprobar que estos medicamentos y/o </w:t>
      </w:r>
      <w:r w:rsidR="008D11BB" w:rsidRPr="00C52C4C">
        <w:rPr>
          <w:sz w:val="22"/>
          <w:szCs w:val="22"/>
        </w:rPr>
        <w:t>Voriconazol</w:t>
      </w:r>
      <w:r w:rsidR="005A7B15" w:rsidRPr="00C52C4C">
        <w:rPr>
          <w:sz w:val="22"/>
          <w:szCs w:val="22"/>
        </w:rPr>
        <w:t xml:space="preserve"> Accord </w:t>
      </w:r>
      <w:r w:rsidRPr="00C52C4C">
        <w:rPr>
          <w:sz w:val="22"/>
          <w:szCs w:val="22"/>
          <w:lang w:val="es-ES_tradnl"/>
        </w:rPr>
        <w:t>siguen produciendo el efecto deseado:</w:t>
      </w:r>
    </w:p>
    <w:p w14:paraId="129D7FDD" w14:textId="77777777" w:rsidR="00D061AA" w:rsidRPr="00C52C4C" w:rsidRDefault="00D061AA" w:rsidP="00D061AA">
      <w:pPr>
        <w:tabs>
          <w:tab w:val="left" w:pos="567"/>
        </w:tabs>
        <w:rPr>
          <w:sz w:val="22"/>
          <w:szCs w:val="22"/>
          <w:lang w:val="es-ES_tradnl"/>
        </w:rPr>
      </w:pPr>
    </w:p>
    <w:p w14:paraId="3F3EFA88" w14:textId="77777777" w:rsidR="00D061AA" w:rsidRPr="00C52C4C" w:rsidRDefault="00D061AA" w:rsidP="00623360">
      <w:pPr>
        <w:numPr>
          <w:ilvl w:val="0"/>
          <w:numId w:val="1"/>
        </w:numPr>
        <w:tabs>
          <w:tab w:val="clear" w:pos="360"/>
        </w:tabs>
        <w:ind w:left="600" w:hanging="600"/>
        <w:rPr>
          <w:sz w:val="22"/>
          <w:szCs w:val="22"/>
          <w:lang w:val="es-ES_tradnl"/>
        </w:rPr>
      </w:pPr>
      <w:r w:rsidRPr="00C52C4C">
        <w:rPr>
          <w:sz w:val="22"/>
          <w:szCs w:val="22"/>
          <w:lang w:val="es-ES_tradnl"/>
        </w:rPr>
        <w:t>Warfarina y otros anticoagulantes (por ejemplo: fenprocumon, acenocumarol; utilizados para disminuir la coagulación de la sangre).</w:t>
      </w:r>
    </w:p>
    <w:p w14:paraId="6E1E048D" w14:textId="77777777" w:rsidR="00D061AA" w:rsidRPr="00C52C4C" w:rsidRDefault="00D061AA" w:rsidP="00623360">
      <w:pPr>
        <w:numPr>
          <w:ilvl w:val="0"/>
          <w:numId w:val="1"/>
        </w:numPr>
        <w:tabs>
          <w:tab w:val="clear" w:pos="360"/>
        </w:tabs>
        <w:ind w:left="600" w:hanging="600"/>
        <w:rPr>
          <w:sz w:val="22"/>
          <w:szCs w:val="22"/>
          <w:lang w:val="es-ES_tradnl"/>
        </w:rPr>
      </w:pPr>
      <w:r w:rsidRPr="00C52C4C">
        <w:rPr>
          <w:sz w:val="22"/>
          <w:szCs w:val="22"/>
          <w:lang w:val="es-ES_tradnl"/>
        </w:rPr>
        <w:t>Ciclosporina (utilizado en pacientes que han recibido un trasplante).</w:t>
      </w:r>
    </w:p>
    <w:p w14:paraId="10A18A90" w14:textId="77777777" w:rsidR="00D061AA" w:rsidRPr="00C52C4C" w:rsidRDefault="00D061AA" w:rsidP="00623360">
      <w:pPr>
        <w:numPr>
          <w:ilvl w:val="0"/>
          <w:numId w:val="1"/>
        </w:numPr>
        <w:tabs>
          <w:tab w:val="clear" w:pos="360"/>
        </w:tabs>
        <w:ind w:left="600" w:hanging="600"/>
        <w:rPr>
          <w:sz w:val="22"/>
          <w:szCs w:val="22"/>
          <w:lang w:val="es-ES_tradnl"/>
        </w:rPr>
      </w:pPr>
      <w:r w:rsidRPr="00C52C4C">
        <w:rPr>
          <w:sz w:val="22"/>
          <w:szCs w:val="22"/>
          <w:lang w:val="es-ES_tradnl"/>
        </w:rPr>
        <w:t>Tacrolimus (utilizado en pacientes que han recibido un trasplante).</w:t>
      </w:r>
    </w:p>
    <w:p w14:paraId="204D7B2D" w14:textId="77777777" w:rsidR="00D061AA" w:rsidRPr="00C52C4C" w:rsidRDefault="00D061AA" w:rsidP="00623360">
      <w:pPr>
        <w:numPr>
          <w:ilvl w:val="0"/>
          <w:numId w:val="1"/>
        </w:numPr>
        <w:tabs>
          <w:tab w:val="clear" w:pos="360"/>
        </w:tabs>
        <w:ind w:left="600" w:hanging="600"/>
        <w:rPr>
          <w:sz w:val="22"/>
          <w:szCs w:val="22"/>
          <w:lang w:val="es-ES_tradnl"/>
        </w:rPr>
      </w:pPr>
      <w:r w:rsidRPr="00C52C4C">
        <w:rPr>
          <w:sz w:val="22"/>
          <w:szCs w:val="22"/>
          <w:lang w:val="es-ES_tradnl"/>
        </w:rPr>
        <w:t>Sulfonilureas (por ejemplo: tolbutamida, glipizida y gliburida) (utilizados para la diabetes).</w:t>
      </w:r>
    </w:p>
    <w:p w14:paraId="577B1E0D" w14:textId="77777777" w:rsidR="00D061AA" w:rsidRPr="00C52C4C" w:rsidRDefault="00D061AA" w:rsidP="00623360">
      <w:pPr>
        <w:numPr>
          <w:ilvl w:val="0"/>
          <w:numId w:val="1"/>
        </w:numPr>
        <w:tabs>
          <w:tab w:val="clear" w:pos="360"/>
        </w:tabs>
        <w:ind w:left="600" w:hanging="600"/>
        <w:rPr>
          <w:sz w:val="22"/>
          <w:szCs w:val="22"/>
          <w:lang w:val="es-ES_tradnl"/>
        </w:rPr>
      </w:pPr>
      <w:r w:rsidRPr="00C52C4C">
        <w:rPr>
          <w:sz w:val="22"/>
          <w:szCs w:val="22"/>
          <w:lang w:val="es-ES_tradnl"/>
        </w:rPr>
        <w:t>Estatinas (por ejemplo: atorvastatina, simvastatina) (utilizados para reducir los niveles de colesterol).</w:t>
      </w:r>
    </w:p>
    <w:p w14:paraId="293CB51C" w14:textId="77777777" w:rsidR="00D061AA" w:rsidRPr="00C52C4C" w:rsidRDefault="00D061AA" w:rsidP="00623360">
      <w:pPr>
        <w:numPr>
          <w:ilvl w:val="0"/>
          <w:numId w:val="1"/>
        </w:numPr>
        <w:tabs>
          <w:tab w:val="clear" w:pos="360"/>
        </w:tabs>
        <w:ind w:left="600" w:hanging="600"/>
        <w:rPr>
          <w:sz w:val="22"/>
          <w:szCs w:val="22"/>
          <w:lang w:val="es-ES_tradnl"/>
        </w:rPr>
      </w:pPr>
      <w:r w:rsidRPr="00C52C4C">
        <w:rPr>
          <w:sz w:val="22"/>
          <w:szCs w:val="22"/>
          <w:lang w:val="es-ES_tradnl"/>
        </w:rPr>
        <w:t>Benzodiazepinas (por ejemplo: midazolam, triazolam) (utilizados para el insomnio grave y el estrés).</w:t>
      </w:r>
    </w:p>
    <w:p w14:paraId="18FCCB97" w14:textId="77777777" w:rsidR="00D061AA" w:rsidRPr="00C52C4C" w:rsidRDefault="00D061AA" w:rsidP="00623360">
      <w:pPr>
        <w:numPr>
          <w:ilvl w:val="0"/>
          <w:numId w:val="1"/>
        </w:numPr>
        <w:tabs>
          <w:tab w:val="clear" w:pos="360"/>
        </w:tabs>
        <w:ind w:left="600" w:hanging="600"/>
        <w:rPr>
          <w:sz w:val="22"/>
          <w:szCs w:val="22"/>
          <w:lang w:val="es-ES_tradnl"/>
        </w:rPr>
      </w:pPr>
      <w:r w:rsidRPr="00C52C4C">
        <w:rPr>
          <w:sz w:val="22"/>
          <w:szCs w:val="22"/>
          <w:lang w:val="es-ES_tradnl"/>
        </w:rPr>
        <w:t>Omeprazol (utilizado para el tratamiento de úlceras de estómago).</w:t>
      </w:r>
    </w:p>
    <w:p w14:paraId="351B2038" w14:textId="77777777" w:rsidR="00D061AA" w:rsidRPr="00C52C4C" w:rsidRDefault="00D061AA" w:rsidP="00623360">
      <w:pPr>
        <w:numPr>
          <w:ilvl w:val="0"/>
          <w:numId w:val="1"/>
        </w:numPr>
        <w:tabs>
          <w:tab w:val="clear" w:pos="360"/>
        </w:tabs>
        <w:ind w:left="600" w:hanging="600"/>
        <w:rPr>
          <w:sz w:val="22"/>
          <w:szCs w:val="22"/>
          <w:lang w:val="es-ES_tradnl"/>
        </w:rPr>
      </w:pPr>
      <w:r w:rsidRPr="00C52C4C">
        <w:rPr>
          <w:sz w:val="22"/>
          <w:szCs w:val="22"/>
          <w:lang w:val="es-ES_tradnl"/>
        </w:rPr>
        <w:t xml:space="preserve">Anticonceptivos orales (si toma </w:t>
      </w:r>
      <w:r w:rsidR="008D11BB"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Pr="00C52C4C">
        <w:rPr>
          <w:sz w:val="22"/>
          <w:szCs w:val="22"/>
          <w:lang w:val="es-ES_tradnl"/>
        </w:rPr>
        <w:t>mientras está utilizando anticonceptivos orales, puede experimentar efectos adversos como náuseas y trastornos menstruales).</w:t>
      </w:r>
    </w:p>
    <w:p w14:paraId="6CAFDF4E" w14:textId="77777777" w:rsidR="00D00CF2" w:rsidRDefault="00D061AA" w:rsidP="00041B44">
      <w:pPr>
        <w:numPr>
          <w:ilvl w:val="0"/>
          <w:numId w:val="1"/>
        </w:numPr>
        <w:tabs>
          <w:tab w:val="clear" w:pos="360"/>
        </w:tabs>
        <w:ind w:left="567" w:hanging="567"/>
        <w:rPr>
          <w:sz w:val="22"/>
          <w:szCs w:val="22"/>
          <w:lang w:val="es-ES_tradnl"/>
        </w:rPr>
      </w:pPr>
      <w:r w:rsidRPr="00C52C4C">
        <w:rPr>
          <w:sz w:val="22"/>
          <w:szCs w:val="22"/>
          <w:lang w:val="es-ES_tradnl"/>
        </w:rPr>
        <w:t>Alcaloides de la vinca (por ejemplo: vincristina y vinblastina) (utilizados para tratar el cáncer).</w:t>
      </w:r>
    </w:p>
    <w:p w14:paraId="3216A0CF" w14:textId="77777777" w:rsidR="00D00CF2" w:rsidRDefault="00D00CF2" w:rsidP="00041B44">
      <w:pPr>
        <w:numPr>
          <w:ilvl w:val="0"/>
          <w:numId w:val="1"/>
        </w:numPr>
        <w:tabs>
          <w:tab w:val="clear" w:pos="360"/>
        </w:tabs>
        <w:ind w:left="567" w:hanging="567"/>
        <w:rPr>
          <w:sz w:val="22"/>
          <w:szCs w:val="22"/>
          <w:lang w:val="es-ES_tradnl"/>
        </w:rPr>
      </w:pPr>
      <w:r w:rsidRPr="00D00CF2">
        <w:rPr>
          <w:sz w:val="22"/>
          <w:szCs w:val="22"/>
          <w:lang w:val="es-ES_tradnl"/>
        </w:rPr>
        <w:lastRenderedPageBreak/>
        <w:t>Inhibidores de la tirosin quinasa (por ejemplo, axitinib, bosutinib, cabozantinib, ceritinib,  cobimetinib, dabrafenib, dasatinib, nilotinib, sunitinib, ibrutinib, ribociclib) (utilizados para tratar el cáncer).</w:t>
      </w:r>
    </w:p>
    <w:p w14:paraId="2923E736" w14:textId="77777777" w:rsidR="00D061AA" w:rsidRPr="00D00CF2" w:rsidRDefault="00D00CF2" w:rsidP="00041B44">
      <w:pPr>
        <w:numPr>
          <w:ilvl w:val="0"/>
          <w:numId w:val="1"/>
        </w:numPr>
        <w:tabs>
          <w:tab w:val="clear" w:pos="360"/>
        </w:tabs>
        <w:ind w:left="567" w:hanging="567"/>
        <w:rPr>
          <w:sz w:val="22"/>
          <w:szCs w:val="22"/>
          <w:lang w:val="es-ES_tradnl"/>
        </w:rPr>
      </w:pPr>
      <w:r w:rsidRPr="00D00CF2">
        <w:rPr>
          <w:sz w:val="22"/>
          <w:szCs w:val="22"/>
          <w:lang w:val="es-ES_tradnl"/>
        </w:rPr>
        <w:t>Tretinoína (utilizado para tratar la leucemia).</w:t>
      </w:r>
    </w:p>
    <w:p w14:paraId="6169DD6E" w14:textId="77777777" w:rsidR="00D061AA" w:rsidRPr="00C52C4C" w:rsidRDefault="00D061AA" w:rsidP="00623360">
      <w:pPr>
        <w:numPr>
          <w:ilvl w:val="0"/>
          <w:numId w:val="1"/>
        </w:numPr>
        <w:tabs>
          <w:tab w:val="clear" w:pos="360"/>
        </w:tabs>
        <w:ind w:left="600" w:hanging="600"/>
        <w:rPr>
          <w:sz w:val="22"/>
          <w:szCs w:val="22"/>
          <w:lang w:val="es-ES_tradnl"/>
        </w:rPr>
      </w:pPr>
      <w:r w:rsidRPr="00C52C4C">
        <w:rPr>
          <w:sz w:val="22"/>
          <w:szCs w:val="22"/>
          <w:lang w:val="es-ES_tradnl"/>
        </w:rPr>
        <w:t>Indinavir y otros inhibidores de la proteasa del VIH (utilizados para tratar la infección por VIH).</w:t>
      </w:r>
    </w:p>
    <w:p w14:paraId="3560A47F" w14:textId="77777777" w:rsidR="00D061AA" w:rsidRPr="00C52C4C" w:rsidRDefault="00D061AA" w:rsidP="00623360">
      <w:pPr>
        <w:numPr>
          <w:ilvl w:val="0"/>
          <w:numId w:val="1"/>
        </w:numPr>
        <w:tabs>
          <w:tab w:val="clear" w:pos="360"/>
        </w:tabs>
        <w:ind w:left="600" w:hanging="600"/>
        <w:rPr>
          <w:sz w:val="22"/>
          <w:szCs w:val="22"/>
          <w:lang w:val="es-ES_tradnl"/>
        </w:rPr>
      </w:pPr>
      <w:r w:rsidRPr="00C52C4C">
        <w:rPr>
          <w:sz w:val="22"/>
          <w:szCs w:val="22"/>
          <w:lang w:val="es-ES_tradnl"/>
        </w:rPr>
        <w:t xml:space="preserve">Inhibidores de la transcriptasa inversa no nucleósidos (por ejemplo: efavirenz, delavirdina y nevirapina) (utilizados para tratar la infección por VIH) (algunas dosis de efavirenz </w:t>
      </w:r>
      <w:smartTag w:uri="urn:schemas-microsoft-com:office:smarttags" w:element="PersonName">
        <w:r w:rsidRPr="00C52C4C">
          <w:rPr>
            <w:sz w:val="22"/>
            <w:szCs w:val="22"/>
            <w:lang w:val="es-ES_tradnl"/>
          </w:rPr>
          <w:t>NO</w:t>
        </w:r>
      </w:smartTag>
      <w:r w:rsidRPr="00C52C4C">
        <w:rPr>
          <w:sz w:val="22"/>
          <w:szCs w:val="22"/>
          <w:lang w:val="es-ES_tradnl"/>
        </w:rPr>
        <w:t xml:space="preserve"> pueden tomarse al mismo tiempo que </w:t>
      </w:r>
      <w:r w:rsidR="008D11BB" w:rsidRPr="00C52C4C">
        <w:rPr>
          <w:bCs/>
          <w:sz w:val="22"/>
          <w:szCs w:val="22"/>
        </w:rPr>
        <w:t>Voriconazol</w:t>
      </w:r>
      <w:r w:rsidR="003D734F" w:rsidRPr="00C52C4C">
        <w:rPr>
          <w:bCs/>
          <w:sz w:val="22"/>
          <w:szCs w:val="22"/>
        </w:rPr>
        <w:t xml:space="preserve"> Accord</w:t>
      </w:r>
      <w:r w:rsidRPr="00C52C4C">
        <w:rPr>
          <w:sz w:val="22"/>
          <w:szCs w:val="22"/>
          <w:lang w:val="es-ES_tradnl"/>
        </w:rPr>
        <w:t>).</w:t>
      </w:r>
    </w:p>
    <w:p w14:paraId="57936651" w14:textId="77777777" w:rsidR="00D061AA" w:rsidRPr="00C52C4C" w:rsidRDefault="00D061AA" w:rsidP="00623360">
      <w:pPr>
        <w:numPr>
          <w:ilvl w:val="0"/>
          <w:numId w:val="1"/>
        </w:numPr>
        <w:tabs>
          <w:tab w:val="clear" w:pos="360"/>
        </w:tabs>
        <w:ind w:left="600" w:hanging="600"/>
        <w:rPr>
          <w:sz w:val="22"/>
          <w:szCs w:val="22"/>
          <w:lang w:val="es-ES_tradnl"/>
        </w:rPr>
      </w:pPr>
      <w:r w:rsidRPr="00C52C4C">
        <w:rPr>
          <w:sz w:val="22"/>
          <w:szCs w:val="22"/>
          <w:lang w:val="es-ES_tradnl"/>
        </w:rPr>
        <w:t>Metadona (utilizada para tratar la adicción a la heroína).</w:t>
      </w:r>
    </w:p>
    <w:p w14:paraId="4CC90485" w14:textId="77777777" w:rsidR="00D061AA" w:rsidRPr="00C52C4C" w:rsidRDefault="00D061AA" w:rsidP="00623360">
      <w:pPr>
        <w:numPr>
          <w:ilvl w:val="0"/>
          <w:numId w:val="1"/>
        </w:numPr>
        <w:tabs>
          <w:tab w:val="clear" w:pos="360"/>
        </w:tabs>
        <w:ind w:left="600" w:hanging="600"/>
        <w:rPr>
          <w:sz w:val="22"/>
          <w:szCs w:val="22"/>
          <w:lang w:val="es-ES_tradnl"/>
        </w:rPr>
      </w:pPr>
      <w:r w:rsidRPr="00C52C4C">
        <w:rPr>
          <w:sz w:val="22"/>
          <w:szCs w:val="22"/>
          <w:lang w:val="es-ES_tradnl"/>
        </w:rPr>
        <w:t>Alfentanilo, fentanilo y otros opiáceos de acción corta tales como sufentanilo (analgésicos usados para operaciones).</w:t>
      </w:r>
    </w:p>
    <w:p w14:paraId="56BF4D03" w14:textId="77777777" w:rsidR="00D061AA" w:rsidRPr="00C52C4C" w:rsidRDefault="00D061AA" w:rsidP="00623360">
      <w:pPr>
        <w:numPr>
          <w:ilvl w:val="0"/>
          <w:numId w:val="1"/>
        </w:numPr>
        <w:tabs>
          <w:tab w:val="clear" w:pos="360"/>
        </w:tabs>
        <w:ind w:left="600" w:hanging="600"/>
        <w:rPr>
          <w:sz w:val="22"/>
          <w:szCs w:val="22"/>
          <w:lang w:val="es-ES_tradnl"/>
        </w:rPr>
      </w:pPr>
      <w:r w:rsidRPr="00C52C4C">
        <w:rPr>
          <w:sz w:val="22"/>
          <w:szCs w:val="22"/>
          <w:lang w:val="es-ES_tradnl"/>
        </w:rPr>
        <w:t>Oxicodona y otros opiáceos de acción prolongada como hidrocodona (utilizados para tratar el dolor moderado a grave).</w:t>
      </w:r>
    </w:p>
    <w:p w14:paraId="03FA5F1C" w14:textId="77777777" w:rsidR="00D061AA" w:rsidRPr="00C52C4C" w:rsidRDefault="00D061AA" w:rsidP="00623360">
      <w:pPr>
        <w:numPr>
          <w:ilvl w:val="0"/>
          <w:numId w:val="1"/>
        </w:numPr>
        <w:tabs>
          <w:tab w:val="clear" w:pos="360"/>
        </w:tabs>
        <w:ind w:left="600" w:hanging="600"/>
        <w:rPr>
          <w:sz w:val="22"/>
          <w:szCs w:val="22"/>
          <w:lang w:val="es-ES_tradnl"/>
        </w:rPr>
      </w:pPr>
      <w:r w:rsidRPr="00C52C4C">
        <w:rPr>
          <w:sz w:val="22"/>
          <w:szCs w:val="22"/>
          <w:lang w:val="es-ES_tradnl"/>
        </w:rPr>
        <w:t>Medicamentos antiinflamatorios no esteroideos (por ejemplo, ibuprofeno, diclofenaco) (utilizados para tratar el dolor y la inflamación).</w:t>
      </w:r>
    </w:p>
    <w:p w14:paraId="371F61AE" w14:textId="77777777" w:rsidR="00D061AA" w:rsidRPr="00C52C4C" w:rsidRDefault="00D061AA" w:rsidP="00623360">
      <w:pPr>
        <w:numPr>
          <w:ilvl w:val="0"/>
          <w:numId w:val="1"/>
        </w:numPr>
        <w:tabs>
          <w:tab w:val="clear" w:pos="360"/>
        </w:tabs>
        <w:ind w:left="600" w:hanging="600"/>
        <w:rPr>
          <w:sz w:val="22"/>
          <w:szCs w:val="22"/>
          <w:lang w:val="es-ES_tradnl"/>
        </w:rPr>
      </w:pPr>
      <w:r w:rsidRPr="00C52C4C">
        <w:rPr>
          <w:sz w:val="22"/>
          <w:szCs w:val="22"/>
          <w:lang w:val="es-ES_tradnl"/>
        </w:rPr>
        <w:t>Fluconazol (utilizado para tratar infecciones por hongos).</w:t>
      </w:r>
    </w:p>
    <w:p w14:paraId="49F32601" w14:textId="77777777" w:rsidR="00D061AA" w:rsidRDefault="00D061AA" w:rsidP="00623360">
      <w:pPr>
        <w:numPr>
          <w:ilvl w:val="0"/>
          <w:numId w:val="1"/>
        </w:numPr>
        <w:tabs>
          <w:tab w:val="clear" w:pos="360"/>
        </w:tabs>
        <w:ind w:left="600" w:hanging="600"/>
        <w:rPr>
          <w:sz w:val="22"/>
          <w:szCs w:val="22"/>
          <w:lang w:val="es-ES_tradnl"/>
        </w:rPr>
      </w:pPr>
      <w:r w:rsidRPr="00C52C4C">
        <w:rPr>
          <w:sz w:val="22"/>
          <w:szCs w:val="22"/>
          <w:lang w:val="es-ES_tradnl"/>
        </w:rPr>
        <w:t>Everolimus (usado para tratar el cáncer de riñón avanzado y en pacientes que han recibido un trasplante).</w:t>
      </w:r>
    </w:p>
    <w:p w14:paraId="1005CD62" w14:textId="77777777" w:rsidR="00D21953" w:rsidRDefault="00D21953" w:rsidP="00D21953">
      <w:pPr>
        <w:numPr>
          <w:ilvl w:val="0"/>
          <w:numId w:val="1"/>
        </w:numPr>
        <w:tabs>
          <w:tab w:val="clear" w:pos="360"/>
        </w:tabs>
        <w:rPr>
          <w:sz w:val="22"/>
          <w:szCs w:val="22"/>
          <w:lang w:val="es-ES_tradnl"/>
        </w:rPr>
      </w:pPr>
      <w:r w:rsidRPr="00D21953">
        <w:rPr>
          <w:sz w:val="22"/>
          <w:szCs w:val="22"/>
          <w:lang w:val="es-ES_tradnl"/>
        </w:rPr>
        <w:t>Letermovir (utilizado para prevenir la infección por citomegalovirus (CMV) tras un trasplante de médula ósea).</w:t>
      </w:r>
    </w:p>
    <w:p w14:paraId="49A4D3FC" w14:textId="57131956" w:rsidR="00D21953" w:rsidRDefault="00D21953" w:rsidP="00537D6E">
      <w:pPr>
        <w:numPr>
          <w:ilvl w:val="0"/>
          <w:numId w:val="1"/>
        </w:numPr>
        <w:tabs>
          <w:tab w:val="clear" w:pos="360"/>
        </w:tabs>
        <w:rPr>
          <w:sz w:val="22"/>
          <w:szCs w:val="22"/>
          <w:lang w:val="es-ES_tradnl"/>
        </w:rPr>
      </w:pPr>
      <w:r w:rsidRPr="00D21953">
        <w:rPr>
          <w:sz w:val="22"/>
          <w:szCs w:val="22"/>
          <w:lang w:val="es-ES_tradnl"/>
        </w:rPr>
        <w:t>Ivacaftor: utilizado para tratar la fibrosis quística.</w:t>
      </w:r>
    </w:p>
    <w:p w14:paraId="12BFD322" w14:textId="03C6B06F" w:rsidR="00651F5F" w:rsidRPr="00D21953" w:rsidRDefault="00651F5F" w:rsidP="00537D6E">
      <w:pPr>
        <w:numPr>
          <w:ilvl w:val="0"/>
          <w:numId w:val="1"/>
        </w:numPr>
        <w:tabs>
          <w:tab w:val="clear" w:pos="360"/>
        </w:tabs>
        <w:rPr>
          <w:sz w:val="22"/>
          <w:szCs w:val="22"/>
          <w:lang w:val="es-ES_tradnl"/>
        </w:rPr>
      </w:pPr>
      <w:r w:rsidRPr="00651F5F">
        <w:rPr>
          <w:sz w:val="22"/>
          <w:szCs w:val="22"/>
          <w:lang w:val="es-ES_tradnl"/>
        </w:rPr>
        <w:t>Flucloxacilina (antibiótico utilizado contra infecciones bacterianas)</w:t>
      </w:r>
    </w:p>
    <w:p w14:paraId="53654AE7" w14:textId="77777777" w:rsidR="00D061AA" w:rsidRPr="00C52C4C" w:rsidRDefault="00D061AA" w:rsidP="00D061AA">
      <w:pPr>
        <w:ind w:left="600"/>
        <w:rPr>
          <w:sz w:val="22"/>
          <w:szCs w:val="22"/>
          <w:lang w:val="es-ES_tradnl"/>
        </w:rPr>
      </w:pPr>
      <w:r w:rsidRPr="00C52C4C" w:rsidDel="00031111">
        <w:rPr>
          <w:sz w:val="22"/>
          <w:szCs w:val="22"/>
          <w:lang w:val="es-ES_tradnl"/>
        </w:rPr>
        <w:t xml:space="preserve"> </w:t>
      </w:r>
    </w:p>
    <w:p w14:paraId="6FF77062" w14:textId="77777777" w:rsidR="00D061AA" w:rsidRPr="00C52C4C" w:rsidRDefault="00D061AA" w:rsidP="00D061AA">
      <w:pPr>
        <w:keepNext/>
        <w:tabs>
          <w:tab w:val="left" w:pos="567"/>
        </w:tabs>
        <w:rPr>
          <w:b/>
          <w:sz w:val="22"/>
          <w:szCs w:val="22"/>
          <w:lang w:val="es-ES_tradnl"/>
        </w:rPr>
      </w:pPr>
      <w:r w:rsidRPr="00C52C4C">
        <w:rPr>
          <w:b/>
          <w:sz w:val="22"/>
          <w:szCs w:val="22"/>
          <w:lang w:val="es-ES_tradnl"/>
        </w:rPr>
        <w:t>Embarazo y lactancia</w:t>
      </w:r>
    </w:p>
    <w:p w14:paraId="029F5219" w14:textId="77777777" w:rsidR="00D061AA" w:rsidRPr="00C52C4C" w:rsidRDefault="00D061AA" w:rsidP="00D061AA">
      <w:pPr>
        <w:keepNext/>
        <w:tabs>
          <w:tab w:val="left" w:pos="567"/>
        </w:tabs>
        <w:rPr>
          <w:sz w:val="22"/>
          <w:szCs w:val="22"/>
          <w:lang w:val="es-ES_tradnl"/>
        </w:rPr>
      </w:pPr>
      <w:r w:rsidRPr="00C52C4C">
        <w:rPr>
          <w:sz w:val="22"/>
          <w:szCs w:val="22"/>
          <w:lang w:val="es-ES_tradnl"/>
        </w:rPr>
        <w:t>No debe to</w:t>
      </w:r>
      <w:smartTag w:uri="urn:schemas-microsoft-com:office:smarttags" w:element="PersonName">
        <w:r w:rsidRPr="00C52C4C">
          <w:rPr>
            <w:sz w:val="22"/>
            <w:szCs w:val="22"/>
            <w:lang w:val="es-ES_tradnl"/>
          </w:rPr>
          <w:t>ma</w:t>
        </w:r>
      </w:smartTag>
      <w:r w:rsidRPr="00C52C4C">
        <w:rPr>
          <w:sz w:val="22"/>
          <w:szCs w:val="22"/>
          <w:lang w:val="es-ES_tradnl"/>
        </w:rPr>
        <w:t xml:space="preserve">r </w:t>
      </w:r>
      <w:r w:rsidR="008D11BB"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Pr="00C52C4C">
        <w:rPr>
          <w:sz w:val="22"/>
          <w:szCs w:val="22"/>
          <w:lang w:val="es-ES_tradnl"/>
        </w:rPr>
        <w:t xml:space="preserve">durante el embarazo a menos que lo indique su médico. Las mujeres en edad fértil en tratamiento con </w:t>
      </w:r>
      <w:r w:rsidR="008D11BB"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Pr="00C52C4C">
        <w:rPr>
          <w:sz w:val="22"/>
          <w:szCs w:val="22"/>
          <w:lang w:val="es-ES_tradnl"/>
        </w:rPr>
        <w:t xml:space="preserve">deben utilizar anticonceptivos eficaces. Póngase en contacto inmediatamente con su médico si se queda embarazada durante el tratamiento con </w:t>
      </w:r>
      <w:r w:rsidR="008D11BB" w:rsidRPr="00C52C4C">
        <w:rPr>
          <w:bCs/>
          <w:sz w:val="22"/>
          <w:szCs w:val="22"/>
        </w:rPr>
        <w:t>Voriconazol</w:t>
      </w:r>
      <w:r w:rsidR="003D734F" w:rsidRPr="00C52C4C">
        <w:rPr>
          <w:bCs/>
          <w:sz w:val="22"/>
          <w:szCs w:val="22"/>
        </w:rPr>
        <w:t xml:space="preserve"> Accord</w:t>
      </w:r>
      <w:r w:rsidRPr="00C52C4C">
        <w:rPr>
          <w:sz w:val="22"/>
          <w:szCs w:val="22"/>
          <w:lang w:val="es-ES_tradnl"/>
        </w:rPr>
        <w:t>.</w:t>
      </w:r>
    </w:p>
    <w:p w14:paraId="351D2B2D" w14:textId="77777777" w:rsidR="00D061AA" w:rsidRPr="00C52C4C" w:rsidRDefault="00D061AA" w:rsidP="00D061AA">
      <w:pPr>
        <w:tabs>
          <w:tab w:val="left" w:pos="567"/>
        </w:tabs>
        <w:ind w:right="-2"/>
        <w:rPr>
          <w:sz w:val="22"/>
          <w:szCs w:val="22"/>
          <w:lang w:val="es-ES_tradnl"/>
        </w:rPr>
      </w:pPr>
    </w:p>
    <w:p w14:paraId="3B0E29A1" w14:textId="77777777" w:rsidR="0090615B" w:rsidRPr="00C52C4C" w:rsidRDefault="0090615B" w:rsidP="0090615B">
      <w:pPr>
        <w:pStyle w:val="Textonotaalfinal"/>
        <w:rPr>
          <w:szCs w:val="22"/>
          <w:lang w:val="es-ES_tradnl"/>
        </w:rPr>
      </w:pPr>
      <w:r w:rsidRPr="00C52C4C">
        <w:rPr>
          <w:noProof/>
          <w:szCs w:val="22"/>
          <w:lang w:val="es-ES_tradnl"/>
        </w:rPr>
        <w:t>Si está embarazada o en periodo de lactancia, cree que podría estar embarazada o tiene intención de quedarse embarazada, consulte a su médico o farmacéutico antes de utilizar este medicamento.</w:t>
      </w:r>
    </w:p>
    <w:p w14:paraId="295FCC86" w14:textId="77777777" w:rsidR="00D061AA" w:rsidRPr="00C52C4C" w:rsidRDefault="00D061AA" w:rsidP="00D061AA">
      <w:pPr>
        <w:tabs>
          <w:tab w:val="left" w:pos="567"/>
        </w:tabs>
        <w:ind w:right="-2"/>
        <w:rPr>
          <w:b/>
          <w:sz w:val="22"/>
          <w:szCs w:val="22"/>
          <w:lang w:val="es-ES_tradnl"/>
        </w:rPr>
      </w:pPr>
    </w:p>
    <w:p w14:paraId="5B35EBA6" w14:textId="77777777" w:rsidR="00D061AA" w:rsidRPr="00C52C4C" w:rsidRDefault="00D061AA" w:rsidP="00D061AA">
      <w:pPr>
        <w:tabs>
          <w:tab w:val="left" w:pos="567"/>
        </w:tabs>
        <w:ind w:right="-2"/>
        <w:rPr>
          <w:sz w:val="22"/>
          <w:szCs w:val="22"/>
          <w:lang w:val="es-ES_tradnl"/>
        </w:rPr>
      </w:pPr>
      <w:r w:rsidRPr="00C52C4C">
        <w:rPr>
          <w:b/>
          <w:sz w:val="22"/>
          <w:szCs w:val="22"/>
          <w:lang w:val="es-ES_tradnl"/>
        </w:rPr>
        <w:t>Conducción y uso de máquinas</w:t>
      </w:r>
    </w:p>
    <w:p w14:paraId="3E9E1745" w14:textId="77777777" w:rsidR="00D061AA" w:rsidRPr="00C52C4C" w:rsidRDefault="008D11BB" w:rsidP="00D061AA">
      <w:pPr>
        <w:pStyle w:val="Textonotaalfinal"/>
        <w:rPr>
          <w:szCs w:val="22"/>
          <w:lang w:val="es-ES_tradnl"/>
        </w:rPr>
      </w:pPr>
      <w:r w:rsidRPr="00C52C4C">
        <w:rPr>
          <w:bCs/>
          <w:szCs w:val="22"/>
          <w:lang w:val="es-ES_tradnl"/>
        </w:rPr>
        <w:t>Voriconazol</w:t>
      </w:r>
      <w:r w:rsidR="003D734F" w:rsidRPr="00C52C4C">
        <w:rPr>
          <w:bCs/>
          <w:szCs w:val="22"/>
          <w:lang w:val="es-ES_tradnl"/>
        </w:rPr>
        <w:t xml:space="preserve"> Accord</w:t>
      </w:r>
      <w:r w:rsidR="003D734F" w:rsidRPr="00C52C4C">
        <w:rPr>
          <w:b/>
          <w:bCs/>
          <w:szCs w:val="22"/>
          <w:lang w:val="es-ES_tradnl"/>
        </w:rPr>
        <w:t xml:space="preserve"> </w:t>
      </w:r>
      <w:r w:rsidR="00D061AA" w:rsidRPr="00C52C4C">
        <w:rPr>
          <w:szCs w:val="22"/>
          <w:lang w:val="es-ES_tradnl"/>
        </w:rPr>
        <w:t xml:space="preserve">puede producir visión borrosa o molestias por una mayor sensibilidad a la luz. En caso de que le ocurra, no conduzca ni maneje herramientas o máquinas y  comuníqueselo a su médico. </w:t>
      </w:r>
    </w:p>
    <w:p w14:paraId="51EF9558" w14:textId="77777777" w:rsidR="00D061AA" w:rsidRPr="00C52C4C" w:rsidRDefault="00D061AA" w:rsidP="00D061AA">
      <w:pPr>
        <w:tabs>
          <w:tab w:val="left" w:pos="567"/>
        </w:tabs>
        <w:ind w:right="-2"/>
        <w:rPr>
          <w:sz w:val="22"/>
          <w:szCs w:val="22"/>
          <w:lang w:val="es-ES_tradnl"/>
        </w:rPr>
      </w:pPr>
    </w:p>
    <w:p w14:paraId="6F4144A8" w14:textId="77777777" w:rsidR="00D061AA" w:rsidRPr="00C52C4C" w:rsidRDefault="008D11BB" w:rsidP="00D061AA">
      <w:pPr>
        <w:tabs>
          <w:tab w:val="left" w:pos="567"/>
        </w:tabs>
        <w:rPr>
          <w:sz w:val="22"/>
          <w:szCs w:val="22"/>
          <w:lang w:val="es-ES_tradnl"/>
        </w:rPr>
      </w:pPr>
      <w:r w:rsidRPr="00C52C4C">
        <w:rPr>
          <w:b/>
          <w:bCs/>
          <w:sz w:val="22"/>
          <w:szCs w:val="22"/>
        </w:rPr>
        <w:t>Voriconazol</w:t>
      </w:r>
      <w:r w:rsidR="003D734F" w:rsidRPr="00C52C4C">
        <w:rPr>
          <w:b/>
          <w:bCs/>
          <w:sz w:val="22"/>
          <w:szCs w:val="22"/>
        </w:rPr>
        <w:t xml:space="preserve"> Accord </w:t>
      </w:r>
      <w:r w:rsidR="00D061AA" w:rsidRPr="00C52C4C">
        <w:rPr>
          <w:b/>
          <w:sz w:val="22"/>
          <w:szCs w:val="22"/>
          <w:lang w:val="es-ES_tradnl"/>
        </w:rPr>
        <w:t>contiene lactosa</w:t>
      </w:r>
    </w:p>
    <w:p w14:paraId="35F3CC41" w14:textId="77777777" w:rsidR="00D061AA" w:rsidRDefault="00D061AA" w:rsidP="00D061AA">
      <w:pPr>
        <w:tabs>
          <w:tab w:val="left" w:pos="567"/>
        </w:tabs>
        <w:ind w:right="-29"/>
        <w:rPr>
          <w:sz w:val="22"/>
          <w:szCs w:val="22"/>
          <w:lang w:val="es-ES_tradnl"/>
        </w:rPr>
      </w:pPr>
      <w:r w:rsidRPr="00C52C4C">
        <w:rPr>
          <w:sz w:val="22"/>
          <w:szCs w:val="22"/>
          <w:lang w:val="es-ES_tradnl"/>
        </w:rPr>
        <w:t xml:space="preserve">Si su médico le ha comunicado que padece una intolerancia a algunos azúcares, </w:t>
      </w:r>
      <w:r w:rsidR="0090615B" w:rsidRPr="00C52C4C">
        <w:rPr>
          <w:sz w:val="22"/>
          <w:szCs w:val="22"/>
          <w:lang w:val="es-ES_tradnl"/>
        </w:rPr>
        <w:t xml:space="preserve">hable </w:t>
      </w:r>
      <w:r w:rsidRPr="00C52C4C">
        <w:rPr>
          <w:sz w:val="22"/>
          <w:szCs w:val="22"/>
          <w:lang w:val="es-ES_tradnl"/>
        </w:rPr>
        <w:t xml:space="preserve">con su médico antes de tomar </w:t>
      </w:r>
      <w:r w:rsidR="008D11BB" w:rsidRPr="00C52C4C">
        <w:rPr>
          <w:bCs/>
          <w:sz w:val="22"/>
          <w:szCs w:val="22"/>
        </w:rPr>
        <w:t>Voriconazol</w:t>
      </w:r>
      <w:r w:rsidR="003D734F" w:rsidRPr="00C52C4C">
        <w:rPr>
          <w:bCs/>
          <w:sz w:val="22"/>
          <w:szCs w:val="22"/>
        </w:rPr>
        <w:t xml:space="preserve"> Accord</w:t>
      </w:r>
      <w:r w:rsidRPr="00C52C4C">
        <w:rPr>
          <w:sz w:val="22"/>
          <w:szCs w:val="22"/>
          <w:lang w:val="es-ES_tradnl"/>
        </w:rPr>
        <w:t>.</w:t>
      </w:r>
    </w:p>
    <w:p w14:paraId="64EFB0C1" w14:textId="77777777" w:rsidR="00D21953" w:rsidRDefault="00D21953" w:rsidP="00D061AA">
      <w:pPr>
        <w:tabs>
          <w:tab w:val="left" w:pos="567"/>
        </w:tabs>
        <w:ind w:right="-29"/>
        <w:rPr>
          <w:sz w:val="22"/>
          <w:szCs w:val="22"/>
          <w:lang w:val="es-ES_tradnl"/>
        </w:rPr>
      </w:pPr>
    </w:p>
    <w:p w14:paraId="5A5CBF78" w14:textId="77777777" w:rsidR="00D21953" w:rsidRDefault="00D21953" w:rsidP="00D21953">
      <w:pPr>
        <w:tabs>
          <w:tab w:val="left" w:pos="567"/>
        </w:tabs>
        <w:rPr>
          <w:bCs/>
          <w:sz w:val="22"/>
          <w:szCs w:val="22"/>
          <w:lang w:val="es-ES_tradnl"/>
        </w:rPr>
      </w:pPr>
      <w:r w:rsidRPr="00C52C4C">
        <w:rPr>
          <w:b/>
          <w:bCs/>
          <w:sz w:val="22"/>
          <w:szCs w:val="22"/>
        </w:rPr>
        <w:t xml:space="preserve">Voriconazol Accord </w:t>
      </w:r>
      <w:r w:rsidRPr="00C52C4C">
        <w:rPr>
          <w:b/>
          <w:sz w:val="22"/>
          <w:szCs w:val="22"/>
          <w:lang w:val="es-ES_tradnl"/>
        </w:rPr>
        <w:t xml:space="preserve">contiene </w:t>
      </w:r>
      <w:r>
        <w:rPr>
          <w:b/>
          <w:sz w:val="22"/>
          <w:szCs w:val="22"/>
          <w:lang w:val="es-ES_tradnl"/>
        </w:rPr>
        <w:t>sodio</w:t>
      </w:r>
    </w:p>
    <w:p w14:paraId="332A32E4" w14:textId="77777777" w:rsidR="00D21953" w:rsidRPr="00D21953" w:rsidRDefault="00D21953" w:rsidP="00D21953">
      <w:pPr>
        <w:tabs>
          <w:tab w:val="left" w:pos="567"/>
        </w:tabs>
        <w:rPr>
          <w:bCs/>
          <w:sz w:val="22"/>
          <w:szCs w:val="22"/>
          <w:lang w:val="es-ES_tradnl"/>
        </w:rPr>
      </w:pPr>
      <w:r w:rsidRPr="00D21953">
        <w:rPr>
          <w:bCs/>
          <w:sz w:val="22"/>
          <w:szCs w:val="22"/>
          <w:lang w:val="es-ES_tradnl"/>
        </w:rPr>
        <w:t xml:space="preserve">Este medicamento contiene menos de </w:t>
      </w:r>
      <w:r>
        <w:rPr>
          <w:bCs/>
          <w:sz w:val="22"/>
          <w:szCs w:val="22"/>
          <w:lang w:val="es-ES_tradnl"/>
        </w:rPr>
        <w:t>23 mg (</w:t>
      </w:r>
      <w:r w:rsidRPr="00D21953">
        <w:rPr>
          <w:bCs/>
          <w:sz w:val="22"/>
          <w:szCs w:val="22"/>
          <w:lang w:val="es-ES_tradnl"/>
        </w:rPr>
        <w:t xml:space="preserve">1 mmol de sodio) por cada comprimido de 50 mg; esto </w:t>
      </w:r>
    </w:p>
    <w:p w14:paraId="74EF1590" w14:textId="77777777" w:rsidR="00D21953" w:rsidRDefault="00D21953" w:rsidP="00D21953">
      <w:pPr>
        <w:tabs>
          <w:tab w:val="left" w:pos="567"/>
        </w:tabs>
        <w:rPr>
          <w:bCs/>
          <w:sz w:val="22"/>
          <w:szCs w:val="22"/>
          <w:lang w:val="es-ES_tradnl"/>
        </w:rPr>
      </w:pPr>
      <w:r w:rsidRPr="00D21953">
        <w:rPr>
          <w:bCs/>
          <w:sz w:val="22"/>
          <w:szCs w:val="22"/>
          <w:lang w:val="es-ES_tradnl"/>
        </w:rPr>
        <w:t>es, esencialmente “exento de sodio”.</w:t>
      </w:r>
    </w:p>
    <w:p w14:paraId="131B331F" w14:textId="77777777" w:rsidR="00D21953" w:rsidRPr="00D21953" w:rsidRDefault="00D21953" w:rsidP="00D21953">
      <w:pPr>
        <w:tabs>
          <w:tab w:val="left" w:pos="567"/>
        </w:tabs>
        <w:rPr>
          <w:bCs/>
          <w:sz w:val="22"/>
          <w:szCs w:val="22"/>
          <w:lang w:val="es-ES_tradnl"/>
        </w:rPr>
      </w:pPr>
    </w:p>
    <w:p w14:paraId="1584DED7" w14:textId="77777777" w:rsidR="00D21953" w:rsidRPr="00D21953" w:rsidRDefault="00D21953" w:rsidP="00D21953">
      <w:pPr>
        <w:tabs>
          <w:tab w:val="left" w:pos="567"/>
        </w:tabs>
        <w:rPr>
          <w:bCs/>
          <w:sz w:val="22"/>
          <w:szCs w:val="22"/>
          <w:lang w:val="es-ES_tradnl"/>
        </w:rPr>
      </w:pPr>
      <w:r w:rsidRPr="00D21953">
        <w:rPr>
          <w:bCs/>
          <w:sz w:val="22"/>
          <w:szCs w:val="22"/>
          <w:lang w:val="es-ES_tradnl"/>
        </w:rPr>
        <w:t xml:space="preserve">Este medicamento contiene menos de </w:t>
      </w:r>
      <w:r>
        <w:rPr>
          <w:bCs/>
          <w:sz w:val="22"/>
          <w:szCs w:val="22"/>
          <w:lang w:val="es-ES_tradnl"/>
        </w:rPr>
        <w:t>23 mg (</w:t>
      </w:r>
      <w:r w:rsidRPr="00D21953">
        <w:rPr>
          <w:bCs/>
          <w:sz w:val="22"/>
          <w:szCs w:val="22"/>
          <w:lang w:val="es-ES_tradnl"/>
        </w:rPr>
        <w:t xml:space="preserve">1 mmol de sodio) por cada comprimido de 200 mg; esto </w:t>
      </w:r>
    </w:p>
    <w:p w14:paraId="2565A8E3" w14:textId="77777777" w:rsidR="00D21953" w:rsidRPr="00D21953" w:rsidRDefault="00D21953" w:rsidP="00D21953">
      <w:pPr>
        <w:tabs>
          <w:tab w:val="left" w:pos="567"/>
        </w:tabs>
        <w:rPr>
          <w:bCs/>
          <w:sz w:val="22"/>
          <w:szCs w:val="22"/>
          <w:lang w:val="es-ES_tradnl"/>
        </w:rPr>
      </w:pPr>
      <w:r w:rsidRPr="00D21953">
        <w:rPr>
          <w:bCs/>
          <w:sz w:val="22"/>
          <w:szCs w:val="22"/>
          <w:lang w:val="es-ES_tradnl"/>
        </w:rPr>
        <w:t>es, esencialmente “exento de sodio”.</w:t>
      </w:r>
      <w:r w:rsidRPr="00D21953">
        <w:rPr>
          <w:bCs/>
          <w:sz w:val="22"/>
          <w:szCs w:val="22"/>
          <w:lang w:val="es-ES_tradnl"/>
        </w:rPr>
        <w:cr/>
      </w:r>
    </w:p>
    <w:p w14:paraId="480CCA95" w14:textId="77777777" w:rsidR="00D21953" w:rsidRPr="00C52C4C" w:rsidRDefault="00D21953" w:rsidP="00D061AA">
      <w:pPr>
        <w:tabs>
          <w:tab w:val="left" w:pos="567"/>
        </w:tabs>
        <w:ind w:right="-29"/>
        <w:rPr>
          <w:sz w:val="22"/>
          <w:szCs w:val="22"/>
          <w:lang w:val="es-ES_tradnl"/>
        </w:rPr>
      </w:pPr>
    </w:p>
    <w:p w14:paraId="2DC47FDC" w14:textId="77777777" w:rsidR="00D061AA" w:rsidRPr="00C52C4C" w:rsidRDefault="00D061AA" w:rsidP="00D061AA">
      <w:pPr>
        <w:tabs>
          <w:tab w:val="left" w:pos="567"/>
        </w:tabs>
        <w:rPr>
          <w:sz w:val="22"/>
          <w:szCs w:val="22"/>
          <w:lang w:val="es-ES_tradnl"/>
        </w:rPr>
      </w:pPr>
    </w:p>
    <w:p w14:paraId="6669EA92" w14:textId="77777777" w:rsidR="00D061AA" w:rsidRPr="00C52C4C" w:rsidRDefault="00D061AA" w:rsidP="00D061AA">
      <w:pPr>
        <w:tabs>
          <w:tab w:val="left" w:pos="567"/>
        </w:tabs>
        <w:rPr>
          <w:sz w:val="22"/>
          <w:szCs w:val="22"/>
          <w:lang w:val="es-ES_tradnl"/>
        </w:rPr>
      </w:pPr>
    </w:p>
    <w:p w14:paraId="0858C01B" w14:textId="77777777" w:rsidR="00D061AA" w:rsidRPr="00C52C4C" w:rsidRDefault="00D061AA" w:rsidP="00C5074E">
      <w:pPr>
        <w:keepNext/>
        <w:tabs>
          <w:tab w:val="left" w:pos="567"/>
        </w:tabs>
        <w:ind w:left="540" w:hanging="540"/>
        <w:rPr>
          <w:sz w:val="22"/>
          <w:szCs w:val="22"/>
          <w:lang w:val="es-ES_tradnl"/>
        </w:rPr>
      </w:pPr>
      <w:r w:rsidRPr="00C52C4C">
        <w:rPr>
          <w:b/>
          <w:sz w:val="22"/>
          <w:szCs w:val="22"/>
          <w:lang w:val="es-ES_tradnl"/>
        </w:rPr>
        <w:lastRenderedPageBreak/>
        <w:t>3.</w:t>
      </w:r>
      <w:r w:rsidRPr="00C52C4C">
        <w:rPr>
          <w:b/>
          <w:sz w:val="22"/>
          <w:szCs w:val="22"/>
          <w:lang w:val="es-ES_tradnl"/>
        </w:rPr>
        <w:tab/>
        <w:t xml:space="preserve">Cómo tomar </w:t>
      </w:r>
      <w:r w:rsidR="008D11BB" w:rsidRPr="00C52C4C">
        <w:rPr>
          <w:b/>
          <w:bCs/>
          <w:sz w:val="22"/>
          <w:szCs w:val="22"/>
        </w:rPr>
        <w:t>Voriconazol</w:t>
      </w:r>
      <w:r w:rsidR="003D734F" w:rsidRPr="00C52C4C">
        <w:rPr>
          <w:b/>
          <w:bCs/>
          <w:sz w:val="22"/>
          <w:szCs w:val="22"/>
        </w:rPr>
        <w:t xml:space="preserve"> Accord </w:t>
      </w:r>
    </w:p>
    <w:p w14:paraId="4FCE6FD9" w14:textId="77777777" w:rsidR="00D061AA" w:rsidRPr="00C52C4C" w:rsidRDefault="00D061AA" w:rsidP="00C5074E">
      <w:pPr>
        <w:keepNext/>
        <w:tabs>
          <w:tab w:val="left" w:pos="567"/>
        </w:tabs>
        <w:rPr>
          <w:sz w:val="22"/>
          <w:szCs w:val="22"/>
          <w:lang w:val="es-ES_tradnl"/>
        </w:rPr>
      </w:pPr>
    </w:p>
    <w:p w14:paraId="3DA5BFD5" w14:textId="77777777" w:rsidR="00D061AA" w:rsidRPr="00C52C4C" w:rsidRDefault="00D061AA" w:rsidP="00C5074E">
      <w:pPr>
        <w:keepNext/>
        <w:tabs>
          <w:tab w:val="left" w:pos="567"/>
        </w:tabs>
        <w:rPr>
          <w:sz w:val="22"/>
          <w:szCs w:val="22"/>
          <w:lang w:val="es-ES_tradnl"/>
        </w:rPr>
      </w:pPr>
      <w:r w:rsidRPr="00C52C4C">
        <w:rPr>
          <w:sz w:val="22"/>
          <w:szCs w:val="22"/>
          <w:lang w:val="es-ES_tradnl"/>
        </w:rPr>
        <w:t>Siga exactamente las instrucciones de administración de este medicamento indicadas por su médico. En caso de duda, consulte de nuevo a su médico o farmacéutico.</w:t>
      </w:r>
    </w:p>
    <w:p w14:paraId="1ABD2CB7" w14:textId="77777777" w:rsidR="00D061AA" w:rsidRPr="00C52C4C" w:rsidRDefault="00D061AA" w:rsidP="00C5074E">
      <w:pPr>
        <w:keepNext/>
        <w:tabs>
          <w:tab w:val="left" w:pos="567"/>
        </w:tabs>
        <w:rPr>
          <w:sz w:val="22"/>
          <w:szCs w:val="22"/>
          <w:lang w:val="es-ES_tradnl"/>
        </w:rPr>
      </w:pPr>
    </w:p>
    <w:p w14:paraId="66693641" w14:textId="77777777" w:rsidR="00D061AA" w:rsidRPr="00C52C4C" w:rsidRDefault="00D061AA" w:rsidP="00D061AA">
      <w:pPr>
        <w:tabs>
          <w:tab w:val="left" w:pos="567"/>
        </w:tabs>
        <w:ind w:right="-2"/>
        <w:rPr>
          <w:sz w:val="22"/>
          <w:szCs w:val="22"/>
          <w:lang w:val="es-ES_tradnl"/>
        </w:rPr>
      </w:pPr>
      <w:r w:rsidRPr="00C52C4C">
        <w:rPr>
          <w:sz w:val="22"/>
          <w:szCs w:val="22"/>
          <w:lang w:val="es-ES_tradnl"/>
        </w:rPr>
        <w:t>Su médico determinará la dosis dependiendo de su peso y del tipo de infección que tenga.</w:t>
      </w:r>
    </w:p>
    <w:p w14:paraId="6D534A48" w14:textId="77777777" w:rsidR="00D061AA" w:rsidRPr="00C52C4C" w:rsidRDefault="00D061AA" w:rsidP="00D061AA">
      <w:pPr>
        <w:tabs>
          <w:tab w:val="left" w:pos="567"/>
        </w:tabs>
        <w:ind w:right="-2"/>
        <w:rPr>
          <w:sz w:val="22"/>
          <w:szCs w:val="22"/>
          <w:lang w:val="es-ES_tradnl"/>
        </w:rPr>
      </w:pPr>
    </w:p>
    <w:p w14:paraId="2F5590DC" w14:textId="77777777" w:rsidR="00D061AA" w:rsidRPr="00C52C4C" w:rsidRDefault="00D061AA" w:rsidP="00D061AA">
      <w:pPr>
        <w:tabs>
          <w:tab w:val="left" w:pos="567"/>
        </w:tabs>
        <w:ind w:right="-2"/>
        <w:rPr>
          <w:sz w:val="22"/>
          <w:szCs w:val="22"/>
          <w:lang w:val="es-ES_tradnl"/>
        </w:rPr>
      </w:pPr>
      <w:r w:rsidRPr="00C52C4C">
        <w:rPr>
          <w:sz w:val="22"/>
          <w:szCs w:val="22"/>
          <w:lang w:val="es-ES_tradnl"/>
        </w:rPr>
        <w:t>La dosis recomendada en adultos (incluyendo pacientes de edad avanzada) es la siguiente:</w:t>
      </w:r>
    </w:p>
    <w:p w14:paraId="00A3268F" w14:textId="77777777" w:rsidR="00D061AA" w:rsidRPr="00C52C4C" w:rsidRDefault="00D061AA" w:rsidP="00D061AA">
      <w:pPr>
        <w:tabs>
          <w:tab w:val="left" w:pos="567"/>
        </w:tabs>
        <w:ind w:right="-2"/>
        <w:rPr>
          <w:sz w:val="22"/>
          <w:szCs w:val="22"/>
          <w:lang w:val="es-ES_tradnl"/>
        </w:rPr>
      </w:pPr>
    </w:p>
    <w:tbl>
      <w:tblPr>
        <w:tblW w:w="9073" w:type="dxa"/>
        <w:tblInd w:w="-70" w:type="dxa"/>
        <w:tblBorders>
          <w:top w:val="single" w:sz="18" w:space="0" w:color="auto"/>
          <w:left w:val="single" w:sz="18" w:space="0" w:color="auto"/>
          <w:bottom w:val="single" w:sz="18" w:space="0" w:color="auto"/>
          <w:right w:val="single" w:sz="18" w:space="0" w:color="auto"/>
        </w:tblBorders>
        <w:tblLayout w:type="fixed"/>
        <w:tblCellMar>
          <w:left w:w="72" w:type="dxa"/>
          <w:right w:w="72" w:type="dxa"/>
        </w:tblCellMar>
        <w:tblLook w:val="0000" w:firstRow="0" w:lastRow="0" w:firstColumn="0" w:lastColumn="0" w:noHBand="0" w:noVBand="0"/>
      </w:tblPr>
      <w:tblGrid>
        <w:gridCol w:w="3544"/>
        <w:gridCol w:w="2764"/>
        <w:gridCol w:w="2765"/>
      </w:tblGrid>
      <w:tr w:rsidR="00D061AA" w:rsidRPr="00C52C4C" w14:paraId="168A54E4" w14:textId="77777777" w:rsidTr="00EE4A64">
        <w:trPr>
          <w:trHeight w:val="40"/>
        </w:trPr>
        <w:tc>
          <w:tcPr>
            <w:tcW w:w="3544" w:type="dxa"/>
            <w:tcBorders>
              <w:top w:val="single" w:sz="4" w:space="0" w:color="auto"/>
              <w:left w:val="single" w:sz="4" w:space="0" w:color="auto"/>
              <w:bottom w:val="nil"/>
              <w:right w:val="single" w:sz="4" w:space="0" w:color="auto"/>
            </w:tcBorders>
            <w:vAlign w:val="center"/>
          </w:tcPr>
          <w:p w14:paraId="0E0AFF3D" w14:textId="77777777" w:rsidR="00D061AA" w:rsidRPr="00C52C4C" w:rsidRDefault="00D061AA" w:rsidP="00EE4A64">
            <w:pPr>
              <w:tabs>
                <w:tab w:val="left" w:pos="567"/>
              </w:tabs>
              <w:spacing w:before="60" w:after="60"/>
              <w:jc w:val="center"/>
              <w:rPr>
                <w:sz w:val="22"/>
                <w:szCs w:val="22"/>
                <w:lang w:val="es-ES_tradnl"/>
              </w:rPr>
            </w:pPr>
          </w:p>
        </w:tc>
        <w:tc>
          <w:tcPr>
            <w:tcW w:w="5529" w:type="dxa"/>
            <w:gridSpan w:val="2"/>
            <w:tcBorders>
              <w:top w:val="single" w:sz="4" w:space="0" w:color="auto"/>
              <w:left w:val="nil"/>
              <w:bottom w:val="single" w:sz="4" w:space="0" w:color="auto"/>
              <w:right w:val="single" w:sz="4" w:space="0" w:color="auto"/>
            </w:tcBorders>
            <w:vAlign w:val="center"/>
          </w:tcPr>
          <w:p w14:paraId="56EE7EFB" w14:textId="77777777" w:rsidR="00D061AA" w:rsidRPr="00C52C4C" w:rsidRDefault="00D061AA" w:rsidP="00EE4A64">
            <w:pPr>
              <w:tabs>
                <w:tab w:val="left" w:pos="567"/>
              </w:tabs>
              <w:spacing w:before="60" w:after="60"/>
              <w:jc w:val="center"/>
              <w:rPr>
                <w:sz w:val="22"/>
                <w:szCs w:val="22"/>
                <w:lang w:val="es-ES_tradnl"/>
              </w:rPr>
            </w:pPr>
            <w:r w:rsidRPr="00C52C4C">
              <w:rPr>
                <w:b/>
                <w:sz w:val="22"/>
                <w:szCs w:val="22"/>
                <w:lang w:val="es-ES_tradnl"/>
              </w:rPr>
              <w:t>Comprimidos</w:t>
            </w:r>
          </w:p>
        </w:tc>
      </w:tr>
      <w:tr w:rsidR="00D061AA" w:rsidRPr="00C52C4C" w14:paraId="56F35585" w14:textId="77777777" w:rsidTr="00EE4A64">
        <w:trPr>
          <w:trHeight w:val="40"/>
        </w:trPr>
        <w:tc>
          <w:tcPr>
            <w:tcW w:w="3544" w:type="dxa"/>
            <w:tcBorders>
              <w:top w:val="single" w:sz="4" w:space="0" w:color="auto"/>
              <w:left w:val="single" w:sz="4" w:space="0" w:color="auto"/>
              <w:bottom w:val="single" w:sz="4" w:space="0" w:color="auto"/>
              <w:right w:val="single" w:sz="4" w:space="0" w:color="auto"/>
            </w:tcBorders>
            <w:vAlign w:val="center"/>
          </w:tcPr>
          <w:p w14:paraId="53E7679F" w14:textId="77777777" w:rsidR="00D061AA" w:rsidRPr="00C52C4C" w:rsidRDefault="00D061AA" w:rsidP="00EE4A64">
            <w:pPr>
              <w:tabs>
                <w:tab w:val="left" w:pos="567"/>
              </w:tabs>
              <w:spacing w:before="60" w:after="60"/>
              <w:jc w:val="center"/>
              <w:rPr>
                <w:sz w:val="22"/>
                <w:szCs w:val="22"/>
                <w:u w:val="single"/>
                <w:lang w:val="es-ES_tradnl"/>
              </w:rPr>
            </w:pPr>
          </w:p>
        </w:tc>
        <w:tc>
          <w:tcPr>
            <w:tcW w:w="2764" w:type="dxa"/>
            <w:tcBorders>
              <w:top w:val="single" w:sz="4" w:space="0" w:color="auto"/>
              <w:left w:val="nil"/>
              <w:bottom w:val="single" w:sz="4" w:space="0" w:color="auto"/>
              <w:right w:val="single" w:sz="4" w:space="0" w:color="auto"/>
            </w:tcBorders>
            <w:vAlign w:val="center"/>
          </w:tcPr>
          <w:p w14:paraId="6F7F32D3" w14:textId="77777777" w:rsidR="00D061AA" w:rsidRPr="00C52C4C" w:rsidRDefault="00D061AA" w:rsidP="00EE4A64">
            <w:pPr>
              <w:tabs>
                <w:tab w:val="left" w:pos="567"/>
              </w:tabs>
              <w:spacing w:before="60" w:after="60"/>
              <w:jc w:val="center"/>
              <w:rPr>
                <w:sz w:val="22"/>
                <w:szCs w:val="22"/>
                <w:lang w:val="es-ES_tradnl"/>
              </w:rPr>
            </w:pPr>
            <w:r w:rsidRPr="00C52C4C">
              <w:rPr>
                <w:sz w:val="22"/>
                <w:szCs w:val="22"/>
                <w:u w:val="single"/>
                <w:lang w:val="es-ES_tradnl"/>
              </w:rPr>
              <w:t xml:space="preserve">Pacientes con peso igual o superior a </w:t>
            </w:r>
            <w:smartTag w:uri="urn:schemas-microsoft-com:office:smarttags" w:element="metricconverter">
              <w:smartTagPr>
                <w:attr w:name="ProductID" w:val="40 kg"/>
              </w:smartTagPr>
              <w:r w:rsidRPr="00C52C4C">
                <w:rPr>
                  <w:sz w:val="22"/>
                  <w:szCs w:val="22"/>
                  <w:u w:val="single"/>
                  <w:lang w:val="es-ES_tradnl"/>
                </w:rPr>
                <w:t>40 kg</w:t>
              </w:r>
            </w:smartTag>
          </w:p>
        </w:tc>
        <w:tc>
          <w:tcPr>
            <w:tcW w:w="2765" w:type="dxa"/>
            <w:tcBorders>
              <w:top w:val="single" w:sz="4" w:space="0" w:color="auto"/>
              <w:left w:val="nil"/>
              <w:bottom w:val="nil"/>
              <w:right w:val="single" w:sz="4" w:space="0" w:color="auto"/>
            </w:tcBorders>
            <w:vAlign w:val="center"/>
          </w:tcPr>
          <w:p w14:paraId="7DCDB05A" w14:textId="77777777" w:rsidR="00D061AA" w:rsidRPr="00C52C4C" w:rsidRDefault="00D061AA" w:rsidP="00EE4A64">
            <w:pPr>
              <w:tabs>
                <w:tab w:val="left" w:pos="567"/>
              </w:tabs>
              <w:spacing w:before="60" w:after="60"/>
              <w:jc w:val="center"/>
              <w:rPr>
                <w:sz w:val="22"/>
                <w:szCs w:val="22"/>
                <w:lang w:val="es-ES_tradnl"/>
              </w:rPr>
            </w:pPr>
            <w:r w:rsidRPr="00C52C4C">
              <w:rPr>
                <w:sz w:val="22"/>
                <w:szCs w:val="22"/>
                <w:u w:val="single"/>
                <w:lang w:val="es-ES_tradnl"/>
              </w:rPr>
              <w:t xml:space="preserve">Pacientes con peso inferior a </w:t>
            </w:r>
            <w:smartTag w:uri="urn:schemas-microsoft-com:office:smarttags" w:element="metricconverter">
              <w:smartTagPr>
                <w:attr w:name="ProductID" w:val="40 kg"/>
              </w:smartTagPr>
              <w:r w:rsidRPr="00C52C4C">
                <w:rPr>
                  <w:sz w:val="22"/>
                  <w:szCs w:val="22"/>
                  <w:u w:val="single"/>
                  <w:lang w:val="es-ES_tradnl"/>
                </w:rPr>
                <w:t>40 kg</w:t>
              </w:r>
            </w:smartTag>
          </w:p>
        </w:tc>
      </w:tr>
      <w:tr w:rsidR="00D061AA" w:rsidRPr="00C52C4C" w14:paraId="5503FA7E" w14:textId="77777777" w:rsidTr="00EE4A64">
        <w:trPr>
          <w:trHeight w:val="40"/>
        </w:trPr>
        <w:tc>
          <w:tcPr>
            <w:tcW w:w="3544" w:type="dxa"/>
            <w:tcBorders>
              <w:top w:val="nil"/>
              <w:left w:val="single" w:sz="4" w:space="0" w:color="auto"/>
              <w:bottom w:val="single" w:sz="4" w:space="0" w:color="auto"/>
              <w:right w:val="single" w:sz="4" w:space="0" w:color="auto"/>
            </w:tcBorders>
            <w:vAlign w:val="center"/>
          </w:tcPr>
          <w:p w14:paraId="5024ADA7" w14:textId="77777777" w:rsidR="00D061AA" w:rsidRPr="00C52C4C" w:rsidRDefault="00D061AA" w:rsidP="00EE4A64">
            <w:pPr>
              <w:tabs>
                <w:tab w:val="left" w:pos="567"/>
              </w:tabs>
              <w:spacing w:before="60" w:after="60"/>
              <w:jc w:val="center"/>
              <w:rPr>
                <w:b/>
                <w:sz w:val="22"/>
                <w:szCs w:val="22"/>
                <w:lang w:val="es-ES_tradnl"/>
              </w:rPr>
            </w:pPr>
            <w:r w:rsidRPr="00C52C4C">
              <w:rPr>
                <w:b/>
                <w:sz w:val="22"/>
                <w:szCs w:val="22"/>
                <w:lang w:val="es-ES_tradnl"/>
              </w:rPr>
              <w:t>Dosis durante las primeras 24 horas</w:t>
            </w:r>
          </w:p>
          <w:p w14:paraId="2A26AD72" w14:textId="77777777" w:rsidR="00D061AA" w:rsidRPr="00C52C4C" w:rsidRDefault="00D061AA" w:rsidP="00EE4A64">
            <w:pPr>
              <w:tabs>
                <w:tab w:val="left" w:pos="567"/>
              </w:tabs>
              <w:spacing w:before="60" w:after="60"/>
              <w:jc w:val="center"/>
              <w:rPr>
                <w:sz w:val="22"/>
                <w:szCs w:val="22"/>
                <w:lang w:val="es-ES_tradnl"/>
              </w:rPr>
            </w:pPr>
            <w:r w:rsidRPr="00C52C4C">
              <w:rPr>
                <w:sz w:val="22"/>
                <w:szCs w:val="22"/>
                <w:lang w:val="es-ES_tradnl"/>
              </w:rPr>
              <w:t>(dosis de carga)</w:t>
            </w:r>
          </w:p>
        </w:tc>
        <w:tc>
          <w:tcPr>
            <w:tcW w:w="2764" w:type="dxa"/>
            <w:tcBorders>
              <w:top w:val="nil"/>
              <w:left w:val="nil"/>
              <w:bottom w:val="nil"/>
              <w:right w:val="nil"/>
            </w:tcBorders>
            <w:vAlign w:val="center"/>
          </w:tcPr>
          <w:p w14:paraId="28D8B6B9" w14:textId="77777777" w:rsidR="00D061AA" w:rsidRPr="00C52C4C" w:rsidRDefault="00D061AA" w:rsidP="00EE4A64">
            <w:pPr>
              <w:tabs>
                <w:tab w:val="left" w:pos="567"/>
              </w:tabs>
              <w:spacing w:before="60" w:after="60"/>
              <w:jc w:val="center"/>
              <w:rPr>
                <w:sz w:val="22"/>
                <w:szCs w:val="22"/>
                <w:lang w:val="es-ES_tradnl"/>
              </w:rPr>
            </w:pPr>
            <w:r w:rsidRPr="00C52C4C">
              <w:rPr>
                <w:sz w:val="22"/>
                <w:szCs w:val="22"/>
                <w:lang w:val="es-ES_tradnl"/>
              </w:rPr>
              <w:t>400 mg cada 12 horas durante las primeras 24 horas</w:t>
            </w:r>
          </w:p>
        </w:tc>
        <w:tc>
          <w:tcPr>
            <w:tcW w:w="2765" w:type="dxa"/>
            <w:tcBorders>
              <w:top w:val="single" w:sz="4" w:space="0" w:color="auto"/>
              <w:left w:val="single" w:sz="4" w:space="0" w:color="auto"/>
              <w:bottom w:val="single" w:sz="4" w:space="0" w:color="auto"/>
              <w:right w:val="single" w:sz="4" w:space="0" w:color="auto"/>
            </w:tcBorders>
            <w:vAlign w:val="center"/>
          </w:tcPr>
          <w:p w14:paraId="1CE6958D" w14:textId="77777777" w:rsidR="00D061AA" w:rsidRPr="00C52C4C" w:rsidRDefault="00D061AA" w:rsidP="00EE4A64">
            <w:pPr>
              <w:tabs>
                <w:tab w:val="left" w:pos="567"/>
              </w:tabs>
              <w:spacing w:before="60" w:after="60"/>
              <w:jc w:val="center"/>
              <w:rPr>
                <w:sz w:val="22"/>
                <w:szCs w:val="22"/>
                <w:lang w:val="es-ES_tradnl"/>
              </w:rPr>
            </w:pPr>
            <w:r w:rsidRPr="00C52C4C">
              <w:rPr>
                <w:sz w:val="22"/>
                <w:szCs w:val="22"/>
                <w:lang w:val="es-ES_tradnl"/>
              </w:rPr>
              <w:t>200 mg cada 12 horas durante las primeras 24 horas</w:t>
            </w:r>
          </w:p>
        </w:tc>
      </w:tr>
      <w:tr w:rsidR="00D061AA" w:rsidRPr="00C52C4C" w14:paraId="06B099BC" w14:textId="77777777" w:rsidTr="00EE4A64">
        <w:trPr>
          <w:trHeight w:val="200"/>
        </w:trPr>
        <w:tc>
          <w:tcPr>
            <w:tcW w:w="3544" w:type="dxa"/>
            <w:tcBorders>
              <w:top w:val="nil"/>
              <w:left w:val="single" w:sz="4" w:space="0" w:color="auto"/>
              <w:bottom w:val="single" w:sz="4" w:space="0" w:color="auto"/>
              <w:right w:val="nil"/>
            </w:tcBorders>
            <w:vAlign w:val="center"/>
          </w:tcPr>
          <w:p w14:paraId="14AD9D6D" w14:textId="77777777" w:rsidR="00D061AA" w:rsidRPr="00C52C4C" w:rsidRDefault="00D061AA" w:rsidP="00EE4A64">
            <w:pPr>
              <w:tabs>
                <w:tab w:val="left" w:pos="567"/>
              </w:tabs>
              <w:spacing w:before="60" w:after="60"/>
              <w:jc w:val="center"/>
              <w:rPr>
                <w:b/>
                <w:sz w:val="22"/>
                <w:szCs w:val="22"/>
                <w:lang w:val="es-ES_tradnl"/>
              </w:rPr>
            </w:pPr>
            <w:r w:rsidRPr="00C52C4C">
              <w:rPr>
                <w:b/>
                <w:sz w:val="22"/>
                <w:szCs w:val="22"/>
                <w:lang w:val="es-ES_tradnl"/>
              </w:rPr>
              <w:t>Dosis tras las primeras 24 horas</w:t>
            </w:r>
          </w:p>
          <w:p w14:paraId="637D166B" w14:textId="77777777" w:rsidR="00D061AA" w:rsidRPr="00C52C4C" w:rsidRDefault="00D061AA" w:rsidP="00EE4A64">
            <w:pPr>
              <w:tabs>
                <w:tab w:val="left" w:pos="567"/>
              </w:tabs>
              <w:spacing w:before="60" w:after="60"/>
              <w:ind w:left="720"/>
              <w:rPr>
                <w:sz w:val="22"/>
                <w:szCs w:val="22"/>
                <w:lang w:val="es-ES_tradnl"/>
              </w:rPr>
            </w:pPr>
            <w:r w:rsidRPr="00C52C4C">
              <w:rPr>
                <w:sz w:val="22"/>
                <w:szCs w:val="22"/>
                <w:lang w:val="es-ES_tradnl"/>
              </w:rPr>
              <w:t>(dosis de mantenimiento)</w:t>
            </w:r>
          </w:p>
        </w:tc>
        <w:tc>
          <w:tcPr>
            <w:tcW w:w="2764" w:type="dxa"/>
            <w:tcBorders>
              <w:top w:val="single" w:sz="4" w:space="0" w:color="auto"/>
              <w:left w:val="single" w:sz="4" w:space="0" w:color="auto"/>
              <w:bottom w:val="single" w:sz="4" w:space="0" w:color="auto"/>
              <w:right w:val="single" w:sz="4" w:space="0" w:color="auto"/>
            </w:tcBorders>
            <w:vAlign w:val="center"/>
          </w:tcPr>
          <w:p w14:paraId="50D1ED13" w14:textId="77777777" w:rsidR="00D061AA" w:rsidRPr="00C52C4C" w:rsidRDefault="00D061AA" w:rsidP="00EE4A64">
            <w:pPr>
              <w:tabs>
                <w:tab w:val="left" w:pos="567"/>
              </w:tabs>
              <w:spacing w:before="60" w:after="60"/>
              <w:jc w:val="center"/>
              <w:rPr>
                <w:sz w:val="22"/>
                <w:szCs w:val="22"/>
                <w:lang w:val="es-ES_tradnl"/>
              </w:rPr>
            </w:pPr>
            <w:r w:rsidRPr="00C52C4C">
              <w:rPr>
                <w:sz w:val="22"/>
                <w:szCs w:val="22"/>
                <w:lang w:val="es-ES_tradnl"/>
              </w:rPr>
              <w:t>200 mg dos veces al día</w:t>
            </w:r>
          </w:p>
        </w:tc>
        <w:tc>
          <w:tcPr>
            <w:tcW w:w="2765" w:type="dxa"/>
            <w:tcBorders>
              <w:top w:val="nil"/>
              <w:left w:val="nil"/>
              <w:bottom w:val="single" w:sz="4" w:space="0" w:color="auto"/>
              <w:right w:val="single" w:sz="4" w:space="0" w:color="auto"/>
            </w:tcBorders>
            <w:vAlign w:val="center"/>
          </w:tcPr>
          <w:p w14:paraId="2080C274" w14:textId="77777777" w:rsidR="00D061AA" w:rsidRPr="00C52C4C" w:rsidRDefault="00D061AA" w:rsidP="00EE4A64">
            <w:pPr>
              <w:tabs>
                <w:tab w:val="left" w:pos="567"/>
              </w:tabs>
              <w:spacing w:before="60" w:after="60"/>
              <w:jc w:val="center"/>
              <w:rPr>
                <w:sz w:val="22"/>
                <w:szCs w:val="22"/>
                <w:lang w:val="es-ES_tradnl"/>
              </w:rPr>
            </w:pPr>
            <w:r w:rsidRPr="00C52C4C">
              <w:rPr>
                <w:sz w:val="22"/>
                <w:szCs w:val="22"/>
                <w:lang w:val="es-ES_tradnl"/>
              </w:rPr>
              <w:t>100 mg dos veces al día</w:t>
            </w:r>
          </w:p>
        </w:tc>
      </w:tr>
    </w:tbl>
    <w:p w14:paraId="4006809D" w14:textId="77777777" w:rsidR="00D061AA" w:rsidRPr="00C52C4C" w:rsidRDefault="00D061AA" w:rsidP="00D061AA">
      <w:pPr>
        <w:tabs>
          <w:tab w:val="left" w:pos="567"/>
        </w:tabs>
        <w:ind w:right="-2"/>
        <w:rPr>
          <w:sz w:val="22"/>
          <w:szCs w:val="22"/>
          <w:lang w:val="es-ES_tradnl"/>
        </w:rPr>
      </w:pPr>
    </w:p>
    <w:p w14:paraId="5480CD2B" w14:textId="77777777" w:rsidR="00D061AA" w:rsidRPr="00C52C4C" w:rsidRDefault="00D061AA" w:rsidP="00D061AA">
      <w:pPr>
        <w:tabs>
          <w:tab w:val="left" w:pos="567"/>
        </w:tabs>
        <w:ind w:right="-2"/>
        <w:rPr>
          <w:sz w:val="22"/>
          <w:szCs w:val="22"/>
          <w:lang w:val="es-ES_tradnl"/>
        </w:rPr>
      </w:pPr>
      <w:r w:rsidRPr="00C52C4C">
        <w:rPr>
          <w:sz w:val="22"/>
          <w:szCs w:val="22"/>
          <w:lang w:val="es-ES_tradnl"/>
        </w:rPr>
        <w:t>Dependiendo de su respuesta al tratamiento, su médico puede incrementar la dosis diaria a 300 mg dos veces al día.</w:t>
      </w:r>
    </w:p>
    <w:p w14:paraId="6C4BC50F" w14:textId="77777777" w:rsidR="00D061AA" w:rsidRPr="00C52C4C" w:rsidRDefault="00D061AA" w:rsidP="00D061AA">
      <w:pPr>
        <w:tabs>
          <w:tab w:val="left" w:pos="567"/>
        </w:tabs>
        <w:ind w:right="-2"/>
        <w:rPr>
          <w:sz w:val="22"/>
          <w:szCs w:val="22"/>
          <w:lang w:val="es-ES_tradnl"/>
        </w:rPr>
      </w:pPr>
    </w:p>
    <w:p w14:paraId="31D3B381" w14:textId="77777777" w:rsidR="00D061AA" w:rsidRPr="00C52C4C" w:rsidRDefault="00D061AA" w:rsidP="00D061AA">
      <w:pPr>
        <w:tabs>
          <w:tab w:val="left" w:pos="567"/>
        </w:tabs>
        <w:ind w:right="-2"/>
        <w:rPr>
          <w:sz w:val="22"/>
          <w:szCs w:val="22"/>
          <w:lang w:val="es-ES_tradnl"/>
        </w:rPr>
      </w:pPr>
      <w:r w:rsidRPr="00C52C4C">
        <w:rPr>
          <w:sz w:val="22"/>
          <w:szCs w:val="22"/>
          <w:lang w:val="es-ES_tradnl"/>
        </w:rPr>
        <w:t>Su médico puede decidir reducir la dosis si padece una cirrosis de leve a moderada.</w:t>
      </w:r>
    </w:p>
    <w:p w14:paraId="219A3ACD" w14:textId="77777777" w:rsidR="00D061AA" w:rsidRPr="00C52C4C" w:rsidRDefault="00D061AA" w:rsidP="00D061AA">
      <w:pPr>
        <w:tabs>
          <w:tab w:val="left" w:pos="567"/>
        </w:tabs>
        <w:ind w:right="-2"/>
        <w:rPr>
          <w:sz w:val="22"/>
          <w:szCs w:val="22"/>
          <w:lang w:val="es-ES_tradnl"/>
        </w:rPr>
      </w:pPr>
    </w:p>
    <w:p w14:paraId="34CE8345" w14:textId="77777777" w:rsidR="00D061AA" w:rsidRPr="00C52C4C" w:rsidRDefault="00D061AA" w:rsidP="00D061AA">
      <w:pPr>
        <w:tabs>
          <w:tab w:val="left" w:pos="567"/>
        </w:tabs>
        <w:ind w:right="-2"/>
        <w:rPr>
          <w:b/>
          <w:sz w:val="22"/>
          <w:szCs w:val="22"/>
          <w:lang w:val="es-ES_tradnl"/>
        </w:rPr>
      </w:pPr>
      <w:r w:rsidRPr="00C52C4C">
        <w:rPr>
          <w:b/>
          <w:sz w:val="22"/>
          <w:szCs w:val="22"/>
          <w:lang w:val="es-ES_tradnl"/>
        </w:rPr>
        <w:t>Uso en niños y adolescentes</w:t>
      </w:r>
    </w:p>
    <w:p w14:paraId="718EBBC4" w14:textId="77777777" w:rsidR="00D061AA" w:rsidRPr="00C52C4C" w:rsidRDefault="00D061AA" w:rsidP="00D061AA">
      <w:pPr>
        <w:tabs>
          <w:tab w:val="left" w:pos="567"/>
        </w:tabs>
        <w:ind w:right="-2"/>
        <w:rPr>
          <w:sz w:val="22"/>
          <w:szCs w:val="22"/>
          <w:lang w:val="es-ES_tradnl"/>
        </w:rPr>
      </w:pPr>
      <w:r w:rsidRPr="00C52C4C">
        <w:rPr>
          <w:sz w:val="22"/>
          <w:szCs w:val="22"/>
          <w:lang w:val="es-ES_tradnl"/>
        </w:rPr>
        <w:t>La dosis recomendada en niños y en adolescentes es la siguiente:</w:t>
      </w:r>
    </w:p>
    <w:p w14:paraId="0BC635E8" w14:textId="77777777" w:rsidR="00D061AA" w:rsidRPr="00C52C4C" w:rsidRDefault="00D061AA" w:rsidP="00D061AA">
      <w:pPr>
        <w:tabs>
          <w:tab w:val="left" w:pos="567"/>
        </w:tabs>
        <w:ind w:right="-2"/>
        <w:rPr>
          <w:sz w:val="22"/>
          <w:szCs w:val="22"/>
          <w:lang w:val="es-ES_tradnl"/>
        </w:rPr>
      </w:pPr>
    </w:p>
    <w:tbl>
      <w:tblPr>
        <w:tblW w:w="9073" w:type="dxa"/>
        <w:tblInd w:w="-70" w:type="dxa"/>
        <w:tblBorders>
          <w:top w:val="single" w:sz="18" w:space="0" w:color="auto"/>
          <w:left w:val="single" w:sz="18" w:space="0" w:color="auto"/>
          <w:bottom w:val="single" w:sz="18" w:space="0" w:color="auto"/>
          <w:right w:val="single" w:sz="18" w:space="0" w:color="auto"/>
        </w:tblBorders>
        <w:tblLayout w:type="fixed"/>
        <w:tblCellMar>
          <w:left w:w="72" w:type="dxa"/>
          <w:right w:w="72" w:type="dxa"/>
        </w:tblCellMar>
        <w:tblLook w:val="0000" w:firstRow="0" w:lastRow="0" w:firstColumn="0" w:lastColumn="0" w:noHBand="0" w:noVBand="0"/>
      </w:tblPr>
      <w:tblGrid>
        <w:gridCol w:w="3119"/>
        <w:gridCol w:w="2977"/>
        <w:gridCol w:w="2977"/>
      </w:tblGrid>
      <w:tr w:rsidR="00D061AA" w:rsidRPr="00C52C4C" w14:paraId="478B9154" w14:textId="77777777" w:rsidTr="00EE4A64">
        <w:trPr>
          <w:trHeight w:val="40"/>
        </w:trPr>
        <w:tc>
          <w:tcPr>
            <w:tcW w:w="3119" w:type="dxa"/>
            <w:tcBorders>
              <w:top w:val="single" w:sz="4" w:space="0" w:color="auto"/>
              <w:left w:val="single" w:sz="4" w:space="0" w:color="auto"/>
              <w:bottom w:val="nil"/>
              <w:right w:val="single" w:sz="4" w:space="0" w:color="auto"/>
            </w:tcBorders>
            <w:vAlign w:val="center"/>
          </w:tcPr>
          <w:p w14:paraId="4E0EC7BE" w14:textId="77777777" w:rsidR="00D061AA" w:rsidRPr="00C52C4C" w:rsidRDefault="00D061AA" w:rsidP="00EE4A64">
            <w:pPr>
              <w:tabs>
                <w:tab w:val="left" w:pos="567"/>
              </w:tabs>
              <w:rPr>
                <w:sz w:val="22"/>
                <w:szCs w:val="22"/>
                <w:lang w:val="es-ES_tradnl"/>
              </w:rPr>
            </w:pPr>
          </w:p>
        </w:tc>
        <w:tc>
          <w:tcPr>
            <w:tcW w:w="5954" w:type="dxa"/>
            <w:gridSpan w:val="2"/>
            <w:tcBorders>
              <w:top w:val="single" w:sz="4" w:space="0" w:color="auto"/>
              <w:left w:val="nil"/>
              <w:bottom w:val="single" w:sz="4" w:space="0" w:color="auto"/>
              <w:right w:val="single" w:sz="4" w:space="0" w:color="auto"/>
            </w:tcBorders>
            <w:vAlign w:val="center"/>
          </w:tcPr>
          <w:p w14:paraId="2811A249" w14:textId="77777777" w:rsidR="00D061AA" w:rsidRPr="00C52C4C" w:rsidRDefault="00D061AA" w:rsidP="00EE4A64">
            <w:pPr>
              <w:tabs>
                <w:tab w:val="left" w:pos="567"/>
              </w:tabs>
              <w:jc w:val="center"/>
              <w:rPr>
                <w:sz w:val="22"/>
                <w:szCs w:val="22"/>
                <w:lang w:val="es-ES_tradnl"/>
              </w:rPr>
            </w:pPr>
            <w:r w:rsidRPr="00C52C4C">
              <w:rPr>
                <w:b/>
                <w:sz w:val="22"/>
                <w:szCs w:val="22"/>
                <w:lang w:val="es-ES_tradnl"/>
              </w:rPr>
              <w:t>Comprimidos</w:t>
            </w:r>
          </w:p>
        </w:tc>
      </w:tr>
      <w:tr w:rsidR="00D061AA" w:rsidRPr="00C52C4C" w14:paraId="7E60D214" w14:textId="77777777" w:rsidTr="00EE4A64">
        <w:trPr>
          <w:trHeight w:val="40"/>
        </w:trPr>
        <w:tc>
          <w:tcPr>
            <w:tcW w:w="3119" w:type="dxa"/>
            <w:tcBorders>
              <w:top w:val="single" w:sz="4" w:space="0" w:color="auto"/>
              <w:left w:val="single" w:sz="4" w:space="0" w:color="auto"/>
              <w:bottom w:val="single" w:sz="4" w:space="0" w:color="auto"/>
              <w:right w:val="single" w:sz="4" w:space="0" w:color="auto"/>
            </w:tcBorders>
            <w:vAlign w:val="center"/>
          </w:tcPr>
          <w:p w14:paraId="50530FF1" w14:textId="77777777" w:rsidR="00D061AA" w:rsidRPr="00C52C4C" w:rsidRDefault="00D061AA" w:rsidP="00EE4A64">
            <w:pPr>
              <w:tabs>
                <w:tab w:val="left" w:pos="567"/>
              </w:tabs>
              <w:rPr>
                <w:sz w:val="22"/>
                <w:szCs w:val="22"/>
                <w:u w:val="single"/>
                <w:lang w:val="es-ES_tradnl"/>
              </w:rPr>
            </w:pPr>
          </w:p>
        </w:tc>
        <w:tc>
          <w:tcPr>
            <w:tcW w:w="2977" w:type="dxa"/>
            <w:tcBorders>
              <w:top w:val="single" w:sz="4" w:space="0" w:color="auto"/>
              <w:left w:val="nil"/>
              <w:bottom w:val="single" w:sz="4" w:space="0" w:color="auto"/>
              <w:right w:val="single" w:sz="4" w:space="0" w:color="auto"/>
            </w:tcBorders>
            <w:vAlign w:val="center"/>
          </w:tcPr>
          <w:p w14:paraId="1D9774E2" w14:textId="77777777" w:rsidR="00D061AA" w:rsidRPr="00C52C4C" w:rsidRDefault="00D061AA" w:rsidP="00EE4A64">
            <w:pPr>
              <w:tabs>
                <w:tab w:val="left" w:pos="567"/>
              </w:tabs>
              <w:jc w:val="center"/>
              <w:rPr>
                <w:sz w:val="22"/>
                <w:szCs w:val="22"/>
                <w:lang w:val="es-ES_tradnl"/>
              </w:rPr>
            </w:pPr>
            <w:r w:rsidRPr="00C52C4C">
              <w:rPr>
                <w:sz w:val="22"/>
                <w:szCs w:val="22"/>
                <w:lang w:val="es-ES_tradnl"/>
              </w:rPr>
              <w:t xml:space="preserve">Niños de </w:t>
            </w:r>
            <w:smartTag w:uri="urn:schemas-microsoft-com:office:smarttags" w:element="metricconverter">
              <w:smartTagPr>
                <w:attr w:name="ProductID" w:val="2 a"/>
              </w:smartTagPr>
              <w:r w:rsidRPr="00C52C4C">
                <w:rPr>
                  <w:sz w:val="22"/>
                  <w:szCs w:val="22"/>
                  <w:lang w:val="es-ES_tradnl"/>
                </w:rPr>
                <w:t>2 a</w:t>
              </w:r>
            </w:smartTag>
            <w:r w:rsidRPr="00C52C4C">
              <w:rPr>
                <w:sz w:val="22"/>
                <w:szCs w:val="22"/>
                <w:lang w:val="es-ES_tradnl"/>
              </w:rPr>
              <w:t xml:space="preserve"> menos de 12 años de edad y adolescentes de </w:t>
            </w:r>
            <w:smartTag w:uri="urn:schemas-microsoft-com:office:smarttags" w:element="metricconverter">
              <w:smartTagPr>
                <w:attr w:name="ProductID" w:val="12 a"/>
              </w:smartTagPr>
              <w:r w:rsidRPr="00C52C4C">
                <w:rPr>
                  <w:sz w:val="22"/>
                  <w:szCs w:val="22"/>
                  <w:lang w:val="es-ES_tradnl"/>
                </w:rPr>
                <w:t>12 a</w:t>
              </w:r>
            </w:smartTag>
            <w:r w:rsidRPr="00C52C4C">
              <w:rPr>
                <w:sz w:val="22"/>
                <w:szCs w:val="22"/>
                <w:lang w:val="es-ES_tradnl"/>
              </w:rPr>
              <w:t xml:space="preserve"> 14 años de edad que pesan menos de </w:t>
            </w:r>
            <w:smartTag w:uri="urn:schemas-microsoft-com:office:smarttags" w:element="metricconverter">
              <w:smartTagPr>
                <w:attr w:name="ProductID" w:val="50 kg"/>
              </w:smartTagPr>
              <w:r w:rsidRPr="00C52C4C">
                <w:rPr>
                  <w:sz w:val="22"/>
                  <w:szCs w:val="22"/>
                  <w:lang w:val="es-ES_tradnl"/>
                </w:rPr>
                <w:t>50 kg</w:t>
              </w:r>
            </w:smartTag>
          </w:p>
        </w:tc>
        <w:tc>
          <w:tcPr>
            <w:tcW w:w="2977" w:type="dxa"/>
            <w:tcBorders>
              <w:top w:val="single" w:sz="4" w:space="0" w:color="auto"/>
              <w:left w:val="nil"/>
              <w:bottom w:val="nil"/>
              <w:right w:val="single" w:sz="4" w:space="0" w:color="auto"/>
            </w:tcBorders>
            <w:vAlign w:val="center"/>
          </w:tcPr>
          <w:p w14:paraId="566BBDE5" w14:textId="77777777" w:rsidR="00D061AA" w:rsidRPr="00C52C4C" w:rsidRDefault="00D061AA" w:rsidP="00EE4A64">
            <w:pPr>
              <w:tabs>
                <w:tab w:val="left" w:pos="567"/>
              </w:tabs>
              <w:jc w:val="center"/>
              <w:rPr>
                <w:sz w:val="22"/>
                <w:szCs w:val="22"/>
                <w:lang w:val="es-ES_tradnl"/>
              </w:rPr>
            </w:pPr>
            <w:r w:rsidRPr="00C52C4C">
              <w:rPr>
                <w:sz w:val="22"/>
                <w:szCs w:val="22"/>
                <w:lang w:val="es-ES_tradnl"/>
              </w:rPr>
              <w:t xml:space="preserve">Adolescentes de </w:t>
            </w:r>
            <w:smartTag w:uri="urn:schemas-microsoft-com:office:smarttags" w:element="metricconverter">
              <w:smartTagPr>
                <w:attr w:name="ProductID" w:val="12 a"/>
              </w:smartTagPr>
              <w:r w:rsidRPr="00C52C4C">
                <w:rPr>
                  <w:sz w:val="22"/>
                  <w:szCs w:val="22"/>
                  <w:lang w:val="es-ES_tradnl"/>
                </w:rPr>
                <w:t>12 a</w:t>
              </w:r>
            </w:smartTag>
            <w:r w:rsidRPr="00C52C4C">
              <w:rPr>
                <w:sz w:val="22"/>
                <w:szCs w:val="22"/>
                <w:lang w:val="es-ES_tradnl"/>
              </w:rPr>
              <w:t xml:space="preserve"> 14 años de edad que pesan </w:t>
            </w:r>
            <w:smartTag w:uri="urn:schemas-microsoft-com:office:smarttags" w:element="metricconverter">
              <w:smartTagPr>
                <w:attr w:name="ProductID" w:val="50 kg"/>
              </w:smartTagPr>
              <w:r w:rsidRPr="00C52C4C">
                <w:rPr>
                  <w:sz w:val="22"/>
                  <w:szCs w:val="22"/>
                  <w:lang w:val="es-ES_tradnl"/>
                </w:rPr>
                <w:t>50 kg</w:t>
              </w:r>
            </w:smartTag>
            <w:r w:rsidRPr="00C52C4C">
              <w:rPr>
                <w:sz w:val="22"/>
                <w:szCs w:val="22"/>
                <w:lang w:val="es-ES_tradnl"/>
              </w:rPr>
              <w:t xml:space="preserve"> o más; y todos los adolescentes mayores de 14 años</w:t>
            </w:r>
          </w:p>
        </w:tc>
      </w:tr>
      <w:tr w:rsidR="00D061AA" w:rsidRPr="00C52C4C" w14:paraId="5B5AC1A2" w14:textId="77777777" w:rsidTr="00EE4A64">
        <w:trPr>
          <w:trHeight w:val="40"/>
        </w:trPr>
        <w:tc>
          <w:tcPr>
            <w:tcW w:w="3119" w:type="dxa"/>
            <w:tcBorders>
              <w:top w:val="nil"/>
              <w:left w:val="single" w:sz="4" w:space="0" w:color="auto"/>
              <w:bottom w:val="single" w:sz="4" w:space="0" w:color="auto"/>
              <w:right w:val="single" w:sz="4" w:space="0" w:color="auto"/>
            </w:tcBorders>
            <w:vAlign w:val="center"/>
          </w:tcPr>
          <w:p w14:paraId="63684BF0" w14:textId="77777777" w:rsidR="00D061AA" w:rsidRPr="00C52C4C" w:rsidRDefault="00D061AA" w:rsidP="00EE4A64">
            <w:pPr>
              <w:tabs>
                <w:tab w:val="left" w:pos="567"/>
              </w:tabs>
              <w:rPr>
                <w:sz w:val="22"/>
                <w:szCs w:val="22"/>
                <w:lang w:val="es-ES_tradnl"/>
              </w:rPr>
            </w:pPr>
            <w:r w:rsidRPr="00C52C4C">
              <w:rPr>
                <w:b/>
                <w:sz w:val="22"/>
                <w:szCs w:val="22"/>
                <w:lang w:val="es-ES_tradnl"/>
              </w:rPr>
              <w:t xml:space="preserve">Dosis durante las primeras 24 horas </w:t>
            </w:r>
            <w:r w:rsidRPr="00C52C4C">
              <w:rPr>
                <w:sz w:val="22"/>
                <w:szCs w:val="22"/>
                <w:lang w:val="es-ES_tradnl"/>
              </w:rPr>
              <w:t>(dosis de carga)</w:t>
            </w:r>
          </w:p>
        </w:tc>
        <w:tc>
          <w:tcPr>
            <w:tcW w:w="2977" w:type="dxa"/>
            <w:tcBorders>
              <w:top w:val="nil"/>
              <w:left w:val="nil"/>
              <w:bottom w:val="nil"/>
              <w:right w:val="nil"/>
            </w:tcBorders>
            <w:vAlign w:val="center"/>
          </w:tcPr>
          <w:p w14:paraId="33362E00" w14:textId="77777777" w:rsidR="00D061AA" w:rsidRPr="00C52C4C" w:rsidRDefault="00D061AA" w:rsidP="00EE4A64">
            <w:pPr>
              <w:tabs>
                <w:tab w:val="left" w:pos="567"/>
              </w:tabs>
              <w:jc w:val="center"/>
              <w:rPr>
                <w:sz w:val="22"/>
                <w:szCs w:val="22"/>
                <w:lang w:val="es-ES_tradnl"/>
              </w:rPr>
            </w:pPr>
            <w:r w:rsidRPr="00C52C4C">
              <w:rPr>
                <w:sz w:val="22"/>
                <w:szCs w:val="22"/>
                <w:lang w:val="es-ES_tradnl"/>
              </w:rPr>
              <w:t>Su tratamiento deberá iniciarse con una perfusión</w:t>
            </w:r>
          </w:p>
        </w:tc>
        <w:tc>
          <w:tcPr>
            <w:tcW w:w="2977" w:type="dxa"/>
            <w:tcBorders>
              <w:top w:val="single" w:sz="4" w:space="0" w:color="auto"/>
              <w:left w:val="single" w:sz="4" w:space="0" w:color="auto"/>
              <w:bottom w:val="single" w:sz="4" w:space="0" w:color="auto"/>
              <w:right w:val="single" w:sz="4" w:space="0" w:color="auto"/>
            </w:tcBorders>
            <w:vAlign w:val="center"/>
          </w:tcPr>
          <w:p w14:paraId="408F7A7C" w14:textId="77777777" w:rsidR="00D061AA" w:rsidRPr="00C52C4C" w:rsidRDefault="00D061AA" w:rsidP="00EE4A64">
            <w:pPr>
              <w:tabs>
                <w:tab w:val="left" w:pos="567"/>
              </w:tabs>
              <w:jc w:val="center"/>
              <w:rPr>
                <w:sz w:val="22"/>
                <w:szCs w:val="22"/>
                <w:lang w:val="es-ES_tradnl"/>
              </w:rPr>
            </w:pPr>
            <w:r w:rsidRPr="00C52C4C">
              <w:rPr>
                <w:sz w:val="22"/>
                <w:szCs w:val="22"/>
                <w:lang w:val="es-ES_tradnl"/>
              </w:rPr>
              <w:t>400 mg cada 12 horas durante las primeras 24 horas</w:t>
            </w:r>
          </w:p>
        </w:tc>
      </w:tr>
      <w:tr w:rsidR="00D061AA" w:rsidRPr="00C52C4C" w14:paraId="512F86B6" w14:textId="77777777" w:rsidTr="00EE4A64">
        <w:trPr>
          <w:trHeight w:val="200"/>
        </w:trPr>
        <w:tc>
          <w:tcPr>
            <w:tcW w:w="3119" w:type="dxa"/>
            <w:tcBorders>
              <w:top w:val="nil"/>
              <w:left w:val="single" w:sz="4" w:space="0" w:color="auto"/>
              <w:bottom w:val="single" w:sz="4" w:space="0" w:color="auto"/>
              <w:right w:val="nil"/>
            </w:tcBorders>
            <w:vAlign w:val="center"/>
          </w:tcPr>
          <w:p w14:paraId="43C354D8" w14:textId="77777777" w:rsidR="00D061AA" w:rsidRPr="00C52C4C" w:rsidRDefault="00D061AA" w:rsidP="00EE4A64">
            <w:pPr>
              <w:tabs>
                <w:tab w:val="left" w:pos="567"/>
              </w:tabs>
              <w:rPr>
                <w:sz w:val="22"/>
                <w:szCs w:val="22"/>
                <w:lang w:val="es-ES_tradnl"/>
              </w:rPr>
            </w:pPr>
            <w:r w:rsidRPr="00C52C4C">
              <w:rPr>
                <w:b/>
                <w:sz w:val="22"/>
                <w:szCs w:val="22"/>
                <w:lang w:val="es-ES_tradnl"/>
              </w:rPr>
              <w:t xml:space="preserve">Dosis tras las primeras 24 horas </w:t>
            </w:r>
            <w:r w:rsidRPr="00C52C4C">
              <w:rPr>
                <w:sz w:val="22"/>
                <w:szCs w:val="22"/>
                <w:lang w:val="es-ES_tradnl"/>
              </w:rPr>
              <w:t>(dosis de mantenimiento)</w:t>
            </w:r>
          </w:p>
        </w:tc>
        <w:tc>
          <w:tcPr>
            <w:tcW w:w="2977" w:type="dxa"/>
            <w:tcBorders>
              <w:top w:val="single" w:sz="4" w:space="0" w:color="auto"/>
              <w:left w:val="single" w:sz="4" w:space="0" w:color="auto"/>
              <w:bottom w:val="single" w:sz="4" w:space="0" w:color="auto"/>
              <w:right w:val="single" w:sz="4" w:space="0" w:color="auto"/>
            </w:tcBorders>
            <w:vAlign w:val="center"/>
          </w:tcPr>
          <w:p w14:paraId="379AB903" w14:textId="77777777" w:rsidR="00D061AA" w:rsidRPr="00C52C4C" w:rsidRDefault="00D061AA" w:rsidP="00EE4A64">
            <w:pPr>
              <w:tabs>
                <w:tab w:val="left" w:pos="567"/>
              </w:tabs>
              <w:jc w:val="center"/>
              <w:rPr>
                <w:sz w:val="22"/>
                <w:szCs w:val="22"/>
                <w:lang w:val="es-ES_tradnl"/>
              </w:rPr>
            </w:pPr>
            <w:r w:rsidRPr="00C52C4C">
              <w:rPr>
                <w:sz w:val="22"/>
                <w:szCs w:val="22"/>
                <w:lang w:val="es-ES_tradnl"/>
              </w:rPr>
              <w:t>9 mg/kg dos veces al día (una dosis máxima de 350 mg dos veces al día)</w:t>
            </w:r>
          </w:p>
        </w:tc>
        <w:tc>
          <w:tcPr>
            <w:tcW w:w="2977" w:type="dxa"/>
            <w:tcBorders>
              <w:top w:val="nil"/>
              <w:left w:val="nil"/>
              <w:bottom w:val="single" w:sz="4" w:space="0" w:color="auto"/>
              <w:right w:val="single" w:sz="4" w:space="0" w:color="auto"/>
            </w:tcBorders>
            <w:vAlign w:val="center"/>
          </w:tcPr>
          <w:p w14:paraId="45B87A10" w14:textId="77777777" w:rsidR="00D061AA" w:rsidRPr="00C52C4C" w:rsidRDefault="00D061AA" w:rsidP="00EE4A64">
            <w:pPr>
              <w:tabs>
                <w:tab w:val="left" w:pos="567"/>
              </w:tabs>
              <w:jc w:val="center"/>
              <w:rPr>
                <w:sz w:val="22"/>
                <w:szCs w:val="22"/>
                <w:lang w:val="es-ES_tradnl"/>
              </w:rPr>
            </w:pPr>
            <w:r w:rsidRPr="00C52C4C">
              <w:rPr>
                <w:sz w:val="22"/>
                <w:szCs w:val="22"/>
                <w:lang w:val="es-ES_tradnl"/>
              </w:rPr>
              <w:t>200 mg dos veces al día</w:t>
            </w:r>
          </w:p>
        </w:tc>
      </w:tr>
    </w:tbl>
    <w:p w14:paraId="274FD839" w14:textId="77777777" w:rsidR="00D061AA" w:rsidRPr="00C52C4C" w:rsidRDefault="00D061AA" w:rsidP="00D061AA">
      <w:pPr>
        <w:tabs>
          <w:tab w:val="left" w:pos="567"/>
        </w:tabs>
        <w:ind w:right="-2"/>
        <w:rPr>
          <w:sz w:val="22"/>
          <w:szCs w:val="22"/>
          <w:lang w:val="es-ES_tradnl"/>
        </w:rPr>
      </w:pPr>
    </w:p>
    <w:p w14:paraId="3D26CFF5" w14:textId="77777777" w:rsidR="00D061AA" w:rsidRPr="00C52C4C" w:rsidRDefault="00D061AA" w:rsidP="00D061AA">
      <w:pPr>
        <w:tabs>
          <w:tab w:val="left" w:pos="567"/>
        </w:tabs>
        <w:ind w:right="-2"/>
        <w:rPr>
          <w:sz w:val="22"/>
          <w:szCs w:val="22"/>
          <w:lang w:val="es-ES_tradnl"/>
        </w:rPr>
      </w:pPr>
      <w:r w:rsidRPr="00C52C4C">
        <w:rPr>
          <w:sz w:val="22"/>
          <w:szCs w:val="22"/>
          <w:lang w:val="es-ES_tradnl"/>
        </w:rPr>
        <w:t>Dependiendo de su respuesta al tratamiento, su médico podría aumentar o disminuir la dosis diaria.</w:t>
      </w:r>
    </w:p>
    <w:p w14:paraId="1504CE43" w14:textId="77777777" w:rsidR="00D061AA" w:rsidRPr="00C52C4C" w:rsidRDefault="00D061AA" w:rsidP="00D061AA">
      <w:pPr>
        <w:tabs>
          <w:tab w:val="left" w:pos="567"/>
        </w:tabs>
        <w:ind w:right="-2"/>
        <w:rPr>
          <w:sz w:val="22"/>
          <w:szCs w:val="22"/>
          <w:lang w:val="es-ES_tradnl"/>
        </w:rPr>
      </w:pPr>
    </w:p>
    <w:p w14:paraId="74699529" w14:textId="77777777" w:rsidR="00D061AA" w:rsidRPr="00C52C4C" w:rsidRDefault="00D061AA" w:rsidP="00D061AA">
      <w:pPr>
        <w:numPr>
          <w:ilvl w:val="0"/>
          <w:numId w:val="10"/>
        </w:numPr>
        <w:tabs>
          <w:tab w:val="left" w:pos="567"/>
        </w:tabs>
        <w:ind w:right="-2"/>
        <w:rPr>
          <w:sz w:val="22"/>
          <w:szCs w:val="22"/>
          <w:lang w:val="es-ES_tradnl"/>
        </w:rPr>
      </w:pPr>
      <w:r w:rsidRPr="00C52C4C">
        <w:rPr>
          <w:sz w:val="22"/>
          <w:szCs w:val="22"/>
          <w:lang w:val="es-ES_tradnl"/>
        </w:rPr>
        <w:t xml:space="preserve">Los comprimidos sólo deben administrarse si el niño es capaz de tragar comprimidos enteros. </w:t>
      </w:r>
    </w:p>
    <w:p w14:paraId="118C4846" w14:textId="77777777" w:rsidR="00D061AA" w:rsidRPr="00C52C4C" w:rsidRDefault="00D061AA" w:rsidP="00D061AA">
      <w:pPr>
        <w:tabs>
          <w:tab w:val="left" w:pos="567"/>
        </w:tabs>
        <w:ind w:right="-2"/>
        <w:rPr>
          <w:sz w:val="22"/>
          <w:szCs w:val="22"/>
          <w:lang w:val="es-ES_tradnl"/>
        </w:rPr>
      </w:pPr>
    </w:p>
    <w:p w14:paraId="4DBD5B01" w14:textId="77777777" w:rsidR="00D061AA" w:rsidRPr="00C52C4C" w:rsidRDefault="00D061AA" w:rsidP="00D061AA">
      <w:pPr>
        <w:tabs>
          <w:tab w:val="left" w:pos="567"/>
        </w:tabs>
        <w:ind w:right="-2"/>
        <w:rPr>
          <w:sz w:val="22"/>
          <w:szCs w:val="22"/>
          <w:lang w:val="es-ES_tradnl"/>
        </w:rPr>
      </w:pPr>
      <w:r w:rsidRPr="00C52C4C">
        <w:rPr>
          <w:sz w:val="22"/>
          <w:szCs w:val="22"/>
          <w:lang w:val="es-ES_tradnl"/>
        </w:rPr>
        <w:t>Tome los comprimidos al menos una hora antes o una después de la comida. Trague el comprimido entero con un poco de agua.</w:t>
      </w:r>
    </w:p>
    <w:p w14:paraId="74590A54" w14:textId="77777777" w:rsidR="00D061AA" w:rsidRPr="00C52C4C" w:rsidRDefault="00D061AA" w:rsidP="00D061AA">
      <w:pPr>
        <w:tabs>
          <w:tab w:val="left" w:pos="567"/>
        </w:tabs>
        <w:ind w:right="-2"/>
        <w:rPr>
          <w:b/>
          <w:sz w:val="22"/>
          <w:szCs w:val="22"/>
          <w:lang w:val="es-ES_tradnl"/>
        </w:rPr>
      </w:pPr>
    </w:p>
    <w:p w14:paraId="16EE37F9" w14:textId="77777777" w:rsidR="0090615B" w:rsidRPr="00C52C4C" w:rsidRDefault="0090615B" w:rsidP="0090615B">
      <w:pPr>
        <w:tabs>
          <w:tab w:val="left" w:pos="567"/>
        </w:tabs>
        <w:ind w:right="-2"/>
        <w:rPr>
          <w:sz w:val="22"/>
          <w:szCs w:val="22"/>
          <w:lang w:val="es-ES_tradnl"/>
        </w:rPr>
      </w:pPr>
      <w:r w:rsidRPr="00C52C4C">
        <w:rPr>
          <w:sz w:val="22"/>
          <w:szCs w:val="22"/>
          <w:lang w:val="es-ES_tradnl"/>
        </w:rPr>
        <w:t xml:space="preserve">Si usted o su hijo están tomando </w:t>
      </w:r>
      <w:r w:rsidRPr="00C52C4C">
        <w:rPr>
          <w:sz w:val="22"/>
          <w:szCs w:val="22"/>
        </w:rPr>
        <w:t xml:space="preserve">Voriconazol Accord </w:t>
      </w:r>
      <w:r w:rsidRPr="00C52C4C">
        <w:rPr>
          <w:sz w:val="22"/>
          <w:szCs w:val="22"/>
          <w:lang w:val="es-ES_tradnl"/>
        </w:rPr>
        <w:t xml:space="preserve">para la prevención de infecciones fúngicas, su médico puede suspender la administración de </w:t>
      </w:r>
      <w:r w:rsidRPr="00C52C4C">
        <w:rPr>
          <w:sz w:val="22"/>
          <w:szCs w:val="22"/>
        </w:rPr>
        <w:t xml:space="preserve">Voriconazol Accord </w:t>
      </w:r>
      <w:r w:rsidRPr="00C52C4C">
        <w:rPr>
          <w:sz w:val="22"/>
          <w:szCs w:val="22"/>
          <w:lang w:val="es-ES_tradnl"/>
        </w:rPr>
        <w:t>si usted o su hijo presentasen efectos adversos relacionados con el tratamiento.</w:t>
      </w:r>
    </w:p>
    <w:p w14:paraId="4BE5FDE2" w14:textId="77777777" w:rsidR="0090615B" w:rsidRPr="00C52C4C" w:rsidRDefault="0090615B" w:rsidP="00D061AA">
      <w:pPr>
        <w:tabs>
          <w:tab w:val="left" w:pos="567"/>
        </w:tabs>
        <w:ind w:right="-2"/>
        <w:rPr>
          <w:b/>
          <w:sz w:val="22"/>
          <w:szCs w:val="22"/>
          <w:lang w:val="es-ES_tradnl"/>
        </w:rPr>
      </w:pPr>
    </w:p>
    <w:p w14:paraId="5149AA4E" w14:textId="77777777" w:rsidR="00D061AA" w:rsidRPr="00C52C4C" w:rsidRDefault="00D061AA" w:rsidP="00D061AA">
      <w:pPr>
        <w:tabs>
          <w:tab w:val="left" w:pos="567"/>
        </w:tabs>
        <w:ind w:right="-2"/>
        <w:rPr>
          <w:sz w:val="22"/>
          <w:szCs w:val="22"/>
          <w:lang w:val="es-ES_tradnl"/>
        </w:rPr>
      </w:pPr>
      <w:r w:rsidRPr="00C52C4C">
        <w:rPr>
          <w:b/>
          <w:sz w:val="22"/>
          <w:szCs w:val="22"/>
          <w:lang w:val="es-ES_tradnl"/>
        </w:rPr>
        <w:t>Si to</w:t>
      </w:r>
      <w:smartTag w:uri="urn:schemas-microsoft-com:office:smarttags" w:element="PersonName">
        <w:r w:rsidRPr="00C52C4C">
          <w:rPr>
            <w:b/>
            <w:sz w:val="22"/>
            <w:szCs w:val="22"/>
            <w:lang w:val="es-ES_tradnl"/>
          </w:rPr>
          <w:t>ma</w:t>
        </w:r>
      </w:smartTag>
      <w:r w:rsidRPr="00C52C4C">
        <w:rPr>
          <w:b/>
          <w:sz w:val="22"/>
          <w:szCs w:val="22"/>
          <w:lang w:val="es-ES_tradnl"/>
        </w:rPr>
        <w:t xml:space="preserve"> más </w:t>
      </w:r>
      <w:r w:rsidR="008D11BB" w:rsidRPr="00C52C4C">
        <w:rPr>
          <w:b/>
          <w:bCs/>
          <w:sz w:val="22"/>
          <w:szCs w:val="22"/>
        </w:rPr>
        <w:t>Voriconazol</w:t>
      </w:r>
      <w:r w:rsidR="003D734F" w:rsidRPr="00C52C4C">
        <w:rPr>
          <w:b/>
          <w:bCs/>
          <w:sz w:val="22"/>
          <w:szCs w:val="22"/>
        </w:rPr>
        <w:t xml:space="preserve"> Accord </w:t>
      </w:r>
      <w:r w:rsidRPr="00C52C4C">
        <w:rPr>
          <w:b/>
          <w:sz w:val="22"/>
          <w:szCs w:val="22"/>
          <w:lang w:val="es-ES_tradnl"/>
        </w:rPr>
        <w:t>del que debe</w:t>
      </w:r>
    </w:p>
    <w:p w14:paraId="12175F0F" w14:textId="77777777" w:rsidR="00D061AA" w:rsidRPr="00C52C4C" w:rsidRDefault="00D061AA" w:rsidP="00D061AA">
      <w:pPr>
        <w:tabs>
          <w:tab w:val="left" w:pos="567"/>
        </w:tabs>
        <w:rPr>
          <w:b/>
          <w:sz w:val="22"/>
          <w:szCs w:val="22"/>
          <w:lang w:val="es-ES_tradnl"/>
        </w:rPr>
      </w:pPr>
      <w:r w:rsidRPr="00C52C4C">
        <w:rPr>
          <w:sz w:val="22"/>
          <w:szCs w:val="22"/>
          <w:lang w:val="es-ES_tradnl"/>
        </w:rPr>
        <w:t xml:space="preserve">Si toma más comprimidos de los que le han recetado (o si otra persona toma sus comprimidos), inmediatamente debe pedir asistencia médica o acudir al servicio hospitalario de urgencias más cercano. Lleve consigo la caja de comprimidos de </w:t>
      </w:r>
      <w:r w:rsidR="008D11BB" w:rsidRPr="00C52C4C">
        <w:rPr>
          <w:bCs/>
          <w:sz w:val="22"/>
          <w:szCs w:val="22"/>
        </w:rPr>
        <w:t>Voriconazol</w:t>
      </w:r>
      <w:r w:rsidR="003D734F" w:rsidRPr="00C52C4C">
        <w:rPr>
          <w:bCs/>
          <w:sz w:val="22"/>
          <w:szCs w:val="22"/>
        </w:rPr>
        <w:t xml:space="preserve"> Accord</w:t>
      </w:r>
      <w:r w:rsidRPr="00C52C4C">
        <w:rPr>
          <w:sz w:val="22"/>
          <w:szCs w:val="22"/>
          <w:lang w:val="es-ES_tradnl"/>
        </w:rPr>
        <w:t xml:space="preserve">. Podría notar una sensibilidad anormal a la luz como consecuencia de haber tomado más </w:t>
      </w:r>
      <w:r w:rsidR="008D11BB"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Pr="00C52C4C">
        <w:rPr>
          <w:sz w:val="22"/>
          <w:szCs w:val="22"/>
          <w:lang w:val="es-ES_tradnl"/>
        </w:rPr>
        <w:t>del que debe.</w:t>
      </w:r>
    </w:p>
    <w:p w14:paraId="25A68B6E" w14:textId="77777777" w:rsidR="00D061AA" w:rsidRPr="00C52C4C" w:rsidRDefault="00D061AA" w:rsidP="00D061AA">
      <w:pPr>
        <w:tabs>
          <w:tab w:val="left" w:pos="567"/>
        </w:tabs>
        <w:rPr>
          <w:b/>
          <w:sz w:val="22"/>
          <w:szCs w:val="22"/>
          <w:lang w:val="es-ES_tradnl"/>
        </w:rPr>
      </w:pPr>
    </w:p>
    <w:p w14:paraId="013FD1A8" w14:textId="77777777" w:rsidR="00D061AA" w:rsidRPr="00C52C4C" w:rsidRDefault="00D061AA" w:rsidP="00D061AA">
      <w:pPr>
        <w:tabs>
          <w:tab w:val="left" w:pos="567"/>
        </w:tabs>
        <w:rPr>
          <w:sz w:val="22"/>
          <w:szCs w:val="22"/>
        </w:rPr>
      </w:pPr>
      <w:r w:rsidRPr="00C52C4C">
        <w:rPr>
          <w:b/>
          <w:sz w:val="22"/>
          <w:szCs w:val="22"/>
        </w:rPr>
        <w:t xml:space="preserve">Si olvidó tomar </w:t>
      </w:r>
      <w:r w:rsidR="008D11BB" w:rsidRPr="00C52C4C">
        <w:rPr>
          <w:b/>
          <w:bCs/>
          <w:sz w:val="22"/>
          <w:szCs w:val="22"/>
        </w:rPr>
        <w:t>Voriconazol</w:t>
      </w:r>
      <w:r w:rsidR="003D734F" w:rsidRPr="00C52C4C">
        <w:rPr>
          <w:b/>
          <w:bCs/>
          <w:sz w:val="22"/>
          <w:szCs w:val="22"/>
        </w:rPr>
        <w:t xml:space="preserve"> Accord </w:t>
      </w:r>
    </w:p>
    <w:p w14:paraId="085AD394" w14:textId="77777777" w:rsidR="00D061AA" w:rsidRPr="00C52C4C" w:rsidRDefault="00D061AA" w:rsidP="00D061AA">
      <w:pPr>
        <w:tabs>
          <w:tab w:val="left" w:pos="567"/>
        </w:tabs>
        <w:ind w:right="-2"/>
        <w:rPr>
          <w:sz w:val="22"/>
          <w:szCs w:val="22"/>
          <w:lang w:val="es-ES_tradnl"/>
        </w:rPr>
      </w:pPr>
      <w:r w:rsidRPr="00C52C4C">
        <w:rPr>
          <w:sz w:val="22"/>
          <w:szCs w:val="22"/>
          <w:lang w:val="es-ES_tradnl"/>
        </w:rPr>
        <w:lastRenderedPageBreak/>
        <w:t xml:space="preserve">Es importante tomar los comprimidos de </w:t>
      </w:r>
      <w:r w:rsidR="008D11BB"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Pr="00C52C4C">
        <w:rPr>
          <w:sz w:val="22"/>
          <w:szCs w:val="22"/>
          <w:lang w:val="es-ES_tradnl"/>
        </w:rPr>
        <w:t>de forma regular a la misma hora del día. Si olvida tomar una dosis, tome la siguiente cuando corresponda. No tome una dosis doble para compensar la dosis olvidada.</w:t>
      </w:r>
    </w:p>
    <w:p w14:paraId="1F739B6D" w14:textId="77777777" w:rsidR="00D061AA" w:rsidRPr="00C52C4C" w:rsidRDefault="00D061AA" w:rsidP="00D061AA">
      <w:pPr>
        <w:tabs>
          <w:tab w:val="left" w:pos="567"/>
        </w:tabs>
        <w:ind w:right="-2"/>
        <w:rPr>
          <w:sz w:val="22"/>
          <w:szCs w:val="22"/>
          <w:lang w:val="es-ES_tradnl"/>
        </w:rPr>
      </w:pPr>
    </w:p>
    <w:p w14:paraId="311E6E97" w14:textId="77777777" w:rsidR="00D061AA" w:rsidRPr="00C52C4C" w:rsidRDefault="00D061AA" w:rsidP="00D061AA">
      <w:pPr>
        <w:tabs>
          <w:tab w:val="left" w:pos="567"/>
        </w:tabs>
        <w:ind w:right="-2"/>
        <w:rPr>
          <w:b/>
          <w:sz w:val="22"/>
          <w:szCs w:val="22"/>
        </w:rPr>
      </w:pPr>
      <w:r w:rsidRPr="00C52C4C">
        <w:rPr>
          <w:b/>
          <w:sz w:val="22"/>
          <w:szCs w:val="22"/>
        </w:rPr>
        <w:t xml:space="preserve">Si interrumpe el tratamiento con </w:t>
      </w:r>
      <w:r w:rsidR="008D11BB" w:rsidRPr="00C52C4C">
        <w:rPr>
          <w:b/>
          <w:bCs/>
          <w:sz w:val="22"/>
          <w:szCs w:val="22"/>
        </w:rPr>
        <w:t>Voriconazol</w:t>
      </w:r>
      <w:r w:rsidR="003D734F" w:rsidRPr="00C52C4C">
        <w:rPr>
          <w:b/>
          <w:bCs/>
          <w:sz w:val="22"/>
          <w:szCs w:val="22"/>
        </w:rPr>
        <w:t xml:space="preserve"> Accord </w:t>
      </w:r>
    </w:p>
    <w:p w14:paraId="77856BB5" w14:textId="77777777" w:rsidR="00D061AA" w:rsidRPr="00C52C4C" w:rsidRDefault="00D061AA" w:rsidP="00D061AA">
      <w:pPr>
        <w:tabs>
          <w:tab w:val="left" w:pos="567"/>
        </w:tabs>
        <w:ind w:right="-2"/>
        <w:rPr>
          <w:sz w:val="22"/>
          <w:szCs w:val="22"/>
          <w:lang w:val="es-ES_tradnl"/>
        </w:rPr>
      </w:pPr>
      <w:r w:rsidRPr="00C52C4C">
        <w:rPr>
          <w:sz w:val="22"/>
          <w:szCs w:val="22"/>
          <w:lang w:val="es-ES_tradnl"/>
        </w:rPr>
        <w:t xml:space="preserve">Se ha demostrado que cumplir correctamente con la posología indicada, administrando cada dosis a la hora adecuada, puede incrementar significativamente la eficacia de este medicamento. Por lo tanto, a menos que el médico le indique que interrumpa el tratamiento, es importante que siga tomando </w:t>
      </w:r>
      <w:r w:rsidR="008D11BB"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Pr="00C52C4C">
        <w:rPr>
          <w:sz w:val="22"/>
          <w:szCs w:val="22"/>
          <w:lang w:val="es-ES_tradnl"/>
        </w:rPr>
        <w:t>correctamente</w:t>
      </w:r>
      <w:r w:rsidR="00BD0618">
        <w:rPr>
          <w:sz w:val="22"/>
          <w:szCs w:val="22"/>
          <w:lang w:val="es-ES_tradnl"/>
        </w:rPr>
        <w:t>,</w:t>
      </w:r>
      <w:r w:rsidRPr="00C52C4C">
        <w:rPr>
          <w:sz w:val="22"/>
          <w:szCs w:val="22"/>
          <w:lang w:val="es-ES_tradnl"/>
        </w:rPr>
        <w:t xml:space="preserve"> como se ha indicado</w:t>
      </w:r>
      <w:r w:rsidR="00BD0618">
        <w:rPr>
          <w:sz w:val="22"/>
          <w:szCs w:val="22"/>
          <w:lang w:val="es-ES_tradnl"/>
        </w:rPr>
        <w:t xml:space="preserve"> con</w:t>
      </w:r>
      <w:r w:rsidRPr="00C52C4C">
        <w:rPr>
          <w:sz w:val="22"/>
          <w:szCs w:val="22"/>
          <w:lang w:val="es-ES_tradnl"/>
        </w:rPr>
        <w:t xml:space="preserve"> anterior</w:t>
      </w:r>
      <w:r w:rsidR="00BD0618">
        <w:rPr>
          <w:sz w:val="22"/>
          <w:szCs w:val="22"/>
          <w:lang w:val="es-ES_tradnl"/>
        </w:rPr>
        <w:t>idad</w:t>
      </w:r>
      <w:r w:rsidRPr="00C52C4C">
        <w:rPr>
          <w:sz w:val="22"/>
          <w:szCs w:val="22"/>
          <w:lang w:val="es-ES_tradnl"/>
        </w:rPr>
        <w:t>.</w:t>
      </w:r>
    </w:p>
    <w:p w14:paraId="548206EF" w14:textId="77777777" w:rsidR="00D061AA" w:rsidRPr="00C52C4C" w:rsidRDefault="00D061AA" w:rsidP="00D061AA">
      <w:pPr>
        <w:tabs>
          <w:tab w:val="left" w:pos="567"/>
        </w:tabs>
        <w:ind w:right="-2"/>
        <w:rPr>
          <w:sz w:val="22"/>
          <w:szCs w:val="22"/>
          <w:lang w:val="es-ES_tradnl"/>
        </w:rPr>
      </w:pPr>
    </w:p>
    <w:p w14:paraId="1B50F0F1" w14:textId="77777777" w:rsidR="00D061AA" w:rsidRPr="00C52C4C" w:rsidRDefault="00D061AA" w:rsidP="00D061AA">
      <w:pPr>
        <w:tabs>
          <w:tab w:val="left" w:pos="567"/>
        </w:tabs>
        <w:ind w:right="-2"/>
        <w:rPr>
          <w:sz w:val="22"/>
          <w:szCs w:val="22"/>
          <w:lang w:val="es-ES_tradnl"/>
        </w:rPr>
      </w:pPr>
      <w:r w:rsidRPr="00C52C4C">
        <w:rPr>
          <w:sz w:val="22"/>
          <w:szCs w:val="22"/>
          <w:lang w:val="es-ES_tradnl"/>
        </w:rPr>
        <w:t xml:space="preserve">Continúe tomando </w:t>
      </w:r>
      <w:r w:rsidR="008D11BB"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Pr="00C52C4C">
        <w:rPr>
          <w:sz w:val="22"/>
          <w:szCs w:val="22"/>
          <w:lang w:val="es-ES_tradnl"/>
        </w:rPr>
        <w:t>hasta que el médico le indique lo contrario. No interrumpa el tratamiento antes de tiempo, porque puede que la infección no esté curada. Los pacientes con el sistema inmunológico comprometido o con infecciones complicadas pueden precisar tratamientos más largos para evitar que vuelva a aparecer la infección.</w:t>
      </w:r>
    </w:p>
    <w:p w14:paraId="0B381988" w14:textId="77777777" w:rsidR="00D061AA" w:rsidRPr="00C52C4C" w:rsidRDefault="00D061AA" w:rsidP="00D061AA">
      <w:pPr>
        <w:tabs>
          <w:tab w:val="left" w:pos="567"/>
        </w:tabs>
        <w:ind w:right="-2"/>
        <w:rPr>
          <w:sz w:val="22"/>
          <w:szCs w:val="22"/>
          <w:lang w:val="es-ES_tradnl"/>
        </w:rPr>
      </w:pPr>
    </w:p>
    <w:p w14:paraId="023830EE" w14:textId="77777777" w:rsidR="00D061AA" w:rsidRPr="00C52C4C" w:rsidRDefault="00D061AA" w:rsidP="00D061AA">
      <w:pPr>
        <w:tabs>
          <w:tab w:val="left" w:pos="567"/>
        </w:tabs>
        <w:ind w:right="-2"/>
        <w:rPr>
          <w:sz w:val="22"/>
          <w:szCs w:val="22"/>
          <w:lang w:val="es-ES_tradnl"/>
        </w:rPr>
      </w:pPr>
      <w:r w:rsidRPr="00C52C4C">
        <w:rPr>
          <w:sz w:val="22"/>
          <w:szCs w:val="22"/>
          <w:lang w:val="es-ES_tradnl"/>
        </w:rPr>
        <w:t xml:space="preserve">Cuando el médico suspenda el tratamiento con </w:t>
      </w:r>
      <w:r w:rsidR="008D11BB" w:rsidRPr="00C52C4C">
        <w:rPr>
          <w:bCs/>
          <w:sz w:val="22"/>
          <w:szCs w:val="22"/>
        </w:rPr>
        <w:t>Voriconazol</w:t>
      </w:r>
      <w:r w:rsidR="003D734F" w:rsidRPr="00C52C4C">
        <w:rPr>
          <w:bCs/>
          <w:sz w:val="22"/>
          <w:szCs w:val="22"/>
        </w:rPr>
        <w:t xml:space="preserve"> Accord</w:t>
      </w:r>
      <w:r w:rsidRPr="00C52C4C">
        <w:rPr>
          <w:sz w:val="22"/>
          <w:szCs w:val="22"/>
          <w:lang w:val="es-ES_tradnl"/>
        </w:rPr>
        <w:t xml:space="preserve">, no debería presentar ningún efecto derivado de la interrupción. </w:t>
      </w:r>
    </w:p>
    <w:p w14:paraId="40B9C89E" w14:textId="77777777" w:rsidR="00D061AA" w:rsidRPr="00C52C4C" w:rsidRDefault="00D061AA" w:rsidP="00D061AA">
      <w:pPr>
        <w:tabs>
          <w:tab w:val="left" w:pos="567"/>
        </w:tabs>
        <w:ind w:right="-2"/>
        <w:rPr>
          <w:sz w:val="22"/>
          <w:szCs w:val="22"/>
          <w:lang w:val="es-ES_tradnl"/>
        </w:rPr>
      </w:pPr>
    </w:p>
    <w:p w14:paraId="32522B0C" w14:textId="77777777" w:rsidR="00D061AA" w:rsidRPr="00C52C4C" w:rsidRDefault="00D061AA" w:rsidP="00D061AA">
      <w:pPr>
        <w:tabs>
          <w:tab w:val="left" w:pos="567"/>
        </w:tabs>
        <w:ind w:right="-2"/>
        <w:rPr>
          <w:sz w:val="22"/>
          <w:szCs w:val="22"/>
          <w:lang w:val="es-ES_tradnl"/>
        </w:rPr>
      </w:pPr>
      <w:r w:rsidRPr="00C52C4C">
        <w:rPr>
          <w:sz w:val="22"/>
          <w:szCs w:val="22"/>
          <w:lang w:val="es-ES_tradnl"/>
        </w:rPr>
        <w:t>Si tiene cualquier otra duda sobre el uso de este medicamento, pregunte a su médico</w:t>
      </w:r>
      <w:r w:rsidR="0090615B" w:rsidRPr="00C52C4C">
        <w:rPr>
          <w:sz w:val="22"/>
          <w:szCs w:val="22"/>
          <w:lang w:val="es-ES_tradnl"/>
        </w:rPr>
        <w:t>,</w:t>
      </w:r>
      <w:r w:rsidRPr="00C52C4C">
        <w:rPr>
          <w:sz w:val="22"/>
          <w:szCs w:val="22"/>
          <w:lang w:val="es-ES_tradnl"/>
        </w:rPr>
        <w:t xml:space="preserve"> farmacéutico</w:t>
      </w:r>
      <w:r w:rsidR="0090615B" w:rsidRPr="00C52C4C">
        <w:rPr>
          <w:sz w:val="22"/>
          <w:szCs w:val="22"/>
          <w:lang w:val="es-ES_tradnl"/>
        </w:rPr>
        <w:t xml:space="preserve"> o enfermero</w:t>
      </w:r>
      <w:r w:rsidRPr="00C52C4C">
        <w:rPr>
          <w:sz w:val="22"/>
          <w:szCs w:val="22"/>
          <w:lang w:val="es-ES_tradnl"/>
        </w:rPr>
        <w:t>.</w:t>
      </w:r>
    </w:p>
    <w:p w14:paraId="154A2715" w14:textId="77777777" w:rsidR="00D061AA" w:rsidRPr="00C52C4C" w:rsidRDefault="00D061AA" w:rsidP="00D061AA">
      <w:pPr>
        <w:tabs>
          <w:tab w:val="left" w:pos="567"/>
        </w:tabs>
        <w:ind w:right="-2"/>
        <w:rPr>
          <w:sz w:val="22"/>
          <w:szCs w:val="22"/>
          <w:lang w:val="es-ES_tradnl"/>
        </w:rPr>
      </w:pPr>
    </w:p>
    <w:p w14:paraId="58C9FB30" w14:textId="77777777" w:rsidR="00D061AA" w:rsidRPr="00C52C4C" w:rsidRDefault="00D061AA" w:rsidP="00D061AA">
      <w:pPr>
        <w:tabs>
          <w:tab w:val="left" w:pos="567"/>
        </w:tabs>
        <w:ind w:right="-2"/>
        <w:rPr>
          <w:sz w:val="22"/>
          <w:szCs w:val="22"/>
          <w:lang w:val="es-ES_tradnl"/>
        </w:rPr>
      </w:pPr>
    </w:p>
    <w:p w14:paraId="57B640DE" w14:textId="77777777" w:rsidR="00D061AA" w:rsidRPr="00C52C4C" w:rsidRDefault="00D061AA" w:rsidP="00D061AA">
      <w:pPr>
        <w:tabs>
          <w:tab w:val="left" w:pos="567"/>
        </w:tabs>
        <w:ind w:left="567" w:right="-2" w:hanging="567"/>
        <w:rPr>
          <w:sz w:val="22"/>
          <w:szCs w:val="22"/>
          <w:lang w:val="es-ES_tradnl"/>
        </w:rPr>
      </w:pPr>
      <w:r w:rsidRPr="00C52C4C">
        <w:rPr>
          <w:b/>
          <w:sz w:val="22"/>
          <w:szCs w:val="22"/>
          <w:lang w:val="es-ES_tradnl"/>
        </w:rPr>
        <w:t>4.</w:t>
      </w:r>
      <w:r w:rsidRPr="00C52C4C">
        <w:rPr>
          <w:b/>
          <w:sz w:val="22"/>
          <w:szCs w:val="22"/>
          <w:lang w:val="es-ES_tradnl"/>
        </w:rPr>
        <w:tab/>
        <w:t>Posibles efectos adversos</w:t>
      </w:r>
    </w:p>
    <w:p w14:paraId="05E37C17" w14:textId="77777777" w:rsidR="00D061AA" w:rsidRPr="00C52C4C" w:rsidRDefault="00D061AA" w:rsidP="00D061AA">
      <w:pPr>
        <w:tabs>
          <w:tab w:val="left" w:pos="567"/>
        </w:tabs>
        <w:ind w:right="-29"/>
        <w:rPr>
          <w:sz w:val="22"/>
          <w:szCs w:val="22"/>
          <w:lang w:val="es-ES_tradnl"/>
        </w:rPr>
      </w:pPr>
    </w:p>
    <w:p w14:paraId="031C2001" w14:textId="77777777" w:rsidR="00D061AA" w:rsidRPr="00C52C4C" w:rsidRDefault="00D061AA" w:rsidP="00D061AA">
      <w:pPr>
        <w:tabs>
          <w:tab w:val="left" w:pos="567"/>
        </w:tabs>
        <w:ind w:right="-29"/>
        <w:rPr>
          <w:sz w:val="22"/>
          <w:szCs w:val="22"/>
          <w:lang w:val="es-ES_tradnl"/>
        </w:rPr>
      </w:pPr>
      <w:r w:rsidRPr="00C52C4C">
        <w:rPr>
          <w:sz w:val="22"/>
          <w:szCs w:val="22"/>
          <w:lang w:val="es-ES_tradnl"/>
        </w:rPr>
        <w:t>Al igual que todos los medicamentos, este medicamento puede tener efectos adversos, aunque no todas las personas los sufran.</w:t>
      </w:r>
    </w:p>
    <w:p w14:paraId="690468D4" w14:textId="77777777" w:rsidR="00D061AA" w:rsidRPr="00C52C4C" w:rsidRDefault="00D061AA" w:rsidP="00D061AA">
      <w:pPr>
        <w:tabs>
          <w:tab w:val="left" w:pos="567"/>
        </w:tabs>
        <w:ind w:right="-29"/>
        <w:rPr>
          <w:sz w:val="22"/>
          <w:szCs w:val="22"/>
          <w:lang w:val="es-ES_tradnl"/>
        </w:rPr>
      </w:pPr>
    </w:p>
    <w:p w14:paraId="69367C22" w14:textId="77777777" w:rsidR="00D061AA" w:rsidRPr="00C52C4C" w:rsidRDefault="00D061AA" w:rsidP="00D061AA">
      <w:pPr>
        <w:tabs>
          <w:tab w:val="left" w:pos="567"/>
        </w:tabs>
        <w:ind w:right="-29"/>
        <w:rPr>
          <w:sz w:val="22"/>
          <w:szCs w:val="22"/>
          <w:lang w:val="es-ES_tradnl"/>
        </w:rPr>
      </w:pPr>
      <w:r w:rsidRPr="00C52C4C">
        <w:rPr>
          <w:sz w:val="22"/>
          <w:szCs w:val="22"/>
          <w:lang w:val="es-ES_tradnl"/>
        </w:rPr>
        <w:t>Si aparece alguno, lo más probable es que sea leve y transitorio. No obstante, algunos pueden ser graves y precisar atención médica.</w:t>
      </w:r>
    </w:p>
    <w:p w14:paraId="6A452381" w14:textId="77777777" w:rsidR="00D061AA" w:rsidRPr="00C52C4C" w:rsidRDefault="00D061AA" w:rsidP="00D061AA">
      <w:pPr>
        <w:tabs>
          <w:tab w:val="left" w:pos="567"/>
        </w:tabs>
        <w:ind w:right="-29"/>
        <w:rPr>
          <w:b/>
          <w:sz w:val="22"/>
          <w:szCs w:val="22"/>
          <w:lang w:val="es-ES_tradnl"/>
        </w:rPr>
      </w:pPr>
    </w:p>
    <w:p w14:paraId="796FEF11" w14:textId="77777777" w:rsidR="00D061AA" w:rsidRPr="00C52C4C" w:rsidRDefault="00D061AA" w:rsidP="00D061AA">
      <w:pPr>
        <w:tabs>
          <w:tab w:val="left" w:pos="567"/>
        </w:tabs>
        <w:ind w:right="-29"/>
        <w:rPr>
          <w:b/>
          <w:sz w:val="22"/>
          <w:szCs w:val="22"/>
          <w:lang w:val="es-ES_tradnl"/>
        </w:rPr>
      </w:pPr>
      <w:r w:rsidRPr="00C52C4C">
        <w:rPr>
          <w:b/>
          <w:sz w:val="22"/>
          <w:szCs w:val="22"/>
          <w:lang w:val="es-ES_tradnl"/>
        </w:rPr>
        <w:t xml:space="preserve">Efectos adversos graves - Dejar de tomar </w:t>
      </w:r>
      <w:r w:rsidR="008D11BB" w:rsidRPr="00C52C4C">
        <w:rPr>
          <w:b/>
          <w:bCs/>
          <w:sz w:val="22"/>
          <w:szCs w:val="22"/>
        </w:rPr>
        <w:t>Voriconazol</w:t>
      </w:r>
      <w:r w:rsidR="003D734F" w:rsidRPr="00C52C4C">
        <w:rPr>
          <w:b/>
          <w:bCs/>
          <w:sz w:val="22"/>
          <w:szCs w:val="22"/>
        </w:rPr>
        <w:t xml:space="preserve"> Accord </w:t>
      </w:r>
      <w:r w:rsidRPr="00C52C4C">
        <w:rPr>
          <w:b/>
          <w:sz w:val="22"/>
          <w:szCs w:val="22"/>
          <w:lang w:val="es-ES_tradnl"/>
        </w:rPr>
        <w:t>y acudir al médico inmediatamente</w:t>
      </w:r>
    </w:p>
    <w:p w14:paraId="56334BE5" w14:textId="77777777" w:rsidR="00D061AA" w:rsidRPr="00C52C4C" w:rsidRDefault="00D061AA" w:rsidP="00623360">
      <w:pPr>
        <w:numPr>
          <w:ilvl w:val="0"/>
          <w:numId w:val="4"/>
        </w:numPr>
        <w:tabs>
          <w:tab w:val="clear" w:pos="720"/>
          <w:tab w:val="num" w:pos="0"/>
          <w:tab w:val="left" w:pos="567"/>
        </w:tabs>
        <w:ind w:left="709" w:right="-29" w:hanging="709"/>
        <w:rPr>
          <w:sz w:val="22"/>
          <w:szCs w:val="22"/>
          <w:lang w:val="es-ES_tradnl"/>
        </w:rPr>
      </w:pPr>
      <w:r w:rsidRPr="00C52C4C">
        <w:rPr>
          <w:sz w:val="22"/>
          <w:szCs w:val="22"/>
          <w:lang w:val="es-ES_tradnl"/>
        </w:rPr>
        <w:t>Erupción cutánea.</w:t>
      </w:r>
    </w:p>
    <w:p w14:paraId="08F37F9D" w14:textId="77777777" w:rsidR="00D061AA" w:rsidRPr="00C52C4C" w:rsidRDefault="00D061AA" w:rsidP="00623360">
      <w:pPr>
        <w:numPr>
          <w:ilvl w:val="0"/>
          <w:numId w:val="4"/>
        </w:numPr>
        <w:tabs>
          <w:tab w:val="clear" w:pos="720"/>
          <w:tab w:val="num" w:pos="0"/>
          <w:tab w:val="left" w:pos="567"/>
        </w:tabs>
        <w:ind w:left="709" w:right="-29" w:hanging="709"/>
        <w:rPr>
          <w:sz w:val="22"/>
          <w:szCs w:val="22"/>
          <w:lang w:val="es-ES_tradnl"/>
        </w:rPr>
      </w:pPr>
      <w:r w:rsidRPr="00C52C4C">
        <w:rPr>
          <w:sz w:val="22"/>
          <w:szCs w:val="22"/>
          <w:lang w:val="es-ES_tradnl"/>
        </w:rPr>
        <w:t>Ictericia; cambios en la función del hígado detectados en los análisis de sangre.</w:t>
      </w:r>
    </w:p>
    <w:p w14:paraId="00736156" w14:textId="77777777" w:rsidR="00D061AA" w:rsidRPr="00C52C4C" w:rsidRDefault="00D061AA" w:rsidP="00623360">
      <w:pPr>
        <w:numPr>
          <w:ilvl w:val="0"/>
          <w:numId w:val="4"/>
        </w:numPr>
        <w:tabs>
          <w:tab w:val="clear" w:pos="720"/>
          <w:tab w:val="num" w:pos="0"/>
          <w:tab w:val="left" w:pos="567"/>
        </w:tabs>
        <w:ind w:left="709" w:right="-29" w:hanging="709"/>
        <w:rPr>
          <w:sz w:val="22"/>
          <w:szCs w:val="22"/>
          <w:lang w:val="es-ES_tradnl"/>
        </w:rPr>
      </w:pPr>
      <w:r w:rsidRPr="00C52C4C">
        <w:rPr>
          <w:sz w:val="22"/>
          <w:szCs w:val="22"/>
          <w:lang w:val="es-ES_tradnl"/>
        </w:rPr>
        <w:t>Pancreatitis.</w:t>
      </w:r>
    </w:p>
    <w:p w14:paraId="6569D5AA" w14:textId="77777777" w:rsidR="00D061AA" w:rsidRPr="00C52C4C" w:rsidRDefault="00D061AA" w:rsidP="00D061AA">
      <w:pPr>
        <w:tabs>
          <w:tab w:val="left" w:pos="567"/>
        </w:tabs>
        <w:ind w:right="-29"/>
        <w:rPr>
          <w:sz w:val="22"/>
          <w:szCs w:val="22"/>
          <w:lang w:val="es-ES_tradnl"/>
        </w:rPr>
      </w:pPr>
    </w:p>
    <w:p w14:paraId="2836C828" w14:textId="77777777" w:rsidR="00D061AA" w:rsidRPr="00C52C4C" w:rsidRDefault="00D061AA" w:rsidP="00D061AA">
      <w:pPr>
        <w:tabs>
          <w:tab w:val="left" w:pos="567"/>
        </w:tabs>
        <w:ind w:right="-29"/>
        <w:rPr>
          <w:b/>
          <w:sz w:val="22"/>
          <w:szCs w:val="22"/>
          <w:lang w:val="es-ES_tradnl"/>
        </w:rPr>
      </w:pPr>
      <w:r w:rsidRPr="00C52C4C">
        <w:rPr>
          <w:b/>
          <w:sz w:val="22"/>
          <w:szCs w:val="22"/>
          <w:lang w:val="es-ES_tradnl"/>
        </w:rPr>
        <w:t>Otros efectos adversos</w:t>
      </w:r>
    </w:p>
    <w:p w14:paraId="58A96CF6" w14:textId="77777777" w:rsidR="00D061AA" w:rsidRPr="00C52C4C" w:rsidRDefault="00D061AA" w:rsidP="00D061AA">
      <w:pPr>
        <w:tabs>
          <w:tab w:val="left" w:pos="567"/>
        </w:tabs>
        <w:ind w:right="-29"/>
        <w:rPr>
          <w:sz w:val="22"/>
          <w:szCs w:val="22"/>
          <w:lang w:val="es-ES_tradnl"/>
        </w:rPr>
      </w:pPr>
    </w:p>
    <w:p w14:paraId="76C60FAD" w14:textId="77777777" w:rsidR="00D061AA" w:rsidRPr="00C52C4C" w:rsidRDefault="0036521F" w:rsidP="00D061AA">
      <w:pPr>
        <w:tabs>
          <w:tab w:val="left" w:pos="567"/>
        </w:tabs>
        <w:ind w:right="-29"/>
        <w:rPr>
          <w:sz w:val="22"/>
          <w:szCs w:val="22"/>
          <w:lang w:val="es-ES_tradnl"/>
        </w:rPr>
      </w:pPr>
      <w:r w:rsidRPr="00C52C4C">
        <w:rPr>
          <w:sz w:val="22"/>
          <w:szCs w:val="22"/>
          <w:lang w:val="es-ES_tradnl"/>
        </w:rPr>
        <w:t>M</w:t>
      </w:r>
      <w:r w:rsidR="00D061AA" w:rsidRPr="00C52C4C">
        <w:rPr>
          <w:sz w:val="22"/>
          <w:szCs w:val="22"/>
          <w:lang w:val="es-ES_tradnl"/>
        </w:rPr>
        <w:t>uy frecuentes</w:t>
      </w:r>
      <w:r w:rsidR="00912660" w:rsidRPr="00C52C4C">
        <w:rPr>
          <w:sz w:val="22"/>
          <w:szCs w:val="22"/>
          <w:lang w:val="es-ES_tradnl"/>
        </w:rPr>
        <w:t>:</w:t>
      </w:r>
      <w:r w:rsidR="00D061AA" w:rsidRPr="00C52C4C">
        <w:rPr>
          <w:sz w:val="22"/>
          <w:szCs w:val="22"/>
          <w:lang w:val="es-ES_tradnl"/>
        </w:rPr>
        <w:t xml:space="preserve"> pueden afectar a más de 1 de cada 10 personas</w:t>
      </w:r>
    </w:p>
    <w:p w14:paraId="275458C9" w14:textId="77777777" w:rsidR="00D061AA" w:rsidRPr="00C52C4C" w:rsidRDefault="00D061AA" w:rsidP="00D061AA">
      <w:pPr>
        <w:tabs>
          <w:tab w:val="left" w:pos="567"/>
        </w:tabs>
        <w:ind w:right="-29"/>
        <w:rPr>
          <w:sz w:val="22"/>
          <w:szCs w:val="22"/>
          <w:lang w:val="es-ES_tradnl"/>
        </w:rPr>
      </w:pPr>
    </w:p>
    <w:p w14:paraId="69DED116" w14:textId="77777777" w:rsidR="00D061AA" w:rsidRPr="00C52C4C" w:rsidRDefault="009B6626" w:rsidP="00623360">
      <w:pPr>
        <w:numPr>
          <w:ilvl w:val="0"/>
          <w:numId w:val="5"/>
        </w:numPr>
        <w:tabs>
          <w:tab w:val="clear" w:pos="2880"/>
          <w:tab w:val="left" w:pos="567"/>
        </w:tabs>
        <w:ind w:left="360" w:right="-29"/>
        <w:rPr>
          <w:sz w:val="22"/>
          <w:szCs w:val="22"/>
          <w:lang w:val="es-ES_tradnl"/>
        </w:rPr>
      </w:pPr>
      <w:r w:rsidRPr="00C52C4C">
        <w:rPr>
          <w:sz w:val="22"/>
          <w:szCs w:val="22"/>
          <w:lang w:val="es-ES_tradnl"/>
        </w:rPr>
        <w:t xml:space="preserve">Alteración visual </w:t>
      </w:r>
      <w:r w:rsidR="00D061AA" w:rsidRPr="00C52C4C">
        <w:rPr>
          <w:sz w:val="22"/>
          <w:szCs w:val="22"/>
          <w:lang w:val="es-ES_tradnl"/>
        </w:rPr>
        <w:t>(cambio de la visión</w:t>
      </w:r>
      <w:r w:rsidR="009C0F49" w:rsidRPr="00C52C4C">
        <w:rPr>
          <w:sz w:val="22"/>
          <w:szCs w:val="22"/>
          <w:lang w:val="es-ES_tradnl"/>
        </w:rPr>
        <w:t>, como visión borrosa, alteraciones visuales de los colores, intolerancia anormal a la percepción visual de la luz, ceguera para los colores, trastorno del ojo, halo visual, ceguera nocturna, visión oscilante, visión de chispas, aura visual, agudeza visual disminuida, claridad visual, pérdida parcial del campo visual habitual, manchas en el campo visual</w:t>
      </w:r>
      <w:r w:rsidR="00D061AA" w:rsidRPr="00C52C4C">
        <w:rPr>
          <w:sz w:val="22"/>
          <w:szCs w:val="22"/>
          <w:lang w:val="es-ES_tradnl"/>
        </w:rPr>
        <w:t>).</w:t>
      </w:r>
    </w:p>
    <w:p w14:paraId="2408306E" w14:textId="77777777" w:rsidR="00D061AA" w:rsidRPr="00C52C4C" w:rsidRDefault="00D061AA" w:rsidP="00623360">
      <w:pPr>
        <w:numPr>
          <w:ilvl w:val="0"/>
          <w:numId w:val="5"/>
        </w:numPr>
        <w:tabs>
          <w:tab w:val="clear" w:pos="2880"/>
          <w:tab w:val="left" w:pos="567"/>
        </w:tabs>
        <w:ind w:left="360" w:right="-29"/>
        <w:rPr>
          <w:sz w:val="22"/>
          <w:szCs w:val="22"/>
          <w:lang w:val="es-ES_tradnl"/>
        </w:rPr>
      </w:pPr>
      <w:r w:rsidRPr="00C52C4C">
        <w:rPr>
          <w:sz w:val="22"/>
          <w:szCs w:val="22"/>
          <w:lang w:val="es-ES_tradnl"/>
        </w:rPr>
        <w:t>Fiebre.</w:t>
      </w:r>
    </w:p>
    <w:p w14:paraId="6936B3F7" w14:textId="77777777" w:rsidR="00D061AA" w:rsidRPr="00C52C4C" w:rsidRDefault="00D061AA" w:rsidP="00623360">
      <w:pPr>
        <w:numPr>
          <w:ilvl w:val="0"/>
          <w:numId w:val="5"/>
        </w:numPr>
        <w:tabs>
          <w:tab w:val="clear" w:pos="2880"/>
          <w:tab w:val="left" w:pos="567"/>
        </w:tabs>
        <w:ind w:left="360" w:right="-29"/>
        <w:rPr>
          <w:sz w:val="22"/>
          <w:szCs w:val="22"/>
          <w:lang w:val="es-ES_tradnl"/>
        </w:rPr>
      </w:pPr>
      <w:r w:rsidRPr="00C52C4C">
        <w:rPr>
          <w:sz w:val="22"/>
          <w:szCs w:val="22"/>
          <w:lang w:val="es-ES_tradnl"/>
        </w:rPr>
        <w:t>Erupción cutánea.</w:t>
      </w:r>
    </w:p>
    <w:p w14:paraId="72A2F9EC" w14:textId="77777777" w:rsidR="00D061AA" w:rsidRPr="00C52C4C" w:rsidRDefault="00D061AA" w:rsidP="00623360">
      <w:pPr>
        <w:numPr>
          <w:ilvl w:val="0"/>
          <w:numId w:val="5"/>
        </w:numPr>
        <w:tabs>
          <w:tab w:val="clear" w:pos="2880"/>
          <w:tab w:val="left" w:pos="567"/>
        </w:tabs>
        <w:ind w:left="360" w:right="-29"/>
        <w:rPr>
          <w:sz w:val="22"/>
          <w:szCs w:val="22"/>
          <w:lang w:val="es-ES_tradnl"/>
        </w:rPr>
      </w:pPr>
      <w:r w:rsidRPr="00C52C4C">
        <w:rPr>
          <w:sz w:val="22"/>
          <w:szCs w:val="22"/>
          <w:lang w:val="es-ES_tradnl"/>
        </w:rPr>
        <w:t>Náuseas, vómitos y diarrea.</w:t>
      </w:r>
    </w:p>
    <w:p w14:paraId="715AC1DA" w14:textId="77777777" w:rsidR="00D061AA" w:rsidRPr="00C52C4C" w:rsidRDefault="00D061AA" w:rsidP="00623360">
      <w:pPr>
        <w:numPr>
          <w:ilvl w:val="0"/>
          <w:numId w:val="5"/>
        </w:numPr>
        <w:tabs>
          <w:tab w:val="clear" w:pos="2880"/>
          <w:tab w:val="left" w:pos="567"/>
        </w:tabs>
        <w:ind w:left="360" w:right="-29"/>
        <w:rPr>
          <w:sz w:val="22"/>
          <w:szCs w:val="22"/>
          <w:lang w:val="es-ES_tradnl"/>
        </w:rPr>
      </w:pPr>
      <w:r w:rsidRPr="00C52C4C">
        <w:rPr>
          <w:sz w:val="22"/>
          <w:szCs w:val="22"/>
          <w:lang w:val="es-ES_tradnl"/>
        </w:rPr>
        <w:t>Dolor de cabeza.</w:t>
      </w:r>
    </w:p>
    <w:p w14:paraId="41CBB06C" w14:textId="77777777" w:rsidR="00D061AA" w:rsidRPr="00C52C4C" w:rsidRDefault="00D061AA" w:rsidP="00623360">
      <w:pPr>
        <w:numPr>
          <w:ilvl w:val="0"/>
          <w:numId w:val="5"/>
        </w:numPr>
        <w:tabs>
          <w:tab w:val="clear" w:pos="2880"/>
          <w:tab w:val="left" w:pos="567"/>
        </w:tabs>
        <w:ind w:left="360" w:right="-29"/>
        <w:rPr>
          <w:sz w:val="22"/>
          <w:szCs w:val="22"/>
          <w:lang w:val="es-ES_tradnl"/>
        </w:rPr>
      </w:pPr>
      <w:r w:rsidRPr="00C52C4C">
        <w:rPr>
          <w:sz w:val="22"/>
          <w:szCs w:val="22"/>
          <w:lang w:val="es-ES_tradnl"/>
        </w:rPr>
        <w:t>Hinchazón de las extremidades.</w:t>
      </w:r>
    </w:p>
    <w:p w14:paraId="3E3BEC30" w14:textId="77777777" w:rsidR="00D061AA" w:rsidRPr="00C52C4C" w:rsidRDefault="00D061AA" w:rsidP="00623360">
      <w:pPr>
        <w:numPr>
          <w:ilvl w:val="0"/>
          <w:numId w:val="5"/>
        </w:numPr>
        <w:tabs>
          <w:tab w:val="clear" w:pos="2880"/>
          <w:tab w:val="left" w:pos="567"/>
        </w:tabs>
        <w:ind w:left="360" w:right="-29"/>
        <w:rPr>
          <w:sz w:val="22"/>
          <w:szCs w:val="22"/>
          <w:lang w:val="es-ES_tradnl"/>
        </w:rPr>
      </w:pPr>
      <w:r w:rsidRPr="00C52C4C">
        <w:rPr>
          <w:sz w:val="22"/>
          <w:szCs w:val="22"/>
          <w:lang w:val="es-ES_tradnl"/>
        </w:rPr>
        <w:t>Dolor de estómago.</w:t>
      </w:r>
    </w:p>
    <w:p w14:paraId="1BE0B5D2" w14:textId="77777777" w:rsidR="009B6626" w:rsidRPr="00C52C4C" w:rsidRDefault="009B6626" w:rsidP="00623360">
      <w:pPr>
        <w:numPr>
          <w:ilvl w:val="0"/>
          <w:numId w:val="15"/>
        </w:numPr>
        <w:tabs>
          <w:tab w:val="clear" w:pos="360"/>
          <w:tab w:val="num" w:pos="567"/>
        </w:tabs>
        <w:ind w:left="567" w:right="-29" w:hanging="567"/>
        <w:rPr>
          <w:sz w:val="22"/>
          <w:szCs w:val="22"/>
          <w:lang w:val="es-ES_tradnl"/>
        </w:rPr>
      </w:pPr>
      <w:r w:rsidRPr="00C52C4C">
        <w:rPr>
          <w:sz w:val="22"/>
          <w:szCs w:val="22"/>
          <w:lang w:val="es-ES_tradnl"/>
        </w:rPr>
        <w:t>Dificultad para respirar.</w:t>
      </w:r>
    </w:p>
    <w:p w14:paraId="16ABFE9A" w14:textId="77777777" w:rsidR="0036521F" w:rsidRPr="00C52C4C" w:rsidRDefault="0036521F" w:rsidP="00623360">
      <w:pPr>
        <w:numPr>
          <w:ilvl w:val="0"/>
          <w:numId w:val="15"/>
        </w:numPr>
        <w:tabs>
          <w:tab w:val="clear" w:pos="360"/>
          <w:tab w:val="num" w:pos="567"/>
        </w:tabs>
        <w:ind w:left="567" w:right="-29" w:hanging="567"/>
        <w:rPr>
          <w:sz w:val="22"/>
          <w:szCs w:val="22"/>
          <w:lang w:val="es-ES_tradnl"/>
        </w:rPr>
      </w:pPr>
      <w:r w:rsidRPr="00C52C4C">
        <w:rPr>
          <w:sz w:val="22"/>
          <w:szCs w:val="22"/>
          <w:lang w:val="es-ES_tradnl"/>
        </w:rPr>
        <w:t>Enzimas hepáticas elevadas.</w:t>
      </w:r>
    </w:p>
    <w:p w14:paraId="5F530E18" w14:textId="77777777" w:rsidR="00D061AA" w:rsidRPr="00C52C4C" w:rsidRDefault="00D061AA" w:rsidP="00D061AA">
      <w:pPr>
        <w:tabs>
          <w:tab w:val="left" w:pos="567"/>
        </w:tabs>
        <w:ind w:right="-29"/>
        <w:rPr>
          <w:sz w:val="22"/>
          <w:szCs w:val="22"/>
          <w:lang w:val="es-ES_tradnl"/>
        </w:rPr>
      </w:pPr>
    </w:p>
    <w:p w14:paraId="105098BF" w14:textId="77777777" w:rsidR="00D061AA" w:rsidRPr="00C52C4C" w:rsidRDefault="0036521F" w:rsidP="00D061AA">
      <w:pPr>
        <w:tabs>
          <w:tab w:val="left" w:pos="567"/>
        </w:tabs>
        <w:ind w:right="-29"/>
        <w:rPr>
          <w:sz w:val="22"/>
          <w:szCs w:val="22"/>
          <w:lang w:val="es-ES_tradnl"/>
        </w:rPr>
      </w:pPr>
      <w:r w:rsidRPr="00C52C4C">
        <w:rPr>
          <w:sz w:val="22"/>
          <w:szCs w:val="22"/>
          <w:lang w:val="es-ES_tradnl"/>
        </w:rPr>
        <w:t>F</w:t>
      </w:r>
      <w:r w:rsidR="00D061AA" w:rsidRPr="00C52C4C">
        <w:rPr>
          <w:sz w:val="22"/>
          <w:szCs w:val="22"/>
          <w:lang w:val="es-ES_tradnl"/>
        </w:rPr>
        <w:t>recuentes</w:t>
      </w:r>
      <w:r w:rsidR="00912660" w:rsidRPr="00C52C4C">
        <w:rPr>
          <w:sz w:val="22"/>
          <w:szCs w:val="22"/>
          <w:lang w:val="es-ES_tradnl"/>
        </w:rPr>
        <w:t>:</w:t>
      </w:r>
      <w:r w:rsidR="00D061AA" w:rsidRPr="00C52C4C">
        <w:rPr>
          <w:sz w:val="22"/>
          <w:szCs w:val="22"/>
          <w:lang w:val="es-ES_tradnl"/>
        </w:rPr>
        <w:t xml:space="preserve"> pueden afectar hasta 1 de cada 10 personas</w:t>
      </w:r>
    </w:p>
    <w:p w14:paraId="7F008BAF" w14:textId="77777777" w:rsidR="00D061AA" w:rsidRPr="00C52C4C" w:rsidRDefault="00D061AA" w:rsidP="00D061AA">
      <w:pPr>
        <w:tabs>
          <w:tab w:val="left" w:pos="567"/>
        </w:tabs>
        <w:ind w:right="-29"/>
        <w:rPr>
          <w:sz w:val="22"/>
          <w:szCs w:val="22"/>
          <w:lang w:val="es-ES_tradnl"/>
        </w:rPr>
      </w:pPr>
    </w:p>
    <w:p w14:paraId="52FBB089" w14:textId="77777777" w:rsidR="00D061AA" w:rsidRPr="00C52C4C" w:rsidRDefault="0036521F" w:rsidP="00623360">
      <w:pPr>
        <w:numPr>
          <w:ilvl w:val="0"/>
          <w:numId w:val="6"/>
        </w:numPr>
        <w:tabs>
          <w:tab w:val="clear" w:pos="2880"/>
        </w:tabs>
        <w:ind w:left="600" w:right="-29" w:hanging="600"/>
        <w:rPr>
          <w:sz w:val="22"/>
          <w:szCs w:val="22"/>
          <w:lang w:val="es-ES_tradnl"/>
        </w:rPr>
      </w:pPr>
      <w:r w:rsidRPr="00C52C4C">
        <w:rPr>
          <w:sz w:val="22"/>
          <w:szCs w:val="22"/>
          <w:lang w:val="es-ES_tradnl"/>
        </w:rPr>
        <w:t>S</w:t>
      </w:r>
      <w:r w:rsidR="00D061AA" w:rsidRPr="00C52C4C">
        <w:rPr>
          <w:sz w:val="22"/>
          <w:szCs w:val="22"/>
          <w:lang w:val="es-ES_tradnl"/>
        </w:rPr>
        <w:t xml:space="preserve">inusitis, </w:t>
      </w:r>
      <w:r w:rsidR="009B6626" w:rsidRPr="00C52C4C">
        <w:rPr>
          <w:sz w:val="22"/>
          <w:szCs w:val="22"/>
          <w:lang w:val="es-ES_tradnl"/>
        </w:rPr>
        <w:t xml:space="preserve">inflamación de las encías, </w:t>
      </w:r>
      <w:r w:rsidR="00D061AA" w:rsidRPr="00C52C4C">
        <w:rPr>
          <w:sz w:val="22"/>
          <w:szCs w:val="22"/>
          <w:lang w:val="es-ES_tradnl"/>
        </w:rPr>
        <w:t>escalofríos, debilidad.</w:t>
      </w:r>
    </w:p>
    <w:p w14:paraId="1CB04A45" w14:textId="77777777" w:rsidR="00D061AA" w:rsidRPr="00C52C4C" w:rsidRDefault="00D061AA" w:rsidP="00623360">
      <w:pPr>
        <w:numPr>
          <w:ilvl w:val="0"/>
          <w:numId w:val="6"/>
        </w:numPr>
        <w:tabs>
          <w:tab w:val="clear" w:pos="2880"/>
        </w:tabs>
        <w:ind w:left="600" w:right="-29" w:hanging="600"/>
        <w:rPr>
          <w:sz w:val="22"/>
          <w:szCs w:val="22"/>
          <w:lang w:val="es-ES_tradnl"/>
        </w:rPr>
      </w:pPr>
      <w:r w:rsidRPr="00C52C4C">
        <w:rPr>
          <w:sz w:val="22"/>
          <w:szCs w:val="22"/>
          <w:lang w:val="es-ES_tradnl"/>
        </w:rPr>
        <w:lastRenderedPageBreak/>
        <w:t>Recuento bajo</w:t>
      </w:r>
      <w:r w:rsidR="0036521F" w:rsidRPr="00C52C4C">
        <w:rPr>
          <w:sz w:val="22"/>
          <w:szCs w:val="22"/>
          <w:lang w:val="es-ES_tradnl"/>
        </w:rPr>
        <w:t xml:space="preserve">, incluido de carácter grave, de </w:t>
      </w:r>
      <w:r w:rsidR="009B6626" w:rsidRPr="00C52C4C">
        <w:rPr>
          <w:sz w:val="22"/>
          <w:szCs w:val="22"/>
          <w:lang w:val="es-ES_tradnl"/>
        </w:rPr>
        <w:t>algunos tipos de glóbulos rojos</w:t>
      </w:r>
      <w:r w:rsidR="0036521F" w:rsidRPr="00C52C4C">
        <w:rPr>
          <w:sz w:val="22"/>
          <w:szCs w:val="22"/>
          <w:lang w:val="es-ES_tradnl"/>
        </w:rPr>
        <w:t xml:space="preserve"> (en ocasiones de tipo inmunitario)  y/</w:t>
      </w:r>
      <w:r w:rsidR="009B6626" w:rsidRPr="00C52C4C">
        <w:rPr>
          <w:sz w:val="22"/>
          <w:szCs w:val="22"/>
          <w:lang w:val="es-ES_tradnl"/>
        </w:rPr>
        <w:t xml:space="preserve">o blancos </w:t>
      </w:r>
      <w:r w:rsidR="0036521F" w:rsidRPr="00C52C4C">
        <w:rPr>
          <w:sz w:val="22"/>
          <w:szCs w:val="22"/>
          <w:lang w:val="es-ES_tradnl"/>
        </w:rPr>
        <w:t xml:space="preserve">(en ocasiones acompañado de fiebre) </w:t>
      </w:r>
      <w:r w:rsidR="009B6626" w:rsidRPr="00C52C4C">
        <w:rPr>
          <w:sz w:val="22"/>
          <w:szCs w:val="22"/>
          <w:lang w:val="es-ES_tradnl"/>
        </w:rPr>
        <w:t xml:space="preserve">en la sangre, recuento bajo </w:t>
      </w:r>
      <w:r w:rsidRPr="00C52C4C">
        <w:rPr>
          <w:sz w:val="22"/>
          <w:szCs w:val="22"/>
          <w:lang w:val="es-ES_tradnl"/>
        </w:rPr>
        <w:t>de plaquetas que ayudan a que la sangre coagule.</w:t>
      </w:r>
    </w:p>
    <w:p w14:paraId="321DEC05" w14:textId="77777777" w:rsidR="009B6626" w:rsidRPr="00C52C4C" w:rsidRDefault="009B6626" w:rsidP="00623360">
      <w:pPr>
        <w:numPr>
          <w:ilvl w:val="0"/>
          <w:numId w:val="15"/>
        </w:numPr>
        <w:tabs>
          <w:tab w:val="clear" w:pos="360"/>
          <w:tab w:val="num" w:pos="567"/>
        </w:tabs>
        <w:ind w:left="567" w:right="-29" w:hanging="567"/>
        <w:rPr>
          <w:sz w:val="22"/>
          <w:szCs w:val="22"/>
          <w:lang w:val="es-ES_tradnl"/>
        </w:rPr>
      </w:pPr>
      <w:r w:rsidRPr="00C52C4C">
        <w:rPr>
          <w:sz w:val="22"/>
          <w:szCs w:val="22"/>
          <w:lang w:val="es-ES_tradnl"/>
        </w:rPr>
        <w:t>Niveles bajos de azúcar en la sangre, niveles bajos de potasio en la sangre, niveles bajos de sodio en la sangre.</w:t>
      </w:r>
    </w:p>
    <w:p w14:paraId="40F44313" w14:textId="77777777" w:rsidR="00D061AA" w:rsidRPr="00C52C4C" w:rsidRDefault="00D061AA" w:rsidP="00623360">
      <w:pPr>
        <w:numPr>
          <w:ilvl w:val="0"/>
          <w:numId w:val="6"/>
        </w:numPr>
        <w:tabs>
          <w:tab w:val="clear" w:pos="2880"/>
        </w:tabs>
        <w:ind w:left="600" w:right="-29" w:hanging="600"/>
        <w:rPr>
          <w:sz w:val="22"/>
          <w:szCs w:val="22"/>
          <w:lang w:val="es-ES_tradnl"/>
        </w:rPr>
      </w:pPr>
      <w:r w:rsidRPr="00C52C4C">
        <w:rPr>
          <w:sz w:val="22"/>
          <w:szCs w:val="22"/>
          <w:lang w:val="es-ES_tradnl"/>
        </w:rPr>
        <w:t>Ansiedad, depresión, confusión, agitación,</w:t>
      </w:r>
      <w:r w:rsidR="009B6626" w:rsidRPr="00C52C4C">
        <w:rPr>
          <w:sz w:val="22"/>
          <w:szCs w:val="22"/>
          <w:lang w:val="es-ES_tradnl"/>
        </w:rPr>
        <w:t xml:space="preserve"> insomnio,</w:t>
      </w:r>
      <w:r w:rsidRPr="00C52C4C">
        <w:rPr>
          <w:sz w:val="22"/>
          <w:szCs w:val="22"/>
          <w:lang w:val="es-ES_tradnl"/>
        </w:rPr>
        <w:t xml:space="preserve"> alucinaciones.</w:t>
      </w:r>
    </w:p>
    <w:p w14:paraId="75BDFFC6" w14:textId="77777777" w:rsidR="009B6626" w:rsidRPr="00C52C4C" w:rsidRDefault="009B6626" w:rsidP="00623360">
      <w:pPr>
        <w:numPr>
          <w:ilvl w:val="0"/>
          <w:numId w:val="15"/>
        </w:numPr>
        <w:tabs>
          <w:tab w:val="clear" w:pos="360"/>
          <w:tab w:val="num" w:pos="567"/>
        </w:tabs>
        <w:ind w:left="567" w:right="-29" w:hanging="567"/>
        <w:rPr>
          <w:sz w:val="22"/>
          <w:szCs w:val="22"/>
          <w:lang w:val="es-ES_tradnl"/>
        </w:rPr>
      </w:pPr>
      <w:r w:rsidRPr="00C52C4C">
        <w:rPr>
          <w:sz w:val="22"/>
          <w:szCs w:val="22"/>
          <w:lang w:val="es-ES_tradnl"/>
        </w:rPr>
        <w:t>Convulsiones, temblores o movimientos musculares incontrolados, hormigueo o sensaciones anormales en la piel, incremento del tono muscular, somnolencia, mareo.</w:t>
      </w:r>
    </w:p>
    <w:p w14:paraId="150A40E6" w14:textId="77777777" w:rsidR="00D061AA" w:rsidRPr="00C52C4C" w:rsidRDefault="009B6626" w:rsidP="00623360">
      <w:pPr>
        <w:numPr>
          <w:ilvl w:val="0"/>
          <w:numId w:val="6"/>
        </w:numPr>
        <w:tabs>
          <w:tab w:val="clear" w:pos="2880"/>
        </w:tabs>
        <w:ind w:left="600" w:right="-29" w:hanging="600"/>
        <w:rPr>
          <w:sz w:val="22"/>
          <w:szCs w:val="22"/>
          <w:lang w:val="es-ES_tradnl"/>
        </w:rPr>
      </w:pPr>
      <w:r w:rsidRPr="00C52C4C">
        <w:rPr>
          <w:sz w:val="22"/>
          <w:szCs w:val="22"/>
          <w:lang w:val="es-ES_tradnl"/>
        </w:rPr>
        <w:t>Hemorragia ocular.</w:t>
      </w:r>
    </w:p>
    <w:p w14:paraId="456875AC" w14:textId="77777777" w:rsidR="009B6626" w:rsidRPr="00C52C4C" w:rsidRDefault="009B6626" w:rsidP="00623360">
      <w:pPr>
        <w:numPr>
          <w:ilvl w:val="0"/>
          <w:numId w:val="15"/>
        </w:numPr>
        <w:tabs>
          <w:tab w:val="clear" w:pos="360"/>
          <w:tab w:val="num" w:pos="567"/>
        </w:tabs>
        <w:ind w:left="567" w:right="-29" w:hanging="567"/>
        <w:rPr>
          <w:sz w:val="22"/>
          <w:szCs w:val="22"/>
          <w:lang w:val="es-ES_tradnl"/>
        </w:rPr>
      </w:pPr>
      <w:r w:rsidRPr="00C52C4C">
        <w:rPr>
          <w:sz w:val="22"/>
          <w:szCs w:val="22"/>
          <w:lang w:val="es-ES_tradnl"/>
        </w:rPr>
        <w:t>Problemas con el ritmo cardíaco que incluyen latido cardíaco muy rápido, latido cardíaco muy lento, desmayos</w:t>
      </w:r>
      <w:r w:rsidR="007E3592" w:rsidRPr="00C52C4C">
        <w:rPr>
          <w:sz w:val="22"/>
          <w:szCs w:val="22"/>
          <w:lang w:val="es-ES_tradnl"/>
        </w:rPr>
        <w:t xml:space="preserve"> h</w:t>
      </w:r>
      <w:r w:rsidRPr="00C52C4C">
        <w:rPr>
          <w:sz w:val="22"/>
          <w:szCs w:val="22"/>
          <w:lang w:val="es-ES_tradnl"/>
        </w:rPr>
        <w:t>ipotensión, inflamación de las venas (que puede estar asociada a la formación de coágulos sanguíneos).</w:t>
      </w:r>
    </w:p>
    <w:p w14:paraId="53771137" w14:textId="77777777" w:rsidR="00D061AA" w:rsidRPr="00C52C4C" w:rsidRDefault="00D061AA" w:rsidP="00623360">
      <w:pPr>
        <w:numPr>
          <w:ilvl w:val="0"/>
          <w:numId w:val="6"/>
        </w:numPr>
        <w:tabs>
          <w:tab w:val="clear" w:pos="2880"/>
        </w:tabs>
        <w:ind w:left="600" w:right="-29" w:hanging="600"/>
        <w:rPr>
          <w:sz w:val="22"/>
          <w:szCs w:val="22"/>
          <w:lang w:val="es-ES_tradnl"/>
        </w:rPr>
      </w:pPr>
      <w:r w:rsidRPr="00C52C4C">
        <w:rPr>
          <w:sz w:val="22"/>
          <w:szCs w:val="22"/>
          <w:lang w:val="es-ES_tradnl"/>
        </w:rPr>
        <w:t xml:space="preserve">Dificultad </w:t>
      </w:r>
      <w:r w:rsidR="0036521F" w:rsidRPr="00C52C4C">
        <w:rPr>
          <w:sz w:val="22"/>
          <w:szCs w:val="22"/>
          <w:lang w:val="es-ES_tradnl"/>
        </w:rPr>
        <w:t xml:space="preserve">aguda </w:t>
      </w:r>
      <w:r w:rsidRPr="00C52C4C">
        <w:rPr>
          <w:sz w:val="22"/>
          <w:szCs w:val="22"/>
          <w:lang w:val="es-ES_tradnl"/>
        </w:rPr>
        <w:t>al respirar, dolor en el pecho</w:t>
      </w:r>
      <w:r w:rsidR="009B6626" w:rsidRPr="00C52C4C">
        <w:rPr>
          <w:sz w:val="22"/>
          <w:szCs w:val="22"/>
          <w:lang w:val="es-ES_tradnl"/>
        </w:rPr>
        <w:t>, hinchazón de la cara</w:t>
      </w:r>
      <w:r w:rsidR="0036521F" w:rsidRPr="00C52C4C">
        <w:rPr>
          <w:sz w:val="22"/>
          <w:szCs w:val="22"/>
          <w:lang w:val="es-ES_tradnl"/>
        </w:rPr>
        <w:t xml:space="preserve"> (boca, labios y alrededor de los ojos)</w:t>
      </w:r>
      <w:r w:rsidR="009B6626" w:rsidRPr="00C52C4C">
        <w:rPr>
          <w:sz w:val="22"/>
          <w:szCs w:val="22"/>
          <w:lang w:val="es-ES_tradnl"/>
        </w:rPr>
        <w:t xml:space="preserve">, </w:t>
      </w:r>
      <w:r w:rsidRPr="00C52C4C">
        <w:rPr>
          <w:sz w:val="22"/>
          <w:szCs w:val="22"/>
          <w:lang w:val="es-ES_tradnl"/>
        </w:rPr>
        <w:t>retención de líquido en los pulmones.</w:t>
      </w:r>
    </w:p>
    <w:p w14:paraId="19DC3AA2" w14:textId="77777777" w:rsidR="009B6626" w:rsidRPr="00C52C4C" w:rsidRDefault="009B6626" w:rsidP="00623360">
      <w:pPr>
        <w:numPr>
          <w:ilvl w:val="0"/>
          <w:numId w:val="15"/>
        </w:numPr>
        <w:tabs>
          <w:tab w:val="clear" w:pos="360"/>
          <w:tab w:val="num" w:pos="567"/>
        </w:tabs>
        <w:ind w:left="567" w:right="-29" w:hanging="567"/>
        <w:rPr>
          <w:sz w:val="22"/>
          <w:szCs w:val="22"/>
          <w:lang w:val="es-ES_tradnl"/>
        </w:rPr>
      </w:pPr>
      <w:r w:rsidRPr="00C52C4C">
        <w:rPr>
          <w:sz w:val="22"/>
          <w:szCs w:val="22"/>
          <w:lang w:val="es-ES_tradnl"/>
        </w:rPr>
        <w:t>Estreñimiento, indigestión, inflamación de los labios.</w:t>
      </w:r>
    </w:p>
    <w:p w14:paraId="30C20F8D" w14:textId="77777777" w:rsidR="00D061AA" w:rsidRPr="00C52C4C" w:rsidRDefault="00D061AA" w:rsidP="00623360">
      <w:pPr>
        <w:numPr>
          <w:ilvl w:val="0"/>
          <w:numId w:val="6"/>
        </w:numPr>
        <w:tabs>
          <w:tab w:val="clear" w:pos="2880"/>
        </w:tabs>
        <w:ind w:left="600" w:right="-29" w:hanging="600"/>
        <w:rPr>
          <w:sz w:val="22"/>
          <w:szCs w:val="22"/>
          <w:lang w:val="es-ES_tradnl"/>
        </w:rPr>
      </w:pPr>
      <w:r w:rsidRPr="00C52C4C">
        <w:rPr>
          <w:sz w:val="22"/>
          <w:szCs w:val="22"/>
          <w:lang w:val="es-ES_tradnl"/>
        </w:rPr>
        <w:t xml:space="preserve">Ictericia (color amarillento de la piel), </w:t>
      </w:r>
      <w:r w:rsidR="009B6626" w:rsidRPr="00C52C4C">
        <w:rPr>
          <w:sz w:val="22"/>
          <w:szCs w:val="22"/>
          <w:lang w:val="es-ES_tradnl"/>
        </w:rPr>
        <w:t>inflamación del hígado</w:t>
      </w:r>
      <w:r w:rsidR="0036521F" w:rsidRPr="00C52C4C">
        <w:rPr>
          <w:sz w:val="22"/>
          <w:szCs w:val="22"/>
          <w:lang w:val="es-ES_tradnl"/>
        </w:rPr>
        <w:t xml:space="preserve"> y daño hepático</w:t>
      </w:r>
      <w:r w:rsidRPr="00C52C4C">
        <w:rPr>
          <w:sz w:val="22"/>
          <w:szCs w:val="22"/>
          <w:lang w:val="es-ES_tradnl"/>
        </w:rPr>
        <w:t>.</w:t>
      </w:r>
    </w:p>
    <w:p w14:paraId="1FDB5EA1" w14:textId="77777777" w:rsidR="009B6626" w:rsidRPr="00C52C4C" w:rsidRDefault="009B6626" w:rsidP="00623360">
      <w:pPr>
        <w:numPr>
          <w:ilvl w:val="0"/>
          <w:numId w:val="16"/>
        </w:numPr>
        <w:tabs>
          <w:tab w:val="clear" w:pos="360"/>
          <w:tab w:val="num" w:pos="567"/>
        </w:tabs>
        <w:ind w:left="567" w:right="-29" w:hanging="567"/>
        <w:rPr>
          <w:sz w:val="22"/>
          <w:szCs w:val="22"/>
          <w:lang w:val="es-ES_tradnl"/>
        </w:rPr>
      </w:pPr>
      <w:r w:rsidRPr="00C52C4C">
        <w:rPr>
          <w:sz w:val="22"/>
          <w:szCs w:val="22"/>
          <w:lang w:val="es-ES_tradnl"/>
        </w:rPr>
        <w:t>Erupciones de la piel, pudiendo llegar a ser graves, con ampollas y descamación, caracterizadas por una zona plana y enrojecida, cubierta de pequeñas protuberancias que confluyen</w:t>
      </w:r>
      <w:r w:rsidR="0036521F" w:rsidRPr="00C52C4C">
        <w:rPr>
          <w:sz w:val="22"/>
          <w:szCs w:val="22"/>
          <w:lang w:val="es-ES_tradnl"/>
        </w:rPr>
        <w:t>, enrojecimiento de la piel</w:t>
      </w:r>
      <w:r w:rsidRPr="00C52C4C">
        <w:rPr>
          <w:sz w:val="22"/>
          <w:szCs w:val="22"/>
          <w:lang w:val="es-ES_tradnl"/>
        </w:rPr>
        <w:t>.</w:t>
      </w:r>
    </w:p>
    <w:p w14:paraId="3DCA0820" w14:textId="77777777" w:rsidR="00D061AA" w:rsidRPr="00C52C4C" w:rsidRDefault="00D061AA" w:rsidP="00623360">
      <w:pPr>
        <w:numPr>
          <w:ilvl w:val="0"/>
          <w:numId w:val="6"/>
        </w:numPr>
        <w:tabs>
          <w:tab w:val="clear" w:pos="2880"/>
        </w:tabs>
        <w:ind w:left="600" w:right="-29" w:hanging="600"/>
        <w:rPr>
          <w:sz w:val="22"/>
          <w:szCs w:val="22"/>
          <w:lang w:val="es-ES_tradnl"/>
        </w:rPr>
      </w:pPr>
      <w:r w:rsidRPr="00C52C4C">
        <w:rPr>
          <w:sz w:val="22"/>
          <w:szCs w:val="22"/>
          <w:lang w:val="es-ES_tradnl"/>
        </w:rPr>
        <w:t>Picor.</w:t>
      </w:r>
    </w:p>
    <w:p w14:paraId="0AA691F7" w14:textId="77777777" w:rsidR="00D061AA" w:rsidRPr="00C52C4C" w:rsidRDefault="00D061AA" w:rsidP="00623360">
      <w:pPr>
        <w:numPr>
          <w:ilvl w:val="0"/>
          <w:numId w:val="6"/>
        </w:numPr>
        <w:tabs>
          <w:tab w:val="clear" w:pos="2880"/>
        </w:tabs>
        <w:ind w:left="600" w:right="-29" w:hanging="600"/>
        <w:rPr>
          <w:sz w:val="22"/>
          <w:szCs w:val="22"/>
          <w:lang w:val="es-ES_tradnl"/>
        </w:rPr>
      </w:pPr>
      <w:r w:rsidRPr="00C52C4C">
        <w:rPr>
          <w:sz w:val="22"/>
          <w:szCs w:val="22"/>
          <w:lang w:val="es-ES_tradnl"/>
        </w:rPr>
        <w:t>Alopecia.</w:t>
      </w:r>
    </w:p>
    <w:p w14:paraId="333A5825" w14:textId="77777777" w:rsidR="00D061AA" w:rsidRPr="00C52C4C" w:rsidRDefault="00D061AA" w:rsidP="00623360">
      <w:pPr>
        <w:numPr>
          <w:ilvl w:val="0"/>
          <w:numId w:val="6"/>
        </w:numPr>
        <w:tabs>
          <w:tab w:val="clear" w:pos="2880"/>
        </w:tabs>
        <w:ind w:left="600" w:right="-29" w:hanging="600"/>
        <w:rPr>
          <w:sz w:val="22"/>
          <w:szCs w:val="22"/>
          <w:lang w:val="es-ES_tradnl"/>
        </w:rPr>
      </w:pPr>
      <w:r w:rsidRPr="00C52C4C">
        <w:rPr>
          <w:sz w:val="22"/>
          <w:szCs w:val="22"/>
          <w:lang w:val="es-ES_tradnl"/>
        </w:rPr>
        <w:t>Dolor de espalda.</w:t>
      </w:r>
    </w:p>
    <w:p w14:paraId="60544BBF" w14:textId="77777777" w:rsidR="00D061AA" w:rsidRDefault="00D061AA" w:rsidP="00623360">
      <w:pPr>
        <w:numPr>
          <w:ilvl w:val="0"/>
          <w:numId w:val="6"/>
        </w:numPr>
        <w:tabs>
          <w:tab w:val="clear" w:pos="2880"/>
        </w:tabs>
        <w:ind w:left="600" w:right="-29" w:hanging="600"/>
        <w:rPr>
          <w:sz w:val="22"/>
          <w:szCs w:val="22"/>
          <w:lang w:val="es-ES_tradnl"/>
        </w:rPr>
      </w:pPr>
      <w:r w:rsidRPr="00C52C4C">
        <w:rPr>
          <w:sz w:val="22"/>
          <w:szCs w:val="22"/>
          <w:lang w:val="es-ES_tradnl"/>
        </w:rPr>
        <w:t>Fallo renal, presencia de sangre en orina, alteraciones en las pruebas sanguíneas de control de la función renal.</w:t>
      </w:r>
    </w:p>
    <w:p w14:paraId="66BE2E65" w14:textId="77777777" w:rsidR="00084484" w:rsidRDefault="00084484" w:rsidP="002869DC">
      <w:pPr>
        <w:pStyle w:val="Textonotaalfinal"/>
        <w:numPr>
          <w:ilvl w:val="0"/>
          <w:numId w:val="6"/>
        </w:numPr>
        <w:tabs>
          <w:tab w:val="clear" w:pos="567"/>
          <w:tab w:val="clear" w:pos="2880"/>
        </w:tabs>
        <w:ind w:left="567" w:hanging="567"/>
        <w:rPr>
          <w:color w:val="000000"/>
          <w:szCs w:val="22"/>
          <w:lang w:val="es-ES_tradnl"/>
        </w:rPr>
      </w:pPr>
      <w:r>
        <w:rPr>
          <w:color w:val="000000"/>
          <w:szCs w:val="22"/>
          <w:lang w:val="es-ES_tradnl"/>
        </w:rPr>
        <w:t>Q</w:t>
      </w:r>
      <w:r w:rsidRPr="00CC69CC">
        <w:rPr>
          <w:color w:val="000000"/>
          <w:szCs w:val="22"/>
          <w:lang w:val="es-ES_tradnl"/>
        </w:rPr>
        <w:t>uemadura solar o reacción cutánea grave tras la exposición a la luz o al sol</w:t>
      </w:r>
      <w:r>
        <w:rPr>
          <w:color w:val="000000"/>
          <w:szCs w:val="22"/>
          <w:lang w:val="es-ES_tradnl"/>
        </w:rPr>
        <w:t>.</w:t>
      </w:r>
    </w:p>
    <w:p w14:paraId="2906C437" w14:textId="77777777" w:rsidR="00084484" w:rsidRPr="00CC69CC" w:rsidRDefault="00084484" w:rsidP="002869DC">
      <w:pPr>
        <w:pStyle w:val="Textonotaalfinal"/>
        <w:numPr>
          <w:ilvl w:val="0"/>
          <w:numId w:val="6"/>
        </w:numPr>
        <w:tabs>
          <w:tab w:val="clear" w:pos="567"/>
          <w:tab w:val="clear" w:pos="2880"/>
        </w:tabs>
        <w:ind w:left="567" w:hanging="567"/>
        <w:rPr>
          <w:color w:val="000000"/>
          <w:szCs w:val="22"/>
          <w:lang w:val="es-ES_tradnl"/>
        </w:rPr>
      </w:pPr>
      <w:r>
        <w:rPr>
          <w:color w:val="000000"/>
          <w:szCs w:val="22"/>
          <w:lang w:val="es-ES_tradnl"/>
        </w:rPr>
        <w:t>Cáncer de piel.</w:t>
      </w:r>
    </w:p>
    <w:p w14:paraId="1CEAC318" w14:textId="77777777" w:rsidR="00D061AA" w:rsidRPr="00C52C4C" w:rsidRDefault="00D061AA" w:rsidP="00D061AA">
      <w:pPr>
        <w:ind w:right="-29"/>
        <w:rPr>
          <w:sz w:val="22"/>
          <w:szCs w:val="22"/>
          <w:lang w:val="es-ES_tradnl"/>
        </w:rPr>
      </w:pPr>
    </w:p>
    <w:p w14:paraId="754B27FD" w14:textId="77777777" w:rsidR="00D061AA" w:rsidRPr="00C52C4C" w:rsidRDefault="0036521F" w:rsidP="00D061AA">
      <w:pPr>
        <w:tabs>
          <w:tab w:val="left" w:pos="567"/>
        </w:tabs>
        <w:ind w:right="-29"/>
        <w:rPr>
          <w:sz w:val="22"/>
          <w:szCs w:val="22"/>
          <w:lang w:val="es-ES_tradnl"/>
        </w:rPr>
      </w:pPr>
      <w:r w:rsidRPr="00C52C4C">
        <w:rPr>
          <w:sz w:val="22"/>
          <w:szCs w:val="22"/>
          <w:lang w:val="es-ES_tradnl"/>
        </w:rPr>
        <w:t>P</w:t>
      </w:r>
      <w:r w:rsidR="00D061AA" w:rsidRPr="00C52C4C">
        <w:rPr>
          <w:sz w:val="22"/>
          <w:szCs w:val="22"/>
          <w:lang w:val="es-ES_tradnl"/>
        </w:rPr>
        <w:t>oco frecuentes</w:t>
      </w:r>
      <w:r w:rsidR="00912660" w:rsidRPr="00C52C4C">
        <w:rPr>
          <w:sz w:val="22"/>
          <w:szCs w:val="22"/>
          <w:lang w:val="es-ES_tradnl"/>
        </w:rPr>
        <w:t>:</w:t>
      </w:r>
      <w:r w:rsidR="00D061AA" w:rsidRPr="00C52C4C">
        <w:rPr>
          <w:sz w:val="22"/>
          <w:szCs w:val="22"/>
          <w:lang w:val="es-ES_tradnl"/>
        </w:rPr>
        <w:t xml:space="preserve"> pueden afectar hasta 1 de cada 100 personas</w:t>
      </w:r>
    </w:p>
    <w:p w14:paraId="5F49FE8F" w14:textId="77777777" w:rsidR="00D061AA" w:rsidRPr="00C52C4C" w:rsidRDefault="00D061AA" w:rsidP="00D061AA">
      <w:pPr>
        <w:tabs>
          <w:tab w:val="left" w:pos="567"/>
        </w:tabs>
        <w:ind w:right="-29"/>
        <w:rPr>
          <w:sz w:val="22"/>
          <w:szCs w:val="22"/>
          <w:lang w:val="es-ES_tradnl"/>
        </w:rPr>
      </w:pPr>
    </w:p>
    <w:p w14:paraId="34B79249" w14:textId="77777777" w:rsidR="009B6626" w:rsidRPr="00C52C4C" w:rsidRDefault="0036521F" w:rsidP="00623360">
      <w:pPr>
        <w:numPr>
          <w:ilvl w:val="0"/>
          <w:numId w:val="16"/>
        </w:numPr>
        <w:tabs>
          <w:tab w:val="clear" w:pos="360"/>
          <w:tab w:val="num" w:pos="567"/>
        </w:tabs>
        <w:ind w:left="567" w:right="-29" w:hanging="567"/>
        <w:rPr>
          <w:sz w:val="22"/>
          <w:szCs w:val="22"/>
          <w:lang w:val="es-ES_tradnl"/>
        </w:rPr>
      </w:pPr>
      <w:r w:rsidRPr="00C52C4C">
        <w:rPr>
          <w:sz w:val="22"/>
          <w:szCs w:val="22"/>
          <w:lang w:val="es-ES_tradnl"/>
        </w:rPr>
        <w:t>Síntomas de tipo gripal, irritación e inflamación del tracto gastrointestinal, i</w:t>
      </w:r>
      <w:r w:rsidR="009B6626" w:rsidRPr="00C52C4C">
        <w:rPr>
          <w:sz w:val="22"/>
          <w:szCs w:val="22"/>
          <w:lang w:val="es-ES_tradnl"/>
        </w:rPr>
        <w:t>nflamación del tracto gastrointestinal que provoca diarrea asociada a antibióticos, inflamación de los vasos linfáticos.</w:t>
      </w:r>
    </w:p>
    <w:p w14:paraId="0173C84D" w14:textId="77777777" w:rsidR="009B6626" w:rsidRPr="00C52C4C" w:rsidRDefault="009B6626" w:rsidP="00623360">
      <w:pPr>
        <w:numPr>
          <w:ilvl w:val="0"/>
          <w:numId w:val="16"/>
        </w:numPr>
        <w:tabs>
          <w:tab w:val="clear" w:pos="360"/>
          <w:tab w:val="num" w:pos="567"/>
        </w:tabs>
        <w:ind w:left="567" w:right="-29" w:hanging="567"/>
        <w:rPr>
          <w:sz w:val="22"/>
          <w:szCs w:val="22"/>
          <w:lang w:val="es-ES_tradnl"/>
        </w:rPr>
      </w:pPr>
      <w:r w:rsidRPr="00C52C4C">
        <w:rPr>
          <w:sz w:val="22"/>
          <w:szCs w:val="22"/>
          <w:lang w:val="es-ES_tradnl"/>
        </w:rPr>
        <w:t>Inflamación del tejido fino que tapiza la pared interna del abdomen y cubre los órganos abdominales.</w:t>
      </w:r>
    </w:p>
    <w:p w14:paraId="51D7D3EA" w14:textId="77777777" w:rsidR="009B6626" w:rsidRPr="00C52C4C" w:rsidRDefault="009B6626" w:rsidP="00623360">
      <w:pPr>
        <w:numPr>
          <w:ilvl w:val="0"/>
          <w:numId w:val="7"/>
        </w:numPr>
        <w:tabs>
          <w:tab w:val="clear" w:pos="2880"/>
        </w:tabs>
        <w:ind w:left="600" w:right="-29" w:hanging="600"/>
        <w:rPr>
          <w:sz w:val="22"/>
          <w:szCs w:val="22"/>
          <w:lang w:val="es-ES_tradnl"/>
        </w:rPr>
      </w:pPr>
      <w:r w:rsidRPr="00C52C4C">
        <w:rPr>
          <w:sz w:val="22"/>
          <w:szCs w:val="22"/>
          <w:lang w:val="es-ES_tradnl"/>
        </w:rPr>
        <w:t>Agrandamiento (en ocasiones doloroso) de los ganglios linfáticos, insuficiencia de médula ósea, aumento de los eosinófilos.</w:t>
      </w:r>
    </w:p>
    <w:p w14:paraId="5FE99CB6" w14:textId="77777777" w:rsidR="009B6626" w:rsidRPr="00C52C4C" w:rsidRDefault="009B6626" w:rsidP="00623360">
      <w:pPr>
        <w:numPr>
          <w:ilvl w:val="0"/>
          <w:numId w:val="16"/>
        </w:numPr>
        <w:tabs>
          <w:tab w:val="clear" w:pos="360"/>
          <w:tab w:val="num" w:pos="567"/>
        </w:tabs>
        <w:ind w:left="567" w:right="-29" w:hanging="567"/>
        <w:rPr>
          <w:sz w:val="22"/>
          <w:szCs w:val="22"/>
          <w:lang w:val="es-ES_tradnl"/>
        </w:rPr>
      </w:pPr>
      <w:r w:rsidRPr="00C52C4C">
        <w:rPr>
          <w:sz w:val="22"/>
          <w:szCs w:val="22"/>
          <w:lang w:val="es-ES_tradnl"/>
        </w:rPr>
        <w:t>Disminución de la función de la glándula adrenal, glándula tiroidea hipoactiva.</w:t>
      </w:r>
    </w:p>
    <w:p w14:paraId="202DDC38" w14:textId="77777777" w:rsidR="00D061AA" w:rsidRPr="00C52C4C" w:rsidRDefault="008E04A2" w:rsidP="00623360">
      <w:pPr>
        <w:numPr>
          <w:ilvl w:val="0"/>
          <w:numId w:val="17"/>
        </w:numPr>
        <w:tabs>
          <w:tab w:val="clear" w:pos="360"/>
          <w:tab w:val="num" w:pos="567"/>
        </w:tabs>
        <w:ind w:left="567" w:right="-29" w:hanging="567"/>
        <w:rPr>
          <w:sz w:val="22"/>
          <w:szCs w:val="22"/>
          <w:lang w:val="es-ES_tradnl"/>
        </w:rPr>
      </w:pPr>
      <w:r w:rsidRPr="00C52C4C">
        <w:rPr>
          <w:sz w:val="22"/>
          <w:szCs w:val="22"/>
          <w:lang w:val="es-ES_tradnl"/>
        </w:rPr>
        <w:t>Función cerebral anormal, síntomas parecidos a la enfermedad de Parkinson, daño en los nervios causando adormecimiento, dolor, hormigueo o quemazón en las manos o pies.</w:t>
      </w:r>
    </w:p>
    <w:p w14:paraId="1A660B9D" w14:textId="77777777" w:rsidR="00D061AA" w:rsidRPr="00C52C4C" w:rsidRDefault="00D061AA" w:rsidP="00623360">
      <w:pPr>
        <w:numPr>
          <w:ilvl w:val="0"/>
          <w:numId w:val="7"/>
        </w:numPr>
        <w:tabs>
          <w:tab w:val="clear" w:pos="2880"/>
        </w:tabs>
        <w:ind w:left="600" w:right="-29" w:hanging="600"/>
        <w:rPr>
          <w:sz w:val="22"/>
          <w:szCs w:val="22"/>
          <w:lang w:val="es-ES_tradnl"/>
        </w:rPr>
      </w:pPr>
      <w:r w:rsidRPr="00C52C4C">
        <w:rPr>
          <w:sz w:val="22"/>
          <w:szCs w:val="22"/>
          <w:lang w:val="es-ES_tradnl"/>
        </w:rPr>
        <w:t xml:space="preserve">Problemas con </w:t>
      </w:r>
      <w:r w:rsidR="008E04A2" w:rsidRPr="00C52C4C">
        <w:rPr>
          <w:sz w:val="22"/>
          <w:szCs w:val="22"/>
          <w:lang w:val="es-ES_tradnl"/>
        </w:rPr>
        <w:t xml:space="preserve">el equilibro o </w:t>
      </w:r>
      <w:r w:rsidRPr="00C52C4C">
        <w:rPr>
          <w:sz w:val="22"/>
          <w:szCs w:val="22"/>
          <w:lang w:val="es-ES_tradnl"/>
        </w:rPr>
        <w:t>la coordinación.</w:t>
      </w:r>
    </w:p>
    <w:p w14:paraId="57D85383" w14:textId="77777777" w:rsidR="00D061AA" w:rsidRPr="00C52C4C" w:rsidRDefault="00D061AA" w:rsidP="00623360">
      <w:pPr>
        <w:numPr>
          <w:ilvl w:val="0"/>
          <w:numId w:val="7"/>
        </w:numPr>
        <w:tabs>
          <w:tab w:val="clear" w:pos="2880"/>
        </w:tabs>
        <w:ind w:left="600" w:right="-29" w:hanging="600"/>
        <w:rPr>
          <w:sz w:val="22"/>
          <w:szCs w:val="22"/>
          <w:lang w:val="es-ES_tradnl"/>
        </w:rPr>
      </w:pPr>
      <w:r w:rsidRPr="00C52C4C">
        <w:rPr>
          <w:sz w:val="22"/>
          <w:szCs w:val="22"/>
          <w:lang w:val="es-ES_tradnl"/>
        </w:rPr>
        <w:t>Hinchazón del cerebro.</w:t>
      </w:r>
    </w:p>
    <w:p w14:paraId="21089B63" w14:textId="77777777" w:rsidR="008E04A2" w:rsidRPr="00C52C4C" w:rsidRDefault="008E04A2" w:rsidP="00623360">
      <w:pPr>
        <w:numPr>
          <w:ilvl w:val="0"/>
          <w:numId w:val="16"/>
        </w:numPr>
        <w:tabs>
          <w:tab w:val="clear" w:pos="360"/>
          <w:tab w:val="num" w:pos="567"/>
        </w:tabs>
        <w:ind w:left="567" w:right="-29" w:hanging="567"/>
        <w:rPr>
          <w:sz w:val="22"/>
          <w:szCs w:val="22"/>
          <w:lang w:val="es-ES_tradnl"/>
        </w:rPr>
      </w:pPr>
      <w:r w:rsidRPr="00C52C4C">
        <w:rPr>
          <w:sz w:val="22"/>
          <w:szCs w:val="22"/>
          <w:lang w:val="es-ES_tradnl"/>
        </w:rPr>
        <w:t>Visión doble, enfermedades graves de los ojos, como: dolor e inflamación de los ojos y de los párpados, movimientos anormales de los ojos, daño del nervio óptico que produce alteración de la visión, inflamación de la papila óptica.</w:t>
      </w:r>
    </w:p>
    <w:p w14:paraId="623DF3CA" w14:textId="77777777" w:rsidR="00D061AA" w:rsidRPr="00C52C4C" w:rsidRDefault="00D061AA" w:rsidP="00623360">
      <w:pPr>
        <w:numPr>
          <w:ilvl w:val="0"/>
          <w:numId w:val="7"/>
        </w:numPr>
        <w:tabs>
          <w:tab w:val="clear" w:pos="2880"/>
        </w:tabs>
        <w:ind w:left="600" w:right="-29" w:hanging="600"/>
        <w:rPr>
          <w:sz w:val="22"/>
          <w:szCs w:val="22"/>
          <w:lang w:val="es-ES_tradnl"/>
        </w:rPr>
      </w:pPr>
      <w:r w:rsidRPr="00C52C4C">
        <w:rPr>
          <w:sz w:val="22"/>
          <w:szCs w:val="22"/>
          <w:lang w:val="es-ES_tradnl"/>
        </w:rPr>
        <w:t>Disminución de la sensibilidad al tacto.</w:t>
      </w:r>
    </w:p>
    <w:p w14:paraId="7DBE6984" w14:textId="77777777" w:rsidR="008E04A2" w:rsidRPr="00C52C4C" w:rsidRDefault="008E04A2" w:rsidP="00623360">
      <w:pPr>
        <w:numPr>
          <w:ilvl w:val="0"/>
          <w:numId w:val="16"/>
        </w:numPr>
        <w:tabs>
          <w:tab w:val="clear" w:pos="360"/>
          <w:tab w:val="num" w:pos="567"/>
        </w:tabs>
        <w:ind w:left="567" w:right="-29" w:hanging="567"/>
        <w:rPr>
          <w:sz w:val="22"/>
          <w:szCs w:val="22"/>
          <w:lang w:val="es-ES_tradnl"/>
        </w:rPr>
      </w:pPr>
      <w:r w:rsidRPr="00C52C4C">
        <w:rPr>
          <w:sz w:val="22"/>
          <w:szCs w:val="22"/>
          <w:lang w:val="es-ES_tradnl"/>
        </w:rPr>
        <w:t>Alteración del sentido del gusto.</w:t>
      </w:r>
    </w:p>
    <w:p w14:paraId="0CE2E4B1" w14:textId="77777777" w:rsidR="008E04A2" w:rsidRPr="00C52C4C" w:rsidRDefault="008E04A2" w:rsidP="00623360">
      <w:pPr>
        <w:numPr>
          <w:ilvl w:val="0"/>
          <w:numId w:val="17"/>
        </w:numPr>
        <w:tabs>
          <w:tab w:val="clear" w:pos="360"/>
          <w:tab w:val="num" w:pos="567"/>
        </w:tabs>
        <w:ind w:left="567" w:right="-29" w:hanging="567"/>
        <w:rPr>
          <w:sz w:val="22"/>
          <w:szCs w:val="22"/>
          <w:lang w:val="es-ES_tradnl"/>
        </w:rPr>
      </w:pPr>
      <w:r w:rsidRPr="00C52C4C">
        <w:rPr>
          <w:sz w:val="22"/>
          <w:szCs w:val="22"/>
          <w:lang w:val="es-ES_tradnl"/>
        </w:rPr>
        <w:t>Dificultad para oír, pitido en los oídos, vértigo.</w:t>
      </w:r>
    </w:p>
    <w:p w14:paraId="776C17F7" w14:textId="77777777" w:rsidR="008E04A2" w:rsidRPr="00C52C4C" w:rsidRDefault="008E04A2" w:rsidP="00623360">
      <w:pPr>
        <w:numPr>
          <w:ilvl w:val="0"/>
          <w:numId w:val="7"/>
        </w:numPr>
        <w:tabs>
          <w:tab w:val="clear" w:pos="2880"/>
        </w:tabs>
        <w:ind w:left="600" w:right="-29" w:hanging="600"/>
        <w:rPr>
          <w:sz w:val="22"/>
          <w:szCs w:val="22"/>
          <w:lang w:val="es-ES_tradnl"/>
        </w:rPr>
      </w:pPr>
      <w:r w:rsidRPr="00C52C4C">
        <w:rPr>
          <w:sz w:val="22"/>
          <w:szCs w:val="22"/>
          <w:lang w:val="es-ES_tradnl"/>
        </w:rPr>
        <w:t>Inflamación de determinados órganos internos, páncreas y duodeno, hinchazón e inflamación de la lengua</w:t>
      </w:r>
    </w:p>
    <w:p w14:paraId="08E04B61" w14:textId="77777777" w:rsidR="00D061AA" w:rsidRPr="00C52C4C" w:rsidRDefault="00D061AA" w:rsidP="00623360">
      <w:pPr>
        <w:numPr>
          <w:ilvl w:val="0"/>
          <w:numId w:val="7"/>
        </w:numPr>
        <w:tabs>
          <w:tab w:val="clear" w:pos="2880"/>
        </w:tabs>
        <w:ind w:left="600" w:right="-29" w:hanging="600"/>
        <w:rPr>
          <w:sz w:val="22"/>
          <w:szCs w:val="22"/>
          <w:lang w:val="es-ES_tradnl"/>
        </w:rPr>
      </w:pPr>
      <w:r w:rsidRPr="00C52C4C">
        <w:rPr>
          <w:sz w:val="22"/>
          <w:szCs w:val="22"/>
          <w:lang w:val="es-ES_tradnl"/>
        </w:rPr>
        <w:t>Agrandamiento del hígado, hepatitis, fallo hepático, enfermedad de la vesícula biliar, cálculos biliares.</w:t>
      </w:r>
    </w:p>
    <w:p w14:paraId="1FB88A67" w14:textId="77777777" w:rsidR="008E04A2" w:rsidRPr="00C52C4C" w:rsidRDefault="008E04A2" w:rsidP="00623360">
      <w:pPr>
        <w:numPr>
          <w:ilvl w:val="0"/>
          <w:numId w:val="16"/>
        </w:numPr>
        <w:tabs>
          <w:tab w:val="clear" w:pos="360"/>
          <w:tab w:val="num" w:pos="567"/>
        </w:tabs>
        <w:ind w:left="567" w:right="-29" w:hanging="567"/>
        <w:rPr>
          <w:sz w:val="22"/>
          <w:szCs w:val="22"/>
          <w:lang w:val="es-ES_tradnl"/>
        </w:rPr>
      </w:pPr>
      <w:r w:rsidRPr="00C52C4C">
        <w:rPr>
          <w:sz w:val="22"/>
          <w:szCs w:val="22"/>
          <w:lang w:val="es-ES_tradnl"/>
        </w:rPr>
        <w:t>Inflamación articular, inflamación de las venas bajo la piel (que puede estar asociada a la formación de un coágulo sanguíneo).</w:t>
      </w:r>
    </w:p>
    <w:p w14:paraId="05A253CF" w14:textId="77777777" w:rsidR="00D061AA" w:rsidRPr="00C52C4C" w:rsidRDefault="00D061AA" w:rsidP="00623360">
      <w:pPr>
        <w:numPr>
          <w:ilvl w:val="0"/>
          <w:numId w:val="7"/>
        </w:numPr>
        <w:tabs>
          <w:tab w:val="clear" w:pos="2880"/>
        </w:tabs>
        <w:ind w:left="600" w:right="-29" w:hanging="600"/>
        <w:rPr>
          <w:sz w:val="22"/>
          <w:szCs w:val="22"/>
          <w:lang w:val="es-ES_tradnl"/>
        </w:rPr>
      </w:pPr>
      <w:r w:rsidRPr="00C52C4C">
        <w:rPr>
          <w:sz w:val="22"/>
          <w:szCs w:val="22"/>
          <w:lang w:val="es-ES_tradnl"/>
        </w:rPr>
        <w:t>Inflamación del riñón, proteínas en la orina</w:t>
      </w:r>
      <w:r w:rsidR="0036521F" w:rsidRPr="00C52C4C">
        <w:rPr>
          <w:sz w:val="22"/>
          <w:szCs w:val="22"/>
          <w:lang w:val="es-ES_tradnl"/>
        </w:rPr>
        <w:t>, daño en el riñón</w:t>
      </w:r>
      <w:r w:rsidRPr="00C52C4C">
        <w:rPr>
          <w:sz w:val="22"/>
          <w:szCs w:val="22"/>
          <w:lang w:val="es-ES_tradnl"/>
        </w:rPr>
        <w:t>.</w:t>
      </w:r>
    </w:p>
    <w:p w14:paraId="3F75DD21" w14:textId="77777777" w:rsidR="008E04A2" w:rsidRPr="00C52C4C" w:rsidRDefault="008E04A2" w:rsidP="00623360">
      <w:pPr>
        <w:numPr>
          <w:ilvl w:val="0"/>
          <w:numId w:val="16"/>
        </w:numPr>
        <w:tabs>
          <w:tab w:val="clear" w:pos="360"/>
          <w:tab w:val="num" w:pos="567"/>
        </w:tabs>
        <w:ind w:left="567" w:right="-29" w:hanging="567"/>
        <w:rPr>
          <w:sz w:val="22"/>
          <w:szCs w:val="22"/>
          <w:lang w:val="es-ES_tradnl"/>
        </w:rPr>
      </w:pPr>
      <w:r w:rsidRPr="00C52C4C">
        <w:rPr>
          <w:sz w:val="22"/>
          <w:szCs w:val="22"/>
          <w:lang w:val="es-ES_tradnl"/>
        </w:rPr>
        <w:t>Frecuencia cardiaca muy alta o extrasístoles</w:t>
      </w:r>
      <w:r w:rsidR="0036521F" w:rsidRPr="00C52C4C">
        <w:rPr>
          <w:sz w:val="22"/>
          <w:szCs w:val="22"/>
          <w:lang w:val="es-ES_tradnl"/>
        </w:rPr>
        <w:t>, en ocasiones con impulsos eléctricos erráticos</w:t>
      </w:r>
      <w:r w:rsidRPr="00C52C4C">
        <w:rPr>
          <w:sz w:val="22"/>
          <w:szCs w:val="22"/>
          <w:lang w:val="es-ES_tradnl"/>
        </w:rPr>
        <w:t>.</w:t>
      </w:r>
    </w:p>
    <w:p w14:paraId="27B105EB" w14:textId="77777777" w:rsidR="00D061AA" w:rsidRPr="00C52C4C" w:rsidRDefault="00D061AA" w:rsidP="00623360">
      <w:pPr>
        <w:numPr>
          <w:ilvl w:val="0"/>
          <w:numId w:val="7"/>
        </w:numPr>
        <w:tabs>
          <w:tab w:val="clear" w:pos="2880"/>
        </w:tabs>
        <w:ind w:left="600" w:right="-29" w:hanging="600"/>
        <w:rPr>
          <w:sz w:val="22"/>
          <w:szCs w:val="22"/>
          <w:lang w:val="es-ES_tradnl"/>
        </w:rPr>
      </w:pPr>
      <w:r w:rsidRPr="00C52C4C">
        <w:rPr>
          <w:sz w:val="22"/>
          <w:szCs w:val="22"/>
          <w:lang w:val="es-ES_tradnl"/>
        </w:rPr>
        <w:t>Electrocardiograma (ECG) anormal.</w:t>
      </w:r>
    </w:p>
    <w:p w14:paraId="4D3CD46C" w14:textId="77777777" w:rsidR="008E04A2" w:rsidRPr="00C52C4C" w:rsidRDefault="008E04A2" w:rsidP="00623360">
      <w:pPr>
        <w:numPr>
          <w:ilvl w:val="0"/>
          <w:numId w:val="16"/>
        </w:numPr>
        <w:tabs>
          <w:tab w:val="clear" w:pos="360"/>
          <w:tab w:val="num" w:pos="567"/>
        </w:tabs>
        <w:ind w:left="567" w:right="-29" w:hanging="567"/>
        <w:rPr>
          <w:sz w:val="22"/>
          <w:szCs w:val="22"/>
          <w:lang w:val="es-ES_tradnl"/>
        </w:rPr>
      </w:pPr>
      <w:r w:rsidRPr="00C52C4C">
        <w:rPr>
          <w:sz w:val="22"/>
          <w:szCs w:val="22"/>
          <w:lang w:val="es-ES_tradnl"/>
        </w:rPr>
        <w:t>Colesterol elevado en sangre, urea elevada en sangre.</w:t>
      </w:r>
    </w:p>
    <w:p w14:paraId="31AE1B16" w14:textId="0C6D29B3" w:rsidR="00D061AA" w:rsidRPr="00C52C4C" w:rsidRDefault="008E04A2" w:rsidP="00623360">
      <w:pPr>
        <w:numPr>
          <w:ilvl w:val="0"/>
          <w:numId w:val="7"/>
        </w:numPr>
        <w:tabs>
          <w:tab w:val="clear" w:pos="2880"/>
        </w:tabs>
        <w:ind w:left="600" w:right="-29" w:hanging="600"/>
        <w:rPr>
          <w:sz w:val="22"/>
          <w:szCs w:val="22"/>
          <w:lang w:val="es-ES_tradnl"/>
        </w:rPr>
      </w:pPr>
      <w:r w:rsidRPr="00C52C4C">
        <w:rPr>
          <w:sz w:val="22"/>
          <w:szCs w:val="22"/>
          <w:lang w:val="es-ES_tradnl"/>
        </w:rPr>
        <w:lastRenderedPageBreak/>
        <w:t xml:space="preserve">Reacciones alérgicas de la piel (en ocasiones graves), tales como </w:t>
      </w:r>
      <w:r w:rsidR="0036521F" w:rsidRPr="00C52C4C">
        <w:rPr>
          <w:sz w:val="22"/>
          <w:szCs w:val="22"/>
          <w:lang w:val="es-ES_tradnl"/>
        </w:rPr>
        <w:t xml:space="preserve">enfermedad de la piel, potencialmente mortal que provoca ampollas y llagas dolorosas en la piel y la membranas muchosas, especialmente en la boca, </w:t>
      </w:r>
      <w:r w:rsidRPr="00C52C4C">
        <w:rPr>
          <w:sz w:val="22"/>
          <w:szCs w:val="22"/>
          <w:lang w:val="es-ES_tradnl"/>
        </w:rPr>
        <w:t>inflamación de la piel, habones, enrojecimiento de la piel e irritación, coloración rojiza o púrpura de la piel que puede ser causada por el bajo recuento de plaquetas, eccema</w:t>
      </w:r>
      <w:r w:rsidR="00D061AA" w:rsidRPr="00C52C4C">
        <w:rPr>
          <w:sz w:val="22"/>
          <w:szCs w:val="22"/>
          <w:lang w:val="es-ES_tradnl"/>
        </w:rPr>
        <w:t>.</w:t>
      </w:r>
    </w:p>
    <w:p w14:paraId="7F51EB63" w14:textId="77777777" w:rsidR="008E04A2" w:rsidRDefault="008E04A2" w:rsidP="00623360">
      <w:pPr>
        <w:numPr>
          <w:ilvl w:val="0"/>
          <w:numId w:val="15"/>
        </w:numPr>
        <w:tabs>
          <w:tab w:val="clear" w:pos="360"/>
          <w:tab w:val="num" w:pos="567"/>
        </w:tabs>
        <w:ind w:left="567" w:right="-29" w:hanging="567"/>
        <w:rPr>
          <w:sz w:val="22"/>
          <w:szCs w:val="22"/>
          <w:lang w:val="es-ES_tradnl"/>
        </w:rPr>
      </w:pPr>
      <w:r w:rsidRPr="00C52C4C">
        <w:rPr>
          <w:sz w:val="22"/>
          <w:szCs w:val="22"/>
          <w:lang w:val="es-ES_tradnl"/>
        </w:rPr>
        <w:t xml:space="preserve">Reacción en el lugar de </w:t>
      </w:r>
      <w:r w:rsidR="0036521F" w:rsidRPr="00C52C4C">
        <w:rPr>
          <w:sz w:val="22"/>
          <w:szCs w:val="22"/>
          <w:lang w:val="es-ES_tradnl"/>
        </w:rPr>
        <w:t>perfusión</w:t>
      </w:r>
      <w:r w:rsidRPr="00C52C4C">
        <w:rPr>
          <w:sz w:val="22"/>
          <w:szCs w:val="22"/>
          <w:lang w:val="es-ES_tradnl"/>
        </w:rPr>
        <w:t>.</w:t>
      </w:r>
    </w:p>
    <w:p w14:paraId="04C0315A" w14:textId="52E560B6" w:rsidR="006432E3" w:rsidRDefault="006432E3" w:rsidP="006432E3">
      <w:pPr>
        <w:numPr>
          <w:ilvl w:val="0"/>
          <w:numId w:val="15"/>
        </w:numPr>
        <w:rPr>
          <w:sz w:val="22"/>
          <w:szCs w:val="22"/>
          <w:lang w:val="es-ES_tradnl"/>
        </w:rPr>
      </w:pPr>
      <w:r w:rsidRPr="006432E3">
        <w:rPr>
          <w:sz w:val="22"/>
          <w:szCs w:val="22"/>
          <w:lang w:val="es-ES_tradnl"/>
        </w:rPr>
        <w:t>Reacción alérgica o respuesta inmunitaria exagerada.</w:t>
      </w:r>
    </w:p>
    <w:p w14:paraId="36A35CA5" w14:textId="43BD5257" w:rsidR="00084484" w:rsidRPr="00084484" w:rsidRDefault="00084484" w:rsidP="002869DC">
      <w:pPr>
        <w:pStyle w:val="Textonotaalfinal"/>
        <w:numPr>
          <w:ilvl w:val="0"/>
          <w:numId w:val="15"/>
        </w:numPr>
        <w:rPr>
          <w:szCs w:val="22"/>
          <w:lang w:val="es-ES_tradnl"/>
        </w:rPr>
      </w:pPr>
      <w:r w:rsidRPr="00084484">
        <w:rPr>
          <w:color w:val="000000"/>
          <w:szCs w:val="22"/>
          <w:lang w:val="es-ES_tradnl"/>
        </w:rPr>
        <w:t>Inflamación del tejido que rodea al hueso.</w:t>
      </w:r>
    </w:p>
    <w:p w14:paraId="5C31EAE3" w14:textId="77777777" w:rsidR="00D061AA" w:rsidRPr="00C52C4C" w:rsidRDefault="00D061AA" w:rsidP="00D061AA">
      <w:pPr>
        <w:ind w:left="600" w:right="-29"/>
        <w:rPr>
          <w:sz w:val="22"/>
          <w:szCs w:val="22"/>
          <w:lang w:val="es-ES_tradnl"/>
        </w:rPr>
      </w:pPr>
    </w:p>
    <w:p w14:paraId="020CF237" w14:textId="77777777" w:rsidR="008E04A2" w:rsidRPr="00C52C4C" w:rsidRDefault="0036521F" w:rsidP="00D061AA">
      <w:pPr>
        <w:ind w:right="-29"/>
        <w:rPr>
          <w:sz w:val="22"/>
          <w:szCs w:val="22"/>
          <w:lang w:val="es-ES_tradnl"/>
        </w:rPr>
      </w:pPr>
      <w:r w:rsidRPr="00C52C4C">
        <w:rPr>
          <w:sz w:val="22"/>
          <w:szCs w:val="22"/>
          <w:lang w:val="es-ES_tradnl"/>
        </w:rPr>
        <w:t>R</w:t>
      </w:r>
      <w:r w:rsidR="00D061AA" w:rsidRPr="00C52C4C">
        <w:rPr>
          <w:sz w:val="22"/>
          <w:szCs w:val="22"/>
          <w:lang w:val="es-ES_tradnl"/>
        </w:rPr>
        <w:t>aros</w:t>
      </w:r>
      <w:r w:rsidR="00912660" w:rsidRPr="00C52C4C">
        <w:rPr>
          <w:sz w:val="22"/>
          <w:szCs w:val="22"/>
          <w:lang w:val="es-ES_tradnl"/>
        </w:rPr>
        <w:t>:</w:t>
      </w:r>
      <w:r w:rsidR="00D061AA" w:rsidRPr="00C52C4C">
        <w:rPr>
          <w:sz w:val="22"/>
          <w:szCs w:val="22"/>
          <w:lang w:val="es-ES_tradnl"/>
        </w:rPr>
        <w:t xml:space="preserve"> pueden afectar hasta 1 de cada 1.000 personas </w:t>
      </w:r>
    </w:p>
    <w:p w14:paraId="45B4E319" w14:textId="77777777" w:rsidR="0036521F" w:rsidRPr="00C52C4C" w:rsidRDefault="0036521F" w:rsidP="00D061AA">
      <w:pPr>
        <w:ind w:right="-29"/>
        <w:rPr>
          <w:sz w:val="22"/>
          <w:szCs w:val="22"/>
          <w:lang w:val="es-ES_tradnl"/>
        </w:rPr>
      </w:pPr>
    </w:p>
    <w:p w14:paraId="47791BFD" w14:textId="77777777" w:rsidR="00D061AA" w:rsidRPr="00C52C4C" w:rsidRDefault="00D061AA" w:rsidP="00623360">
      <w:pPr>
        <w:numPr>
          <w:ilvl w:val="0"/>
          <w:numId w:val="7"/>
        </w:numPr>
        <w:tabs>
          <w:tab w:val="clear" w:pos="2880"/>
        </w:tabs>
        <w:ind w:left="600" w:right="-29" w:hanging="600"/>
        <w:rPr>
          <w:sz w:val="22"/>
          <w:szCs w:val="22"/>
          <w:lang w:val="es-ES_tradnl"/>
        </w:rPr>
      </w:pPr>
      <w:r w:rsidRPr="00C52C4C">
        <w:rPr>
          <w:sz w:val="22"/>
          <w:szCs w:val="22"/>
          <w:lang w:val="es-ES_tradnl"/>
        </w:rPr>
        <w:t>Glándula tiroidea hiperactiva.</w:t>
      </w:r>
    </w:p>
    <w:p w14:paraId="0C338497" w14:textId="77777777" w:rsidR="008E04A2" w:rsidRPr="00C52C4C" w:rsidRDefault="008E04A2" w:rsidP="00623360">
      <w:pPr>
        <w:numPr>
          <w:ilvl w:val="0"/>
          <w:numId w:val="7"/>
        </w:numPr>
        <w:tabs>
          <w:tab w:val="clear" w:pos="2880"/>
        </w:tabs>
        <w:ind w:left="600" w:right="-29" w:hanging="600"/>
        <w:rPr>
          <w:sz w:val="22"/>
          <w:szCs w:val="22"/>
          <w:lang w:val="es-ES_tradnl"/>
        </w:rPr>
      </w:pPr>
      <w:r w:rsidRPr="00C52C4C">
        <w:rPr>
          <w:sz w:val="22"/>
          <w:szCs w:val="22"/>
          <w:lang w:val="es-ES_tradnl"/>
        </w:rPr>
        <w:t>Deterioro de la actividad cerebral como complicación grave de una enfermedad hepática.</w:t>
      </w:r>
    </w:p>
    <w:p w14:paraId="2F7259DE" w14:textId="77777777" w:rsidR="00D061AA" w:rsidRPr="00C52C4C" w:rsidRDefault="0036521F" w:rsidP="00623360">
      <w:pPr>
        <w:numPr>
          <w:ilvl w:val="0"/>
          <w:numId w:val="7"/>
        </w:numPr>
        <w:tabs>
          <w:tab w:val="clear" w:pos="2880"/>
        </w:tabs>
        <w:ind w:left="600" w:right="-29" w:hanging="600"/>
        <w:rPr>
          <w:sz w:val="22"/>
          <w:szCs w:val="22"/>
          <w:lang w:val="es-ES_tradnl"/>
        </w:rPr>
      </w:pPr>
      <w:r w:rsidRPr="00C52C4C">
        <w:rPr>
          <w:sz w:val="22"/>
          <w:szCs w:val="22"/>
          <w:lang w:val="es-ES_tradnl"/>
        </w:rPr>
        <w:t xml:space="preserve">Pérdida de la mayor parte de las fibras </w:t>
      </w:r>
      <w:r w:rsidR="00D061AA" w:rsidRPr="00C52C4C">
        <w:rPr>
          <w:sz w:val="22"/>
          <w:szCs w:val="22"/>
          <w:lang w:val="es-ES_tradnl"/>
        </w:rPr>
        <w:t>del nervio óptico, opacidad de la córnea</w:t>
      </w:r>
      <w:r w:rsidRPr="00C52C4C">
        <w:rPr>
          <w:sz w:val="22"/>
          <w:szCs w:val="22"/>
          <w:lang w:val="es-ES_tradnl"/>
        </w:rPr>
        <w:t>, movimiento involuntario de los ojos</w:t>
      </w:r>
      <w:r w:rsidR="00D061AA" w:rsidRPr="00C52C4C">
        <w:rPr>
          <w:sz w:val="22"/>
          <w:szCs w:val="22"/>
          <w:lang w:val="es-ES_tradnl"/>
        </w:rPr>
        <w:t>.</w:t>
      </w:r>
    </w:p>
    <w:p w14:paraId="50EE584A" w14:textId="77777777" w:rsidR="008E04A2" w:rsidRPr="00C52C4C" w:rsidRDefault="008E04A2" w:rsidP="00623360">
      <w:pPr>
        <w:numPr>
          <w:ilvl w:val="0"/>
          <w:numId w:val="17"/>
        </w:numPr>
        <w:tabs>
          <w:tab w:val="clear" w:pos="360"/>
          <w:tab w:val="num" w:pos="567"/>
        </w:tabs>
        <w:ind w:left="567" w:right="-29" w:hanging="567"/>
        <w:rPr>
          <w:sz w:val="22"/>
          <w:szCs w:val="22"/>
          <w:lang w:val="es-ES_tradnl"/>
        </w:rPr>
      </w:pPr>
      <w:r w:rsidRPr="00C52C4C">
        <w:rPr>
          <w:sz w:val="22"/>
          <w:szCs w:val="22"/>
          <w:lang w:val="es-ES_tradnl"/>
        </w:rPr>
        <w:t>Formación de ampollas por fotosensibilidad.</w:t>
      </w:r>
    </w:p>
    <w:p w14:paraId="62BDE307" w14:textId="77777777" w:rsidR="008E04A2" w:rsidRPr="00C52C4C" w:rsidRDefault="008E04A2" w:rsidP="00623360">
      <w:pPr>
        <w:numPr>
          <w:ilvl w:val="0"/>
          <w:numId w:val="17"/>
        </w:numPr>
        <w:tabs>
          <w:tab w:val="clear" w:pos="360"/>
          <w:tab w:val="num" w:pos="567"/>
        </w:tabs>
        <w:ind w:left="567" w:right="-29" w:hanging="567"/>
        <w:rPr>
          <w:sz w:val="22"/>
          <w:szCs w:val="22"/>
          <w:lang w:val="es-ES_tradnl"/>
        </w:rPr>
      </w:pPr>
      <w:r w:rsidRPr="00C52C4C">
        <w:rPr>
          <w:sz w:val="22"/>
          <w:szCs w:val="22"/>
          <w:lang w:val="es-ES_tradnl"/>
        </w:rPr>
        <w:t>Trastorno en el que el sistema inmunológico ataca a parte del sistema nervioso periférico.</w:t>
      </w:r>
    </w:p>
    <w:p w14:paraId="29BB5CB6" w14:textId="77777777" w:rsidR="00D061AA" w:rsidRPr="00C52C4C" w:rsidRDefault="008E04A2" w:rsidP="00623360">
      <w:pPr>
        <w:numPr>
          <w:ilvl w:val="0"/>
          <w:numId w:val="7"/>
        </w:numPr>
        <w:tabs>
          <w:tab w:val="clear" w:pos="2880"/>
        </w:tabs>
        <w:ind w:left="600" w:right="-29" w:hanging="600"/>
        <w:rPr>
          <w:sz w:val="22"/>
          <w:szCs w:val="22"/>
          <w:lang w:val="es-ES_tradnl"/>
        </w:rPr>
      </w:pPr>
      <w:r w:rsidRPr="00C52C4C">
        <w:rPr>
          <w:sz w:val="22"/>
          <w:szCs w:val="22"/>
          <w:lang w:val="es-ES_tradnl"/>
        </w:rPr>
        <w:t xml:space="preserve">Problemas del ritmo cardiaco </w:t>
      </w:r>
      <w:r w:rsidR="0036521F" w:rsidRPr="00C52C4C">
        <w:rPr>
          <w:sz w:val="22"/>
          <w:szCs w:val="22"/>
          <w:lang w:val="es-ES_tradnl"/>
        </w:rPr>
        <w:t xml:space="preserve">o de la conducción (en ocasiones </w:t>
      </w:r>
      <w:r w:rsidRPr="00C52C4C">
        <w:rPr>
          <w:sz w:val="22"/>
          <w:szCs w:val="22"/>
          <w:lang w:val="es-ES_tradnl"/>
        </w:rPr>
        <w:t>potencialmente mortales</w:t>
      </w:r>
      <w:r w:rsidR="0036521F" w:rsidRPr="00C52C4C">
        <w:rPr>
          <w:sz w:val="22"/>
          <w:szCs w:val="22"/>
          <w:lang w:val="es-ES_tradnl"/>
        </w:rPr>
        <w:t>)</w:t>
      </w:r>
      <w:r w:rsidR="00D061AA" w:rsidRPr="00C52C4C">
        <w:rPr>
          <w:sz w:val="22"/>
          <w:szCs w:val="22"/>
          <w:lang w:val="es-ES_tradnl"/>
        </w:rPr>
        <w:t>.</w:t>
      </w:r>
    </w:p>
    <w:p w14:paraId="13E06B71" w14:textId="77777777" w:rsidR="0036521F" w:rsidRPr="00C52C4C" w:rsidRDefault="0036521F" w:rsidP="00623360">
      <w:pPr>
        <w:numPr>
          <w:ilvl w:val="0"/>
          <w:numId w:val="18"/>
        </w:numPr>
        <w:tabs>
          <w:tab w:val="clear" w:pos="360"/>
          <w:tab w:val="num" w:pos="567"/>
        </w:tabs>
        <w:ind w:right="-29"/>
        <w:rPr>
          <w:sz w:val="22"/>
          <w:szCs w:val="22"/>
          <w:lang w:val="es-ES_tradnl"/>
        </w:rPr>
      </w:pPr>
      <w:r w:rsidRPr="00C52C4C">
        <w:rPr>
          <w:sz w:val="22"/>
          <w:szCs w:val="22"/>
          <w:lang w:val="es-ES_tradnl"/>
        </w:rPr>
        <w:t>Reacción alérgica potencialmente mortal.</w:t>
      </w:r>
    </w:p>
    <w:p w14:paraId="23867FCE" w14:textId="77777777" w:rsidR="0036521F" w:rsidRPr="00C52C4C" w:rsidRDefault="0036521F" w:rsidP="00623360">
      <w:pPr>
        <w:numPr>
          <w:ilvl w:val="0"/>
          <w:numId w:val="4"/>
        </w:numPr>
        <w:tabs>
          <w:tab w:val="clear" w:pos="720"/>
          <w:tab w:val="num" w:pos="567"/>
        </w:tabs>
        <w:ind w:left="567" w:right="-29" w:hanging="567"/>
        <w:rPr>
          <w:sz w:val="22"/>
          <w:szCs w:val="22"/>
          <w:lang w:val="es-ES_tradnl"/>
        </w:rPr>
      </w:pPr>
      <w:r w:rsidRPr="00C52C4C">
        <w:rPr>
          <w:sz w:val="22"/>
          <w:szCs w:val="22"/>
          <w:lang w:val="es-ES_tradnl"/>
        </w:rPr>
        <w:t>Alteraciones en la coagulación sanguínea.</w:t>
      </w:r>
    </w:p>
    <w:p w14:paraId="79E1CCB0" w14:textId="77777777" w:rsidR="0036521F" w:rsidRPr="00C52C4C" w:rsidRDefault="0036521F" w:rsidP="00623360">
      <w:pPr>
        <w:numPr>
          <w:ilvl w:val="0"/>
          <w:numId w:val="7"/>
        </w:numPr>
        <w:tabs>
          <w:tab w:val="clear" w:pos="2880"/>
        </w:tabs>
        <w:ind w:left="600" w:right="-29" w:hanging="600"/>
        <w:rPr>
          <w:sz w:val="22"/>
          <w:szCs w:val="22"/>
          <w:lang w:val="es-ES_tradnl"/>
        </w:rPr>
      </w:pPr>
      <w:r w:rsidRPr="00C52C4C">
        <w:rPr>
          <w:sz w:val="22"/>
          <w:szCs w:val="22"/>
          <w:lang w:val="es-ES_tradnl"/>
        </w:rPr>
        <w:t>Reacciones alérgicas de la piel (en ocasiones graves), tales como hinchazón rápida (edema) de la dermis, el tejido subcutáneo, la mucosa y las capas submucosas, placas pruriginosas y doloridas de piel engrosada y enrojecida con escamas plateadas de piel, irritación de la piel y las membranas mucosas, enfermedad de la piel potencialmente mortal que provoca que grandes porciones de la epidermis, la capa más superficial de la piel, se desprendan de las capas de piel que se encuentran debajo de ella.</w:t>
      </w:r>
    </w:p>
    <w:p w14:paraId="66766762" w14:textId="77777777" w:rsidR="000649C4" w:rsidRPr="00C52C4C" w:rsidRDefault="000649C4" w:rsidP="000649C4">
      <w:pPr>
        <w:pStyle w:val="Default"/>
        <w:numPr>
          <w:ilvl w:val="0"/>
          <w:numId w:val="7"/>
        </w:numPr>
        <w:tabs>
          <w:tab w:val="clear" w:pos="2880"/>
        </w:tabs>
        <w:ind w:left="600" w:hanging="600"/>
        <w:rPr>
          <w:sz w:val="22"/>
          <w:szCs w:val="22"/>
          <w:lang w:val="es-ES_tradnl"/>
        </w:rPr>
      </w:pPr>
      <w:r w:rsidRPr="00C52C4C">
        <w:rPr>
          <w:sz w:val="22"/>
          <w:szCs w:val="22"/>
          <w:lang w:val="es-ES_tradnl"/>
        </w:rPr>
        <w:t>Pequeñas placas escamosas y secas en la piel, en ocasiones gruesas y con puntas o “cuernos”.</w:t>
      </w:r>
      <w:r w:rsidRPr="00C52C4C">
        <w:rPr>
          <w:sz w:val="22"/>
          <w:szCs w:val="22"/>
          <w:lang w:val="es-ES_tradnl"/>
        </w:rPr>
        <w:br/>
      </w:r>
    </w:p>
    <w:p w14:paraId="676906B9" w14:textId="77777777" w:rsidR="000649C4" w:rsidRPr="00C52C4C" w:rsidRDefault="000649C4" w:rsidP="000649C4">
      <w:pPr>
        <w:pStyle w:val="Default"/>
        <w:rPr>
          <w:bCs/>
          <w:sz w:val="22"/>
          <w:szCs w:val="22"/>
          <w:lang w:val="es-ES"/>
        </w:rPr>
      </w:pPr>
      <w:r w:rsidRPr="00C52C4C">
        <w:rPr>
          <w:bCs/>
          <w:sz w:val="22"/>
          <w:szCs w:val="22"/>
          <w:lang w:val="es-ES"/>
        </w:rPr>
        <w:t>Efectos adversos con frecuencia no conocida:</w:t>
      </w:r>
    </w:p>
    <w:p w14:paraId="4333C52B" w14:textId="77777777" w:rsidR="000649C4" w:rsidRPr="00C52C4C" w:rsidRDefault="000649C4" w:rsidP="000649C4">
      <w:pPr>
        <w:numPr>
          <w:ilvl w:val="0"/>
          <w:numId w:val="19"/>
        </w:numPr>
        <w:tabs>
          <w:tab w:val="clear" w:pos="360"/>
          <w:tab w:val="num" w:pos="567"/>
        </w:tabs>
        <w:ind w:left="567" w:right="-29" w:hanging="567"/>
        <w:rPr>
          <w:sz w:val="22"/>
          <w:szCs w:val="22"/>
          <w:lang w:val="es-ES_tradnl"/>
        </w:rPr>
      </w:pPr>
      <w:r w:rsidRPr="00C52C4C">
        <w:rPr>
          <w:sz w:val="22"/>
          <w:szCs w:val="22"/>
          <w:lang w:val="es-ES_tradnl"/>
        </w:rPr>
        <w:t>Pecas y manchas pigmentadas.</w:t>
      </w:r>
    </w:p>
    <w:p w14:paraId="341FD3EB" w14:textId="77777777" w:rsidR="00D061AA" w:rsidRPr="00C52C4C" w:rsidRDefault="00D061AA" w:rsidP="00D061AA">
      <w:pPr>
        <w:tabs>
          <w:tab w:val="left" w:pos="567"/>
        </w:tabs>
        <w:ind w:left="600" w:right="-29" w:hanging="600"/>
        <w:rPr>
          <w:sz w:val="22"/>
          <w:szCs w:val="22"/>
          <w:lang w:val="es-ES_tradnl"/>
        </w:rPr>
      </w:pPr>
    </w:p>
    <w:p w14:paraId="4411BB48" w14:textId="77777777" w:rsidR="008E04A2" w:rsidRPr="00C52C4C" w:rsidRDefault="008E04A2" w:rsidP="008E04A2">
      <w:pPr>
        <w:tabs>
          <w:tab w:val="left" w:pos="567"/>
        </w:tabs>
        <w:ind w:right="-29"/>
        <w:rPr>
          <w:sz w:val="22"/>
          <w:szCs w:val="22"/>
          <w:lang w:val="es-ES_tradnl"/>
        </w:rPr>
      </w:pPr>
      <w:r w:rsidRPr="00C52C4C">
        <w:rPr>
          <w:sz w:val="22"/>
          <w:szCs w:val="22"/>
          <w:lang w:val="es-ES_tradnl"/>
        </w:rPr>
        <w:t>Otros efectos adversos importantes cuya frecuencia no se conoce, pero que deben comunicarse al médico de inmediato:</w:t>
      </w:r>
    </w:p>
    <w:p w14:paraId="774A9BFC" w14:textId="77777777" w:rsidR="008E04A2" w:rsidRPr="00C52C4C" w:rsidRDefault="008E04A2" w:rsidP="008E04A2">
      <w:pPr>
        <w:tabs>
          <w:tab w:val="left" w:pos="567"/>
        </w:tabs>
        <w:ind w:right="-29"/>
        <w:rPr>
          <w:sz w:val="22"/>
          <w:szCs w:val="22"/>
          <w:lang w:val="es-ES_tradnl"/>
        </w:rPr>
      </w:pPr>
    </w:p>
    <w:p w14:paraId="1571AAA8" w14:textId="77777777" w:rsidR="008E04A2" w:rsidRPr="00C52C4C" w:rsidRDefault="008E04A2" w:rsidP="00623360">
      <w:pPr>
        <w:numPr>
          <w:ilvl w:val="0"/>
          <w:numId w:val="17"/>
        </w:numPr>
        <w:tabs>
          <w:tab w:val="clear" w:pos="360"/>
          <w:tab w:val="num" w:pos="567"/>
        </w:tabs>
        <w:ind w:left="567" w:right="-29" w:hanging="567"/>
        <w:rPr>
          <w:sz w:val="22"/>
          <w:szCs w:val="22"/>
          <w:lang w:val="es-ES_tradnl"/>
        </w:rPr>
      </w:pPr>
      <w:r w:rsidRPr="00C52C4C">
        <w:rPr>
          <w:sz w:val="22"/>
          <w:szCs w:val="22"/>
          <w:lang w:val="es-ES_tradnl"/>
        </w:rPr>
        <w:t>Placas rojas escamosas o lesiones de la piel en forma de anillo que pueden ser un síntoma de una enfermedad autoinmunitaria llamada lupus eritematoso cutáneo.</w:t>
      </w:r>
    </w:p>
    <w:p w14:paraId="44ACB1F1" w14:textId="77777777" w:rsidR="008E04A2" w:rsidRPr="00C52C4C" w:rsidRDefault="008E04A2" w:rsidP="00D061AA">
      <w:pPr>
        <w:tabs>
          <w:tab w:val="left" w:pos="567"/>
        </w:tabs>
        <w:ind w:left="600" w:right="-29" w:hanging="600"/>
        <w:rPr>
          <w:sz w:val="22"/>
          <w:szCs w:val="22"/>
          <w:lang w:val="es-ES_tradnl"/>
        </w:rPr>
      </w:pPr>
    </w:p>
    <w:p w14:paraId="30334C42" w14:textId="77777777" w:rsidR="00D061AA" w:rsidRPr="00C52C4C" w:rsidRDefault="00D061AA" w:rsidP="00D061AA">
      <w:pPr>
        <w:tabs>
          <w:tab w:val="left" w:pos="567"/>
        </w:tabs>
        <w:ind w:right="-29"/>
        <w:rPr>
          <w:sz w:val="22"/>
          <w:szCs w:val="22"/>
          <w:lang w:val="es-ES_tradnl"/>
        </w:rPr>
      </w:pPr>
      <w:r w:rsidRPr="00C52C4C">
        <w:rPr>
          <w:sz w:val="22"/>
          <w:szCs w:val="22"/>
          <w:lang w:val="es-ES_tradnl"/>
        </w:rPr>
        <w:t xml:space="preserve">Puesto que se ha observado que </w:t>
      </w:r>
      <w:r w:rsidR="008D11BB"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Pr="00C52C4C">
        <w:rPr>
          <w:sz w:val="22"/>
          <w:szCs w:val="22"/>
          <w:lang w:val="es-ES_tradnl"/>
        </w:rPr>
        <w:t>afecta al hígado y al riñón, su médico debe controlar la función hepática y renal mediante análisis de sangre. Advierta a su médico si tiene dolor de estómago o si las heces presentan una consistencia distinta.</w:t>
      </w:r>
    </w:p>
    <w:p w14:paraId="3B01546C" w14:textId="77777777" w:rsidR="00CF6C1B" w:rsidRPr="00C52C4C" w:rsidRDefault="00CF6C1B" w:rsidP="00D061AA">
      <w:pPr>
        <w:tabs>
          <w:tab w:val="left" w:pos="567"/>
        </w:tabs>
        <w:ind w:right="-29"/>
        <w:rPr>
          <w:sz w:val="22"/>
          <w:szCs w:val="22"/>
          <w:lang w:val="es-ES_tradnl"/>
        </w:rPr>
      </w:pPr>
    </w:p>
    <w:p w14:paraId="3D1081E9" w14:textId="77777777" w:rsidR="00CF6C1B" w:rsidRPr="00C52C4C" w:rsidRDefault="00CF6C1B" w:rsidP="00CF6C1B">
      <w:pPr>
        <w:tabs>
          <w:tab w:val="left" w:pos="567"/>
        </w:tabs>
        <w:ind w:right="-29"/>
        <w:rPr>
          <w:sz w:val="22"/>
          <w:szCs w:val="22"/>
          <w:lang w:val="es-ES_tradnl"/>
        </w:rPr>
      </w:pPr>
      <w:r w:rsidRPr="00C52C4C">
        <w:rPr>
          <w:sz w:val="22"/>
          <w:szCs w:val="22"/>
          <w:lang w:val="es-ES_tradnl"/>
        </w:rPr>
        <w:t xml:space="preserve">Se han comunicado casos de cáncer de piel en pacientes tratados con </w:t>
      </w:r>
      <w:r w:rsidR="008E04A2" w:rsidRPr="00C52C4C">
        <w:rPr>
          <w:sz w:val="22"/>
          <w:szCs w:val="22"/>
          <w:lang w:eastAsia="nl-NL"/>
        </w:rPr>
        <w:t xml:space="preserve">Voriconazol Accord </w:t>
      </w:r>
      <w:r w:rsidRPr="00C52C4C">
        <w:rPr>
          <w:sz w:val="22"/>
          <w:szCs w:val="22"/>
          <w:lang w:val="es-ES_tradnl"/>
        </w:rPr>
        <w:t>durante largos períodos de tiempo.</w:t>
      </w:r>
    </w:p>
    <w:p w14:paraId="3D5496D8" w14:textId="77777777" w:rsidR="008E04A2" w:rsidRPr="00C52C4C" w:rsidRDefault="008E04A2" w:rsidP="008E04A2">
      <w:pPr>
        <w:tabs>
          <w:tab w:val="left" w:pos="567"/>
        </w:tabs>
        <w:ind w:right="-28"/>
        <w:rPr>
          <w:sz w:val="22"/>
          <w:szCs w:val="22"/>
          <w:lang w:val="es-ES_tradnl"/>
        </w:rPr>
      </w:pPr>
    </w:p>
    <w:p w14:paraId="712BB615" w14:textId="77777777" w:rsidR="00912660" w:rsidRPr="00C52C4C" w:rsidRDefault="008E04A2" w:rsidP="00912660">
      <w:pPr>
        <w:tabs>
          <w:tab w:val="left" w:pos="567"/>
        </w:tabs>
        <w:ind w:right="-28"/>
        <w:rPr>
          <w:sz w:val="22"/>
          <w:szCs w:val="22"/>
          <w:lang w:val="es-ES_tradnl"/>
        </w:rPr>
      </w:pPr>
      <w:r w:rsidRPr="00C52C4C">
        <w:rPr>
          <w:sz w:val="22"/>
          <w:szCs w:val="22"/>
          <w:lang w:val="es-ES_tradnl"/>
        </w:rPr>
        <w:t xml:space="preserve">La frecuencia de las quemaduras solares o de las reacciones cutáneas graves tras la exposición a la luz o al sol fue más elevada en los niños. Si usted o su hijo presentan trastornos de la piel, su médico puede derivarle a un dermatólogo que, tras la consulta, podrá decidir que es importante que usted o su hijo se sometan a un seguimiento regular. </w:t>
      </w:r>
      <w:r w:rsidR="00912660" w:rsidRPr="00C52C4C">
        <w:rPr>
          <w:sz w:val="22"/>
          <w:szCs w:val="22"/>
          <w:lang w:val="es-ES_tradnl"/>
        </w:rPr>
        <w:t>Las enzimas hepáticas aumentadas también se observaron con mayor frecuencia en los niños.</w:t>
      </w:r>
    </w:p>
    <w:p w14:paraId="34F526C3" w14:textId="77777777" w:rsidR="00912660" w:rsidRPr="00C52C4C" w:rsidRDefault="00912660" w:rsidP="008E04A2">
      <w:pPr>
        <w:tabs>
          <w:tab w:val="left" w:pos="567"/>
        </w:tabs>
        <w:ind w:right="-28"/>
        <w:rPr>
          <w:sz w:val="22"/>
          <w:szCs w:val="22"/>
          <w:lang w:val="es-ES_tradnl"/>
        </w:rPr>
      </w:pPr>
    </w:p>
    <w:p w14:paraId="3BDCC64E" w14:textId="77777777" w:rsidR="00D061AA" w:rsidRPr="00C52C4C" w:rsidRDefault="00D061AA" w:rsidP="008E04A2">
      <w:pPr>
        <w:tabs>
          <w:tab w:val="left" w:pos="567"/>
        </w:tabs>
        <w:ind w:right="-28"/>
        <w:rPr>
          <w:sz w:val="22"/>
          <w:szCs w:val="22"/>
          <w:lang w:val="es-ES_tradnl"/>
        </w:rPr>
      </w:pPr>
      <w:r w:rsidRPr="00C52C4C">
        <w:rPr>
          <w:sz w:val="22"/>
          <w:szCs w:val="22"/>
          <w:lang w:val="es-ES_tradnl"/>
        </w:rPr>
        <w:t>Si cualquiera de estos efectos adversos persiste o es molesto, comuníqueselo a su médico.</w:t>
      </w:r>
    </w:p>
    <w:p w14:paraId="1FB07268" w14:textId="77777777" w:rsidR="00D061AA" w:rsidRPr="00C52C4C" w:rsidRDefault="00D061AA" w:rsidP="00D061AA">
      <w:pPr>
        <w:tabs>
          <w:tab w:val="left" w:pos="567"/>
        </w:tabs>
        <w:ind w:right="-29"/>
        <w:rPr>
          <w:sz w:val="22"/>
          <w:szCs w:val="22"/>
          <w:lang w:val="es-ES_tradnl"/>
        </w:rPr>
      </w:pPr>
    </w:p>
    <w:p w14:paraId="4F21D1FA" w14:textId="77777777" w:rsidR="00B10315" w:rsidRPr="00C52C4C" w:rsidRDefault="00B10315" w:rsidP="00B10315">
      <w:pPr>
        <w:pStyle w:val="BodytextAgency"/>
        <w:spacing w:after="0" w:line="240" w:lineRule="auto"/>
        <w:rPr>
          <w:rFonts w:ascii="Times New Roman" w:hAnsi="Times New Roman"/>
          <w:b/>
          <w:sz w:val="22"/>
          <w:szCs w:val="22"/>
          <w:lang w:val="es-ES_tradnl"/>
        </w:rPr>
      </w:pPr>
      <w:r w:rsidRPr="00C52C4C">
        <w:rPr>
          <w:rFonts w:ascii="Times New Roman" w:hAnsi="Times New Roman"/>
          <w:b/>
          <w:sz w:val="22"/>
          <w:szCs w:val="22"/>
          <w:lang w:val="es-ES_tradnl"/>
        </w:rPr>
        <w:t xml:space="preserve">Comunicación de efectos adversos </w:t>
      </w:r>
    </w:p>
    <w:p w14:paraId="5F8147A0" w14:textId="77777777" w:rsidR="00B10315" w:rsidRPr="00C52C4C" w:rsidRDefault="00B10315" w:rsidP="00B10315">
      <w:pPr>
        <w:pStyle w:val="BodytextAgency"/>
        <w:spacing w:after="0" w:line="240" w:lineRule="auto"/>
        <w:rPr>
          <w:rFonts w:ascii="Times New Roman" w:hAnsi="Times New Roman"/>
          <w:sz w:val="22"/>
          <w:szCs w:val="22"/>
          <w:lang w:val="es-ES_tradnl"/>
        </w:rPr>
      </w:pPr>
      <w:r w:rsidRPr="00C52C4C">
        <w:rPr>
          <w:rFonts w:ascii="Times New Roman" w:hAnsi="Times New Roman"/>
          <w:sz w:val="22"/>
          <w:szCs w:val="22"/>
          <w:lang w:val="es-ES_tradnl"/>
        </w:rPr>
        <w:t xml:space="preserve">Si experimenta </w:t>
      </w:r>
      <w:r w:rsidRPr="00C52C4C">
        <w:rPr>
          <w:rFonts w:ascii="Times New Roman" w:hAnsi="Times New Roman"/>
          <w:noProof/>
          <w:sz w:val="22"/>
          <w:szCs w:val="22"/>
          <w:lang w:val="es-ES_tradnl"/>
        </w:rPr>
        <w:t>cualquier tipo de efecto adverso</w:t>
      </w:r>
      <w:r w:rsidRPr="00C52C4C">
        <w:rPr>
          <w:rFonts w:ascii="Times New Roman" w:hAnsi="Times New Roman"/>
          <w:sz w:val="22"/>
          <w:szCs w:val="22"/>
          <w:lang w:val="es-ES_tradnl"/>
        </w:rPr>
        <w:t>, consulte a su medico</w:t>
      </w:r>
      <w:r w:rsidR="007D3F20" w:rsidRPr="00C52C4C">
        <w:rPr>
          <w:rFonts w:ascii="Times New Roman" w:hAnsi="Times New Roman"/>
          <w:sz w:val="22"/>
          <w:szCs w:val="22"/>
          <w:lang w:val="es-ES_tradnl"/>
        </w:rPr>
        <w:t xml:space="preserve"> o</w:t>
      </w:r>
      <w:r w:rsidRPr="00C52C4C">
        <w:rPr>
          <w:rFonts w:ascii="Times New Roman" w:hAnsi="Times New Roman"/>
          <w:sz w:val="22"/>
          <w:szCs w:val="22"/>
          <w:lang w:val="es-ES_tradnl"/>
        </w:rPr>
        <w:t xml:space="preserve"> farmacéutico o enfermero, incluso si se trata de</w:t>
      </w:r>
      <w:r w:rsidRPr="00C52C4C">
        <w:rPr>
          <w:rFonts w:ascii="Times New Roman" w:hAnsi="Times New Roman"/>
          <w:noProof/>
          <w:sz w:val="22"/>
          <w:szCs w:val="22"/>
          <w:lang w:val="es-ES_tradnl"/>
        </w:rPr>
        <w:t xml:space="preserve"> </w:t>
      </w:r>
      <w:r w:rsidRPr="00C52C4C">
        <w:rPr>
          <w:rFonts w:ascii="Times New Roman" w:hAnsi="Times New Roman"/>
          <w:sz w:val="22"/>
          <w:szCs w:val="22"/>
          <w:lang w:val="es-ES_tradnl"/>
        </w:rPr>
        <w:t xml:space="preserve">posibles efectos adversos que no aparecen en este prospecto. También puede comunicarlos directamente a través </w:t>
      </w:r>
      <w:r w:rsidRPr="00F75ECD">
        <w:rPr>
          <w:rFonts w:ascii="Times New Roman" w:hAnsi="Times New Roman"/>
          <w:sz w:val="22"/>
          <w:szCs w:val="22"/>
          <w:highlight w:val="lightGray"/>
          <w:lang w:val="es-ES_tradnl"/>
        </w:rPr>
        <w:t xml:space="preserve">del sistema nacional de notificación incluido en el </w:t>
      </w:r>
      <w:hyperlink r:id="rId14" w:history="1">
        <w:r w:rsidRPr="005C32BD">
          <w:rPr>
            <w:rStyle w:val="Hipervnculo"/>
            <w:rFonts w:ascii="Times New Roman" w:hAnsi="Times New Roman"/>
            <w:sz w:val="22"/>
            <w:szCs w:val="22"/>
            <w:highlight w:val="lightGray"/>
            <w:lang w:val="es-ES_tradnl"/>
          </w:rPr>
          <w:t>A</w:t>
        </w:r>
        <w:r w:rsidR="00492AC3">
          <w:rPr>
            <w:rStyle w:val="Hipervnculo"/>
            <w:rFonts w:ascii="Times New Roman" w:hAnsi="Times New Roman"/>
            <w:sz w:val="22"/>
            <w:szCs w:val="22"/>
            <w:highlight w:val="lightGray"/>
            <w:lang w:val="es-ES_tradnl"/>
          </w:rPr>
          <w:t xml:space="preserve">péndice </w:t>
        </w:r>
        <w:r w:rsidRPr="005C32BD">
          <w:rPr>
            <w:rStyle w:val="Hipervnculo"/>
            <w:rFonts w:ascii="Times New Roman" w:hAnsi="Times New Roman"/>
            <w:sz w:val="22"/>
            <w:szCs w:val="22"/>
            <w:highlight w:val="lightGray"/>
            <w:lang w:val="es-ES_tradnl"/>
          </w:rPr>
          <w:t>V</w:t>
        </w:r>
      </w:hyperlink>
      <w:r w:rsidRPr="00F75ECD">
        <w:rPr>
          <w:rFonts w:ascii="Times New Roman" w:hAnsi="Times New Roman"/>
          <w:sz w:val="22"/>
          <w:szCs w:val="22"/>
          <w:highlight w:val="lightGray"/>
          <w:lang w:val="es-ES_tradnl"/>
        </w:rPr>
        <w:t>.</w:t>
      </w:r>
    </w:p>
    <w:p w14:paraId="7DA59CDD" w14:textId="77777777" w:rsidR="00280B51" w:rsidRPr="00C52C4C" w:rsidRDefault="00B10315" w:rsidP="00B10315">
      <w:pPr>
        <w:pStyle w:val="BodytextAgency"/>
        <w:rPr>
          <w:rFonts w:ascii="Times New Roman" w:hAnsi="Times New Roman"/>
          <w:sz w:val="22"/>
          <w:szCs w:val="22"/>
          <w:lang w:val="es-ES"/>
        </w:rPr>
      </w:pPr>
      <w:r w:rsidRPr="00C52C4C">
        <w:rPr>
          <w:rFonts w:ascii="Times New Roman" w:hAnsi="Times New Roman"/>
          <w:sz w:val="22"/>
          <w:szCs w:val="22"/>
          <w:lang w:val="es-ES"/>
        </w:rPr>
        <w:lastRenderedPageBreak/>
        <w:t>Mediante la comunicación de efectos adversos usted puede contribuir a proporcionar más información</w:t>
      </w:r>
      <w:r w:rsidRPr="00C52C4C">
        <w:rPr>
          <w:rFonts w:ascii="Times New Roman" w:hAnsi="Times New Roman"/>
          <w:noProof/>
          <w:sz w:val="22"/>
          <w:szCs w:val="22"/>
          <w:lang w:val="es-ES"/>
        </w:rPr>
        <w:t xml:space="preserve"> sobre la seguridad de este medicamento.</w:t>
      </w:r>
    </w:p>
    <w:p w14:paraId="557FBF06" w14:textId="77777777" w:rsidR="00D061AA" w:rsidRPr="00C52C4C" w:rsidRDefault="00D061AA" w:rsidP="00D061AA">
      <w:pPr>
        <w:tabs>
          <w:tab w:val="left" w:pos="567"/>
        </w:tabs>
        <w:ind w:right="-29"/>
        <w:rPr>
          <w:sz w:val="22"/>
          <w:szCs w:val="22"/>
          <w:lang w:val="es-ES_tradnl"/>
        </w:rPr>
      </w:pPr>
    </w:p>
    <w:p w14:paraId="20D02305" w14:textId="77777777" w:rsidR="00D061AA" w:rsidRPr="00C52C4C" w:rsidRDefault="00D061AA" w:rsidP="00D061AA">
      <w:pPr>
        <w:tabs>
          <w:tab w:val="left" w:pos="567"/>
        </w:tabs>
        <w:ind w:right="-2"/>
        <w:rPr>
          <w:sz w:val="22"/>
          <w:szCs w:val="22"/>
          <w:lang w:val="es-ES_tradnl"/>
        </w:rPr>
      </w:pPr>
      <w:r w:rsidRPr="00C52C4C">
        <w:rPr>
          <w:b/>
          <w:sz w:val="22"/>
          <w:szCs w:val="22"/>
          <w:lang w:val="es-ES_tradnl"/>
        </w:rPr>
        <w:t>5.</w:t>
      </w:r>
      <w:r w:rsidRPr="00C52C4C">
        <w:rPr>
          <w:b/>
          <w:sz w:val="22"/>
          <w:szCs w:val="22"/>
          <w:lang w:val="es-ES_tradnl"/>
        </w:rPr>
        <w:tab/>
        <w:t xml:space="preserve">Conservación de </w:t>
      </w:r>
      <w:r w:rsidR="008D11BB" w:rsidRPr="00C52C4C">
        <w:rPr>
          <w:b/>
          <w:bCs/>
          <w:sz w:val="22"/>
          <w:szCs w:val="22"/>
        </w:rPr>
        <w:t>Voriconazol</w:t>
      </w:r>
      <w:r w:rsidR="003D734F" w:rsidRPr="00C52C4C">
        <w:rPr>
          <w:b/>
          <w:bCs/>
          <w:sz w:val="22"/>
          <w:szCs w:val="22"/>
        </w:rPr>
        <w:t xml:space="preserve"> Accord </w:t>
      </w:r>
    </w:p>
    <w:p w14:paraId="6BDC487C" w14:textId="77777777" w:rsidR="00D061AA" w:rsidRPr="00C52C4C" w:rsidRDefault="00D061AA" w:rsidP="00D061AA">
      <w:pPr>
        <w:tabs>
          <w:tab w:val="left" w:pos="567"/>
        </w:tabs>
        <w:ind w:right="-2"/>
        <w:rPr>
          <w:sz w:val="22"/>
          <w:szCs w:val="22"/>
          <w:lang w:val="es-ES_tradnl"/>
        </w:rPr>
      </w:pPr>
    </w:p>
    <w:p w14:paraId="7CD5BCCC" w14:textId="77777777" w:rsidR="00D061AA" w:rsidRPr="00C52C4C" w:rsidRDefault="00D061AA" w:rsidP="00D061AA">
      <w:pPr>
        <w:tabs>
          <w:tab w:val="left" w:pos="567"/>
        </w:tabs>
        <w:ind w:right="-2"/>
        <w:rPr>
          <w:sz w:val="22"/>
          <w:szCs w:val="22"/>
          <w:lang w:val="es-ES_tradnl"/>
        </w:rPr>
      </w:pPr>
      <w:r w:rsidRPr="00C52C4C">
        <w:rPr>
          <w:sz w:val="22"/>
          <w:szCs w:val="22"/>
          <w:lang w:val="es-ES_tradnl"/>
        </w:rPr>
        <w:t>Mantener este medicamento fuera de la vista y del alcance de los niños.</w:t>
      </w:r>
    </w:p>
    <w:p w14:paraId="2EB8D2C6" w14:textId="77777777" w:rsidR="00D061AA" w:rsidRPr="00C52C4C" w:rsidRDefault="00D061AA" w:rsidP="00D061AA">
      <w:pPr>
        <w:tabs>
          <w:tab w:val="left" w:pos="567"/>
        </w:tabs>
        <w:ind w:right="-2"/>
        <w:rPr>
          <w:sz w:val="22"/>
          <w:szCs w:val="22"/>
          <w:lang w:val="es-ES_tradnl"/>
        </w:rPr>
      </w:pPr>
    </w:p>
    <w:p w14:paraId="037AC8BB" w14:textId="77777777" w:rsidR="002620B3" w:rsidRDefault="00D061AA" w:rsidP="00D061AA">
      <w:pPr>
        <w:tabs>
          <w:tab w:val="left" w:pos="567"/>
        </w:tabs>
        <w:ind w:right="-2"/>
        <w:rPr>
          <w:sz w:val="22"/>
          <w:szCs w:val="22"/>
          <w:lang w:val="es-ES_tradnl"/>
        </w:rPr>
      </w:pPr>
      <w:r w:rsidRPr="00C52C4C">
        <w:rPr>
          <w:sz w:val="22"/>
          <w:szCs w:val="22"/>
          <w:lang w:val="es-ES_tradnl"/>
        </w:rPr>
        <w:t>No utilice este medicamento después de la fecha de caducidad que aparece en la etiqueta. La fecha de caducidad es el último día del mes que se indica.</w:t>
      </w:r>
    </w:p>
    <w:p w14:paraId="18735666" w14:textId="77777777" w:rsidR="002620B3" w:rsidRPr="00C52C4C" w:rsidRDefault="002620B3" w:rsidP="00D061AA">
      <w:pPr>
        <w:tabs>
          <w:tab w:val="left" w:pos="567"/>
        </w:tabs>
        <w:ind w:right="-2"/>
        <w:rPr>
          <w:sz w:val="22"/>
          <w:szCs w:val="22"/>
          <w:lang w:val="es-ES_tradnl"/>
        </w:rPr>
      </w:pPr>
    </w:p>
    <w:p w14:paraId="1BC63DD4" w14:textId="77777777" w:rsidR="00D061AA" w:rsidRPr="00C52C4C" w:rsidRDefault="00D061AA" w:rsidP="00D061AA">
      <w:pPr>
        <w:tabs>
          <w:tab w:val="left" w:pos="567"/>
        </w:tabs>
        <w:ind w:right="-2"/>
        <w:rPr>
          <w:sz w:val="22"/>
          <w:szCs w:val="22"/>
          <w:lang w:val="es-ES_tradnl"/>
        </w:rPr>
      </w:pPr>
      <w:r w:rsidRPr="00C52C4C">
        <w:rPr>
          <w:sz w:val="22"/>
          <w:szCs w:val="22"/>
          <w:lang w:val="es-ES_tradnl"/>
        </w:rPr>
        <w:t>Este medicamento</w:t>
      </w:r>
      <w:r w:rsidR="002620B3">
        <w:rPr>
          <w:sz w:val="22"/>
          <w:szCs w:val="22"/>
          <w:lang w:val="es-ES_tradnl"/>
        </w:rPr>
        <w:t xml:space="preserve"> no </w:t>
      </w:r>
      <w:r w:rsidR="00492AC3">
        <w:rPr>
          <w:sz w:val="22"/>
          <w:szCs w:val="22"/>
          <w:lang w:val="es-ES_tradnl"/>
        </w:rPr>
        <w:t>requiere</w:t>
      </w:r>
      <w:r w:rsidRPr="00C52C4C">
        <w:rPr>
          <w:sz w:val="22"/>
          <w:szCs w:val="22"/>
          <w:lang w:val="es-ES_tradnl"/>
        </w:rPr>
        <w:t xml:space="preserve"> condiciones especiales de conservación.</w:t>
      </w:r>
    </w:p>
    <w:p w14:paraId="1F3EBF64" w14:textId="77777777" w:rsidR="00D061AA" w:rsidRPr="00C52C4C" w:rsidRDefault="00D061AA" w:rsidP="00D061AA">
      <w:pPr>
        <w:tabs>
          <w:tab w:val="left" w:pos="567"/>
        </w:tabs>
        <w:ind w:right="-2"/>
        <w:rPr>
          <w:sz w:val="22"/>
          <w:szCs w:val="22"/>
          <w:lang w:val="es-ES_tradnl"/>
        </w:rPr>
      </w:pPr>
    </w:p>
    <w:p w14:paraId="45411CD8" w14:textId="77777777" w:rsidR="00D061AA" w:rsidRPr="00C52C4C" w:rsidRDefault="00D061AA" w:rsidP="00D061AA">
      <w:pPr>
        <w:tabs>
          <w:tab w:val="left" w:pos="567"/>
        </w:tabs>
        <w:ind w:right="-2"/>
        <w:rPr>
          <w:sz w:val="22"/>
          <w:szCs w:val="22"/>
          <w:lang w:val="es-ES_tradnl"/>
        </w:rPr>
      </w:pPr>
      <w:r w:rsidRPr="00C52C4C">
        <w:rPr>
          <w:sz w:val="22"/>
          <w:szCs w:val="22"/>
          <w:lang w:val="es-ES_tradnl"/>
        </w:rPr>
        <w:t>Los medicamentos no se deben tirar por los desagües ni a la basura. Pregunte a su farmacéutico cómo deshacerse de los envases y de los medicamentos que no necesita. De esta forma ayudará a proteger el medio ambiente.</w:t>
      </w:r>
    </w:p>
    <w:p w14:paraId="6DFC692D" w14:textId="77777777" w:rsidR="00D061AA" w:rsidRPr="00C52C4C" w:rsidRDefault="00D061AA" w:rsidP="00D061AA">
      <w:pPr>
        <w:tabs>
          <w:tab w:val="left" w:pos="567"/>
        </w:tabs>
        <w:ind w:left="540" w:right="-2" w:hanging="540"/>
        <w:rPr>
          <w:b/>
          <w:sz w:val="22"/>
          <w:szCs w:val="22"/>
          <w:lang w:val="es-ES_tradnl"/>
        </w:rPr>
      </w:pPr>
    </w:p>
    <w:p w14:paraId="075BD3F8" w14:textId="77777777" w:rsidR="00C5074E" w:rsidRPr="00C52C4C" w:rsidRDefault="00C5074E" w:rsidP="00D061AA">
      <w:pPr>
        <w:tabs>
          <w:tab w:val="left" w:pos="567"/>
        </w:tabs>
        <w:ind w:left="540" w:right="-2" w:hanging="540"/>
        <w:rPr>
          <w:b/>
          <w:sz w:val="22"/>
          <w:szCs w:val="22"/>
          <w:lang w:val="es-ES_tradnl"/>
        </w:rPr>
      </w:pPr>
    </w:p>
    <w:p w14:paraId="68DF84DE" w14:textId="77777777" w:rsidR="00D061AA" w:rsidRPr="00C52C4C" w:rsidRDefault="00D061AA" w:rsidP="00D061AA">
      <w:pPr>
        <w:tabs>
          <w:tab w:val="left" w:pos="567"/>
        </w:tabs>
        <w:ind w:left="540" w:right="-2" w:hanging="540"/>
        <w:rPr>
          <w:b/>
          <w:sz w:val="22"/>
          <w:szCs w:val="22"/>
          <w:lang w:val="es-ES_tradnl"/>
        </w:rPr>
      </w:pPr>
      <w:r w:rsidRPr="00C52C4C">
        <w:rPr>
          <w:b/>
          <w:sz w:val="22"/>
          <w:szCs w:val="22"/>
          <w:lang w:val="es-ES_tradnl"/>
        </w:rPr>
        <w:t>6.</w:t>
      </w:r>
      <w:r w:rsidRPr="00C52C4C">
        <w:rPr>
          <w:b/>
          <w:sz w:val="22"/>
          <w:szCs w:val="22"/>
          <w:lang w:val="es-ES_tradnl"/>
        </w:rPr>
        <w:tab/>
        <w:t>Contenido del envase e información adicional</w:t>
      </w:r>
    </w:p>
    <w:p w14:paraId="61F92631" w14:textId="77777777" w:rsidR="00D061AA" w:rsidRPr="00C52C4C" w:rsidRDefault="00D061AA" w:rsidP="00D061AA">
      <w:pPr>
        <w:tabs>
          <w:tab w:val="left" w:pos="567"/>
        </w:tabs>
        <w:ind w:left="540" w:right="-2" w:hanging="540"/>
        <w:rPr>
          <w:b/>
          <w:sz w:val="22"/>
          <w:szCs w:val="22"/>
          <w:lang w:val="es-ES_tradnl"/>
        </w:rPr>
      </w:pPr>
    </w:p>
    <w:p w14:paraId="2E3B1512" w14:textId="77777777" w:rsidR="00D061AA" w:rsidRPr="00C52C4C" w:rsidRDefault="00D061AA" w:rsidP="00D061AA">
      <w:pPr>
        <w:tabs>
          <w:tab w:val="left" w:pos="567"/>
        </w:tabs>
        <w:ind w:left="540" w:right="-2" w:hanging="540"/>
        <w:rPr>
          <w:b/>
          <w:sz w:val="22"/>
          <w:szCs w:val="22"/>
          <w:lang w:val="es-ES_tradnl"/>
        </w:rPr>
      </w:pPr>
      <w:r w:rsidRPr="00C52C4C">
        <w:rPr>
          <w:b/>
          <w:sz w:val="22"/>
          <w:szCs w:val="22"/>
          <w:lang w:val="es-ES_tradnl"/>
        </w:rPr>
        <w:t xml:space="preserve">Composición de </w:t>
      </w:r>
      <w:r w:rsidR="008D11BB" w:rsidRPr="00C52C4C">
        <w:rPr>
          <w:b/>
          <w:bCs/>
          <w:sz w:val="22"/>
          <w:szCs w:val="22"/>
        </w:rPr>
        <w:t>Voriconazol</w:t>
      </w:r>
      <w:r w:rsidR="003D734F" w:rsidRPr="00C52C4C">
        <w:rPr>
          <w:b/>
          <w:bCs/>
          <w:sz w:val="22"/>
          <w:szCs w:val="22"/>
        </w:rPr>
        <w:t xml:space="preserve"> Accord </w:t>
      </w:r>
    </w:p>
    <w:p w14:paraId="2BA42344" w14:textId="77777777" w:rsidR="00D061AA" w:rsidRPr="00C52C4C" w:rsidRDefault="00D061AA" w:rsidP="00D061AA">
      <w:pPr>
        <w:numPr>
          <w:ilvl w:val="0"/>
          <w:numId w:val="10"/>
        </w:numPr>
        <w:tabs>
          <w:tab w:val="left" w:pos="480"/>
        </w:tabs>
        <w:ind w:right="-2"/>
        <w:rPr>
          <w:sz w:val="22"/>
          <w:szCs w:val="22"/>
          <w:lang w:val="es-ES_tradnl"/>
        </w:rPr>
      </w:pPr>
      <w:r w:rsidRPr="00C52C4C">
        <w:rPr>
          <w:sz w:val="22"/>
          <w:szCs w:val="22"/>
          <w:lang w:val="es-ES_tradnl"/>
        </w:rPr>
        <w:t xml:space="preserve">El principio activo es voriconazol. Cada comprimido contiene 50 mg de voriconazol (para </w:t>
      </w:r>
      <w:r w:rsidR="008D11BB"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Pr="00C52C4C">
        <w:rPr>
          <w:sz w:val="22"/>
          <w:szCs w:val="22"/>
          <w:lang w:val="es-ES_tradnl"/>
        </w:rPr>
        <w:t xml:space="preserve">50 mg comprimidos recubiertos con película) ó 200 mg de voriconazol (para </w:t>
      </w:r>
      <w:r w:rsidR="008D11BB"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Pr="00C52C4C">
        <w:rPr>
          <w:sz w:val="22"/>
          <w:szCs w:val="22"/>
          <w:lang w:val="es-ES_tradnl"/>
        </w:rPr>
        <w:t>200 mg comprimidos recubiertos con película).</w:t>
      </w:r>
    </w:p>
    <w:p w14:paraId="52E9A55E" w14:textId="77777777" w:rsidR="00D061AA" w:rsidRPr="00C52C4C" w:rsidRDefault="00D061AA" w:rsidP="00D061AA">
      <w:pPr>
        <w:numPr>
          <w:ilvl w:val="0"/>
          <w:numId w:val="10"/>
        </w:numPr>
        <w:tabs>
          <w:tab w:val="left" w:pos="480"/>
        </w:tabs>
        <w:ind w:right="-2"/>
        <w:rPr>
          <w:sz w:val="22"/>
          <w:szCs w:val="22"/>
          <w:lang w:val="es-ES_tradnl"/>
        </w:rPr>
      </w:pPr>
      <w:r w:rsidRPr="00C52C4C">
        <w:rPr>
          <w:sz w:val="22"/>
          <w:szCs w:val="22"/>
          <w:lang w:val="es-ES_tradnl"/>
        </w:rPr>
        <w:t xml:space="preserve">Los demás componentes son lactosa monohidrato, almidón pregelatinizado, croscarmelosa de sodio, povidona y estearato de magnesio, que constituyen el núcleo del comprimido, e hipromelosa, dióxido de titanio (E171), lactosa monohidrato y </w:t>
      </w:r>
      <w:r w:rsidR="00387935" w:rsidRPr="00C52C4C">
        <w:rPr>
          <w:sz w:val="22"/>
          <w:szCs w:val="22"/>
          <w:lang w:val="es-ES_tradnl"/>
        </w:rPr>
        <w:t>triacetina</w:t>
      </w:r>
      <w:r w:rsidRPr="00C52C4C">
        <w:rPr>
          <w:sz w:val="22"/>
          <w:szCs w:val="22"/>
          <w:lang w:val="es-ES_tradnl"/>
        </w:rPr>
        <w:t>, que constituyen la película de recubrimiento</w:t>
      </w:r>
      <w:r w:rsidR="00A87970">
        <w:rPr>
          <w:sz w:val="22"/>
          <w:szCs w:val="22"/>
          <w:lang w:val="es-ES_tradnl"/>
        </w:rPr>
        <w:t xml:space="preserve"> (ver sección 2, </w:t>
      </w:r>
      <w:r w:rsidR="00A87970" w:rsidRPr="00A87970">
        <w:rPr>
          <w:sz w:val="22"/>
          <w:szCs w:val="22"/>
          <w:lang w:val="es-ES_tradnl"/>
        </w:rPr>
        <w:t>Voriconazol Accord 50 mg comprimidos recubiertos con película</w:t>
      </w:r>
      <w:r w:rsidR="00A87970">
        <w:rPr>
          <w:sz w:val="22"/>
          <w:szCs w:val="22"/>
          <w:lang w:val="es-ES_tradnl"/>
        </w:rPr>
        <w:t xml:space="preserve"> o </w:t>
      </w:r>
      <w:r w:rsidR="00A87970" w:rsidRPr="00A87970">
        <w:rPr>
          <w:sz w:val="22"/>
          <w:szCs w:val="22"/>
          <w:lang w:val="es-ES_tradnl"/>
        </w:rPr>
        <w:t xml:space="preserve">Voriconazol Accord </w:t>
      </w:r>
      <w:r w:rsidR="00A87970">
        <w:rPr>
          <w:sz w:val="22"/>
          <w:szCs w:val="22"/>
          <w:lang w:val="es-ES_tradnl"/>
        </w:rPr>
        <w:t>20</w:t>
      </w:r>
      <w:r w:rsidR="00A87970" w:rsidRPr="00A87970">
        <w:rPr>
          <w:sz w:val="22"/>
          <w:szCs w:val="22"/>
          <w:lang w:val="es-ES_tradnl"/>
        </w:rPr>
        <w:t>0 mg comprimidos recubiertos con película</w:t>
      </w:r>
      <w:r w:rsidR="00A87970">
        <w:rPr>
          <w:sz w:val="22"/>
          <w:szCs w:val="22"/>
          <w:lang w:val="es-ES_tradnl"/>
        </w:rPr>
        <w:t xml:space="preserve"> contiene lactosa y sodio)</w:t>
      </w:r>
      <w:r w:rsidRPr="00C52C4C">
        <w:rPr>
          <w:sz w:val="22"/>
          <w:szCs w:val="22"/>
          <w:lang w:val="es-ES_tradnl"/>
        </w:rPr>
        <w:t>.</w:t>
      </w:r>
    </w:p>
    <w:p w14:paraId="6879F3CB" w14:textId="77777777" w:rsidR="00D061AA" w:rsidRPr="00C52C4C" w:rsidRDefault="00D061AA" w:rsidP="00D061AA">
      <w:pPr>
        <w:tabs>
          <w:tab w:val="left" w:pos="567"/>
        </w:tabs>
        <w:ind w:right="-2"/>
        <w:rPr>
          <w:b/>
          <w:sz w:val="22"/>
          <w:szCs w:val="22"/>
          <w:lang w:val="es-ES_tradnl"/>
        </w:rPr>
      </w:pPr>
    </w:p>
    <w:p w14:paraId="298A9B1F" w14:textId="77777777" w:rsidR="00D061AA" w:rsidRPr="00C52C4C" w:rsidRDefault="00D061AA" w:rsidP="00D061AA">
      <w:pPr>
        <w:tabs>
          <w:tab w:val="left" w:pos="567"/>
        </w:tabs>
        <w:ind w:left="540" w:right="-2" w:hanging="540"/>
        <w:rPr>
          <w:b/>
          <w:sz w:val="22"/>
          <w:szCs w:val="22"/>
          <w:lang w:val="es-ES_tradnl"/>
        </w:rPr>
      </w:pPr>
      <w:r w:rsidRPr="00C52C4C">
        <w:rPr>
          <w:b/>
          <w:sz w:val="22"/>
          <w:szCs w:val="22"/>
          <w:lang w:val="es-ES_tradnl"/>
        </w:rPr>
        <w:t>Aspecto del producto y contenido del envase</w:t>
      </w:r>
    </w:p>
    <w:p w14:paraId="456DCF13" w14:textId="77777777" w:rsidR="00D061AA" w:rsidRPr="00C52C4C" w:rsidRDefault="008D11BB" w:rsidP="00D061AA">
      <w:pPr>
        <w:tabs>
          <w:tab w:val="left" w:pos="567"/>
        </w:tabs>
        <w:rPr>
          <w:sz w:val="22"/>
          <w:szCs w:val="22"/>
          <w:lang w:val="es-ES_tradnl"/>
        </w:rPr>
      </w:pPr>
      <w:r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00D061AA" w:rsidRPr="00C52C4C">
        <w:rPr>
          <w:sz w:val="22"/>
          <w:szCs w:val="22"/>
          <w:lang w:val="es-ES_tradnl"/>
        </w:rPr>
        <w:t>50 mg comprimidos se presentan en forma de comprimidos recubiertos con película, de color blanco a blanquecino y  redondead</w:t>
      </w:r>
      <w:r w:rsidR="001059B9">
        <w:rPr>
          <w:sz w:val="22"/>
          <w:szCs w:val="22"/>
          <w:lang w:val="es-ES_tradnl"/>
        </w:rPr>
        <w:t>o</w:t>
      </w:r>
      <w:r w:rsidR="00D061AA" w:rsidRPr="00C52C4C">
        <w:rPr>
          <w:sz w:val="22"/>
          <w:szCs w:val="22"/>
          <w:lang w:val="es-ES_tradnl"/>
        </w:rPr>
        <w:t xml:space="preserve">, </w:t>
      </w:r>
      <w:r w:rsidR="001059B9">
        <w:rPr>
          <w:sz w:val="22"/>
          <w:szCs w:val="22"/>
          <w:lang w:val="es-ES_tradnl"/>
        </w:rPr>
        <w:t xml:space="preserve"> de </w:t>
      </w:r>
      <w:r w:rsidR="003D734F" w:rsidRPr="00C52C4C">
        <w:rPr>
          <w:sz w:val="22"/>
          <w:szCs w:val="22"/>
          <w:lang w:val="es-ES_tradnl"/>
        </w:rPr>
        <w:t xml:space="preserve">aproximadamente </w:t>
      </w:r>
      <w:smartTag w:uri="urn:schemas-microsoft-com:office:smarttags" w:element="metricconverter">
        <w:smartTagPr>
          <w:attr w:name="ProductID" w:val="7,0 mm"/>
        </w:smartTagPr>
        <w:r w:rsidR="003D734F" w:rsidRPr="00C52C4C">
          <w:rPr>
            <w:sz w:val="22"/>
            <w:szCs w:val="22"/>
            <w:lang w:val="es-ES_tradnl"/>
          </w:rPr>
          <w:t>7,0 mm</w:t>
        </w:r>
      </w:smartTag>
      <w:r w:rsidR="003D734F" w:rsidRPr="00C52C4C">
        <w:rPr>
          <w:sz w:val="22"/>
          <w:szCs w:val="22"/>
          <w:lang w:val="es-ES_tradnl"/>
        </w:rPr>
        <w:t xml:space="preserve"> de diámetro </w:t>
      </w:r>
      <w:r w:rsidR="00D061AA" w:rsidRPr="00C52C4C">
        <w:rPr>
          <w:sz w:val="22"/>
          <w:szCs w:val="22"/>
          <w:lang w:val="es-ES_tradnl"/>
        </w:rPr>
        <w:t>con “</w:t>
      </w:r>
      <w:r w:rsidR="003D734F" w:rsidRPr="00C52C4C">
        <w:rPr>
          <w:sz w:val="22"/>
          <w:szCs w:val="22"/>
          <w:lang w:val="es-ES_tradnl"/>
        </w:rPr>
        <w:t>V50</w:t>
      </w:r>
      <w:r w:rsidR="00D061AA" w:rsidRPr="00C52C4C">
        <w:rPr>
          <w:sz w:val="22"/>
          <w:szCs w:val="22"/>
          <w:lang w:val="es-ES_tradnl"/>
        </w:rPr>
        <w:t xml:space="preserve">” grabado en una cara y </w:t>
      </w:r>
      <w:r w:rsidR="003D734F" w:rsidRPr="00C52C4C">
        <w:rPr>
          <w:sz w:val="22"/>
          <w:szCs w:val="22"/>
          <w:lang w:val="es-ES_tradnl"/>
        </w:rPr>
        <w:t>liso</w:t>
      </w:r>
      <w:r w:rsidR="00D061AA" w:rsidRPr="00C52C4C">
        <w:rPr>
          <w:sz w:val="22"/>
          <w:szCs w:val="22"/>
          <w:lang w:val="es-ES_tradnl"/>
        </w:rPr>
        <w:t xml:space="preserve"> en la otra.</w:t>
      </w:r>
    </w:p>
    <w:p w14:paraId="20ADEB70" w14:textId="77777777" w:rsidR="00D061AA" w:rsidRPr="00C52C4C" w:rsidRDefault="00D061AA" w:rsidP="00D061AA">
      <w:pPr>
        <w:tabs>
          <w:tab w:val="left" w:pos="567"/>
        </w:tabs>
        <w:rPr>
          <w:sz w:val="22"/>
          <w:szCs w:val="22"/>
          <w:lang w:val="es-ES_tradnl"/>
        </w:rPr>
      </w:pPr>
    </w:p>
    <w:p w14:paraId="4B2DF1DE" w14:textId="77777777" w:rsidR="00D061AA" w:rsidRPr="00C52C4C" w:rsidRDefault="008D11BB" w:rsidP="00D061AA">
      <w:pPr>
        <w:tabs>
          <w:tab w:val="left" w:pos="567"/>
        </w:tabs>
        <w:rPr>
          <w:sz w:val="22"/>
          <w:szCs w:val="22"/>
          <w:lang w:val="es-ES_tradnl"/>
        </w:rPr>
      </w:pPr>
      <w:r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00D061AA" w:rsidRPr="00C52C4C">
        <w:rPr>
          <w:sz w:val="22"/>
          <w:szCs w:val="22"/>
          <w:lang w:val="es-ES_tradnl"/>
        </w:rPr>
        <w:t xml:space="preserve">200 mg comprimidos se presentan en forma de comprimidos recubiertos con película, de color blanco a blanquecino y </w:t>
      </w:r>
      <w:r w:rsidR="00732171">
        <w:rPr>
          <w:sz w:val="22"/>
          <w:szCs w:val="22"/>
          <w:lang w:val="es-ES_tradnl"/>
        </w:rPr>
        <w:t>ovalados</w:t>
      </w:r>
      <w:r w:rsidR="00D061AA" w:rsidRPr="00C52C4C">
        <w:rPr>
          <w:sz w:val="22"/>
          <w:szCs w:val="22"/>
          <w:lang w:val="es-ES_tradnl"/>
        </w:rPr>
        <w:t xml:space="preserve">, </w:t>
      </w:r>
      <w:r w:rsidR="003D734F" w:rsidRPr="00C52C4C">
        <w:rPr>
          <w:sz w:val="22"/>
          <w:szCs w:val="22"/>
          <w:lang w:val="es-ES_tradnl"/>
        </w:rPr>
        <w:t xml:space="preserve">de aproximadamente </w:t>
      </w:r>
      <w:smartTag w:uri="urn:schemas-microsoft-com:office:smarttags" w:element="metricconverter">
        <w:smartTagPr>
          <w:attr w:name="ProductID" w:val="15,6 mm"/>
        </w:smartTagPr>
        <w:r w:rsidR="003D734F" w:rsidRPr="00C52C4C">
          <w:rPr>
            <w:sz w:val="22"/>
            <w:szCs w:val="22"/>
            <w:lang w:val="es-ES_tradnl"/>
          </w:rPr>
          <w:t>15,6 mm</w:t>
        </w:r>
      </w:smartTag>
      <w:r w:rsidR="003D734F" w:rsidRPr="00C52C4C">
        <w:rPr>
          <w:sz w:val="22"/>
          <w:szCs w:val="22"/>
          <w:lang w:val="es-ES_tradnl"/>
        </w:rPr>
        <w:t xml:space="preserve"> de largo y </w:t>
      </w:r>
      <w:smartTag w:uri="urn:schemas-microsoft-com:office:smarttags" w:element="metricconverter">
        <w:smartTagPr>
          <w:attr w:name="ProductID" w:val="7,8 mm"/>
        </w:smartTagPr>
        <w:r w:rsidR="003D734F" w:rsidRPr="00C52C4C">
          <w:rPr>
            <w:sz w:val="22"/>
            <w:szCs w:val="22"/>
            <w:lang w:val="es-ES_tradnl"/>
          </w:rPr>
          <w:t>7,8 mm</w:t>
        </w:r>
      </w:smartTag>
      <w:r w:rsidR="003D734F" w:rsidRPr="00C52C4C">
        <w:rPr>
          <w:sz w:val="22"/>
          <w:szCs w:val="22"/>
          <w:lang w:val="es-ES_tradnl"/>
        </w:rPr>
        <w:t xml:space="preserve"> de ancho, </w:t>
      </w:r>
      <w:r w:rsidR="00D061AA" w:rsidRPr="00C52C4C">
        <w:rPr>
          <w:sz w:val="22"/>
          <w:szCs w:val="22"/>
          <w:lang w:val="es-ES_tradnl"/>
        </w:rPr>
        <w:t>con “</w:t>
      </w:r>
      <w:r w:rsidR="003D734F" w:rsidRPr="00C52C4C">
        <w:rPr>
          <w:sz w:val="22"/>
          <w:szCs w:val="22"/>
          <w:lang w:val="es-ES_tradnl"/>
        </w:rPr>
        <w:t>V200</w:t>
      </w:r>
      <w:r w:rsidR="00D061AA" w:rsidRPr="00C52C4C">
        <w:rPr>
          <w:sz w:val="22"/>
          <w:szCs w:val="22"/>
          <w:lang w:val="es-ES_tradnl"/>
        </w:rPr>
        <w:t xml:space="preserve">” grabado en una cara y </w:t>
      </w:r>
      <w:r w:rsidR="003D734F" w:rsidRPr="00C52C4C">
        <w:rPr>
          <w:sz w:val="22"/>
          <w:szCs w:val="22"/>
          <w:lang w:val="es-ES_tradnl"/>
        </w:rPr>
        <w:t xml:space="preserve">liso </w:t>
      </w:r>
      <w:r w:rsidR="00D061AA" w:rsidRPr="00C52C4C">
        <w:rPr>
          <w:sz w:val="22"/>
          <w:szCs w:val="22"/>
          <w:lang w:val="es-ES_tradnl"/>
        </w:rPr>
        <w:t>en la otra.</w:t>
      </w:r>
    </w:p>
    <w:p w14:paraId="3CA4A4BF" w14:textId="77777777" w:rsidR="00D061AA" w:rsidRPr="00C52C4C" w:rsidRDefault="00D061AA" w:rsidP="00D061AA">
      <w:pPr>
        <w:tabs>
          <w:tab w:val="left" w:pos="567"/>
        </w:tabs>
        <w:rPr>
          <w:b/>
          <w:sz w:val="22"/>
          <w:szCs w:val="22"/>
          <w:lang w:val="es-ES_tradnl"/>
        </w:rPr>
      </w:pPr>
    </w:p>
    <w:p w14:paraId="1350F7B9" w14:textId="77777777" w:rsidR="00D061AA" w:rsidRPr="00C52C4C" w:rsidRDefault="008D11BB" w:rsidP="00D061AA">
      <w:pPr>
        <w:tabs>
          <w:tab w:val="left" w:pos="567"/>
        </w:tabs>
        <w:ind w:right="-2"/>
        <w:rPr>
          <w:sz w:val="22"/>
          <w:szCs w:val="22"/>
          <w:lang w:val="es-ES_tradnl"/>
        </w:rPr>
      </w:pPr>
      <w:r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00D061AA" w:rsidRPr="00C52C4C">
        <w:rPr>
          <w:sz w:val="22"/>
          <w:szCs w:val="22"/>
          <w:lang w:val="es-ES_tradnl"/>
        </w:rPr>
        <w:t xml:space="preserve">50 mg comprimidos recubiertos con película y </w:t>
      </w:r>
      <w:r w:rsidRPr="00C52C4C">
        <w:rPr>
          <w:bCs/>
          <w:sz w:val="22"/>
          <w:szCs w:val="22"/>
        </w:rPr>
        <w:t>Voriconazol</w:t>
      </w:r>
      <w:r w:rsidR="003D734F" w:rsidRPr="00C52C4C">
        <w:rPr>
          <w:bCs/>
          <w:sz w:val="22"/>
          <w:szCs w:val="22"/>
        </w:rPr>
        <w:t xml:space="preserve"> Accord</w:t>
      </w:r>
      <w:r w:rsidR="003D734F" w:rsidRPr="00C52C4C">
        <w:rPr>
          <w:b/>
          <w:bCs/>
          <w:sz w:val="22"/>
          <w:szCs w:val="22"/>
        </w:rPr>
        <w:t xml:space="preserve"> </w:t>
      </w:r>
      <w:r w:rsidR="00D061AA" w:rsidRPr="00C52C4C">
        <w:rPr>
          <w:sz w:val="22"/>
          <w:szCs w:val="22"/>
          <w:lang w:val="es-ES_tradnl"/>
        </w:rPr>
        <w:t>200 mg comprimidos recubiertos con película están disponibles en envases de 2, 10, 14, 20, 28, 30, 50, 56 y 100</w:t>
      </w:r>
      <w:r w:rsidR="00D10331" w:rsidRPr="00C52C4C">
        <w:rPr>
          <w:sz w:val="22"/>
          <w:szCs w:val="22"/>
          <w:lang w:val="es-ES_tradnl"/>
        </w:rPr>
        <w:t xml:space="preserve"> o paquetes blíster de monodosis (PVC/ aluminio) que contiene 10x1, 14x1, 28x1, 30x1, 56x1 o 100x1 comprimidos recubiertos con película</w:t>
      </w:r>
      <w:r w:rsidR="00D061AA" w:rsidRPr="00C52C4C">
        <w:rPr>
          <w:sz w:val="22"/>
          <w:szCs w:val="22"/>
          <w:lang w:val="es-ES_tradnl"/>
        </w:rPr>
        <w:t>.</w:t>
      </w:r>
    </w:p>
    <w:p w14:paraId="243C40DC" w14:textId="77777777" w:rsidR="00D061AA" w:rsidRPr="00C52C4C" w:rsidRDefault="00D061AA" w:rsidP="00D061AA">
      <w:pPr>
        <w:tabs>
          <w:tab w:val="left" w:pos="567"/>
        </w:tabs>
        <w:ind w:left="540" w:right="-2" w:hanging="540"/>
        <w:rPr>
          <w:b/>
          <w:sz w:val="22"/>
          <w:szCs w:val="22"/>
          <w:lang w:val="es-ES_tradnl"/>
        </w:rPr>
      </w:pPr>
    </w:p>
    <w:p w14:paraId="36910ACB" w14:textId="77777777" w:rsidR="00D061AA" w:rsidRPr="00C52C4C" w:rsidRDefault="00D061AA" w:rsidP="00D061AA">
      <w:pPr>
        <w:tabs>
          <w:tab w:val="left" w:pos="567"/>
        </w:tabs>
        <w:ind w:left="540" w:right="-2" w:hanging="540"/>
        <w:rPr>
          <w:sz w:val="22"/>
          <w:szCs w:val="22"/>
          <w:lang w:val="es-ES_tradnl"/>
        </w:rPr>
      </w:pPr>
      <w:r w:rsidRPr="00C52C4C">
        <w:rPr>
          <w:sz w:val="22"/>
          <w:szCs w:val="22"/>
          <w:lang w:val="es-ES_tradnl"/>
        </w:rPr>
        <w:t>Puede que solamente estén comercializados algunos tamaños de envases.</w:t>
      </w:r>
    </w:p>
    <w:p w14:paraId="7557E389" w14:textId="77777777" w:rsidR="00D061AA" w:rsidRPr="00C52C4C" w:rsidRDefault="00D061AA" w:rsidP="00D061AA">
      <w:pPr>
        <w:tabs>
          <w:tab w:val="left" w:pos="567"/>
        </w:tabs>
        <w:ind w:left="540" w:right="-2" w:hanging="540"/>
        <w:rPr>
          <w:sz w:val="22"/>
          <w:szCs w:val="22"/>
          <w:lang w:val="es-ES_tradnl"/>
        </w:rPr>
      </w:pPr>
    </w:p>
    <w:p w14:paraId="47C0FE26" w14:textId="77777777" w:rsidR="00D061AA" w:rsidRPr="00C52C4C" w:rsidRDefault="00D061AA" w:rsidP="00D061AA">
      <w:pPr>
        <w:tabs>
          <w:tab w:val="left" w:pos="567"/>
        </w:tabs>
        <w:rPr>
          <w:b/>
          <w:sz w:val="22"/>
          <w:szCs w:val="22"/>
          <w:lang w:val="es-ES_tradnl"/>
        </w:rPr>
      </w:pPr>
      <w:r w:rsidRPr="00C52C4C">
        <w:rPr>
          <w:b/>
          <w:sz w:val="22"/>
          <w:szCs w:val="22"/>
          <w:lang w:val="es-ES_tradnl"/>
        </w:rPr>
        <w:t xml:space="preserve">Titular de la autorización de comercialización </w:t>
      </w:r>
    </w:p>
    <w:p w14:paraId="51E2C98D" w14:textId="77777777" w:rsidR="004A1A96" w:rsidRPr="004A1A96" w:rsidRDefault="004A1A96" w:rsidP="004A1A96">
      <w:pPr>
        <w:rPr>
          <w:sz w:val="22"/>
          <w:szCs w:val="22"/>
          <w:lang w:val="pl-PL"/>
        </w:rPr>
      </w:pPr>
      <w:r w:rsidRPr="004A1A96">
        <w:rPr>
          <w:sz w:val="22"/>
          <w:szCs w:val="22"/>
          <w:lang w:val="pl-PL"/>
        </w:rPr>
        <w:t xml:space="preserve">Accord Healthcare S.L.U. </w:t>
      </w:r>
    </w:p>
    <w:p w14:paraId="045B0696" w14:textId="77777777" w:rsidR="004A1A96" w:rsidRPr="004A1A96" w:rsidRDefault="004A1A96" w:rsidP="004A1A96">
      <w:pPr>
        <w:rPr>
          <w:sz w:val="22"/>
          <w:szCs w:val="22"/>
          <w:lang w:val="pl-PL"/>
        </w:rPr>
      </w:pPr>
      <w:r w:rsidRPr="004A1A96">
        <w:rPr>
          <w:sz w:val="22"/>
          <w:szCs w:val="22"/>
          <w:lang w:val="pl-PL"/>
        </w:rPr>
        <w:t xml:space="preserve">World Trade Center, Moll de Barcelona, s/n, </w:t>
      </w:r>
    </w:p>
    <w:p w14:paraId="33184C3C" w14:textId="77777777" w:rsidR="004A1A96" w:rsidRPr="004A1A96" w:rsidRDefault="004A1A96" w:rsidP="004A1A96">
      <w:pPr>
        <w:rPr>
          <w:sz w:val="22"/>
          <w:szCs w:val="22"/>
          <w:lang w:val="pl-PL"/>
        </w:rPr>
      </w:pPr>
      <w:r w:rsidRPr="004A1A96">
        <w:rPr>
          <w:sz w:val="22"/>
          <w:szCs w:val="22"/>
          <w:lang w:val="pl-PL"/>
        </w:rPr>
        <w:t xml:space="preserve">Edifici Est 6ª planta, </w:t>
      </w:r>
    </w:p>
    <w:p w14:paraId="463165ED" w14:textId="77777777" w:rsidR="004A1A96" w:rsidRPr="004A1A96" w:rsidRDefault="004A1A96" w:rsidP="004A1A96">
      <w:pPr>
        <w:rPr>
          <w:sz w:val="22"/>
          <w:szCs w:val="22"/>
          <w:lang w:val="pl-PL"/>
        </w:rPr>
      </w:pPr>
      <w:r w:rsidRPr="004A1A96">
        <w:rPr>
          <w:sz w:val="22"/>
          <w:szCs w:val="22"/>
          <w:lang w:val="pl-PL"/>
        </w:rPr>
        <w:t xml:space="preserve">08039 Barcelona, </w:t>
      </w:r>
    </w:p>
    <w:p w14:paraId="701FFD8D" w14:textId="77777777" w:rsidR="00D061AA" w:rsidRPr="002869DC" w:rsidRDefault="004A1A96" w:rsidP="00D061AA">
      <w:pPr>
        <w:tabs>
          <w:tab w:val="left" w:pos="567"/>
        </w:tabs>
        <w:rPr>
          <w:sz w:val="22"/>
          <w:szCs w:val="22"/>
        </w:rPr>
      </w:pPr>
      <w:r w:rsidRPr="002869DC">
        <w:rPr>
          <w:sz w:val="22"/>
          <w:szCs w:val="22"/>
        </w:rPr>
        <w:t>España</w:t>
      </w:r>
    </w:p>
    <w:p w14:paraId="164EFCDE" w14:textId="77777777" w:rsidR="005906CC" w:rsidRPr="002869DC" w:rsidRDefault="005906CC" w:rsidP="00D061AA">
      <w:pPr>
        <w:tabs>
          <w:tab w:val="left" w:pos="567"/>
        </w:tabs>
        <w:rPr>
          <w:b/>
          <w:sz w:val="22"/>
          <w:szCs w:val="22"/>
        </w:rPr>
      </w:pPr>
    </w:p>
    <w:p w14:paraId="6F4780D3" w14:textId="77777777" w:rsidR="005B6D45" w:rsidRPr="002869DC" w:rsidRDefault="005B6D45" w:rsidP="00D061AA">
      <w:pPr>
        <w:tabs>
          <w:tab w:val="left" w:pos="567"/>
        </w:tabs>
        <w:rPr>
          <w:b/>
          <w:sz w:val="22"/>
          <w:szCs w:val="22"/>
        </w:rPr>
      </w:pPr>
      <w:r w:rsidRPr="002869DC">
        <w:rPr>
          <w:b/>
          <w:sz w:val="22"/>
          <w:szCs w:val="22"/>
        </w:rPr>
        <w:t>Fabricación</w:t>
      </w:r>
    </w:p>
    <w:p w14:paraId="252616FD" w14:textId="77777777" w:rsidR="005B6D45" w:rsidRPr="002869DC" w:rsidRDefault="005B6D45" w:rsidP="00D061AA">
      <w:pPr>
        <w:tabs>
          <w:tab w:val="left" w:pos="567"/>
        </w:tabs>
        <w:rPr>
          <w:sz w:val="22"/>
          <w:szCs w:val="22"/>
        </w:rPr>
      </w:pPr>
    </w:p>
    <w:p w14:paraId="414CB6F6" w14:textId="77777777" w:rsidR="00D061AA" w:rsidRPr="00C52C4C" w:rsidRDefault="00D061AA" w:rsidP="005B6D45">
      <w:pPr>
        <w:tabs>
          <w:tab w:val="left" w:pos="567"/>
        </w:tabs>
        <w:rPr>
          <w:sz w:val="22"/>
          <w:szCs w:val="22"/>
          <w:lang w:val="es-ES_tradnl"/>
        </w:rPr>
      </w:pPr>
    </w:p>
    <w:p w14:paraId="3713C70C" w14:textId="77777777" w:rsidR="00763BCD" w:rsidRPr="004A1A96" w:rsidRDefault="00763BCD" w:rsidP="00763BCD">
      <w:pPr>
        <w:autoSpaceDE w:val="0"/>
        <w:autoSpaceDN w:val="0"/>
        <w:adjustRightInd w:val="0"/>
        <w:rPr>
          <w:sz w:val="22"/>
          <w:szCs w:val="22"/>
          <w:highlight w:val="lightGray"/>
          <w:lang w:eastAsia="en-US"/>
        </w:rPr>
      </w:pPr>
      <w:r w:rsidRPr="004A1A96">
        <w:rPr>
          <w:sz w:val="22"/>
          <w:szCs w:val="22"/>
          <w:highlight w:val="lightGray"/>
          <w:lang w:eastAsia="en-US"/>
        </w:rPr>
        <w:lastRenderedPageBreak/>
        <w:t>Pharmadox Healthcare Ltd.</w:t>
      </w:r>
    </w:p>
    <w:p w14:paraId="0CC7DC5F" w14:textId="77777777" w:rsidR="00763BCD" w:rsidRPr="00824411" w:rsidRDefault="00763BCD" w:rsidP="00763BCD">
      <w:pPr>
        <w:autoSpaceDE w:val="0"/>
        <w:autoSpaceDN w:val="0"/>
        <w:adjustRightInd w:val="0"/>
        <w:rPr>
          <w:sz w:val="22"/>
          <w:szCs w:val="22"/>
          <w:highlight w:val="lightGray"/>
          <w:lang w:val="en-US" w:eastAsia="en-US"/>
        </w:rPr>
      </w:pPr>
      <w:r w:rsidRPr="00824411">
        <w:rPr>
          <w:sz w:val="22"/>
          <w:szCs w:val="22"/>
          <w:highlight w:val="lightGray"/>
          <w:lang w:val="en-US" w:eastAsia="en-US"/>
        </w:rPr>
        <w:t>KW20A Kordin Industrial Park,</w:t>
      </w:r>
    </w:p>
    <w:p w14:paraId="6A5DE726" w14:textId="77777777" w:rsidR="00763BCD" w:rsidRDefault="00763BCD" w:rsidP="005B6D45">
      <w:pPr>
        <w:pStyle w:val="Prrafodelista"/>
        <w:autoSpaceDE w:val="0"/>
        <w:autoSpaceDN w:val="0"/>
        <w:adjustRightInd w:val="0"/>
        <w:spacing w:after="0" w:line="240" w:lineRule="auto"/>
        <w:ind w:left="0"/>
        <w:rPr>
          <w:rFonts w:ascii="Times New Roman" w:hAnsi="Times New Roman"/>
          <w:color w:val="222222"/>
          <w:highlight w:val="lightGray"/>
          <w:lang w:val="en-IN"/>
        </w:rPr>
      </w:pPr>
      <w:r w:rsidRPr="004A1A96">
        <w:rPr>
          <w:rFonts w:ascii="Times New Roman" w:hAnsi="Times New Roman"/>
          <w:highlight w:val="lightGray"/>
        </w:rPr>
        <w:t>Paola, PLA 3000</w:t>
      </w:r>
      <w:r w:rsidR="005B6D45" w:rsidRPr="001A4823">
        <w:rPr>
          <w:rFonts w:ascii="Times New Roman" w:hAnsi="Times New Roman"/>
          <w:color w:val="222222"/>
          <w:highlight w:val="lightGray"/>
          <w:lang w:val="bg-BG"/>
        </w:rPr>
        <w:t xml:space="preserve"> </w:t>
      </w:r>
    </w:p>
    <w:p w14:paraId="2F799750" w14:textId="77777777" w:rsidR="005B6D45" w:rsidRPr="00824411" w:rsidRDefault="005B6D45" w:rsidP="005B6D45">
      <w:pPr>
        <w:pStyle w:val="Prrafodelista"/>
        <w:autoSpaceDE w:val="0"/>
        <w:autoSpaceDN w:val="0"/>
        <w:adjustRightInd w:val="0"/>
        <w:spacing w:after="0" w:line="240" w:lineRule="auto"/>
        <w:ind w:left="0"/>
        <w:rPr>
          <w:rFonts w:ascii="Times New Roman" w:hAnsi="Times New Roman"/>
        </w:rPr>
      </w:pPr>
      <w:r w:rsidRPr="00824411">
        <w:rPr>
          <w:rFonts w:ascii="Times New Roman" w:hAnsi="Times New Roman"/>
          <w:highlight w:val="lightGray"/>
        </w:rPr>
        <w:t>Malta</w:t>
      </w:r>
    </w:p>
    <w:p w14:paraId="66AEB13A" w14:textId="77777777" w:rsidR="00763BCD" w:rsidRPr="00824411" w:rsidRDefault="00763BCD" w:rsidP="005B6D45">
      <w:pPr>
        <w:pStyle w:val="Prrafodelista"/>
        <w:autoSpaceDE w:val="0"/>
        <w:autoSpaceDN w:val="0"/>
        <w:adjustRightInd w:val="0"/>
        <w:spacing w:after="0" w:line="240" w:lineRule="auto"/>
        <w:ind w:left="0"/>
        <w:rPr>
          <w:rFonts w:ascii="Times New Roman" w:hAnsi="Times New Roman"/>
        </w:rPr>
      </w:pPr>
    </w:p>
    <w:p w14:paraId="56D1DDC1" w14:textId="77777777" w:rsidR="00763BCD" w:rsidRPr="00824411" w:rsidRDefault="00763BCD" w:rsidP="00763BCD">
      <w:pPr>
        <w:rPr>
          <w:sz w:val="22"/>
          <w:szCs w:val="22"/>
          <w:highlight w:val="lightGray"/>
          <w:lang w:val="en-US"/>
        </w:rPr>
      </w:pPr>
      <w:r w:rsidRPr="00824411">
        <w:rPr>
          <w:sz w:val="22"/>
          <w:szCs w:val="22"/>
          <w:highlight w:val="lightGray"/>
          <w:lang w:val="en-US"/>
        </w:rPr>
        <w:t>Accord Healthcare Polska Sp.z o.o.,</w:t>
      </w:r>
    </w:p>
    <w:p w14:paraId="4C350D3B" w14:textId="77777777" w:rsidR="00763BCD" w:rsidRPr="002869DC" w:rsidRDefault="00763BCD" w:rsidP="00763BCD">
      <w:pPr>
        <w:pStyle w:val="Prrafodelista"/>
        <w:autoSpaceDE w:val="0"/>
        <w:autoSpaceDN w:val="0"/>
        <w:adjustRightInd w:val="0"/>
        <w:spacing w:after="0" w:line="240" w:lineRule="auto"/>
        <w:ind w:left="0"/>
        <w:rPr>
          <w:rFonts w:ascii="Times New Roman" w:hAnsi="Times New Roman"/>
          <w:lang w:val="en-GB"/>
        </w:rPr>
      </w:pPr>
      <w:r w:rsidRPr="002869DC">
        <w:rPr>
          <w:rFonts w:ascii="Times New Roman" w:hAnsi="Times New Roman"/>
          <w:highlight w:val="lightGray"/>
          <w:lang w:val="en-GB"/>
        </w:rPr>
        <w:t>ul. Lutomierska 50,95-200 Pabianice, Polonia</w:t>
      </w:r>
    </w:p>
    <w:p w14:paraId="2A495B4A" w14:textId="77777777" w:rsidR="005906CC" w:rsidRPr="002869DC" w:rsidRDefault="005906CC" w:rsidP="00763BCD">
      <w:pPr>
        <w:pStyle w:val="Prrafodelista"/>
        <w:autoSpaceDE w:val="0"/>
        <w:autoSpaceDN w:val="0"/>
        <w:adjustRightInd w:val="0"/>
        <w:spacing w:after="0" w:line="240" w:lineRule="auto"/>
        <w:ind w:left="0"/>
        <w:rPr>
          <w:rFonts w:ascii="Times New Roman" w:hAnsi="Times New Roman"/>
          <w:lang w:val="en-GB"/>
        </w:rPr>
      </w:pPr>
    </w:p>
    <w:p w14:paraId="5B3FEAF7" w14:textId="77777777" w:rsidR="005906CC" w:rsidRPr="00EA558F" w:rsidRDefault="005906CC" w:rsidP="005906CC">
      <w:pPr>
        <w:rPr>
          <w:sz w:val="22"/>
          <w:szCs w:val="22"/>
          <w:highlight w:val="lightGray"/>
          <w:lang w:val="en-US"/>
        </w:rPr>
      </w:pPr>
      <w:r w:rsidRPr="00EA558F">
        <w:rPr>
          <w:sz w:val="22"/>
          <w:szCs w:val="22"/>
          <w:highlight w:val="lightGray"/>
          <w:lang w:val="en-US"/>
        </w:rPr>
        <w:t xml:space="preserve">Accord Healthcare B.V., </w:t>
      </w:r>
    </w:p>
    <w:p w14:paraId="3E25F1B4" w14:textId="77777777" w:rsidR="005906CC" w:rsidRPr="002869DC" w:rsidRDefault="005906CC" w:rsidP="005906CC">
      <w:pPr>
        <w:rPr>
          <w:sz w:val="22"/>
          <w:szCs w:val="22"/>
          <w:highlight w:val="lightGray"/>
        </w:rPr>
      </w:pPr>
      <w:r w:rsidRPr="002869DC">
        <w:rPr>
          <w:sz w:val="22"/>
          <w:szCs w:val="22"/>
          <w:highlight w:val="lightGray"/>
        </w:rPr>
        <w:t xml:space="preserve">Winthontlaan 200, </w:t>
      </w:r>
    </w:p>
    <w:p w14:paraId="50B6566A" w14:textId="77777777" w:rsidR="005906CC" w:rsidRPr="002869DC" w:rsidRDefault="005906CC" w:rsidP="005906CC">
      <w:pPr>
        <w:rPr>
          <w:sz w:val="22"/>
          <w:szCs w:val="22"/>
          <w:highlight w:val="lightGray"/>
        </w:rPr>
      </w:pPr>
      <w:r w:rsidRPr="002869DC">
        <w:rPr>
          <w:sz w:val="22"/>
          <w:szCs w:val="22"/>
          <w:highlight w:val="lightGray"/>
        </w:rPr>
        <w:t>3526 KV Utrecht,</w:t>
      </w:r>
    </w:p>
    <w:p w14:paraId="7E1DFA0B" w14:textId="77777777" w:rsidR="005906CC" w:rsidRDefault="005906CC" w:rsidP="00EA558F">
      <w:pPr>
        <w:rPr>
          <w:ins w:id="20" w:author="MAH Review_LL" w:date="2025-07-11T11:55:00Z" w16du:dateUtc="2025-07-11T09:55:00Z"/>
          <w:sz w:val="22"/>
          <w:szCs w:val="22"/>
          <w:highlight w:val="lightGray"/>
        </w:rPr>
      </w:pPr>
      <w:r w:rsidRPr="002869DC">
        <w:rPr>
          <w:sz w:val="22"/>
          <w:szCs w:val="22"/>
          <w:highlight w:val="lightGray"/>
        </w:rPr>
        <w:t>Países Bajos</w:t>
      </w:r>
    </w:p>
    <w:p w14:paraId="718B52FC" w14:textId="77777777" w:rsidR="00A46166" w:rsidRDefault="00A46166" w:rsidP="00EA558F">
      <w:pPr>
        <w:rPr>
          <w:ins w:id="21" w:author="MAH Review_LL" w:date="2025-07-11T11:55:00Z" w16du:dateUtc="2025-07-11T09:55:00Z"/>
          <w:sz w:val="22"/>
          <w:szCs w:val="22"/>
          <w:highlight w:val="lightGray"/>
        </w:rPr>
      </w:pPr>
    </w:p>
    <w:p w14:paraId="5D1612D0" w14:textId="77777777" w:rsidR="00A46166" w:rsidRPr="00A46166" w:rsidRDefault="00A46166" w:rsidP="00A46166">
      <w:pPr>
        <w:rPr>
          <w:ins w:id="22" w:author="MAH Review_LL" w:date="2025-07-11T11:55:00Z" w16du:dateUtc="2025-07-11T09:55:00Z"/>
          <w:sz w:val="22"/>
          <w:szCs w:val="22"/>
          <w:highlight w:val="lightGray"/>
        </w:rPr>
      </w:pPr>
      <w:ins w:id="23" w:author="MAH Review_LL" w:date="2025-07-11T11:55:00Z" w16du:dateUtc="2025-07-11T09:55:00Z">
        <w:r w:rsidRPr="00A46166">
          <w:rPr>
            <w:sz w:val="22"/>
            <w:szCs w:val="22"/>
            <w:highlight w:val="lightGray"/>
          </w:rPr>
          <w:t xml:space="preserve">Accord Healthcare single member S.A., </w:t>
        </w:r>
      </w:ins>
    </w:p>
    <w:p w14:paraId="32DCA2D0" w14:textId="77777777" w:rsidR="00A46166" w:rsidRPr="00A46166" w:rsidRDefault="00A46166" w:rsidP="00A46166">
      <w:pPr>
        <w:rPr>
          <w:ins w:id="24" w:author="MAH Review_LL" w:date="2025-07-11T11:55:00Z" w16du:dateUtc="2025-07-11T09:55:00Z"/>
          <w:sz w:val="22"/>
          <w:szCs w:val="22"/>
          <w:highlight w:val="lightGray"/>
        </w:rPr>
      </w:pPr>
      <w:ins w:id="25" w:author="MAH Review_LL" w:date="2025-07-11T11:55:00Z" w16du:dateUtc="2025-07-11T09:55:00Z">
        <w:r w:rsidRPr="00A46166">
          <w:rPr>
            <w:sz w:val="22"/>
            <w:szCs w:val="22"/>
            <w:highlight w:val="lightGray"/>
          </w:rPr>
          <w:t xml:space="preserve">64th Km National Road </w:t>
        </w:r>
        <w:r w:rsidRPr="00A46166">
          <w:rPr>
            <w:sz w:val="22"/>
            <w:szCs w:val="22"/>
            <w:highlight w:val="lightGray"/>
          </w:rPr>
          <w:t xml:space="preserve">Athens, </w:t>
        </w:r>
      </w:ins>
    </w:p>
    <w:p w14:paraId="555EC999" w14:textId="29669244" w:rsidR="00A46166" w:rsidRPr="000260C1" w:rsidRDefault="00A46166" w:rsidP="00A46166">
      <w:pPr>
        <w:rPr>
          <w:ins w:id="26" w:author="MAH Review_LL" w:date="2025-07-11T11:55:00Z" w16du:dateUtc="2025-07-11T09:55:00Z"/>
          <w:sz w:val="22"/>
          <w:szCs w:val="22"/>
        </w:rPr>
      </w:pPr>
      <w:ins w:id="27" w:author="MAH Review_LL" w:date="2025-07-11T11:55:00Z" w16du:dateUtc="2025-07-11T09:55:00Z">
        <w:r w:rsidRPr="00A46166">
          <w:rPr>
            <w:sz w:val="22"/>
            <w:szCs w:val="22"/>
            <w:highlight w:val="lightGray"/>
          </w:rPr>
          <w:t>Lamia, Schimatari, 32009, Gre</w:t>
        </w:r>
        <w:r w:rsidRPr="0054202D">
          <w:rPr>
            <w:sz w:val="22"/>
            <w:szCs w:val="22"/>
            <w:highlight w:val="lightGray"/>
          </w:rPr>
          <w:t>cia</w:t>
        </w:r>
      </w:ins>
    </w:p>
    <w:p w14:paraId="53DB6857" w14:textId="77777777" w:rsidR="00A46166" w:rsidRPr="002869DC" w:rsidRDefault="00A46166" w:rsidP="00EA558F">
      <w:pPr>
        <w:rPr>
          <w:sz w:val="22"/>
          <w:szCs w:val="22"/>
          <w:highlight w:val="lightGray"/>
        </w:rPr>
      </w:pPr>
    </w:p>
    <w:p w14:paraId="5F0E7A85" w14:textId="77777777" w:rsidR="005B6D45" w:rsidRDefault="005B6D45" w:rsidP="005B6D45">
      <w:pPr>
        <w:tabs>
          <w:tab w:val="left" w:pos="567"/>
        </w:tabs>
        <w:rPr>
          <w:sz w:val="22"/>
          <w:szCs w:val="22"/>
          <w:lang w:val="es-ES_tradnl"/>
        </w:rPr>
      </w:pPr>
    </w:p>
    <w:p w14:paraId="5E595E08" w14:textId="77777777" w:rsidR="000D1DE4" w:rsidRPr="000D1DE4" w:rsidRDefault="000D1DE4" w:rsidP="000D1DE4">
      <w:pPr>
        <w:tabs>
          <w:tab w:val="left" w:pos="567"/>
        </w:tabs>
        <w:rPr>
          <w:sz w:val="22"/>
          <w:szCs w:val="22"/>
          <w:lang w:val="es-ES_tradnl"/>
        </w:rPr>
      </w:pPr>
      <w:r w:rsidRPr="000D1DE4">
        <w:rPr>
          <w:sz w:val="22"/>
          <w:szCs w:val="22"/>
          <w:lang w:val="es-ES_tradnl"/>
        </w:rPr>
        <w:t>Pueden solicitar más información respecto a este medicamento dirigiéndose al representante local del titular de la autorización de comercialización:</w:t>
      </w:r>
    </w:p>
    <w:p w14:paraId="257931C6" w14:textId="77777777" w:rsidR="000D1DE4" w:rsidRPr="000D1DE4" w:rsidRDefault="000D1DE4" w:rsidP="000D1DE4">
      <w:pPr>
        <w:tabs>
          <w:tab w:val="left" w:pos="567"/>
        </w:tabs>
        <w:rPr>
          <w:sz w:val="22"/>
          <w:szCs w:val="22"/>
          <w:lang w:val="es-ES_tradnl"/>
        </w:rPr>
      </w:pPr>
    </w:p>
    <w:p w14:paraId="35773CBE" w14:textId="77777777" w:rsidR="000D1DE4" w:rsidRPr="00A66031" w:rsidRDefault="000D1DE4" w:rsidP="000D1DE4">
      <w:pPr>
        <w:tabs>
          <w:tab w:val="left" w:pos="567"/>
        </w:tabs>
        <w:rPr>
          <w:sz w:val="22"/>
          <w:szCs w:val="22"/>
          <w:lang w:val="en-GB"/>
        </w:rPr>
      </w:pPr>
      <w:r w:rsidRPr="00A66031">
        <w:rPr>
          <w:sz w:val="22"/>
          <w:szCs w:val="22"/>
          <w:lang w:val="en-GB"/>
        </w:rPr>
        <w:t xml:space="preserve">AT / BE / BG / CY / CZ / DE / DK / EE / ES / FI / FR / HR / HU / IE / IS / IT / LT / LV / LU / MT / NL / NO / PL / PT / RO / SE / SI / SK </w:t>
      </w:r>
    </w:p>
    <w:p w14:paraId="70571995" w14:textId="77777777" w:rsidR="000D1DE4" w:rsidRPr="00A66031" w:rsidRDefault="000D1DE4" w:rsidP="000D1DE4">
      <w:pPr>
        <w:tabs>
          <w:tab w:val="left" w:pos="567"/>
        </w:tabs>
        <w:rPr>
          <w:sz w:val="22"/>
          <w:szCs w:val="22"/>
          <w:lang w:val="en-GB"/>
        </w:rPr>
      </w:pPr>
    </w:p>
    <w:p w14:paraId="3A620743" w14:textId="4616B629" w:rsidR="000D1DE4" w:rsidRPr="00A66031" w:rsidRDefault="000D1DE4" w:rsidP="000D1DE4">
      <w:pPr>
        <w:tabs>
          <w:tab w:val="left" w:pos="567"/>
        </w:tabs>
        <w:rPr>
          <w:sz w:val="22"/>
          <w:szCs w:val="22"/>
          <w:lang w:val="en-GB"/>
        </w:rPr>
      </w:pPr>
      <w:r w:rsidRPr="00A66031">
        <w:rPr>
          <w:sz w:val="22"/>
          <w:szCs w:val="22"/>
          <w:lang w:val="en-GB"/>
        </w:rPr>
        <w:t xml:space="preserve">Accord Healthcare S.L.U. </w:t>
      </w:r>
    </w:p>
    <w:p w14:paraId="5DBD5EB1" w14:textId="77777777" w:rsidR="000D1DE4" w:rsidRPr="000D1DE4" w:rsidRDefault="000D1DE4" w:rsidP="000D1DE4">
      <w:pPr>
        <w:tabs>
          <w:tab w:val="left" w:pos="567"/>
        </w:tabs>
        <w:rPr>
          <w:sz w:val="22"/>
          <w:szCs w:val="22"/>
          <w:lang w:val="es-ES_tradnl"/>
        </w:rPr>
      </w:pPr>
      <w:r w:rsidRPr="000D1DE4">
        <w:rPr>
          <w:sz w:val="22"/>
          <w:szCs w:val="22"/>
          <w:lang w:val="es-ES_tradnl"/>
        </w:rPr>
        <w:t>Tel: +34 93 301 00 64</w:t>
      </w:r>
    </w:p>
    <w:p w14:paraId="44E6A5D6" w14:textId="77777777" w:rsidR="000D1DE4" w:rsidRPr="000D1DE4" w:rsidRDefault="000D1DE4" w:rsidP="000D1DE4">
      <w:pPr>
        <w:tabs>
          <w:tab w:val="left" w:pos="567"/>
        </w:tabs>
        <w:rPr>
          <w:sz w:val="22"/>
          <w:szCs w:val="22"/>
          <w:lang w:val="es-ES_tradnl"/>
        </w:rPr>
      </w:pPr>
    </w:p>
    <w:p w14:paraId="5F74CE0B" w14:textId="77777777" w:rsidR="000D1DE4" w:rsidRPr="000D1DE4" w:rsidRDefault="000D1DE4" w:rsidP="000D1DE4">
      <w:pPr>
        <w:tabs>
          <w:tab w:val="left" w:pos="567"/>
        </w:tabs>
        <w:rPr>
          <w:sz w:val="22"/>
          <w:szCs w:val="22"/>
          <w:lang w:val="es-ES_tradnl"/>
        </w:rPr>
      </w:pPr>
      <w:r w:rsidRPr="000D1DE4">
        <w:rPr>
          <w:sz w:val="22"/>
          <w:szCs w:val="22"/>
          <w:lang w:val="es-ES_tradnl"/>
        </w:rPr>
        <w:t xml:space="preserve">EL </w:t>
      </w:r>
      <w:r w:rsidRPr="000D1DE4">
        <w:rPr>
          <w:sz w:val="22"/>
          <w:szCs w:val="22"/>
          <w:lang w:val="es-ES_tradnl"/>
        </w:rPr>
        <w:tab/>
      </w:r>
    </w:p>
    <w:p w14:paraId="1F116AE4" w14:textId="77777777" w:rsidR="000D1DE4" w:rsidRPr="000D1DE4" w:rsidRDefault="000D1DE4" w:rsidP="000D1DE4">
      <w:pPr>
        <w:tabs>
          <w:tab w:val="left" w:pos="567"/>
        </w:tabs>
        <w:rPr>
          <w:sz w:val="22"/>
          <w:szCs w:val="22"/>
          <w:lang w:val="es-ES_tradnl"/>
        </w:rPr>
      </w:pPr>
      <w:r w:rsidRPr="000D1DE4">
        <w:rPr>
          <w:sz w:val="22"/>
          <w:szCs w:val="22"/>
          <w:lang w:val="es-ES_tradnl"/>
        </w:rPr>
        <w:t>Win Medica A.E.</w:t>
      </w:r>
    </w:p>
    <w:p w14:paraId="6544B181" w14:textId="7A3E8012" w:rsidR="000D1DE4" w:rsidRDefault="000D1DE4" w:rsidP="000D1DE4">
      <w:pPr>
        <w:tabs>
          <w:tab w:val="left" w:pos="567"/>
        </w:tabs>
        <w:rPr>
          <w:sz w:val="22"/>
          <w:szCs w:val="22"/>
          <w:lang w:val="es-ES_tradnl"/>
        </w:rPr>
      </w:pPr>
      <w:r w:rsidRPr="000D1DE4">
        <w:rPr>
          <w:sz w:val="22"/>
          <w:szCs w:val="22"/>
          <w:lang w:val="es-ES_tradnl"/>
        </w:rPr>
        <w:t>Tel: +30 210 74 88 821</w:t>
      </w:r>
    </w:p>
    <w:p w14:paraId="5C205D48" w14:textId="77777777" w:rsidR="000D1DE4" w:rsidRPr="00C52C4C" w:rsidRDefault="000D1DE4" w:rsidP="000D1DE4">
      <w:pPr>
        <w:tabs>
          <w:tab w:val="left" w:pos="567"/>
        </w:tabs>
        <w:rPr>
          <w:sz w:val="22"/>
          <w:szCs w:val="22"/>
          <w:lang w:val="es-ES_tradnl"/>
        </w:rPr>
      </w:pPr>
    </w:p>
    <w:p w14:paraId="497F2A57" w14:textId="77777777" w:rsidR="00D061AA" w:rsidRPr="00344F86" w:rsidRDefault="00D061AA" w:rsidP="00B10315">
      <w:pPr>
        <w:autoSpaceDE w:val="0"/>
        <w:autoSpaceDN w:val="0"/>
        <w:adjustRightInd w:val="0"/>
        <w:rPr>
          <w:b/>
          <w:sz w:val="22"/>
          <w:szCs w:val="22"/>
        </w:rPr>
      </w:pPr>
      <w:r w:rsidRPr="00F65F25">
        <w:rPr>
          <w:b/>
          <w:sz w:val="22"/>
          <w:szCs w:val="22"/>
        </w:rPr>
        <w:t xml:space="preserve">Este prospecto ha sido aprobado el </w:t>
      </w:r>
      <w:r w:rsidR="00B10315" w:rsidRPr="00344F86">
        <w:rPr>
          <w:b/>
          <w:bCs/>
          <w:sz w:val="22"/>
          <w:szCs w:val="22"/>
        </w:rPr>
        <w:t>{MM/AAAA}.</w:t>
      </w:r>
    </w:p>
    <w:p w14:paraId="2E882645" w14:textId="77777777" w:rsidR="00D061AA" w:rsidRPr="00C52C4C" w:rsidRDefault="00D061AA" w:rsidP="00D061AA">
      <w:pPr>
        <w:tabs>
          <w:tab w:val="left" w:pos="567"/>
        </w:tabs>
        <w:rPr>
          <w:sz w:val="22"/>
          <w:szCs w:val="22"/>
        </w:rPr>
      </w:pPr>
    </w:p>
    <w:p w14:paraId="3830F6AA" w14:textId="46EB11FD" w:rsidR="00D061AA" w:rsidRPr="00C52C4C" w:rsidRDefault="00D061AA" w:rsidP="00D061AA">
      <w:pPr>
        <w:tabs>
          <w:tab w:val="left" w:pos="567"/>
        </w:tabs>
        <w:rPr>
          <w:iCs/>
          <w:sz w:val="22"/>
          <w:szCs w:val="22"/>
        </w:rPr>
      </w:pPr>
      <w:r w:rsidRPr="00C52C4C">
        <w:rPr>
          <w:sz w:val="22"/>
          <w:szCs w:val="22"/>
        </w:rPr>
        <w:t xml:space="preserve">La información detallada de este medicamento está disponible en la página web de la Agencia Europea del Medicamento </w:t>
      </w:r>
      <w:hyperlink r:id="rId15" w:history="1">
        <w:r w:rsidR="00CF457B" w:rsidRPr="00EB2F47">
          <w:rPr>
            <w:rStyle w:val="Hipervnculo"/>
          </w:rPr>
          <w:t>https://www.ema.europa.eu</w:t>
        </w:r>
      </w:hyperlink>
      <w:r w:rsidR="00492AC3">
        <w:rPr>
          <w:sz w:val="22"/>
          <w:szCs w:val="22"/>
        </w:rPr>
        <w:t>.</w:t>
      </w:r>
    </w:p>
    <w:p w14:paraId="4973AA2E" w14:textId="77777777" w:rsidR="00303DB8" w:rsidRPr="00C52C4C" w:rsidRDefault="00303DB8" w:rsidP="00CB33F8">
      <w:pPr>
        <w:tabs>
          <w:tab w:val="left" w:pos="567"/>
        </w:tabs>
        <w:jc w:val="center"/>
        <w:rPr>
          <w:sz w:val="22"/>
          <w:szCs w:val="22"/>
        </w:rPr>
      </w:pPr>
    </w:p>
    <w:sectPr w:rsidR="00303DB8" w:rsidRPr="00C52C4C" w:rsidSect="00B055B8">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2AFD8" w14:textId="77777777" w:rsidR="00171D64" w:rsidRDefault="00171D64" w:rsidP="00B055B8">
      <w:r>
        <w:separator/>
      </w:r>
    </w:p>
  </w:endnote>
  <w:endnote w:type="continuationSeparator" w:id="0">
    <w:p w14:paraId="447D78F6" w14:textId="77777777" w:rsidR="00171D64" w:rsidRDefault="00171D64" w:rsidP="00B0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SymbolMT">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104F" w14:textId="77777777" w:rsidR="009C0F49" w:rsidRDefault="009C0F49" w:rsidP="0089357F">
    <w:pPr>
      <w:pStyle w:val="Piedepgina"/>
      <w:jc w:val="center"/>
    </w:pPr>
    <w:r w:rsidRPr="00B055B8">
      <w:rPr>
        <w:rFonts w:ascii="Arial" w:hAnsi="Arial" w:cs="Arial"/>
      </w:rPr>
      <w:fldChar w:fldCharType="begin"/>
    </w:r>
    <w:r w:rsidRPr="00B055B8">
      <w:rPr>
        <w:rFonts w:ascii="Arial" w:hAnsi="Arial" w:cs="Arial"/>
      </w:rPr>
      <w:instrText xml:space="preserve"> PAGE   \* MERGEFORMAT </w:instrText>
    </w:r>
    <w:r w:rsidRPr="00B055B8">
      <w:rPr>
        <w:rFonts w:ascii="Arial" w:hAnsi="Arial" w:cs="Arial"/>
      </w:rPr>
      <w:fldChar w:fldCharType="separate"/>
    </w:r>
    <w:r w:rsidR="0073452D">
      <w:rPr>
        <w:rFonts w:ascii="Arial" w:hAnsi="Arial" w:cs="Arial"/>
        <w:noProof/>
      </w:rPr>
      <w:t>1</w:t>
    </w:r>
    <w:r w:rsidRPr="00B055B8">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4790E" w14:textId="77777777" w:rsidR="00171D64" w:rsidRDefault="00171D64" w:rsidP="00B055B8">
      <w:r>
        <w:separator/>
      </w:r>
    </w:p>
  </w:footnote>
  <w:footnote w:type="continuationSeparator" w:id="0">
    <w:p w14:paraId="6EC737A9" w14:textId="77777777" w:rsidR="00171D64" w:rsidRDefault="00171D64" w:rsidP="00B05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3978"/>
    <w:multiLevelType w:val="hybridMultilevel"/>
    <w:tmpl w:val="C1D47ADE"/>
    <w:lvl w:ilvl="0" w:tplc="12D24888">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9C44CC1"/>
    <w:multiLevelType w:val="hybridMultilevel"/>
    <w:tmpl w:val="531A7CA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C46003D"/>
    <w:multiLevelType w:val="hybridMultilevel"/>
    <w:tmpl w:val="80E098EC"/>
    <w:lvl w:ilvl="0" w:tplc="0C0A0001">
      <w:start w:val="1"/>
      <w:numFmt w:val="bullet"/>
      <w:lvlText w:val=""/>
      <w:lvlJc w:val="left"/>
      <w:pPr>
        <w:ind w:left="1778"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9961AA"/>
    <w:multiLevelType w:val="hybridMultilevel"/>
    <w:tmpl w:val="E384D6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1A5BF5"/>
    <w:multiLevelType w:val="hybridMultilevel"/>
    <w:tmpl w:val="072EE77C"/>
    <w:lvl w:ilvl="0" w:tplc="7B8886B6">
      <w:start w:val="1"/>
      <w:numFmt w:val="bullet"/>
      <w:lvlText w:val=""/>
      <w:lvlJc w:val="left"/>
      <w:pPr>
        <w:tabs>
          <w:tab w:val="num" w:pos="360"/>
        </w:tabs>
        <w:ind w:left="360" w:hanging="360"/>
      </w:pPr>
      <w:rPr>
        <w:rFonts w:ascii="Symbol" w:hAnsi="Symbol" w:hint="default"/>
        <w:color w:val="auto"/>
        <w:sz w:val="20"/>
        <w:szCs w:val="16"/>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19B57CBE"/>
    <w:multiLevelType w:val="hybridMultilevel"/>
    <w:tmpl w:val="C248EA48"/>
    <w:lvl w:ilvl="0" w:tplc="0809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5F6B2E"/>
    <w:multiLevelType w:val="hybridMultilevel"/>
    <w:tmpl w:val="0CB260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A20C95"/>
    <w:multiLevelType w:val="hybridMultilevel"/>
    <w:tmpl w:val="9E3A9856"/>
    <w:lvl w:ilvl="0" w:tplc="0809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D50B33"/>
    <w:multiLevelType w:val="hybridMultilevel"/>
    <w:tmpl w:val="2D64D80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F71D6E"/>
    <w:multiLevelType w:val="hybridMultilevel"/>
    <w:tmpl w:val="56683EB6"/>
    <w:lvl w:ilvl="0" w:tplc="C7F4909A">
      <w:start w:val="1"/>
      <w:numFmt w:val="bullet"/>
      <w:lvlText w:val=""/>
      <w:lvlJc w:val="left"/>
      <w:pPr>
        <w:tabs>
          <w:tab w:val="num" w:pos="2880"/>
        </w:tabs>
        <w:ind w:left="2880" w:hanging="360"/>
      </w:pPr>
      <w:rPr>
        <w:rFonts w:ascii="Symbol" w:hAnsi="Symbol"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FF4AF5"/>
    <w:multiLevelType w:val="hybridMultilevel"/>
    <w:tmpl w:val="B31A63CE"/>
    <w:lvl w:ilvl="0" w:tplc="31445C06">
      <w:start w:val="1"/>
      <w:numFmt w:val="upperLetter"/>
      <w:lvlText w:val="%1."/>
      <w:lvlJc w:val="left"/>
      <w:pPr>
        <w:ind w:left="1418" w:hanging="360"/>
      </w:pPr>
      <w:rPr>
        <w:rFonts w:hint="default"/>
      </w:r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11" w15:restartNumberingAfterBreak="0">
    <w:nsid w:val="2F2008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E63395"/>
    <w:multiLevelType w:val="hybridMultilevel"/>
    <w:tmpl w:val="3E720A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37CF4F5D"/>
    <w:multiLevelType w:val="hybridMultilevel"/>
    <w:tmpl w:val="E5269E1E"/>
    <w:lvl w:ilvl="0" w:tplc="7B8886B6">
      <w:start w:val="1"/>
      <w:numFmt w:val="bullet"/>
      <w:lvlText w:val=""/>
      <w:lvlJc w:val="left"/>
      <w:pPr>
        <w:tabs>
          <w:tab w:val="num" w:pos="360"/>
        </w:tabs>
        <w:ind w:left="360" w:hanging="360"/>
      </w:pPr>
      <w:rPr>
        <w:rFonts w:ascii="Symbol" w:hAnsi="Symbol" w:hint="default"/>
        <w:color w:val="auto"/>
        <w:sz w:val="20"/>
        <w:szCs w:val="16"/>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3D034C35"/>
    <w:multiLevelType w:val="hybridMultilevel"/>
    <w:tmpl w:val="0ADE4A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C1546"/>
    <w:multiLevelType w:val="hybridMultilevel"/>
    <w:tmpl w:val="F4D658F8"/>
    <w:lvl w:ilvl="0" w:tplc="66DCA380">
      <w:start w:val="10"/>
      <w:numFmt w:val="decimal"/>
      <w:lvlText w:val="%1."/>
      <w:lvlJc w:val="left"/>
      <w:pPr>
        <w:tabs>
          <w:tab w:val="num" w:pos="705"/>
        </w:tabs>
        <w:ind w:left="705" w:hanging="705"/>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46600DE0"/>
    <w:multiLevelType w:val="hybridMultilevel"/>
    <w:tmpl w:val="D4C2A944"/>
    <w:lvl w:ilvl="0" w:tplc="C7F4909A">
      <w:start w:val="1"/>
      <w:numFmt w:val="bullet"/>
      <w:lvlText w:val=""/>
      <w:lvlJc w:val="left"/>
      <w:pPr>
        <w:tabs>
          <w:tab w:val="num" w:pos="2880"/>
        </w:tabs>
        <w:ind w:left="2880" w:hanging="360"/>
      </w:pPr>
      <w:rPr>
        <w:rFonts w:ascii="Symbol" w:hAnsi="Symbol"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A61A16"/>
    <w:multiLevelType w:val="hybridMultilevel"/>
    <w:tmpl w:val="CFA8DB0C"/>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51654E9C"/>
    <w:multiLevelType w:val="hybridMultilevel"/>
    <w:tmpl w:val="02C20C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3736D6"/>
    <w:multiLevelType w:val="hybridMultilevel"/>
    <w:tmpl w:val="E1F88AEA"/>
    <w:lvl w:ilvl="0" w:tplc="7B8886B6">
      <w:start w:val="1"/>
      <w:numFmt w:val="bullet"/>
      <w:lvlText w:val=""/>
      <w:lvlJc w:val="left"/>
      <w:pPr>
        <w:tabs>
          <w:tab w:val="num" w:pos="360"/>
        </w:tabs>
        <w:ind w:left="360" w:hanging="360"/>
      </w:pPr>
      <w:rPr>
        <w:rFonts w:ascii="Symbol" w:hAnsi="Symbol" w:hint="default"/>
        <w:color w:val="auto"/>
        <w:sz w:val="20"/>
        <w:szCs w:val="16"/>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15:restartNumberingAfterBreak="0">
    <w:nsid w:val="537874C1"/>
    <w:multiLevelType w:val="hybridMultilevel"/>
    <w:tmpl w:val="977619A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554B69D2"/>
    <w:multiLevelType w:val="hybridMultilevel"/>
    <w:tmpl w:val="E346750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60D0544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3695DF1"/>
    <w:multiLevelType w:val="hybridMultilevel"/>
    <w:tmpl w:val="848A200C"/>
    <w:lvl w:ilvl="0" w:tplc="C7F4909A">
      <w:start w:val="1"/>
      <w:numFmt w:val="bullet"/>
      <w:lvlText w:val=""/>
      <w:lvlJc w:val="left"/>
      <w:pPr>
        <w:tabs>
          <w:tab w:val="num" w:pos="2880"/>
        </w:tabs>
        <w:ind w:left="2880" w:hanging="360"/>
      </w:pPr>
      <w:rPr>
        <w:rFonts w:ascii="Symbol" w:hAnsi="Symbol"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2C6537"/>
    <w:multiLevelType w:val="hybridMultilevel"/>
    <w:tmpl w:val="6D94287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967273281">
    <w:abstractNumId w:val="11"/>
  </w:num>
  <w:num w:numId="2" w16cid:durableId="1977488802">
    <w:abstractNumId w:val="22"/>
  </w:num>
  <w:num w:numId="3" w16cid:durableId="1569801667">
    <w:abstractNumId w:val="15"/>
  </w:num>
  <w:num w:numId="4" w16cid:durableId="2127310016">
    <w:abstractNumId w:val="14"/>
  </w:num>
  <w:num w:numId="5" w16cid:durableId="243147276">
    <w:abstractNumId w:val="24"/>
  </w:num>
  <w:num w:numId="6" w16cid:durableId="511453846">
    <w:abstractNumId w:val="9"/>
  </w:num>
  <w:num w:numId="7" w16cid:durableId="1805809937">
    <w:abstractNumId w:val="16"/>
  </w:num>
  <w:num w:numId="8" w16cid:durableId="1017006700">
    <w:abstractNumId w:val="2"/>
  </w:num>
  <w:num w:numId="9" w16cid:durableId="93865072">
    <w:abstractNumId w:val="5"/>
  </w:num>
  <w:num w:numId="10" w16cid:durableId="668097171">
    <w:abstractNumId w:val="7"/>
  </w:num>
  <w:num w:numId="11" w16cid:durableId="2015107313">
    <w:abstractNumId w:val="10"/>
  </w:num>
  <w:num w:numId="12" w16cid:durableId="1069570932">
    <w:abstractNumId w:val="6"/>
  </w:num>
  <w:num w:numId="13" w16cid:durableId="682435344">
    <w:abstractNumId w:val="18"/>
  </w:num>
  <w:num w:numId="14" w16cid:durableId="346061860">
    <w:abstractNumId w:val="8"/>
  </w:num>
  <w:num w:numId="15" w16cid:durableId="171299393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882652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722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2076688">
    <w:abstractNumId w:val="19"/>
  </w:num>
  <w:num w:numId="19" w16cid:durableId="745104858">
    <w:abstractNumId w:val="4"/>
  </w:num>
  <w:num w:numId="20" w16cid:durableId="188934175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415420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659924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6500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02394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116598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93096">
    <w:abstractNumId w:val="3"/>
  </w:num>
  <w:num w:numId="27" w16cid:durableId="913393009">
    <w:abstractNumId w:val="11"/>
  </w:num>
  <w:num w:numId="28" w16cid:durableId="457341587">
    <w:abstractNumId w:val="1"/>
  </w:num>
  <w:num w:numId="29" w16cid:durableId="1548373201">
    <w:abstractNumId w:val="0"/>
  </w:num>
  <w:num w:numId="30" w16cid:durableId="446392459">
    <w:abstractNumId w:val="2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LL">
    <w15:presenceInfo w15:providerId="None" w15:userId="MAH Review_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1AA"/>
    <w:rsid w:val="00002E8F"/>
    <w:rsid w:val="000030E8"/>
    <w:rsid w:val="000030F5"/>
    <w:rsid w:val="00004E90"/>
    <w:rsid w:val="000051D9"/>
    <w:rsid w:val="000056E7"/>
    <w:rsid w:val="000057E6"/>
    <w:rsid w:val="00005DFB"/>
    <w:rsid w:val="00006808"/>
    <w:rsid w:val="00011619"/>
    <w:rsid w:val="00011769"/>
    <w:rsid w:val="00012571"/>
    <w:rsid w:val="00012A72"/>
    <w:rsid w:val="00012B58"/>
    <w:rsid w:val="00013C27"/>
    <w:rsid w:val="00013CE5"/>
    <w:rsid w:val="00013CE7"/>
    <w:rsid w:val="000150B8"/>
    <w:rsid w:val="00020F6D"/>
    <w:rsid w:val="00021DD6"/>
    <w:rsid w:val="00021EF4"/>
    <w:rsid w:val="000222E6"/>
    <w:rsid w:val="000223D5"/>
    <w:rsid w:val="00022780"/>
    <w:rsid w:val="00022F04"/>
    <w:rsid w:val="00023CC9"/>
    <w:rsid w:val="0002447E"/>
    <w:rsid w:val="0002539F"/>
    <w:rsid w:val="00027CE2"/>
    <w:rsid w:val="000305DF"/>
    <w:rsid w:val="000310E9"/>
    <w:rsid w:val="00035A18"/>
    <w:rsid w:val="000362DD"/>
    <w:rsid w:val="00037E53"/>
    <w:rsid w:val="00037F6D"/>
    <w:rsid w:val="00040386"/>
    <w:rsid w:val="00040768"/>
    <w:rsid w:val="0004082C"/>
    <w:rsid w:val="000416AA"/>
    <w:rsid w:val="00041B44"/>
    <w:rsid w:val="00042BEF"/>
    <w:rsid w:val="00043047"/>
    <w:rsid w:val="000432E8"/>
    <w:rsid w:val="00043AF0"/>
    <w:rsid w:val="00044CAE"/>
    <w:rsid w:val="00046855"/>
    <w:rsid w:val="00047177"/>
    <w:rsid w:val="00050692"/>
    <w:rsid w:val="00050B1A"/>
    <w:rsid w:val="00051273"/>
    <w:rsid w:val="000522C4"/>
    <w:rsid w:val="00053109"/>
    <w:rsid w:val="000536F1"/>
    <w:rsid w:val="00053B4B"/>
    <w:rsid w:val="00053E91"/>
    <w:rsid w:val="000571A1"/>
    <w:rsid w:val="00060569"/>
    <w:rsid w:val="0006160A"/>
    <w:rsid w:val="000617C7"/>
    <w:rsid w:val="00061832"/>
    <w:rsid w:val="00062436"/>
    <w:rsid w:val="00063867"/>
    <w:rsid w:val="0006450F"/>
    <w:rsid w:val="00064606"/>
    <w:rsid w:val="000649C4"/>
    <w:rsid w:val="00064F83"/>
    <w:rsid w:val="00065B1F"/>
    <w:rsid w:val="00065D33"/>
    <w:rsid w:val="00072069"/>
    <w:rsid w:val="000723A8"/>
    <w:rsid w:val="0007367F"/>
    <w:rsid w:val="000739A1"/>
    <w:rsid w:val="00073BB6"/>
    <w:rsid w:val="00073C71"/>
    <w:rsid w:val="00075301"/>
    <w:rsid w:val="000761FE"/>
    <w:rsid w:val="00077336"/>
    <w:rsid w:val="00082C6B"/>
    <w:rsid w:val="0008349C"/>
    <w:rsid w:val="00084484"/>
    <w:rsid w:val="000851CD"/>
    <w:rsid w:val="000903EA"/>
    <w:rsid w:val="00091A6B"/>
    <w:rsid w:val="00093916"/>
    <w:rsid w:val="00093B43"/>
    <w:rsid w:val="00093B80"/>
    <w:rsid w:val="00097657"/>
    <w:rsid w:val="000A07F1"/>
    <w:rsid w:val="000A1F73"/>
    <w:rsid w:val="000A2074"/>
    <w:rsid w:val="000A22A7"/>
    <w:rsid w:val="000A2372"/>
    <w:rsid w:val="000A51E5"/>
    <w:rsid w:val="000A527D"/>
    <w:rsid w:val="000A6BD0"/>
    <w:rsid w:val="000B1B42"/>
    <w:rsid w:val="000B28B2"/>
    <w:rsid w:val="000B71D2"/>
    <w:rsid w:val="000C06A1"/>
    <w:rsid w:val="000C0D56"/>
    <w:rsid w:val="000C0F3E"/>
    <w:rsid w:val="000C1F24"/>
    <w:rsid w:val="000C2760"/>
    <w:rsid w:val="000C4982"/>
    <w:rsid w:val="000C56B1"/>
    <w:rsid w:val="000C59BF"/>
    <w:rsid w:val="000D0299"/>
    <w:rsid w:val="000D0824"/>
    <w:rsid w:val="000D1DE4"/>
    <w:rsid w:val="000D211E"/>
    <w:rsid w:val="000D37AE"/>
    <w:rsid w:val="000D4C1E"/>
    <w:rsid w:val="000D4D44"/>
    <w:rsid w:val="000D4EE3"/>
    <w:rsid w:val="000D5510"/>
    <w:rsid w:val="000D5B1D"/>
    <w:rsid w:val="000D6D28"/>
    <w:rsid w:val="000D76A2"/>
    <w:rsid w:val="000D7774"/>
    <w:rsid w:val="000E0340"/>
    <w:rsid w:val="000E094B"/>
    <w:rsid w:val="000E2F35"/>
    <w:rsid w:val="000E352D"/>
    <w:rsid w:val="000E3E5F"/>
    <w:rsid w:val="000E5B32"/>
    <w:rsid w:val="000E6633"/>
    <w:rsid w:val="000E67ED"/>
    <w:rsid w:val="000F0386"/>
    <w:rsid w:val="000F0686"/>
    <w:rsid w:val="000F0E13"/>
    <w:rsid w:val="000F1681"/>
    <w:rsid w:val="000F1FC5"/>
    <w:rsid w:val="000F2374"/>
    <w:rsid w:val="000F27F2"/>
    <w:rsid w:val="000F2996"/>
    <w:rsid w:val="000F4A65"/>
    <w:rsid w:val="000F4FE0"/>
    <w:rsid w:val="000F668C"/>
    <w:rsid w:val="000F7A37"/>
    <w:rsid w:val="00100675"/>
    <w:rsid w:val="001010B7"/>
    <w:rsid w:val="00101BD1"/>
    <w:rsid w:val="00101CC7"/>
    <w:rsid w:val="0010221C"/>
    <w:rsid w:val="00103B24"/>
    <w:rsid w:val="001059B9"/>
    <w:rsid w:val="00110070"/>
    <w:rsid w:val="00110939"/>
    <w:rsid w:val="00112295"/>
    <w:rsid w:val="001137E0"/>
    <w:rsid w:val="00113819"/>
    <w:rsid w:val="00113AA1"/>
    <w:rsid w:val="0011566F"/>
    <w:rsid w:val="001166E7"/>
    <w:rsid w:val="001169A5"/>
    <w:rsid w:val="00121969"/>
    <w:rsid w:val="00122C75"/>
    <w:rsid w:val="001258F4"/>
    <w:rsid w:val="001267CF"/>
    <w:rsid w:val="00130F8D"/>
    <w:rsid w:val="00131F36"/>
    <w:rsid w:val="001320AE"/>
    <w:rsid w:val="001321D4"/>
    <w:rsid w:val="00132230"/>
    <w:rsid w:val="0013359B"/>
    <w:rsid w:val="001336BD"/>
    <w:rsid w:val="00134BA1"/>
    <w:rsid w:val="0013511C"/>
    <w:rsid w:val="00135E08"/>
    <w:rsid w:val="00140707"/>
    <w:rsid w:val="001426AC"/>
    <w:rsid w:val="00142D55"/>
    <w:rsid w:val="001435FE"/>
    <w:rsid w:val="00145AC0"/>
    <w:rsid w:val="001515FD"/>
    <w:rsid w:val="001528C6"/>
    <w:rsid w:val="00154459"/>
    <w:rsid w:val="00154635"/>
    <w:rsid w:val="0015503B"/>
    <w:rsid w:val="00160005"/>
    <w:rsid w:val="00160AB9"/>
    <w:rsid w:val="001613F1"/>
    <w:rsid w:val="00162960"/>
    <w:rsid w:val="0016643A"/>
    <w:rsid w:val="00171D64"/>
    <w:rsid w:val="00171F95"/>
    <w:rsid w:val="00172B36"/>
    <w:rsid w:val="00172BB1"/>
    <w:rsid w:val="00172D89"/>
    <w:rsid w:val="00173F17"/>
    <w:rsid w:val="0017504B"/>
    <w:rsid w:val="00175214"/>
    <w:rsid w:val="00176ED3"/>
    <w:rsid w:val="00177709"/>
    <w:rsid w:val="001808EB"/>
    <w:rsid w:val="00180EB7"/>
    <w:rsid w:val="00183306"/>
    <w:rsid w:val="0018560A"/>
    <w:rsid w:val="00186230"/>
    <w:rsid w:val="001870F6"/>
    <w:rsid w:val="00187BD4"/>
    <w:rsid w:val="0019260F"/>
    <w:rsid w:val="0019493B"/>
    <w:rsid w:val="001949AD"/>
    <w:rsid w:val="00195285"/>
    <w:rsid w:val="0019701F"/>
    <w:rsid w:val="001A063A"/>
    <w:rsid w:val="001A0A83"/>
    <w:rsid w:val="001A1A45"/>
    <w:rsid w:val="001A22D0"/>
    <w:rsid w:val="001A3C1C"/>
    <w:rsid w:val="001A41FA"/>
    <w:rsid w:val="001A45DD"/>
    <w:rsid w:val="001A4823"/>
    <w:rsid w:val="001A4A4B"/>
    <w:rsid w:val="001A54DB"/>
    <w:rsid w:val="001A61ED"/>
    <w:rsid w:val="001A6310"/>
    <w:rsid w:val="001A6C95"/>
    <w:rsid w:val="001B3639"/>
    <w:rsid w:val="001B3B3F"/>
    <w:rsid w:val="001B53C8"/>
    <w:rsid w:val="001B72A5"/>
    <w:rsid w:val="001B7E9E"/>
    <w:rsid w:val="001C2AC7"/>
    <w:rsid w:val="001C2C66"/>
    <w:rsid w:val="001C3E26"/>
    <w:rsid w:val="001C3E8D"/>
    <w:rsid w:val="001C4D9E"/>
    <w:rsid w:val="001C670D"/>
    <w:rsid w:val="001C6B01"/>
    <w:rsid w:val="001C7F08"/>
    <w:rsid w:val="001D0884"/>
    <w:rsid w:val="001D0A9D"/>
    <w:rsid w:val="001D285E"/>
    <w:rsid w:val="001D3B8B"/>
    <w:rsid w:val="001D4A0E"/>
    <w:rsid w:val="001D6889"/>
    <w:rsid w:val="001D6BB7"/>
    <w:rsid w:val="001D7383"/>
    <w:rsid w:val="001E097A"/>
    <w:rsid w:val="001E51AF"/>
    <w:rsid w:val="001E5DD2"/>
    <w:rsid w:val="001E730C"/>
    <w:rsid w:val="001F120A"/>
    <w:rsid w:val="001F14F0"/>
    <w:rsid w:val="001F26F9"/>
    <w:rsid w:val="001F299E"/>
    <w:rsid w:val="001F3B33"/>
    <w:rsid w:val="001F3E63"/>
    <w:rsid w:val="001F45CE"/>
    <w:rsid w:val="001F7748"/>
    <w:rsid w:val="002008AC"/>
    <w:rsid w:val="00201F8A"/>
    <w:rsid w:val="00202549"/>
    <w:rsid w:val="00202D46"/>
    <w:rsid w:val="00203C6F"/>
    <w:rsid w:val="00203FC7"/>
    <w:rsid w:val="00205525"/>
    <w:rsid w:val="002055FC"/>
    <w:rsid w:val="00205CEC"/>
    <w:rsid w:val="00206D98"/>
    <w:rsid w:val="00210197"/>
    <w:rsid w:val="00210A07"/>
    <w:rsid w:val="00211556"/>
    <w:rsid w:val="002116F8"/>
    <w:rsid w:val="0021318A"/>
    <w:rsid w:val="0021384B"/>
    <w:rsid w:val="002151DC"/>
    <w:rsid w:val="00215E3C"/>
    <w:rsid w:val="00221F62"/>
    <w:rsid w:val="00223090"/>
    <w:rsid w:val="002237AC"/>
    <w:rsid w:val="00223D47"/>
    <w:rsid w:val="00223F7D"/>
    <w:rsid w:val="0022410A"/>
    <w:rsid w:val="00224230"/>
    <w:rsid w:val="00225CAC"/>
    <w:rsid w:val="00226AFD"/>
    <w:rsid w:val="00231421"/>
    <w:rsid w:val="00233196"/>
    <w:rsid w:val="00233C79"/>
    <w:rsid w:val="00236F35"/>
    <w:rsid w:val="00245424"/>
    <w:rsid w:val="00245772"/>
    <w:rsid w:val="0024596A"/>
    <w:rsid w:val="00245ECA"/>
    <w:rsid w:val="00250159"/>
    <w:rsid w:val="002502A8"/>
    <w:rsid w:val="002503C1"/>
    <w:rsid w:val="002519FB"/>
    <w:rsid w:val="00251E3E"/>
    <w:rsid w:val="00254184"/>
    <w:rsid w:val="002565D4"/>
    <w:rsid w:val="0026072A"/>
    <w:rsid w:val="002620B3"/>
    <w:rsid w:val="002624B0"/>
    <w:rsid w:val="002624DE"/>
    <w:rsid w:val="00263BBF"/>
    <w:rsid w:val="00264617"/>
    <w:rsid w:val="00264AEF"/>
    <w:rsid w:val="00265334"/>
    <w:rsid w:val="00265337"/>
    <w:rsid w:val="002670C7"/>
    <w:rsid w:val="00270B57"/>
    <w:rsid w:val="00270D5A"/>
    <w:rsid w:val="00270DDF"/>
    <w:rsid w:val="00272B76"/>
    <w:rsid w:val="00272D65"/>
    <w:rsid w:val="00273569"/>
    <w:rsid w:val="00274D75"/>
    <w:rsid w:val="00276C5B"/>
    <w:rsid w:val="00280B51"/>
    <w:rsid w:val="00282EE8"/>
    <w:rsid w:val="00283144"/>
    <w:rsid w:val="00283992"/>
    <w:rsid w:val="00286462"/>
    <w:rsid w:val="002869DC"/>
    <w:rsid w:val="00290968"/>
    <w:rsid w:val="00290FA9"/>
    <w:rsid w:val="00291491"/>
    <w:rsid w:val="00292A12"/>
    <w:rsid w:val="00293473"/>
    <w:rsid w:val="00297344"/>
    <w:rsid w:val="002A03FB"/>
    <w:rsid w:val="002A18E4"/>
    <w:rsid w:val="002A4479"/>
    <w:rsid w:val="002A4D1D"/>
    <w:rsid w:val="002A4F24"/>
    <w:rsid w:val="002A519C"/>
    <w:rsid w:val="002A535F"/>
    <w:rsid w:val="002A53C0"/>
    <w:rsid w:val="002A617C"/>
    <w:rsid w:val="002A6325"/>
    <w:rsid w:val="002A684D"/>
    <w:rsid w:val="002A7A71"/>
    <w:rsid w:val="002B1B53"/>
    <w:rsid w:val="002B3780"/>
    <w:rsid w:val="002B4A0B"/>
    <w:rsid w:val="002B583E"/>
    <w:rsid w:val="002B61DC"/>
    <w:rsid w:val="002B63A1"/>
    <w:rsid w:val="002B63BC"/>
    <w:rsid w:val="002B69B5"/>
    <w:rsid w:val="002B6BC2"/>
    <w:rsid w:val="002B6C4B"/>
    <w:rsid w:val="002C2EF6"/>
    <w:rsid w:val="002C3804"/>
    <w:rsid w:val="002C5C2F"/>
    <w:rsid w:val="002C662B"/>
    <w:rsid w:val="002C669C"/>
    <w:rsid w:val="002C7C75"/>
    <w:rsid w:val="002D1134"/>
    <w:rsid w:val="002D20F2"/>
    <w:rsid w:val="002D2F69"/>
    <w:rsid w:val="002D3BF3"/>
    <w:rsid w:val="002D50C7"/>
    <w:rsid w:val="002D5250"/>
    <w:rsid w:val="002D5540"/>
    <w:rsid w:val="002D7024"/>
    <w:rsid w:val="002D7305"/>
    <w:rsid w:val="002D762D"/>
    <w:rsid w:val="002D7929"/>
    <w:rsid w:val="002E13DA"/>
    <w:rsid w:val="002E1D13"/>
    <w:rsid w:val="002E2C93"/>
    <w:rsid w:val="002E3051"/>
    <w:rsid w:val="002E5A1F"/>
    <w:rsid w:val="002E5E22"/>
    <w:rsid w:val="002E656D"/>
    <w:rsid w:val="002E7B1D"/>
    <w:rsid w:val="002E7FC0"/>
    <w:rsid w:val="002F21B1"/>
    <w:rsid w:val="002F2C7A"/>
    <w:rsid w:val="002F2F4C"/>
    <w:rsid w:val="002F47C4"/>
    <w:rsid w:val="002F56B3"/>
    <w:rsid w:val="002F58F8"/>
    <w:rsid w:val="002F7997"/>
    <w:rsid w:val="00300B38"/>
    <w:rsid w:val="00300B3A"/>
    <w:rsid w:val="00300EE8"/>
    <w:rsid w:val="00301970"/>
    <w:rsid w:val="00302D08"/>
    <w:rsid w:val="00302D1B"/>
    <w:rsid w:val="00303DB8"/>
    <w:rsid w:val="00303F0F"/>
    <w:rsid w:val="00306A43"/>
    <w:rsid w:val="00307140"/>
    <w:rsid w:val="003078E2"/>
    <w:rsid w:val="003115E2"/>
    <w:rsid w:val="003139D4"/>
    <w:rsid w:val="003142A1"/>
    <w:rsid w:val="00314DCB"/>
    <w:rsid w:val="00316C4B"/>
    <w:rsid w:val="003178E7"/>
    <w:rsid w:val="00317960"/>
    <w:rsid w:val="00317A87"/>
    <w:rsid w:val="00321274"/>
    <w:rsid w:val="00323CD1"/>
    <w:rsid w:val="00324802"/>
    <w:rsid w:val="00324A8B"/>
    <w:rsid w:val="003256F0"/>
    <w:rsid w:val="00325800"/>
    <w:rsid w:val="0033066E"/>
    <w:rsid w:val="003308D4"/>
    <w:rsid w:val="003330DC"/>
    <w:rsid w:val="00335F6C"/>
    <w:rsid w:val="00336D77"/>
    <w:rsid w:val="0034001C"/>
    <w:rsid w:val="00340A01"/>
    <w:rsid w:val="003434FA"/>
    <w:rsid w:val="003442B1"/>
    <w:rsid w:val="003443F9"/>
    <w:rsid w:val="00344F86"/>
    <w:rsid w:val="00345602"/>
    <w:rsid w:val="00347BF7"/>
    <w:rsid w:val="003504E0"/>
    <w:rsid w:val="0035052D"/>
    <w:rsid w:val="003506CD"/>
    <w:rsid w:val="00350E4A"/>
    <w:rsid w:val="0035254E"/>
    <w:rsid w:val="00353CAF"/>
    <w:rsid w:val="00356339"/>
    <w:rsid w:val="003569C2"/>
    <w:rsid w:val="00356EE5"/>
    <w:rsid w:val="003575CB"/>
    <w:rsid w:val="003604B6"/>
    <w:rsid w:val="00361253"/>
    <w:rsid w:val="003623B5"/>
    <w:rsid w:val="00362556"/>
    <w:rsid w:val="00363081"/>
    <w:rsid w:val="00363463"/>
    <w:rsid w:val="0036521F"/>
    <w:rsid w:val="00366C49"/>
    <w:rsid w:val="0037053A"/>
    <w:rsid w:val="0037292E"/>
    <w:rsid w:val="00373443"/>
    <w:rsid w:val="00376D7D"/>
    <w:rsid w:val="00377072"/>
    <w:rsid w:val="00380F66"/>
    <w:rsid w:val="003842E5"/>
    <w:rsid w:val="00384C1C"/>
    <w:rsid w:val="00385238"/>
    <w:rsid w:val="00386372"/>
    <w:rsid w:val="00387935"/>
    <w:rsid w:val="00387C78"/>
    <w:rsid w:val="00393BC1"/>
    <w:rsid w:val="00395EBD"/>
    <w:rsid w:val="00395F01"/>
    <w:rsid w:val="003977DD"/>
    <w:rsid w:val="003A071A"/>
    <w:rsid w:val="003A17F3"/>
    <w:rsid w:val="003A2A00"/>
    <w:rsid w:val="003A2B75"/>
    <w:rsid w:val="003A3A8D"/>
    <w:rsid w:val="003A6D35"/>
    <w:rsid w:val="003A7603"/>
    <w:rsid w:val="003B2A49"/>
    <w:rsid w:val="003B2F38"/>
    <w:rsid w:val="003B360F"/>
    <w:rsid w:val="003B5A85"/>
    <w:rsid w:val="003B62FC"/>
    <w:rsid w:val="003B6D5F"/>
    <w:rsid w:val="003C140D"/>
    <w:rsid w:val="003C3925"/>
    <w:rsid w:val="003C3AA0"/>
    <w:rsid w:val="003C3D3E"/>
    <w:rsid w:val="003C50F4"/>
    <w:rsid w:val="003C527D"/>
    <w:rsid w:val="003C55EA"/>
    <w:rsid w:val="003C74BA"/>
    <w:rsid w:val="003C7F28"/>
    <w:rsid w:val="003C7F9A"/>
    <w:rsid w:val="003D0966"/>
    <w:rsid w:val="003D1456"/>
    <w:rsid w:val="003D15DF"/>
    <w:rsid w:val="003D1A4C"/>
    <w:rsid w:val="003D3588"/>
    <w:rsid w:val="003D734F"/>
    <w:rsid w:val="003E1A74"/>
    <w:rsid w:val="003E1E7E"/>
    <w:rsid w:val="003E1F9C"/>
    <w:rsid w:val="003E2BBD"/>
    <w:rsid w:val="003E4CE7"/>
    <w:rsid w:val="003E5D51"/>
    <w:rsid w:val="003E7E3F"/>
    <w:rsid w:val="003F3EA2"/>
    <w:rsid w:val="0040527F"/>
    <w:rsid w:val="0041067B"/>
    <w:rsid w:val="00411F8F"/>
    <w:rsid w:val="0041220B"/>
    <w:rsid w:val="0041340A"/>
    <w:rsid w:val="00414975"/>
    <w:rsid w:val="00416561"/>
    <w:rsid w:val="004174CC"/>
    <w:rsid w:val="00420669"/>
    <w:rsid w:val="00420A73"/>
    <w:rsid w:val="00420B5C"/>
    <w:rsid w:val="004217DC"/>
    <w:rsid w:val="00422E98"/>
    <w:rsid w:val="00423249"/>
    <w:rsid w:val="00423B80"/>
    <w:rsid w:val="00425D6D"/>
    <w:rsid w:val="00426652"/>
    <w:rsid w:val="00427A1B"/>
    <w:rsid w:val="0043074B"/>
    <w:rsid w:val="00432D16"/>
    <w:rsid w:val="00432D41"/>
    <w:rsid w:val="004334E1"/>
    <w:rsid w:val="00433B98"/>
    <w:rsid w:val="00434255"/>
    <w:rsid w:val="004357C0"/>
    <w:rsid w:val="0043740F"/>
    <w:rsid w:val="00437981"/>
    <w:rsid w:val="00437A13"/>
    <w:rsid w:val="00437A81"/>
    <w:rsid w:val="00440E15"/>
    <w:rsid w:val="00445671"/>
    <w:rsid w:val="00445721"/>
    <w:rsid w:val="00445EEA"/>
    <w:rsid w:val="0044695D"/>
    <w:rsid w:val="00446DB3"/>
    <w:rsid w:val="004506F5"/>
    <w:rsid w:val="004515DF"/>
    <w:rsid w:val="00452F05"/>
    <w:rsid w:val="00456907"/>
    <w:rsid w:val="004574AE"/>
    <w:rsid w:val="00457818"/>
    <w:rsid w:val="004606BB"/>
    <w:rsid w:val="004625CE"/>
    <w:rsid w:val="00463750"/>
    <w:rsid w:val="00464186"/>
    <w:rsid w:val="004644CE"/>
    <w:rsid w:val="00464666"/>
    <w:rsid w:val="00464F7C"/>
    <w:rsid w:val="0046615F"/>
    <w:rsid w:val="00467F71"/>
    <w:rsid w:val="0047018E"/>
    <w:rsid w:val="00470D15"/>
    <w:rsid w:val="00471B6B"/>
    <w:rsid w:val="004720B4"/>
    <w:rsid w:val="0047243D"/>
    <w:rsid w:val="00474D59"/>
    <w:rsid w:val="0047517B"/>
    <w:rsid w:val="00475241"/>
    <w:rsid w:val="00480265"/>
    <w:rsid w:val="0048182D"/>
    <w:rsid w:val="00481C2B"/>
    <w:rsid w:val="004829EA"/>
    <w:rsid w:val="00482EC6"/>
    <w:rsid w:val="00483A97"/>
    <w:rsid w:val="00483B9C"/>
    <w:rsid w:val="0048484D"/>
    <w:rsid w:val="004859FC"/>
    <w:rsid w:val="004878E7"/>
    <w:rsid w:val="00487C00"/>
    <w:rsid w:val="00492AC3"/>
    <w:rsid w:val="004933B9"/>
    <w:rsid w:val="00493640"/>
    <w:rsid w:val="00493749"/>
    <w:rsid w:val="004949ED"/>
    <w:rsid w:val="0049606F"/>
    <w:rsid w:val="00496578"/>
    <w:rsid w:val="004966B3"/>
    <w:rsid w:val="00496D45"/>
    <w:rsid w:val="00497C88"/>
    <w:rsid w:val="004A0658"/>
    <w:rsid w:val="004A0CFD"/>
    <w:rsid w:val="004A1A96"/>
    <w:rsid w:val="004A1BDA"/>
    <w:rsid w:val="004A1E80"/>
    <w:rsid w:val="004A2A29"/>
    <w:rsid w:val="004A3EF4"/>
    <w:rsid w:val="004A511C"/>
    <w:rsid w:val="004B0236"/>
    <w:rsid w:val="004B4197"/>
    <w:rsid w:val="004B43DB"/>
    <w:rsid w:val="004B4C58"/>
    <w:rsid w:val="004B6504"/>
    <w:rsid w:val="004C2D9B"/>
    <w:rsid w:val="004C3134"/>
    <w:rsid w:val="004C3648"/>
    <w:rsid w:val="004C3FF4"/>
    <w:rsid w:val="004C4849"/>
    <w:rsid w:val="004C5C33"/>
    <w:rsid w:val="004C6058"/>
    <w:rsid w:val="004C61AF"/>
    <w:rsid w:val="004C6292"/>
    <w:rsid w:val="004C65A8"/>
    <w:rsid w:val="004C71E3"/>
    <w:rsid w:val="004C777F"/>
    <w:rsid w:val="004D1431"/>
    <w:rsid w:val="004D2F87"/>
    <w:rsid w:val="004D3913"/>
    <w:rsid w:val="004D3B0A"/>
    <w:rsid w:val="004D5753"/>
    <w:rsid w:val="004D5D66"/>
    <w:rsid w:val="004D7014"/>
    <w:rsid w:val="004D7DAA"/>
    <w:rsid w:val="004E088E"/>
    <w:rsid w:val="004E1798"/>
    <w:rsid w:val="004E1E3F"/>
    <w:rsid w:val="004E22ED"/>
    <w:rsid w:val="004E2313"/>
    <w:rsid w:val="004E2542"/>
    <w:rsid w:val="004E3320"/>
    <w:rsid w:val="004E3615"/>
    <w:rsid w:val="004E37A9"/>
    <w:rsid w:val="004E4E52"/>
    <w:rsid w:val="004E5962"/>
    <w:rsid w:val="004E6492"/>
    <w:rsid w:val="004F1127"/>
    <w:rsid w:val="004F1CB4"/>
    <w:rsid w:val="004F74EE"/>
    <w:rsid w:val="005002E5"/>
    <w:rsid w:val="005010D8"/>
    <w:rsid w:val="00502427"/>
    <w:rsid w:val="005034EB"/>
    <w:rsid w:val="00504306"/>
    <w:rsid w:val="005060CD"/>
    <w:rsid w:val="00506BAF"/>
    <w:rsid w:val="005100CF"/>
    <w:rsid w:val="005147EE"/>
    <w:rsid w:val="00514B6B"/>
    <w:rsid w:val="00515158"/>
    <w:rsid w:val="005169C7"/>
    <w:rsid w:val="00517B12"/>
    <w:rsid w:val="00520830"/>
    <w:rsid w:val="0052089E"/>
    <w:rsid w:val="005222C9"/>
    <w:rsid w:val="00522DF8"/>
    <w:rsid w:val="00523085"/>
    <w:rsid w:val="005245A7"/>
    <w:rsid w:val="00525C16"/>
    <w:rsid w:val="00525D68"/>
    <w:rsid w:val="005264DD"/>
    <w:rsid w:val="005265FE"/>
    <w:rsid w:val="00526830"/>
    <w:rsid w:val="00526D48"/>
    <w:rsid w:val="00526E5D"/>
    <w:rsid w:val="005303CA"/>
    <w:rsid w:val="0053335C"/>
    <w:rsid w:val="005353E9"/>
    <w:rsid w:val="00535F0C"/>
    <w:rsid w:val="0053619F"/>
    <w:rsid w:val="0053737D"/>
    <w:rsid w:val="00537D6E"/>
    <w:rsid w:val="0054202D"/>
    <w:rsid w:val="00543011"/>
    <w:rsid w:val="00543DE7"/>
    <w:rsid w:val="00544486"/>
    <w:rsid w:val="00544675"/>
    <w:rsid w:val="00544A60"/>
    <w:rsid w:val="00545826"/>
    <w:rsid w:val="005461EA"/>
    <w:rsid w:val="005473FF"/>
    <w:rsid w:val="0054740B"/>
    <w:rsid w:val="00547A51"/>
    <w:rsid w:val="00547EF0"/>
    <w:rsid w:val="00551643"/>
    <w:rsid w:val="00551B6F"/>
    <w:rsid w:val="0055259A"/>
    <w:rsid w:val="00552AD2"/>
    <w:rsid w:val="00553281"/>
    <w:rsid w:val="005532EF"/>
    <w:rsid w:val="00554485"/>
    <w:rsid w:val="00557A5D"/>
    <w:rsid w:val="00562637"/>
    <w:rsid w:val="00562686"/>
    <w:rsid w:val="0056316B"/>
    <w:rsid w:val="00564B6B"/>
    <w:rsid w:val="00564F7A"/>
    <w:rsid w:val="00571EE2"/>
    <w:rsid w:val="00573438"/>
    <w:rsid w:val="00575BA2"/>
    <w:rsid w:val="00577777"/>
    <w:rsid w:val="00577DC3"/>
    <w:rsid w:val="00580F26"/>
    <w:rsid w:val="00581687"/>
    <w:rsid w:val="00584CB4"/>
    <w:rsid w:val="00585AA8"/>
    <w:rsid w:val="00585C8D"/>
    <w:rsid w:val="005879C6"/>
    <w:rsid w:val="005906CC"/>
    <w:rsid w:val="005908B9"/>
    <w:rsid w:val="005915E9"/>
    <w:rsid w:val="005915EF"/>
    <w:rsid w:val="00591702"/>
    <w:rsid w:val="005921E5"/>
    <w:rsid w:val="00592513"/>
    <w:rsid w:val="00592FEF"/>
    <w:rsid w:val="00593731"/>
    <w:rsid w:val="0059417B"/>
    <w:rsid w:val="005945D9"/>
    <w:rsid w:val="0059480D"/>
    <w:rsid w:val="00594B1E"/>
    <w:rsid w:val="005951B0"/>
    <w:rsid w:val="00596F52"/>
    <w:rsid w:val="00597103"/>
    <w:rsid w:val="00597EE6"/>
    <w:rsid w:val="005A01F1"/>
    <w:rsid w:val="005A0F18"/>
    <w:rsid w:val="005A13FB"/>
    <w:rsid w:val="005A1484"/>
    <w:rsid w:val="005A159D"/>
    <w:rsid w:val="005A24EA"/>
    <w:rsid w:val="005A2DB5"/>
    <w:rsid w:val="005A34D1"/>
    <w:rsid w:val="005A3BE7"/>
    <w:rsid w:val="005A4057"/>
    <w:rsid w:val="005A4906"/>
    <w:rsid w:val="005A58A9"/>
    <w:rsid w:val="005A5951"/>
    <w:rsid w:val="005A7A8B"/>
    <w:rsid w:val="005A7B15"/>
    <w:rsid w:val="005B18F3"/>
    <w:rsid w:val="005B21EE"/>
    <w:rsid w:val="005B32A0"/>
    <w:rsid w:val="005B3380"/>
    <w:rsid w:val="005B367B"/>
    <w:rsid w:val="005B3700"/>
    <w:rsid w:val="005B380B"/>
    <w:rsid w:val="005B4E70"/>
    <w:rsid w:val="005B5A4D"/>
    <w:rsid w:val="005B6739"/>
    <w:rsid w:val="005B6D45"/>
    <w:rsid w:val="005B6E92"/>
    <w:rsid w:val="005B72F1"/>
    <w:rsid w:val="005B7733"/>
    <w:rsid w:val="005C16F0"/>
    <w:rsid w:val="005C2D7B"/>
    <w:rsid w:val="005C32BD"/>
    <w:rsid w:val="005C3EC7"/>
    <w:rsid w:val="005C4325"/>
    <w:rsid w:val="005C51AB"/>
    <w:rsid w:val="005D2D27"/>
    <w:rsid w:val="005D303F"/>
    <w:rsid w:val="005D6E88"/>
    <w:rsid w:val="005D7536"/>
    <w:rsid w:val="005E054B"/>
    <w:rsid w:val="005E721D"/>
    <w:rsid w:val="005F1192"/>
    <w:rsid w:val="005F2BA7"/>
    <w:rsid w:val="005F5B85"/>
    <w:rsid w:val="006002FE"/>
    <w:rsid w:val="00600D09"/>
    <w:rsid w:val="00603E95"/>
    <w:rsid w:val="00605E4E"/>
    <w:rsid w:val="00606145"/>
    <w:rsid w:val="0061043C"/>
    <w:rsid w:val="0061190F"/>
    <w:rsid w:val="006141EF"/>
    <w:rsid w:val="00615379"/>
    <w:rsid w:val="0061581D"/>
    <w:rsid w:val="00620621"/>
    <w:rsid w:val="00620924"/>
    <w:rsid w:val="00621A38"/>
    <w:rsid w:val="00621B38"/>
    <w:rsid w:val="00621E87"/>
    <w:rsid w:val="00623360"/>
    <w:rsid w:val="006235A5"/>
    <w:rsid w:val="00624190"/>
    <w:rsid w:val="00624765"/>
    <w:rsid w:val="00624880"/>
    <w:rsid w:val="00626A25"/>
    <w:rsid w:val="00626AE7"/>
    <w:rsid w:val="00626D38"/>
    <w:rsid w:val="00633953"/>
    <w:rsid w:val="00633A1B"/>
    <w:rsid w:val="006343E6"/>
    <w:rsid w:val="006347D4"/>
    <w:rsid w:val="006371E9"/>
    <w:rsid w:val="006372E3"/>
    <w:rsid w:val="0063782A"/>
    <w:rsid w:val="00637D5D"/>
    <w:rsid w:val="00640401"/>
    <w:rsid w:val="00641029"/>
    <w:rsid w:val="00641175"/>
    <w:rsid w:val="0064178B"/>
    <w:rsid w:val="00641DFE"/>
    <w:rsid w:val="0064236B"/>
    <w:rsid w:val="00642D3B"/>
    <w:rsid w:val="006432E3"/>
    <w:rsid w:val="00645F44"/>
    <w:rsid w:val="006477A1"/>
    <w:rsid w:val="0064796E"/>
    <w:rsid w:val="006479FE"/>
    <w:rsid w:val="0065101F"/>
    <w:rsid w:val="00651E90"/>
    <w:rsid w:val="00651F5F"/>
    <w:rsid w:val="0065306B"/>
    <w:rsid w:val="0065607C"/>
    <w:rsid w:val="0065742E"/>
    <w:rsid w:val="006603E3"/>
    <w:rsid w:val="006610F9"/>
    <w:rsid w:val="00661E60"/>
    <w:rsid w:val="00661EBB"/>
    <w:rsid w:val="00662494"/>
    <w:rsid w:val="00663CAC"/>
    <w:rsid w:val="006648BF"/>
    <w:rsid w:val="006721E3"/>
    <w:rsid w:val="00672DE6"/>
    <w:rsid w:val="00674CEB"/>
    <w:rsid w:val="0067659B"/>
    <w:rsid w:val="0067751E"/>
    <w:rsid w:val="006808D1"/>
    <w:rsid w:val="00680911"/>
    <w:rsid w:val="00681AC1"/>
    <w:rsid w:val="00682205"/>
    <w:rsid w:val="00682855"/>
    <w:rsid w:val="00684082"/>
    <w:rsid w:val="0068422E"/>
    <w:rsid w:val="00685310"/>
    <w:rsid w:val="00691B2A"/>
    <w:rsid w:val="006929AC"/>
    <w:rsid w:val="006943AC"/>
    <w:rsid w:val="006955EF"/>
    <w:rsid w:val="006A1407"/>
    <w:rsid w:val="006A16B9"/>
    <w:rsid w:val="006A4881"/>
    <w:rsid w:val="006A4DFD"/>
    <w:rsid w:val="006A611C"/>
    <w:rsid w:val="006A6E12"/>
    <w:rsid w:val="006A70DD"/>
    <w:rsid w:val="006B1848"/>
    <w:rsid w:val="006B3067"/>
    <w:rsid w:val="006B50CE"/>
    <w:rsid w:val="006B5599"/>
    <w:rsid w:val="006B6762"/>
    <w:rsid w:val="006C0828"/>
    <w:rsid w:val="006C1688"/>
    <w:rsid w:val="006C1DAA"/>
    <w:rsid w:val="006C2E68"/>
    <w:rsid w:val="006D06B4"/>
    <w:rsid w:val="006D09BA"/>
    <w:rsid w:val="006D2370"/>
    <w:rsid w:val="006D2D56"/>
    <w:rsid w:val="006D4640"/>
    <w:rsid w:val="006D497E"/>
    <w:rsid w:val="006D5907"/>
    <w:rsid w:val="006D63AF"/>
    <w:rsid w:val="006E0562"/>
    <w:rsid w:val="006E096D"/>
    <w:rsid w:val="006E19BD"/>
    <w:rsid w:val="006E1AE8"/>
    <w:rsid w:val="006E2368"/>
    <w:rsid w:val="006E2AA6"/>
    <w:rsid w:val="006E6FAC"/>
    <w:rsid w:val="006E78C5"/>
    <w:rsid w:val="006E7B18"/>
    <w:rsid w:val="006F0781"/>
    <w:rsid w:val="006F5CCF"/>
    <w:rsid w:val="006F6290"/>
    <w:rsid w:val="006F77B0"/>
    <w:rsid w:val="006F77E5"/>
    <w:rsid w:val="00700019"/>
    <w:rsid w:val="00701631"/>
    <w:rsid w:val="00702325"/>
    <w:rsid w:val="00702B68"/>
    <w:rsid w:val="00702EEA"/>
    <w:rsid w:val="00704F28"/>
    <w:rsid w:val="00705546"/>
    <w:rsid w:val="0070568B"/>
    <w:rsid w:val="007117F7"/>
    <w:rsid w:val="0071294A"/>
    <w:rsid w:val="00717DCB"/>
    <w:rsid w:val="00721913"/>
    <w:rsid w:val="0072222F"/>
    <w:rsid w:val="00722572"/>
    <w:rsid w:val="0072279F"/>
    <w:rsid w:val="00722B43"/>
    <w:rsid w:val="0072304F"/>
    <w:rsid w:val="00723727"/>
    <w:rsid w:val="00724769"/>
    <w:rsid w:val="00725313"/>
    <w:rsid w:val="00726AB3"/>
    <w:rsid w:val="007278D7"/>
    <w:rsid w:val="007317A3"/>
    <w:rsid w:val="00731B1B"/>
    <w:rsid w:val="00732171"/>
    <w:rsid w:val="0073452D"/>
    <w:rsid w:val="007349AC"/>
    <w:rsid w:val="00734F71"/>
    <w:rsid w:val="00735177"/>
    <w:rsid w:val="00737AE6"/>
    <w:rsid w:val="0074033F"/>
    <w:rsid w:val="00742390"/>
    <w:rsid w:val="00743624"/>
    <w:rsid w:val="00744909"/>
    <w:rsid w:val="0074645B"/>
    <w:rsid w:val="007465AC"/>
    <w:rsid w:val="0074669E"/>
    <w:rsid w:val="00751153"/>
    <w:rsid w:val="00751916"/>
    <w:rsid w:val="007519AE"/>
    <w:rsid w:val="00752B15"/>
    <w:rsid w:val="00753070"/>
    <w:rsid w:val="00753ABC"/>
    <w:rsid w:val="007541C7"/>
    <w:rsid w:val="00756287"/>
    <w:rsid w:val="007576A4"/>
    <w:rsid w:val="0075787B"/>
    <w:rsid w:val="00757BE6"/>
    <w:rsid w:val="00757F7D"/>
    <w:rsid w:val="007629CD"/>
    <w:rsid w:val="00763BCD"/>
    <w:rsid w:val="00764A8B"/>
    <w:rsid w:val="00764AEE"/>
    <w:rsid w:val="0076502E"/>
    <w:rsid w:val="007651BC"/>
    <w:rsid w:val="007666CE"/>
    <w:rsid w:val="00767026"/>
    <w:rsid w:val="00767DD3"/>
    <w:rsid w:val="00770BD5"/>
    <w:rsid w:val="00771FD0"/>
    <w:rsid w:val="00772273"/>
    <w:rsid w:val="00772DEB"/>
    <w:rsid w:val="00773EBC"/>
    <w:rsid w:val="00774087"/>
    <w:rsid w:val="00774AC5"/>
    <w:rsid w:val="00774B16"/>
    <w:rsid w:val="007750E5"/>
    <w:rsid w:val="00775DFC"/>
    <w:rsid w:val="00776CFE"/>
    <w:rsid w:val="00777EAD"/>
    <w:rsid w:val="00781745"/>
    <w:rsid w:val="007822AA"/>
    <w:rsid w:val="00782353"/>
    <w:rsid w:val="0078364F"/>
    <w:rsid w:val="0078499F"/>
    <w:rsid w:val="00784CFC"/>
    <w:rsid w:val="007851EF"/>
    <w:rsid w:val="00785CB4"/>
    <w:rsid w:val="0078678F"/>
    <w:rsid w:val="007867CE"/>
    <w:rsid w:val="00787551"/>
    <w:rsid w:val="007905F0"/>
    <w:rsid w:val="00790DFD"/>
    <w:rsid w:val="00793217"/>
    <w:rsid w:val="0079672D"/>
    <w:rsid w:val="00796918"/>
    <w:rsid w:val="0079725B"/>
    <w:rsid w:val="007A168D"/>
    <w:rsid w:val="007A1DB5"/>
    <w:rsid w:val="007A2390"/>
    <w:rsid w:val="007A2601"/>
    <w:rsid w:val="007A33CB"/>
    <w:rsid w:val="007A34F3"/>
    <w:rsid w:val="007A5CEF"/>
    <w:rsid w:val="007A660B"/>
    <w:rsid w:val="007B0AF9"/>
    <w:rsid w:val="007B108C"/>
    <w:rsid w:val="007B186C"/>
    <w:rsid w:val="007B3CA6"/>
    <w:rsid w:val="007B3E53"/>
    <w:rsid w:val="007B71AB"/>
    <w:rsid w:val="007C3215"/>
    <w:rsid w:val="007C324B"/>
    <w:rsid w:val="007C41CA"/>
    <w:rsid w:val="007C63B1"/>
    <w:rsid w:val="007C7D87"/>
    <w:rsid w:val="007D0E0E"/>
    <w:rsid w:val="007D1361"/>
    <w:rsid w:val="007D3409"/>
    <w:rsid w:val="007D3F20"/>
    <w:rsid w:val="007D42ED"/>
    <w:rsid w:val="007D456B"/>
    <w:rsid w:val="007D56BA"/>
    <w:rsid w:val="007E0698"/>
    <w:rsid w:val="007E1040"/>
    <w:rsid w:val="007E16EB"/>
    <w:rsid w:val="007E2172"/>
    <w:rsid w:val="007E3592"/>
    <w:rsid w:val="007E3881"/>
    <w:rsid w:val="007E48A1"/>
    <w:rsid w:val="007E50AF"/>
    <w:rsid w:val="007E5A4A"/>
    <w:rsid w:val="007E5C2A"/>
    <w:rsid w:val="007E5F6F"/>
    <w:rsid w:val="007E688F"/>
    <w:rsid w:val="007E70C4"/>
    <w:rsid w:val="007F1B73"/>
    <w:rsid w:val="007F2B29"/>
    <w:rsid w:val="007F40BC"/>
    <w:rsid w:val="007F6CD9"/>
    <w:rsid w:val="007F7F86"/>
    <w:rsid w:val="00800587"/>
    <w:rsid w:val="008022AF"/>
    <w:rsid w:val="008025EF"/>
    <w:rsid w:val="00802E2A"/>
    <w:rsid w:val="00803DB4"/>
    <w:rsid w:val="00803E04"/>
    <w:rsid w:val="00804C37"/>
    <w:rsid w:val="00806922"/>
    <w:rsid w:val="00806A41"/>
    <w:rsid w:val="0081229C"/>
    <w:rsid w:val="008139FA"/>
    <w:rsid w:val="00815A46"/>
    <w:rsid w:val="008170E5"/>
    <w:rsid w:val="00820171"/>
    <w:rsid w:val="00820E93"/>
    <w:rsid w:val="0082137F"/>
    <w:rsid w:val="00821E1F"/>
    <w:rsid w:val="00823FD9"/>
    <w:rsid w:val="0082432E"/>
    <w:rsid w:val="00824411"/>
    <w:rsid w:val="00824886"/>
    <w:rsid w:val="008248A0"/>
    <w:rsid w:val="00826A89"/>
    <w:rsid w:val="00826B31"/>
    <w:rsid w:val="00826CD3"/>
    <w:rsid w:val="00830BB8"/>
    <w:rsid w:val="00830E16"/>
    <w:rsid w:val="00831F37"/>
    <w:rsid w:val="00831F8B"/>
    <w:rsid w:val="008342BF"/>
    <w:rsid w:val="00835EEC"/>
    <w:rsid w:val="008362AC"/>
    <w:rsid w:val="00840C4E"/>
    <w:rsid w:val="0084298B"/>
    <w:rsid w:val="00842C98"/>
    <w:rsid w:val="00842DA5"/>
    <w:rsid w:val="008452D7"/>
    <w:rsid w:val="008470EE"/>
    <w:rsid w:val="008519B8"/>
    <w:rsid w:val="00856096"/>
    <w:rsid w:val="00856736"/>
    <w:rsid w:val="008573C2"/>
    <w:rsid w:val="0085795E"/>
    <w:rsid w:val="00860554"/>
    <w:rsid w:val="00862011"/>
    <w:rsid w:val="008630BD"/>
    <w:rsid w:val="00863708"/>
    <w:rsid w:val="00865A8C"/>
    <w:rsid w:val="00866C73"/>
    <w:rsid w:val="00867EF5"/>
    <w:rsid w:val="008744DF"/>
    <w:rsid w:val="00874678"/>
    <w:rsid w:val="008748B6"/>
    <w:rsid w:val="008759EF"/>
    <w:rsid w:val="00877CF6"/>
    <w:rsid w:val="00877D3E"/>
    <w:rsid w:val="00877F86"/>
    <w:rsid w:val="00880807"/>
    <w:rsid w:val="00881B9A"/>
    <w:rsid w:val="00881D27"/>
    <w:rsid w:val="008824F3"/>
    <w:rsid w:val="00882788"/>
    <w:rsid w:val="00885889"/>
    <w:rsid w:val="00885A50"/>
    <w:rsid w:val="00892233"/>
    <w:rsid w:val="0089253B"/>
    <w:rsid w:val="008932E3"/>
    <w:rsid w:val="0089357F"/>
    <w:rsid w:val="00894A11"/>
    <w:rsid w:val="00895223"/>
    <w:rsid w:val="00895D09"/>
    <w:rsid w:val="00895FE8"/>
    <w:rsid w:val="00896F0E"/>
    <w:rsid w:val="008A087E"/>
    <w:rsid w:val="008A175A"/>
    <w:rsid w:val="008A1A4B"/>
    <w:rsid w:val="008A1E62"/>
    <w:rsid w:val="008A22C6"/>
    <w:rsid w:val="008A2861"/>
    <w:rsid w:val="008A3F3E"/>
    <w:rsid w:val="008A478C"/>
    <w:rsid w:val="008A4896"/>
    <w:rsid w:val="008B1C61"/>
    <w:rsid w:val="008B2C18"/>
    <w:rsid w:val="008B49F5"/>
    <w:rsid w:val="008B7E64"/>
    <w:rsid w:val="008C12EF"/>
    <w:rsid w:val="008C18FD"/>
    <w:rsid w:val="008C221B"/>
    <w:rsid w:val="008C2511"/>
    <w:rsid w:val="008C2645"/>
    <w:rsid w:val="008C59EA"/>
    <w:rsid w:val="008C692A"/>
    <w:rsid w:val="008C7344"/>
    <w:rsid w:val="008C7F3C"/>
    <w:rsid w:val="008D11BB"/>
    <w:rsid w:val="008D6CF8"/>
    <w:rsid w:val="008E04A2"/>
    <w:rsid w:val="008E316F"/>
    <w:rsid w:val="008E3996"/>
    <w:rsid w:val="008E425A"/>
    <w:rsid w:val="008E49B0"/>
    <w:rsid w:val="008E75FF"/>
    <w:rsid w:val="008E762B"/>
    <w:rsid w:val="008F134C"/>
    <w:rsid w:val="008F17CA"/>
    <w:rsid w:val="008F69BB"/>
    <w:rsid w:val="0090020E"/>
    <w:rsid w:val="00900298"/>
    <w:rsid w:val="00901170"/>
    <w:rsid w:val="009016C2"/>
    <w:rsid w:val="0090454B"/>
    <w:rsid w:val="00905975"/>
    <w:rsid w:val="00905A30"/>
    <w:rsid w:val="00905E05"/>
    <w:rsid w:val="0090615B"/>
    <w:rsid w:val="00911ADC"/>
    <w:rsid w:val="00912660"/>
    <w:rsid w:val="00913253"/>
    <w:rsid w:val="0091333C"/>
    <w:rsid w:val="00913EC5"/>
    <w:rsid w:val="00914527"/>
    <w:rsid w:val="0092031D"/>
    <w:rsid w:val="00920BB7"/>
    <w:rsid w:val="009215F3"/>
    <w:rsid w:val="00923201"/>
    <w:rsid w:val="0092414C"/>
    <w:rsid w:val="00924696"/>
    <w:rsid w:val="009250DB"/>
    <w:rsid w:val="009252AB"/>
    <w:rsid w:val="009252C4"/>
    <w:rsid w:val="00925B62"/>
    <w:rsid w:val="00927FCA"/>
    <w:rsid w:val="0093022F"/>
    <w:rsid w:val="009302BE"/>
    <w:rsid w:val="0093033C"/>
    <w:rsid w:val="0093033D"/>
    <w:rsid w:val="009306F4"/>
    <w:rsid w:val="00931064"/>
    <w:rsid w:val="00931B20"/>
    <w:rsid w:val="00933C9C"/>
    <w:rsid w:val="00934069"/>
    <w:rsid w:val="009348BD"/>
    <w:rsid w:val="009366F3"/>
    <w:rsid w:val="00936C98"/>
    <w:rsid w:val="00937A87"/>
    <w:rsid w:val="00941C45"/>
    <w:rsid w:val="00942CC9"/>
    <w:rsid w:val="00942E9A"/>
    <w:rsid w:val="00942F93"/>
    <w:rsid w:val="0094568C"/>
    <w:rsid w:val="009462F0"/>
    <w:rsid w:val="00946497"/>
    <w:rsid w:val="00946DE5"/>
    <w:rsid w:val="00947462"/>
    <w:rsid w:val="00947714"/>
    <w:rsid w:val="00950070"/>
    <w:rsid w:val="00950301"/>
    <w:rsid w:val="00950C50"/>
    <w:rsid w:val="009530A4"/>
    <w:rsid w:val="00953859"/>
    <w:rsid w:val="009539CE"/>
    <w:rsid w:val="00953F6A"/>
    <w:rsid w:val="009540D0"/>
    <w:rsid w:val="00955EBC"/>
    <w:rsid w:val="00956507"/>
    <w:rsid w:val="00956C33"/>
    <w:rsid w:val="00961218"/>
    <w:rsid w:val="009615D8"/>
    <w:rsid w:val="00966070"/>
    <w:rsid w:val="0096765D"/>
    <w:rsid w:val="00970C37"/>
    <w:rsid w:val="00971554"/>
    <w:rsid w:val="00972650"/>
    <w:rsid w:val="0097272B"/>
    <w:rsid w:val="009739BA"/>
    <w:rsid w:val="009758D0"/>
    <w:rsid w:val="00976BBB"/>
    <w:rsid w:val="009777DF"/>
    <w:rsid w:val="009804E4"/>
    <w:rsid w:val="00981517"/>
    <w:rsid w:val="0098225A"/>
    <w:rsid w:val="00984843"/>
    <w:rsid w:val="009940DF"/>
    <w:rsid w:val="00994414"/>
    <w:rsid w:val="00995E33"/>
    <w:rsid w:val="00996559"/>
    <w:rsid w:val="00996728"/>
    <w:rsid w:val="009969A1"/>
    <w:rsid w:val="009A0143"/>
    <w:rsid w:val="009A1339"/>
    <w:rsid w:val="009A135D"/>
    <w:rsid w:val="009A2D7C"/>
    <w:rsid w:val="009A396F"/>
    <w:rsid w:val="009A3B78"/>
    <w:rsid w:val="009A4E8A"/>
    <w:rsid w:val="009A627F"/>
    <w:rsid w:val="009A62A5"/>
    <w:rsid w:val="009A6F05"/>
    <w:rsid w:val="009B119F"/>
    <w:rsid w:val="009B136A"/>
    <w:rsid w:val="009B20CE"/>
    <w:rsid w:val="009B40EF"/>
    <w:rsid w:val="009B44F6"/>
    <w:rsid w:val="009B5AD7"/>
    <w:rsid w:val="009B65CC"/>
    <w:rsid w:val="009B6626"/>
    <w:rsid w:val="009B6CA8"/>
    <w:rsid w:val="009C0F49"/>
    <w:rsid w:val="009C1183"/>
    <w:rsid w:val="009C16E4"/>
    <w:rsid w:val="009C2356"/>
    <w:rsid w:val="009C2614"/>
    <w:rsid w:val="009C2C5E"/>
    <w:rsid w:val="009C344E"/>
    <w:rsid w:val="009C39B4"/>
    <w:rsid w:val="009C5482"/>
    <w:rsid w:val="009C55A0"/>
    <w:rsid w:val="009D0564"/>
    <w:rsid w:val="009D2E59"/>
    <w:rsid w:val="009D476C"/>
    <w:rsid w:val="009D778F"/>
    <w:rsid w:val="009E0C6D"/>
    <w:rsid w:val="009E2000"/>
    <w:rsid w:val="009E4262"/>
    <w:rsid w:val="009E5F20"/>
    <w:rsid w:val="009E6DF8"/>
    <w:rsid w:val="009F103F"/>
    <w:rsid w:val="009F1100"/>
    <w:rsid w:val="009F27A2"/>
    <w:rsid w:val="009F45B1"/>
    <w:rsid w:val="009F46D9"/>
    <w:rsid w:val="009F615B"/>
    <w:rsid w:val="00A0061B"/>
    <w:rsid w:val="00A00B87"/>
    <w:rsid w:val="00A01B89"/>
    <w:rsid w:val="00A021D8"/>
    <w:rsid w:val="00A02868"/>
    <w:rsid w:val="00A041F3"/>
    <w:rsid w:val="00A04EED"/>
    <w:rsid w:val="00A05DFA"/>
    <w:rsid w:val="00A072B7"/>
    <w:rsid w:val="00A07361"/>
    <w:rsid w:val="00A07FEB"/>
    <w:rsid w:val="00A12409"/>
    <w:rsid w:val="00A13D64"/>
    <w:rsid w:val="00A13EB8"/>
    <w:rsid w:val="00A13F87"/>
    <w:rsid w:val="00A14A04"/>
    <w:rsid w:val="00A14C19"/>
    <w:rsid w:val="00A15763"/>
    <w:rsid w:val="00A1715C"/>
    <w:rsid w:val="00A2049C"/>
    <w:rsid w:val="00A216E3"/>
    <w:rsid w:val="00A22F46"/>
    <w:rsid w:val="00A24038"/>
    <w:rsid w:val="00A25A71"/>
    <w:rsid w:val="00A26DB4"/>
    <w:rsid w:val="00A270CE"/>
    <w:rsid w:val="00A271A0"/>
    <w:rsid w:val="00A27A5E"/>
    <w:rsid w:val="00A31187"/>
    <w:rsid w:val="00A315ED"/>
    <w:rsid w:val="00A36856"/>
    <w:rsid w:val="00A36D2B"/>
    <w:rsid w:val="00A37A22"/>
    <w:rsid w:val="00A40964"/>
    <w:rsid w:val="00A436BA"/>
    <w:rsid w:val="00A439C4"/>
    <w:rsid w:val="00A43D95"/>
    <w:rsid w:val="00A45967"/>
    <w:rsid w:val="00A46166"/>
    <w:rsid w:val="00A47DBF"/>
    <w:rsid w:val="00A500E0"/>
    <w:rsid w:val="00A50278"/>
    <w:rsid w:val="00A50D03"/>
    <w:rsid w:val="00A53A5B"/>
    <w:rsid w:val="00A5408A"/>
    <w:rsid w:val="00A549AF"/>
    <w:rsid w:val="00A54AAA"/>
    <w:rsid w:val="00A5795B"/>
    <w:rsid w:val="00A62BF6"/>
    <w:rsid w:val="00A66031"/>
    <w:rsid w:val="00A66F59"/>
    <w:rsid w:val="00A70051"/>
    <w:rsid w:val="00A7069B"/>
    <w:rsid w:val="00A70AE3"/>
    <w:rsid w:val="00A70FB3"/>
    <w:rsid w:val="00A71515"/>
    <w:rsid w:val="00A727C9"/>
    <w:rsid w:val="00A73D80"/>
    <w:rsid w:val="00A76909"/>
    <w:rsid w:val="00A76AA7"/>
    <w:rsid w:val="00A772FE"/>
    <w:rsid w:val="00A802EC"/>
    <w:rsid w:val="00A81E8E"/>
    <w:rsid w:val="00A8223F"/>
    <w:rsid w:val="00A82C1A"/>
    <w:rsid w:val="00A84228"/>
    <w:rsid w:val="00A8426B"/>
    <w:rsid w:val="00A848EB"/>
    <w:rsid w:val="00A84C5C"/>
    <w:rsid w:val="00A85394"/>
    <w:rsid w:val="00A85F46"/>
    <w:rsid w:val="00A86474"/>
    <w:rsid w:val="00A87970"/>
    <w:rsid w:val="00A87F53"/>
    <w:rsid w:val="00A90C76"/>
    <w:rsid w:val="00A91ACB"/>
    <w:rsid w:val="00A91FAF"/>
    <w:rsid w:val="00A92BB8"/>
    <w:rsid w:val="00A9405E"/>
    <w:rsid w:val="00A94778"/>
    <w:rsid w:val="00AA0421"/>
    <w:rsid w:val="00AA094E"/>
    <w:rsid w:val="00AA0C04"/>
    <w:rsid w:val="00AA319A"/>
    <w:rsid w:val="00AA4119"/>
    <w:rsid w:val="00AA50EE"/>
    <w:rsid w:val="00AA6077"/>
    <w:rsid w:val="00AA6A7F"/>
    <w:rsid w:val="00AA700A"/>
    <w:rsid w:val="00AB086B"/>
    <w:rsid w:val="00AB2C68"/>
    <w:rsid w:val="00AB4F11"/>
    <w:rsid w:val="00AC02FD"/>
    <w:rsid w:val="00AC21B7"/>
    <w:rsid w:val="00AC30C0"/>
    <w:rsid w:val="00AC3126"/>
    <w:rsid w:val="00AC5BF4"/>
    <w:rsid w:val="00AD05BD"/>
    <w:rsid w:val="00AD1C5E"/>
    <w:rsid w:val="00AD379C"/>
    <w:rsid w:val="00AD5624"/>
    <w:rsid w:val="00AD6466"/>
    <w:rsid w:val="00AD663F"/>
    <w:rsid w:val="00AD7942"/>
    <w:rsid w:val="00AE0998"/>
    <w:rsid w:val="00AE0A11"/>
    <w:rsid w:val="00AE183F"/>
    <w:rsid w:val="00AE190D"/>
    <w:rsid w:val="00AE1CE7"/>
    <w:rsid w:val="00AE3022"/>
    <w:rsid w:val="00AE541A"/>
    <w:rsid w:val="00AE54FC"/>
    <w:rsid w:val="00AE6A53"/>
    <w:rsid w:val="00AF014E"/>
    <w:rsid w:val="00AF2CDA"/>
    <w:rsid w:val="00AF3834"/>
    <w:rsid w:val="00AF62A1"/>
    <w:rsid w:val="00AF65FF"/>
    <w:rsid w:val="00AF7BEF"/>
    <w:rsid w:val="00AF7E8C"/>
    <w:rsid w:val="00B02C6E"/>
    <w:rsid w:val="00B036F3"/>
    <w:rsid w:val="00B04682"/>
    <w:rsid w:val="00B04C2E"/>
    <w:rsid w:val="00B055B8"/>
    <w:rsid w:val="00B0585D"/>
    <w:rsid w:val="00B0619D"/>
    <w:rsid w:val="00B0695F"/>
    <w:rsid w:val="00B07B8F"/>
    <w:rsid w:val="00B10056"/>
    <w:rsid w:val="00B10315"/>
    <w:rsid w:val="00B10ABA"/>
    <w:rsid w:val="00B10EE1"/>
    <w:rsid w:val="00B11A1E"/>
    <w:rsid w:val="00B1394D"/>
    <w:rsid w:val="00B14436"/>
    <w:rsid w:val="00B14DA9"/>
    <w:rsid w:val="00B15143"/>
    <w:rsid w:val="00B1516B"/>
    <w:rsid w:val="00B15FCF"/>
    <w:rsid w:val="00B200A0"/>
    <w:rsid w:val="00B20DD4"/>
    <w:rsid w:val="00B21601"/>
    <w:rsid w:val="00B2227A"/>
    <w:rsid w:val="00B24E0C"/>
    <w:rsid w:val="00B25C77"/>
    <w:rsid w:val="00B26652"/>
    <w:rsid w:val="00B26784"/>
    <w:rsid w:val="00B26F88"/>
    <w:rsid w:val="00B31D64"/>
    <w:rsid w:val="00B32C95"/>
    <w:rsid w:val="00B33884"/>
    <w:rsid w:val="00B361BC"/>
    <w:rsid w:val="00B366A1"/>
    <w:rsid w:val="00B36F22"/>
    <w:rsid w:val="00B370AB"/>
    <w:rsid w:val="00B37BDF"/>
    <w:rsid w:val="00B416B2"/>
    <w:rsid w:val="00B451A8"/>
    <w:rsid w:val="00B46272"/>
    <w:rsid w:val="00B47E08"/>
    <w:rsid w:val="00B5085E"/>
    <w:rsid w:val="00B51019"/>
    <w:rsid w:val="00B51EEF"/>
    <w:rsid w:val="00B53870"/>
    <w:rsid w:val="00B539BF"/>
    <w:rsid w:val="00B53B89"/>
    <w:rsid w:val="00B53C17"/>
    <w:rsid w:val="00B54BE9"/>
    <w:rsid w:val="00B55D32"/>
    <w:rsid w:val="00B55FB0"/>
    <w:rsid w:val="00B560D9"/>
    <w:rsid w:val="00B56D8A"/>
    <w:rsid w:val="00B57E48"/>
    <w:rsid w:val="00B61099"/>
    <w:rsid w:val="00B612BE"/>
    <w:rsid w:val="00B61979"/>
    <w:rsid w:val="00B63B9B"/>
    <w:rsid w:val="00B66221"/>
    <w:rsid w:val="00B70A0B"/>
    <w:rsid w:val="00B711E9"/>
    <w:rsid w:val="00B71718"/>
    <w:rsid w:val="00B724C0"/>
    <w:rsid w:val="00B75B2B"/>
    <w:rsid w:val="00B75DEA"/>
    <w:rsid w:val="00B825A5"/>
    <w:rsid w:val="00B835E4"/>
    <w:rsid w:val="00B83B9E"/>
    <w:rsid w:val="00B84811"/>
    <w:rsid w:val="00B8595D"/>
    <w:rsid w:val="00B86DBA"/>
    <w:rsid w:val="00B8769C"/>
    <w:rsid w:val="00B90701"/>
    <w:rsid w:val="00B9232B"/>
    <w:rsid w:val="00B93F95"/>
    <w:rsid w:val="00B95235"/>
    <w:rsid w:val="00B969A2"/>
    <w:rsid w:val="00B971DD"/>
    <w:rsid w:val="00BA1564"/>
    <w:rsid w:val="00BA17EC"/>
    <w:rsid w:val="00BA267D"/>
    <w:rsid w:val="00BA2ABC"/>
    <w:rsid w:val="00BA314C"/>
    <w:rsid w:val="00BA325A"/>
    <w:rsid w:val="00BA4522"/>
    <w:rsid w:val="00BA455C"/>
    <w:rsid w:val="00BA649C"/>
    <w:rsid w:val="00BA6E66"/>
    <w:rsid w:val="00BA6E8E"/>
    <w:rsid w:val="00BB07B1"/>
    <w:rsid w:val="00BB0D2A"/>
    <w:rsid w:val="00BB1A28"/>
    <w:rsid w:val="00BB321D"/>
    <w:rsid w:val="00BB32AB"/>
    <w:rsid w:val="00BB43A5"/>
    <w:rsid w:val="00BB585D"/>
    <w:rsid w:val="00BB6BA3"/>
    <w:rsid w:val="00BB6BB7"/>
    <w:rsid w:val="00BC0F9F"/>
    <w:rsid w:val="00BC1173"/>
    <w:rsid w:val="00BC1389"/>
    <w:rsid w:val="00BC143C"/>
    <w:rsid w:val="00BC1861"/>
    <w:rsid w:val="00BC21F0"/>
    <w:rsid w:val="00BC354A"/>
    <w:rsid w:val="00BC3E39"/>
    <w:rsid w:val="00BC449D"/>
    <w:rsid w:val="00BC4E25"/>
    <w:rsid w:val="00BC5B31"/>
    <w:rsid w:val="00BC690E"/>
    <w:rsid w:val="00BC6CF7"/>
    <w:rsid w:val="00BC79AD"/>
    <w:rsid w:val="00BD0618"/>
    <w:rsid w:val="00BD1C8B"/>
    <w:rsid w:val="00BD2F1F"/>
    <w:rsid w:val="00BD313F"/>
    <w:rsid w:val="00BD5D7C"/>
    <w:rsid w:val="00BD7C02"/>
    <w:rsid w:val="00BE1BCF"/>
    <w:rsid w:val="00BE21B7"/>
    <w:rsid w:val="00BE331A"/>
    <w:rsid w:val="00BE5E34"/>
    <w:rsid w:val="00BE726B"/>
    <w:rsid w:val="00BE769A"/>
    <w:rsid w:val="00BF2CF7"/>
    <w:rsid w:val="00BF2F6F"/>
    <w:rsid w:val="00BF36BB"/>
    <w:rsid w:val="00BF410B"/>
    <w:rsid w:val="00BF4C1D"/>
    <w:rsid w:val="00BF7402"/>
    <w:rsid w:val="00BF74CA"/>
    <w:rsid w:val="00C003E9"/>
    <w:rsid w:val="00C005EB"/>
    <w:rsid w:val="00C00FF7"/>
    <w:rsid w:val="00C0248A"/>
    <w:rsid w:val="00C027C4"/>
    <w:rsid w:val="00C069D2"/>
    <w:rsid w:val="00C06B84"/>
    <w:rsid w:val="00C07282"/>
    <w:rsid w:val="00C14A5F"/>
    <w:rsid w:val="00C14BE1"/>
    <w:rsid w:val="00C1617A"/>
    <w:rsid w:val="00C16233"/>
    <w:rsid w:val="00C17A9C"/>
    <w:rsid w:val="00C17F47"/>
    <w:rsid w:val="00C20A41"/>
    <w:rsid w:val="00C218F9"/>
    <w:rsid w:val="00C220EE"/>
    <w:rsid w:val="00C24CA1"/>
    <w:rsid w:val="00C255F2"/>
    <w:rsid w:val="00C25DA9"/>
    <w:rsid w:val="00C2691E"/>
    <w:rsid w:val="00C27488"/>
    <w:rsid w:val="00C302D0"/>
    <w:rsid w:val="00C31743"/>
    <w:rsid w:val="00C3178F"/>
    <w:rsid w:val="00C31DA2"/>
    <w:rsid w:val="00C3506F"/>
    <w:rsid w:val="00C3524C"/>
    <w:rsid w:val="00C35BD8"/>
    <w:rsid w:val="00C3612D"/>
    <w:rsid w:val="00C36179"/>
    <w:rsid w:val="00C3638F"/>
    <w:rsid w:val="00C36489"/>
    <w:rsid w:val="00C36C07"/>
    <w:rsid w:val="00C375B7"/>
    <w:rsid w:val="00C4229F"/>
    <w:rsid w:val="00C4247E"/>
    <w:rsid w:val="00C43C62"/>
    <w:rsid w:val="00C4404D"/>
    <w:rsid w:val="00C4410D"/>
    <w:rsid w:val="00C44A5C"/>
    <w:rsid w:val="00C44AA6"/>
    <w:rsid w:val="00C44AB6"/>
    <w:rsid w:val="00C44BC0"/>
    <w:rsid w:val="00C45257"/>
    <w:rsid w:val="00C45EA0"/>
    <w:rsid w:val="00C46F67"/>
    <w:rsid w:val="00C50156"/>
    <w:rsid w:val="00C50542"/>
    <w:rsid w:val="00C5074E"/>
    <w:rsid w:val="00C514D0"/>
    <w:rsid w:val="00C5150B"/>
    <w:rsid w:val="00C5215F"/>
    <w:rsid w:val="00C5232E"/>
    <w:rsid w:val="00C52343"/>
    <w:rsid w:val="00C52720"/>
    <w:rsid w:val="00C52C4C"/>
    <w:rsid w:val="00C53BE1"/>
    <w:rsid w:val="00C54038"/>
    <w:rsid w:val="00C54AA1"/>
    <w:rsid w:val="00C54CA9"/>
    <w:rsid w:val="00C5753B"/>
    <w:rsid w:val="00C57DCE"/>
    <w:rsid w:val="00C612EB"/>
    <w:rsid w:val="00C628C5"/>
    <w:rsid w:val="00C6308C"/>
    <w:rsid w:val="00C636A4"/>
    <w:rsid w:val="00C6575F"/>
    <w:rsid w:val="00C667B4"/>
    <w:rsid w:val="00C66F74"/>
    <w:rsid w:val="00C67439"/>
    <w:rsid w:val="00C70774"/>
    <w:rsid w:val="00C7218C"/>
    <w:rsid w:val="00C74BEF"/>
    <w:rsid w:val="00C777C8"/>
    <w:rsid w:val="00C80A5C"/>
    <w:rsid w:val="00C81972"/>
    <w:rsid w:val="00C8197B"/>
    <w:rsid w:val="00C81E8E"/>
    <w:rsid w:val="00C82821"/>
    <w:rsid w:val="00C83BF7"/>
    <w:rsid w:val="00C85E31"/>
    <w:rsid w:val="00C867FA"/>
    <w:rsid w:val="00C903A6"/>
    <w:rsid w:val="00C90CD4"/>
    <w:rsid w:val="00C91E9D"/>
    <w:rsid w:val="00C95C99"/>
    <w:rsid w:val="00C96751"/>
    <w:rsid w:val="00C97560"/>
    <w:rsid w:val="00C97A13"/>
    <w:rsid w:val="00CA0704"/>
    <w:rsid w:val="00CA2B32"/>
    <w:rsid w:val="00CA5459"/>
    <w:rsid w:val="00CA5B44"/>
    <w:rsid w:val="00CB0042"/>
    <w:rsid w:val="00CB33F8"/>
    <w:rsid w:val="00CB4150"/>
    <w:rsid w:val="00CB4968"/>
    <w:rsid w:val="00CB4D14"/>
    <w:rsid w:val="00CB7907"/>
    <w:rsid w:val="00CC08DB"/>
    <w:rsid w:val="00CC0F0D"/>
    <w:rsid w:val="00CC28E1"/>
    <w:rsid w:val="00CC3496"/>
    <w:rsid w:val="00CC34A8"/>
    <w:rsid w:val="00CC38DA"/>
    <w:rsid w:val="00CC41EF"/>
    <w:rsid w:val="00CD181D"/>
    <w:rsid w:val="00CD26ED"/>
    <w:rsid w:val="00CD2FFD"/>
    <w:rsid w:val="00CD524E"/>
    <w:rsid w:val="00CD7DBF"/>
    <w:rsid w:val="00CE53B2"/>
    <w:rsid w:val="00CE5470"/>
    <w:rsid w:val="00CE5AAB"/>
    <w:rsid w:val="00CE5CC3"/>
    <w:rsid w:val="00CE6672"/>
    <w:rsid w:val="00CF0F44"/>
    <w:rsid w:val="00CF0F72"/>
    <w:rsid w:val="00CF37E3"/>
    <w:rsid w:val="00CF3F4C"/>
    <w:rsid w:val="00CF457B"/>
    <w:rsid w:val="00CF4F3C"/>
    <w:rsid w:val="00CF5048"/>
    <w:rsid w:val="00CF5E68"/>
    <w:rsid w:val="00CF6C1B"/>
    <w:rsid w:val="00CF6ECC"/>
    <w:rsid w:val="00D00CF2"/>
    <w:rsid w:val="00D029A4"/>
    <w:rsid w:val="00D02D96"/>
    <w:rsid w:val="00D03D2D"/>
    <w:rsid w:val="00D03F25"/>
    <w:rsid w:val="00D04C95"/>
    <w:rsid w:val="00D061AA"/>
    <w:rsid w:val="00D06AFD"/>
    <w:rsid w:val="00D10331"/>
    <w:rsid w:val="00D108F2"/>
    <w:rsid w:val="00D10F98"/>
    <w:rsid w:val="00D13F06"/>
    <w:rsid w:val="00D14B8A"/>
    <w:rsid w:val="00D15644"/>
    <w:rsid w:val="00D16A5F"/>
    <w:rsid w:val="00D17F0E"/>
    <w:rsid w:val="00D21953"/>
    <w:rsid w:val="00D22849"/>
    <w:rsid w:val="00D23E70"/>
    <w:rsid w:val="00D242CB"/>
    <w:rsid w:val="00D30A8E"/>
    <w:rsid w:val="00D33ACF"/>
    <w:rsid w:val="00D35445"/>
    <w:rsid w:val="00D36A38"/>
    <w:rsid w:val="00D3749E"/>
    <w:rsid w:val="00D37975"/>
    <w:rsid w:val="00D404CE"/>
    <w:rsid w:val="00D42060"/>
    <w:rsid w:val="00D42203"/>
    <w:rsid w:val="00D45152"/>
    <w:rsid w:val="00D473A6"/>
    <w:rsid w:val="00D5020B"/>
    <w:rsid w:val="00D5095A"/>
    <w:rsid w:val="00D50E19"/>
    <w:rsid w:val="00D520F6"/>
    <w:rsid w:val="00D53477"/>
    <w:rsid w:val="00D547F2"/>
    <w:rsid w:val="00D61CDA"/>
    <w:rsid w:val="00D63193"/>
    <w:rsid w:val="00D640EB"/>
    <w:rsid w:val="00D65E88"/>
    <w:rsid w:val="00D6650B"/>
    <w:rsid w:val="00D6761E"/>
    <w:rsid w:val="00D67B5F"/>
    <w:rsid w:val="00D70197"/>
    <w:rsid w:val="00D73481"/>
    <w:rsid w:val="00D74318"/>
    <w:rsid w:val="00D75167"/>
    <w:rsid w:val="00D77EF8"/>
    <w:rsid w:val="00D82AD4"/>
    <w:rsid w:val="00D85657"/>
    <w:rsid w:val="00D85B85"/>
    <w:rsid w:val="00D87439"/>
    <w:rsid w:val="00D87A3A"/>
    <w:rsid w:val="00D90567"/>
    <w:rsid w:val="00D923C2"/>
    <w:rsid w:val="00D941B4"/>
    <w:rsid w:val="00D9439B"/>
    <w:rsid w:val="00D94D1D"/>
    <w:rsid w:val="00D96FFA"/>
    <w:rsid w:val="00DA035B"/>
    <w:rsid w:val="00DA0B76"/>
    <w:rsid w:val="00DA2ED7"/>
    <w:rsid w:val="00DA3914"/>
    <w:rsid w:val="00DA3EB4"/>
    <w:rsid w:val="00DA480D"/>
    <w:rsid w:val="00DA4858"/>
    <w:rsid w:val="00DA7557"/>
    <w:rsid w:val="00DA7D7A"/>
    <w:rsid w:val="00DB3540"/>
    <w:rsid w:val="00DB37F3"/>
    <w:rsid w:val="00DB424F"/>
    <w:rsid w:val="00DB579C"/>
    <w:rsid w:val="00DB7579"/>
    <w:rsid w:val="00DC0A2E"/>
    <w:rsid w:val="00DC10A9"/>
    <w:rsid w:val="00DC195B"/>
    <w:rsid w:val="00DC52BC"/>
    <w:rsid w:val="00DC582B"/>
    <w:rsid w:val="00DD256A"/>
    <w:rsid w:val="00DD382D"/>
    <w:rsid w:val="00DD471E"/>
    <w:rsid w:val="00DE0592"/>
    <w:rsid w:val="00DE0EF9"/>
    <w:rsid w:val="00DE1DEB"/>
    <w:rsid w:val="00DE2001"/>
    <w:rsid w:val="00DE214A"/>
    <w:rsid w:val="00DE42A3"/>
    <w:rsid w:val="00DE50F9"/>
    <w:rsid w:val="00DE52A1"/>
    <w:rsid w:val="00DE6488"/>
    <w:rsid w:val="00DE6851"/>
    <w:rsid w:val="00DE68CA"/>
    <w:rsid w:val="00DF0E1C"/>
    <w:rsid w:val="00DF496F"/>
    <w:rsid w:val="00DF5125"/>
    <w:rsid w:val="00DF79A0"/>
    <w:rsid w:val="00E00097"/>
    <w:rsid w:val="00E021D3"/>
    <w:rsid w:val="00E058A8"/>
    <w:rsid w:val="00E0683E"/>
    <w:rsid w:val="00E12C91"/>
    <w:rsid w:val="00E14C8E"/>
    <w:rsid w:val="00E16438"/>
    <w:rsid w:val="00E20429"/>
    <w:rsid w:val="00E2055B"/>
    <w:rsid w:val="00E220A9"/>
    <w:rsid w:val="00E23FFE"/>
    <w:rsid w:val="00E243CD"/>
    <w:rsid w:val="00E24733"/>
    <w:rsid w:val="00E25212"/>
    <w:rsid w:val="00E25EC1"/>
    <w:rsid w:val="00E2604F"/>
    <w:rsid w:val="00E30352"/>
    <w:rsid w:val="00E318C5"/>
    <w:rsid w:val="00E31D70"/>
    <w:rsid w:val="00E32394"/>
    <w:rsid w:val="00E32978"/>
    <w:rsid w:val="00E330E8"/>
    <w:rsid w:val="00E34087"/>
    <w:rsid w:val="00E3444F"/>
    <w:rsid w:val="00E3615C"/>
    <w:rsid w:val="00E40D35"/>
    <w:rsid w:val="00E41A2D"/>
    <w:rsid w:val="00E42663"/>
    <w:rsid w:val="00E44BDC"/>
    <w:rsid w:val="00E45B72"/>
    <w:rsid w:val="00E46E4A"/>
    <w:rsid w:val="00E5108D"/>
    <w:rsid w:val="00E527FF"/>
    <w:rsid w:val="00E539FF"/>
    <w:rsid w:val="00E54FF3"/>
    <w:rsid w:val="00E55252"/>
    <w:rsid w:val="00E565DD"/>
    <w:rsid w:val="00E5735A"/>
    <w:rsid w:val="00E578E9"/>
    <w:rsid w:val="00E60640"/>
    <w:rsid w:val="00E6249A"/>
    <w:rsid w:val="00E651AF"/>
    <w:rsid w:val="00E66487"/>
    <w:rsid w:val="00E66862"/>
    <w:rsid w:val="00E70D73"/>
    <w:rsid w:val="00E7342C"/>
    <w:rsid w:val="00E7404E"/>
    <w:rsid w:val="00E74298"/>
    <w:rsid w:val="00E74B53"/>
    <w:rsid w:val="00E75EB0"/>
    <w:rsid w:val="00E81FF7"/>
    <w:rsid w:val="00E84305"/>
    <w:rsid w:val="00E844DA"/>
    <w:rsid w:val="00E84BD9"/>
    <w:rsid w:val="00E860AE"/>
    <w:rsid w:val="00E860E4"/>
    <w:rsid w:val="00E86FB9"/>
    <w:rsid w:val="00E87ADB"/>
    <w:rsid w:val="00E90FDE"/>
    <w:rsid w:val="00E912ED"/>
    <w:rsid w:val="00E9218A"/>
    <w:rsid w:val="00E923A8"/>
    <w:rsid w:val="00E93171"/>
    <w:rsid w:val="00E93663"/>
    <w:rsid w:val="00E93AA5"/>
    <w:rsid w:val="00E9451C"/>
    <w:rsid w:val="00E971C6"/>
    <w:rsid w:val="00E9723E"/>
    <w:rsid w:val="00EA1F95"/>
    <w:rsid w:val="00EA3BB2"/>
    <w:rsid w:val="00EA558F"/>
    <w:rsid w:val="00EA645E"/>
    <w:rsid w:val="00EA7031"/>
    <w:rsid w:val="00EA7B8F"/>
    <w:rsid w:val="00EB137F"/>
    <w:rsid w:val="00EB227F"/>
    <w:rsid w:val="00EB3607"/>
    <w:rsid w:val="00EC28F2"/>
    <w:rsid w:val="00EC36F0"/>
    <w:rsid w:val="00EC3A7B"/>
    <w:rsid w:val="00EC66AA"/>
    <w:rsid w:val="00EC7DBE"/>
    <w:rsid w:val="00ED07B5"/>
    <w:rsid w:val="00ED1B6C"/>
    <w:rsid w:val="00ED36B3"/>
    <w:rsid w:val="00ED5A9B"/>
    <w:rsid w:val="00ED76AE"/>
    <w:rsid w:val="00ED76C9"/>
    <w:rsid w:val="00ED77F4"/>
    <w:rsid w:val="00EE09C4"/>
    <w:rsid w:val="00EE1F33"/>
    <w:rsid w:val="00EE2CBF"/>
    <w:rsid w:val="00EE2F20"/>
    <w:rsid w:val="00EE43AA"/>
    <w:rsid w:val="00EE47D0"/>
    <w:rsid w:val="00EE4A64"/>
    <w:rsid w:val="00EF0A70"/>
    <w:rsid w:val="00EF326F"/>
    <w:rsid w:val="00EF3E3D"/>
    <w:rsid w:val="00EF53A1"/>
    <w:rsid w:val="00EF5482"/>
    <w:rsid w:val="00EF5B0B"/>
    <w:rsid w:val="00F005D1"/>
    <w:rsid w:val="00F021D7"/>
    <w:rsid w:val="00F02267"/>
    <w:rsid w:val="00F0235F"/>
    <w:rsid w:val="00F0326E"/>
    <w:rsid w:val="00F042A7"/>
    <w:rsid w:val="00F04E94"/>
    <w:rsid w:val="00F06339"/>
    <w:rsid w:val="00F06B84"/>
    <w:rsid w:val="00F07571"/>
    <w:rsid w:val="00F11152"/>
    <w:rsid w:val="00F13049"/>
    <w:rsid w:val="00F1317F"/>
    <w:rsid w:val="00F1352D"/>
    <w:rsid w:val="00F13637"/>
    <w:rsid w:val="00F14089"/>
    <w:rsid w:val="00F1627D"/>
    <w:rsid w:val="00F1795A"/>
    <w:rsid w:val="00F232D0"/>
    <w:rsid w:val="00F23EDB"/>
    <w:rsid w:val="00F25843"/>
    <w:rsid w:val="00F27A08"/>
    <w:rsid w:val="00F30465"/>
    <w:rsid w:val="00F30703"/>
    <w:rsid w:val="00F30900"/>
    <w:rsid w:val="00F31D61"/>
    <w:rsid w:val="00F32CD8"/>
    <w:rsid w:val="00F337D9"/>
    <w:rsid w:val="00F34013"/>
    <w:rsid w:val="00F36C8A"/>
    <w:rsid w:val="00F40B0B"/>
    <w:rsid w:val="00F4164B"/>
    <w:rsid w:val="00F431D0"/>
    <w:rsid w:val="00F4329B"/>
    <w:rsid w:val="00F444AD"/>
    <w:rsid w:val="00F452F3"/>
    <w:rsid w:val="00F4576E"/>
    <w:rsid w:val="00F45E41"/>
    <w:rsid w:val="00F45EF4"/>
    <w:rsid w:val="00F46429"/>
    <w:rsid w:val="00F46DDF"/>
    <w:rsid w:val="00F4711A"/>
    <w:rsid w:val="00F47C7F"/>
    <w:rsid w:val="00F528DF"/>
    <w:rsid w:val="00F545D6"/>
    <w:rsid w:val="00F54E42"/>
    <w:rsid w:val="00F552D5"/>
    <w:rsid w:val="00F55BDA"/>
    <w:rsid w:val="00F56C17"/>
    <w:rsid w:val="00F57014"/>
    <w:rsid w:val="00F57F30"/>
    <w:rsid w:val="00F61818"/>
    <w:rsid w:val="00F63790"/>
    <w:rsid w:val="00F65F25"/>
    <w:rsid w:val="00F67743"/>
    <w:rsid w:val="00F67E98"/>
    <w:rsid w:val="00F70457"/>
    <w:rsid w:val="00F71192"/>
    <w:rsid w:val="00F71301"/>
    <w:rsid w:val="00F71ABA"/>
    <w:rsid w:val="00F71B7B"/>
    <w:rsid w:val="00F72C84"/>
    <w:rsid w:val="00F75ECD"/>
    <w:rsid w:val="00F7726D"/>
    <w:rsid w:val="00F77A59"/>
    <w:rsid w:val="00F77AB7"/>
    <w:rsid w:val="00F809BF"/>
    <w:rsid w:val="00F81000"/>
    <w:rsid w:val="00F811A3"/>
    <w:rsid w:val="00F81B99"/>
    <w:rsid w:val="00F82335"/>
    <w:rsid w:val="00F82992"/>
    <w:rsid w:val="00F829F2"/>
    <w:rsid w:val="00F84679"/>
    <w:rsid w:val="00F8557E"/>
    <w:rsid w:val="00F87637"/>
    <w:rsid w:val="00F87819"/>
    <w:rsid w:val="00F91AAF"/>
    <w:rsid w:val="00F925AA"/>
    <w:rsid w:val="00F93166"/>
    <w:rsid w:val="00F93582"/>
    <w:rsid w:val="00F93836"/>
    <w:rsid w:val="00F940FE"/>
    <w:rsid w:val="00F9439A"/>
    <w:rsid w:val="00F94996"/>
    <w:rsid w:val="00F94C50"/>
    <w:rsid w:val="00F94DF6"/>
    <w:rsid w:val="00F9539E"/>
    <w:rsid w:val="00F959C4"/>
    <w:rsid w:val="00F96350"/>
    <w:rsid w:val="00F96575"/>
    <w:rsid w:val="00F967CA"/>
    <w:rsid w:val="00FA0546"/>
    <w:rsid w:val="00FA1A44"/>
    <w:rsid w:val="00FA3F89"/>
    <w:rsid w:val="00FA4B5F"/>
    <w:rsid w:val="00FA4F46"/>
    <w:rsid w:val="00FA664F"/>
    <w:rsid w:val="00FB0552"/>
    <w:rsid w:val="00FB182B"/>
    <w:rsid w:val="00FB1BF4"/>
    <w:rsid w:val="00FB2573"/>
    <w:rsid w:val="00FB3BA7"/>
    <w:rsid w:val="00FB5F8C"/>
    <w:rsid w:val="00FB6816"/>
    <w:rsid w:val="00FB7AB4"/>
    <w:rsid w:val="00FC13DE"/>
    <w:rsid w:val="00FC28BC"/>
    <w:rsid w:val="00FC2F46"/>
    <w:rsid w:val="00FC3979"/>
    <w:rsid w:val="00FC3FA6"/>
    <w:rsid w:val="00FC4873"/>
    <w:rsid w:val="00FC64FA"/>
    <w:rsid w:val="00FD0E70"/>
    <w:rsid w:val="00FD1D58"/>
    <w:rsid w:val="00FD2BC5"/>
    <w:rsid w:val="00FD552F"/>
    <w:rsid w:val="00FD5EEC"/>
    <w:rsid w:val="00FD650C"/>
    <w:rsid w:val="00FD6919"/>
    <w:rsid w:val="00FD6DC8"/>
    <w:rsid w:val="00FD70BE"/>
    <w:rsid w:val="00FD72C3"/>
    <w:rsid w:val="00FD7918"/>
    <w:rsid w:val="00FE271C"/>
    <w:rsid w:val="00FE382B"/>
    <w:rsid w:val="00FE4582"/>
    <w:rsid w:val="00FE62D0"/>
    <w:rsid w:val="00FE6889"/>
    <w:rsid w:val="00FF000D"/>
    <w:rsid w:val="00FF037E"/>
    <w:rsid w:val="00FF07BD"/>
    <w:rsid w:val="00FF0D97"/>
    <w:rsid w:val="00FF16A5"/>
    <w:rsid w:val="00FF360D"/>
    <w:rsid w:val="00FF46BE"/>
    <w:rsid w:val="00FF71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036FB29"/>
  <w15:chartTrackingRefBased/>
  <w15:docId w15:val="{8C8BE686-FC99-4E9E-8D49-0516345F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1AA"/>
    <w:rPr>
      <w:sz w:val="24"/>
      <w:szCs w:val="24"/>
      <w:lang w:val="es-ES" w:eastAsia="es-ES"/>
    </w:rPr>
  </w:style>
  <w:style w:type="paragraph" w:styleId="Ttulo1">
    <w:name w:val="heading 1"/>
    <w:basedOn w:val="Normal"/>
    <w:next w:val="Normal"/>
    <w:link w:val="Ttulo1Car"/>
    <w:qFormat/>
    <w:rsid w:val="00D061AA"/>
    <w:pPr>
      <w:keepNext/>
      <w:outlineLvl w:val="0"/>
    </w:pPr>
    <w:rPr>
      <w:bCs/>
      <w:sz w:val="22"/>
      <w:u w:val="single"/>
    </w:rPr>
  </w:style>
  <w:style w:type="paragraph" w:styleId="Ttulo2">
    <w:name w:val="heading 2"/>
    <w:basedOn w:val="Normal"/>
    <w:next w:val="Normal"/>
    <w:link w:val="Ttulo2Car"/>
    <w:qFormat/>
    <w:rsid w:val="00D061AA"/>
    <w:pPr>
      <w:keepNext/>
      <w:tabs>
        <w:tab w:val="left" w:pos="0"/>
      </w:tabs>
      <w:outlineLvl w:val="1"/>
    </w:pPr>
    <w:rPr>
      <w:b/>
      <w:bCs/>
      <w:color w:val="FF0000"/>
      <w:sz w:val="22"/>
      <w:lang w:val="it-IT"/>
    </w:rPr>
  </w:style>
  <w:style w:type="paragraph" w:styleId="Ttulo3">
    <w:name w:val="heading 3"/>
    <w:basedOn w:val="Normal"/>
    <w:next w:val="Normal"/>
    <w:link w:val="Ttulo3Car"/>
    <w:qFormat/>
    <w:rsid w:val="00D061AA"/>
    <w:pPr>
      <w:keepNext/>
      <w:jc w:val="center"/>
      <w:outlineLvl w:val="2"/>
    </w:pPr>
    <w:rPr>
      <w:b/>
      <w:sz w:val="22"/>
      <w:lang w:val="es-ES_tradnl" w:eastAsia="x-none"/>
    </w:rPr>
  </w:style>
  <w:style w:type="paragraph" w:styleId="Ttulo4">
    <w:name w:val="heading 4"/>
    <w:basedOn w:val="Normal"/>
    <w:next w:val="Normal"/>
    <w:link w:val="Ttulo4Car"/>
    <w:qFormat/>
    <w:rsid w:val="00D061AA"/>
    <w:pPr>
      <w:keepNext/>
      <w:autoSpaceDE w:val="0"/>
      <w:autoSpaceDN w:val="0"/>
      <w:adjustRightInd w:val="0"/>
      <w:outlineLvl w:val="3"/>
    </w:pPr>
    <w:rPr>
      <w:b/>
      <w:bCs/>
      <w:sz w:val="22"/>
      <w:szCs w:val="22"/>
    </w:rPr>
  </w:style>
  <w:style w:type="paragraph" w:styleId="Ttulo5">
    <w:name w:val="heading 5"/>
    <w:basedOn w:val="Normal"/>
    <w:next w:val="Normal"/>
    <w:link w:val="Ttulo5Car"/>
    <w:qFormat/>
    <w:rsid w:val="00D061AA"/>
    <w:pPr>
      <w:keepNext/>
      <w:tabs>
        <w:tab w:val="left" w:pos="567"/>
      </w:tabs>
      <w:spacing w:line="260" w:lineRule="exact"/>
      <w:jc w:val="both"/>
      <w:outlineLvl w:val="4"/>
    </w:pPr>
    <w:rPr>
      <w:noProof/>
      <w:sz w:val="22"/>
      <w:szCs w:val="20"/>
      <w:lang w:val="en-GB" w:eastAsia="x-none"/>
    </w:rPr>
  </w:style>
  <w:style w:type="paragraph" w:styleId="Ttulo6">
    <w:name w:val="heading 6"/>
    <w:basedOn w:val="Normal"/>
    <w:next w:val="Normal"/>
    <w:link w:val="Ttulo6Car"/>
    <w:qFormat/>
    <w:rsid w:val="00D061AA"/>
    <w:pPr>
      <w:keepNext/>
      <w:outlineLvl w:val="5"/>
    </w:pPr>
    <w:rPr>
      <w:snapToGrid w:val="0"/>
      <w:color w:val="000000"/>
      <w:szCs w:val="20"/>
      <w:lang w:val="da-DK" w:eastAsia="x-none"/>
    </w:rPr>
  </w:style>
  <w:style w:type="paragraph" w:styleId="Ttulo7">
    <w:name w:val="heading 7"/>
    <w:basedOn w:val="Normal"/>
    <w:next w:val="Normal"/>
    <w:link w:val="Ttulo7Car"/>
    <w:qFormat/>
    <w:rsid w:val="00D061AA"/>
    <w:pPr>
      <w:keepNext/>
      <w:outlineLvl w:val="6"/>
    </w:pPr>
    <w:rPr>
      <w:bCs/>
      <w:sz w:val="22"/>
      <w:lang w:val="es-ES_tradnl"/>
    </w:rPr>
  </w:style>
  <w:style w:type="paragraph" w:styleId="Ttulo8">
    <w:name w:val="heading 8"/>
    <w:basedOn w:val="Normal"/>
    <w:next w:val="Normal"/>
    <w:link w:val="Ttulo8Car"/>
    <w:semiHidden/>
    <w:unhideWhenUsed/>
    <w:qFormat/>
    <w:rsid w:val="00537D6E"/>
    <w:pPr>
      <w:spacing w:before="240" w:after="60"/>
      <w:outlineLvl w:val="7"/>
    </w:pPr>
    <w:rPr>
      <w:rFonts w:ascii="Calibri" w:hAnsi="Calibr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061AA"/>
    <w:rPr>
      <w:bCs/>
      <w:sz w:val="22"/>
      <w:szCs w:val="24"/>
      <w:u w:val="single"/>
      <w:lang w:val="es-ES" w:eastAsia="es-ES"/>
    </w:rPr>
  </w:style>
  <w:style w:type="character" w:customStyle="1" w:styleId="Ttulo2Car">
    <w:name w:val="Título 2 Car"/>
    <w:link w:val="Ttulo2"/>
    <w:rsid w:val="00D061AA"/>
    <w:rPr>
      <w:b/>
      <w:bCs/>
      <w:color w:val="FF0000"/>
      <w:sz w:val="22"/>
      <w:szCs w:val="24"/>
      <w:lang w:val="it-IT" w:eastAsia="es-ES"/>
    </w:rPr>
  </w:style>
  <w:style w:type="character" w:customStyle="1" w:styleId="Ttulo3Car">
    <w:name w:val="Título 3 Car"/>
    <w:link w:val="Ttulo3"/>
    <w:rsid w:val="00D061AA"/>
    <w:rPr>
      <w:b/>
      <w:sz w:val="22"/>
      <w:szCs w:val="24"/>
      <w:lang w:val="es-ES_tradnl"/>
    </w:rPr>
  </w:style>
  <w:style w:type="character" w:customStyle="1" w:styleId="Ttulo4Car">
    <w:name w:val="Título 4 Car"/>
    <w:link w:val="Ttulo4"/>
    <w:rsid w:val="00D061AA"/>
    <w:rPr>
      <w:b/>
      <w:bCs/>
      <w:sz w:val="22"/>
      <w:szCs w:val="22"/>
      <w:lang w:val="es-ES" w:eastAsia="es-ES"/>
    </w:rPr>
  </w:style>
  <w:style w:type="character" w:customStyle="1" w:styleId="Ttulo5Car">
    <w:name w:val="Título 5 Car"/>
    <w:link w:val="Ttulo5"/>
    <w:rsid w:val="00D061AA"/>
    <w:rPr>
      <w:noProof/>
      <w:sz w:val="22"/>
      <w:lang w:val="en-GB"/>
    </w:rPr>
  </w:style>
  <w:style w:type="character" w:customStyle="1" w:styleId="Ttulo6Car">
    <w:name w:val="Título 6 Car"/>
    <w:link w:val="Ttulo6"/>
    <w:rsid w:val="00D061AA"/>
    <w:rPr>
      <w:snapToGrid w:val="0"/>
      <w:color w:val="000000"/>
      <w:sz w:val="24"/>
      <w:lang w:val="da-DK"/>
    </w:rPr>
  </w:style>
  <w:style w:type="character" w:customStyle="1" w:styleId="Ttulo7Car">
    <w:name w:val="Título 7 Car"/>
    <w:link w:val="Ttulo7"/>
    <w:rsid w:val="00D061AA"/>
    <w:rPr>
      <w:bCs/>
      <w:sz w:val="22"/>
      <w:szCs w:val="24"/>
      <w:lang w:val="es-ES_tradnl" w:eastAsia="es-ES"/>
    </w:rPr>
  </w:style>
  <w:style w:type="paragraph" w:styleId="Textonotaalfinal">
    <w:name w:val="endnote text"/>
    <w:basedOn w:val="Normal"/>
    <w:link w:val="TextonotaalfinalCar"/>
    <w:rsid w:val="00D061AA"/>
    <w:pPr>
      <w:tabs>
        <w:tab w:val="left" w:pos="567"/>
      </w:tabs>
    </w:pPr>
    <w:rPr>
      <w:sz w:val="22"/>
      <w:szCs w:val="20"/>
      <w:lang w:val="en-GB" w:eastAsia="x-none"/>
    </w:rPr>
  </w:style>
  <w:style w:type="character" w:customStyle="1" w:styleId="TextonotaalfinalCar">
    <w:name w:val="Texto nota al final Car"/>
    <w:link w:val="Textonotaalfinal"/>
    <w:rsid w:val="00D061AA"/>
    <w:rPr>
      <w:sz w:val="22"/>
      <w:lang w:val="en-GB"/>
    </w:rPr>
  </w:style>
  <w:style w:type="paragraph" w:styleId="Descripcin">
    <w:name w:val="caption"/>
    <w:basedOn w:val="Normal"/>
    <w:next w:val="Normal"/>
    <w:qFormat/>
    <w:rsid w:val="00D061AA"/>
    <w:pPr>
      <w:tabs>
        <w:tab w:val="left" w:pos="567"/>
      </w:tabs>
      <w:spacing w:line="260" w:lineRule="exact"/>
    </w:pPr>
    <w:rPr>
      <w:b/>
      <w:sz w:val="22"/>
      <w:szCs w:val="20"/>
      <w:lang w:val="en-GB" w:eastAsia="en-US"/>
    </w:rPr>
  </w:style>
  <w:style w:type="paragraph" w:styleId="Piedepgina">
    <w:name w:val="footer"/>
    <w:basedOn w:val="Normal"/>
    <w:link w:val="PiedepginaCar"/>
    <w:uiPriority w:val="99"/>
    <w:rsid w:val="00D061AA"/>
    <w:pPr>
      <w:tabs>
        <w:tab w:val="left" w:pos="567"/>
        <w:tab w:val="center" w:pos="4536"/>
        <w:tab w:val="center" w:pos="8930"/>
      </w:tabs>
    </w:pPr>
    <w:rPr>
      <w:rFonts w:ascii="Helvetica" w:hAnsi="Helvetica"/>
      <w:sz w:val="16"/>
      <w:szCs w:val="20"/>
      <w:lang w:val="en-GB" w:eastAsia="x-none"/>
    </w:rPr>
  </w:style>
  <w:style w:type="character" w:customStyle="1" w:styleId="PiedepginaCar">
    <w:name w:val="Pie de página Car"/>
    <w:link w:val="Piedepgina"/>
    <w:uiPriority w:val="99"/>
    <w:rsid w:val="00D061AA"/>
    <w:rPr>
      <w:rFonts w:ascii="Helvetica" w:hAnsi="Helvetica"/>
      <w:sz w:val="16"/>
      <w:lang w:val="en-GB"/>
    </w:rPr>
  </w:style>
  <w:style w:type="paragraph" w:styleId="Textoindependiente3">
    <w:name w:val="Body Text 3"/>
    <w:basedOn w:val="Normal"/>
    <w:link w:val="Textoindependiente3Car"/>
    <w:rsid w:val="00D061AA"/>
    <w:rPr>
      <w:color w:val="FF0000"/>
      <w:u w:val="single"/>
      <w:lang w:val="en-GB" w:eastAsia="x-none"/>
    </w:rPr>
  </w:style>
  <w:style w:type="character" w:customStyle="1" w:styleId="Textoindependiente3Car">
    <w:name w:val="Texto independiente 3 Car"/>
    <w:link w:val="Textoindependiente3"/>
    <w:rsid w:val="00D061AA"/>
    <w:rPr>
      <w:color w:val="FF0000"/>
      <w:sz w:val="24"/>
      <w:szCs w:val="24"/>
      <w:u w:val="single"/>
      <w:lang w:val="en-GB"/>
    </w:rPr>
  </w:style>
  <w:style w:type="paragraph" w:customStyle="1" w:styleId="PrinInv">
    <w:name w:val="Prin Inv"/>
    <w:basedOn w:val="Normal"/>
    <w:rsid w:val="00D061AA"/>
    <w:rPr>
      <w:rFonts w:ascii="Arial" w:hAnsi="Arial"/>
      <w:sz w:val="18"/>
      <w:szCs w:val="20"/>
      <w:lang w:val="en-US" w:eastAsia="en-US"/>
    </w:rPr>
  </w:style>
  <w:style w:type="paragraph" w:styleId="Textoindependiente2">
    <w:name w:val="Body Text 2"/>
    <w:basedOn w:val="Normal"/>
    <w:link w:val="Textoindependiente2Car"/>
    <w:rsid w:val="00D061AA"/>
    <w:rPr>
      <w:sz w:val="28"/>
      <w:lang w:val="en-GB" w:eastAsia="x-none"/>
    </w:rPr>
  </w:style>
  <w:style w:type="character" w:customStyle="1" w:styleId="Textoindependiente2Car">
    <w:name w:val="Texto independiente 2 Car"/>
    <w:link w:val="Textoindependiente2"/>
    <w:rsid w:val="00D061AA"/>
    <w:rPr>
      <w:sz w:val="28"/>
      <w:szCs w:val="24"/>
      <w:lang w:val="en-GB"/>
    </w:rPr>
  </w:style>
  <w:style w:type="paragraph" w:styleId="Sangradetextonormal">
    <w:name w:val="Body Text Indent"/>
    <w:basedOn w:val="Normal"/>
    <w:link w:val="SangradetextonormalCar"/>
    <w:rsid w:val="00D061AA"/>
    <w:pPr>
      <w:ind w:left="567" w:hanging="567"/>
    </w:pPr>
    <w:rPr>
      <w:b/>
      <w:color w:val="808080"/>
      <w:sz w:val="22"/>
      <w:szCs w:val="20"/>
      <w:lang w:val="en-GB" w:eastAsia="x-none"/>
    </w:rPr>
  </w:style>
  <w:style w:type="character" w:customStyle="1" w:styleId="SangradetextonormalCar">
    <w:name w:val="Sangría de texto normal Car"/>
    <w:link w:val="Sangradetextonormal"/>
    <w:rsid w:val="00D061AA"/>
    <w:rPr>
      <w:b/>
      <w:color w:val="808080"/>
      <w:sz w:val="22"/>
      <w:lang w:val="en-GB"/>
    </w:rPr>
  </w:style>
  <w:style w:type="paragraph" w:styleId="Ttulo">
    <w:name w:val="Title"/>
    <w:basedOn w:val="Normal"/>
    <w:link w:val="TtuloCar"/>
    <w:qFormat/>
    <w:rsid w:val="00D061AA"/>
    <w:pPr>
      <w:ind w:left="567" w:hanging="567"/>
      <w:jc w:val="center"/>
    </w:pPr>
    <w:rPr>
      <w:b/>
      <w:sz w:val="22"/>
      <w:lang w:val="x-none"/>
    </w:rPr>
  </w:style>
  <w:style w:type="character" w:customStyle="1" w:styleId="TtuloCar">
    <w:name w:val="Título Car"/>
    <w:link w:val="Ttulo"/>
    <w:rsid w:val="00D061AA"/>
    <w:rPr>
      <w:b/>
      <w:sz w:val="22"/>
      <w:szCs w:val="24"/>
      <w:lang w:eastAsia="es-ES"/>
    </w:rPr>
  </w:style>
  <w:style w:type="paragraph" w:customStyle="1" w:styleId="fig">
    <w:name w:val="fig"/>
    <w:basedOn w:val="Normal"/>
    <w:rsid w:val="00D061AA"/>
    <w:pPr>
      <w:spacing w:after="200"/>
      <w:jc w:val="center"/>
    </w:pPr>
    <w:rPr>
      <w:rFonts w:ascii="Arial" w:hAnsi="Arial"/>
      <w:sz w:val="18"/>
      <w:szCs w:val="20"/>
      <w:lang w:val="en-US" w:eastAsia="en-US"/>
    </w:rPr>
  </w:style>
  <w:style w:type="character" w:customStyle="1" w:styleId="SmPCHeading">
    <w:name w:val="SmPC Heading"/>
    <w:rsid w:val="00D061AA"/>
    <w:rPr>
      <w:rFonts w:ascii="Times New Roman" w:hAnsi="Times New Roman"/>
      <w:b/>
      <w:caps/>
      <w:sz w:val="22"/>
      <w:u w:val="none"/>
      <w:vertAlign w:val="baseline"/>
    </w:rPr>
  </w:style>
  <w:style w:type="paragraph" w:styleId="Encabezado">
    <w:name w:val="header"/>
    <w:basedOn w:val="Normal"/>
    <w:link w:val="EncabezadoCar"/>
    <w:rsid w:val="00D061AA"/>
    <w:pPr>
      <w:tabs>
        <w:tab w:val="left" w:pos="567"/>
        <w:tab w:val="center" w:pos="4153"/>
        <w:tab w:val="right" w:pos="8306"/>
      </w:tabs>
    </w:pPr>
    <w:rPr>
      <w:rFonts w:ascii="Helvetica" w:hAnsi="Helvetica"/>
      <w:sz w:val="20"/>
      <w:szCs w:val="20"/>
      <w:lang w:val="en-GB" w:eastAsia="x-none"/>
    </w:rPr>
  </w:style>
  <w:style w:type="character" w:customStyle="1" w:styleId="EncabezadoCar">
    <w:name w:val="Encabezado Car"/>
    <w:link w:val="Encabezado"/>
    <w:rsid w:val="00D061AA"/>
    <w:rPr>
      <w:rFonts w:ascii="Helvetica" w:hAnsi="Helvetica"/>
      <w:lang w:val="en-GB"/>
    </w:rPr>
  </w:style>
  <w:style w:type="character" w:styleId="Textoennegrita">
    <w:name w:val="Strong"/>
    <w:uiPriority w:val="22"/>
    <w:qFormat/>
    <w:rsid w:val="00D061AA"/>
    <w:rPr>
      <w:b/>
      <w:bCs/>
    </w:rPr>
  </w:style>
  <w:style w:type="paragraph" w:styleId="Textoindependiente">
    <w:name w:val="Body Text"/>
    <w:basedOn w:val="Normal"/>
    <w:link w:val="TextoindependienteCar"/>
    <w:rsid w:val="00D061AA"/>
    <w:rPr>
      <w:sz w:val="22"/>
      <w:lang w:val="es-ES_tradnl"/>
    </w:rPr>
  </w:style>
  <w:style w:type="character" w:customStyle="1" w:styleId="TextoindependienteCar">
    <w:name w:val="Texto independiente Car"/>
    <w:link w:val="Textoindependiente"/>
    <w:rsid w:val="00D061AA"/>
    <w:rPr>
      <w:sz w:val="22"/>
      <w:szCs w:val="24"/>
      <w:lang w:val="es-ES_tradnl" w:eastAsia="es-ES"/>
    </w:rPr>
  </w:style>
  <w:style w:type="character" w:styleId="Nmerodepgina">
    <w:name w:val="page number"/>
    <w:basedOn w:val="Fuentedeprrafopredeter"/>
    <w:rsid w:val="00D061AA"/>
  </w:style>
  <w:style w:type="character" w:styleId="nfasis">
    <w:name w:val="Emphasis"/>
    <w:qFormat/>
    <w:rsid w:val="00D061AA"/>
    <w:rPr>
      <w:i/>
      <w:iCs/>
    </w:rPr>
  </w:style>
  <w:style w:type="paragraph" w:customStyle="1" w:styleId="BalloonText1">
    <w:name w:val="Balloon Text1"/>
    <w:basedOn w:val="Normal"/>
    <w:semiHidden/>
    <w:rsid w:val="00D061AA"/>
    <w:rPr>
      <w:rFonts w:ascii="Tahoma" w:hAnsi="Tahoma" w:cs="Tahoma"/>
      <w:sz w:val="16"/>
      <w:szCs w:val="16"/>
    </w:rPr>
  </w:style>
  <w:style w:type="paragraph" w:styleId="Textodebloque">
    <w:name w:val="Block Text"/>
    <w:basedOn w:val="Normal"/>
    <w:rsid w:val="00D061AA"/>
    <w:pPr>
      <w:ind w:left="360" w:right="-2" w:hanging="360"/>
    </w:pPr>
    <w:rPr>
      <w:sz w:val="22"/>
      <w:lang w:val="es-ES_tradnl"/>
    </w:rPr>
  </w:style>
  <w:style w:type="character" w:styleId="Refdecomentario">
    <w:name w:val="annotation reference"/>
    <w:rsid w:val="00D061AA"/>
    <w:rPr>
      <w:sz w:val="16"/>
      <w:szCs w:val="16"/>
    </w:rPr>
  </w:style>
  <w:style w:type="paragraph" w:styleId="Textocomentario">
    <w:name w:val="annotation text"/>
    <w:basedOn w:val="Normal"/>
    <w:link w:val="TextocomentarioCar"/>
    <w:rsid w:val="00D061AA"/>
    <w:rPr>
      <w:sz w:val="20"/>
      <w:szCs w:val="20"/>
    </w:rPr>
  </w:style>
  <w:style w:type="character" w:customStyle="1" w:styleId="TextocomentarioCar">
    <w:name w:val="Texto comentario Car"/>
    <w:link w:val="Textocomentario"/>
    <w:rsid w:val="00D061AA"/>
    <w:rPr>
      <w:lang w:val="es-ES" w:eastAsia="es-ES"/>
    </w:rPr>
  </w:style>
  <w:style w:type="paragraph" w:customStyle="1" w:styleId="CommentSubject1">
    <w:name w:val="Comment Subject1"/>
    <w:basedOn w:val="Textocomentario"/>
    <w:next w:val="Textocomentario"/>
    <w:semiHidden/>
    <w:rsid w:val="00D061AA"/>
    <w:rPr>
      <w:b/>
      <w:bCs/>
    </w:rPr>
  </w:style>
  <w:style w:type="paragraph" w:customStyle="1" w:styleId="BalloonText2">
    <w:name w:val="Balloon Text2"/>
    <w:basedOn w:val="Normal"/>
    <w:semiHidden/>
    <w:rsid w:val="00D061AA"/>
    <w:rPr>
      <w:rFonts w:ascii="Tahoma" w:hAnsi="Tahoma" w:cs="Tahoma"/>
      <w:sz w:val="16"/>
      <w:szCs w:val="16"/>
    </w:rPr>
  </w:style>
  <w:style w:type="character" w:styleId="Hipervnculo">
    <w:name w:val="Hyperlink"/>
    <w:uiPriority w:val="99"/>
    <w:rsid w:val="00D061AA"/>
    <w:rPr>
      <w:color w:val="0000FF"/>
      <w:u w:val="single"/>
    </w:rPr>
  </w:style>
  <w:style w:type="paragraph" w:styleId="Asuntodelcomentario">
    <w:name w:val="annotation subject"/>
    <w:basedOn w:val="Textocomentario"/>
    <w:next w:val="Textocomentario"/>
    <w:link w:val="AsuntodelcomentarioCar"/>
    <w:rsid w:val="00D061AA"/>
    <w:rPr>
      <w:b/>
      <w:bCs/>
    </w:rPr>
  </w:style>
  <w:style w:type="character" w:customStyle="1" w:styleId="AsuntodelcomentarioCar">
    <w:name w:val="Asunto del comentario Car"/>
    <w:link w:val="Asuntodelcomentario"/>
    <w:rsid w:val="00D061AA"/>
    <w:rPr>
      <w:b/>
      <w:bCs/>
      <w:lang w:val="es-ES" w:eastAsia="es-ES"/>
    </w:rPr>
  </w:style>
  <w:style w:type="paragraph" w:styleId="Textodeglobo">
    <w:name w:val="Balloon Text"/>
    <w:basedOn w:val="Normal"/>
    <w:link w:val="TextodegloboCar"/>
    <w:rsid w:val="00D061AA"/>
    <w:rPr>
      <w:rFonts w:ascii="Tahoma" w:hAnsi="Tahoma"/>
      <w:sz w:val="16"/>
      <w:szCs w:val="16"/>
    </w:rPr>
  </w:style>
  <w:style w:type="character" w:customStyle="1" w:styleId="TextodegloboCar">
    <w:name w:val="Texto de globo Car"/>
    <w:link w:val="Textodeglobo"/>
    <w:rsid w:val="00D061AA"/>
    <w:rPr>
      <w:rFonts w:ascii="Tahoma" w:hAnsi="Tahoma" w:cs="Tahoma"/>
      <w:sz w:val="16"/>
      <w:szCs w:val="16"/>
      <w:lang w:val="es-ES" w:eastAsia="es-ES"/>
    </w:rPr>
  </w:style>
  <w:style w:type="table" w:styleId="Tablaconcuadrcula">
    <w:name w:val="Table Grid"/>
    <w:basedOn w:val="Tablanormal"/>
    <w:rsid w:val="00D06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link w:val="ParagraphChar1"/>
    <w:rsid w:val="00D061AA"/>
    <w:pPr>
      <w:spacing w:after="240"/>
    </w:pPr>
    <w:rPr>
      <w:sz w:val="24"/>
      <w:szCs w:val="24"/>
      <w:lang w:val="en-US" w:eastAsia="en-US"/>
    </w:rPr>
  </w:style>
  <w:style w:type="character" w:customStyle="1" w:styleId="ParagraphChar1">
    <w:name w:val="Paragraph Char1"/>
    <w:link w:val="Paragraph"/>
    <w:rsid w:val="00D061AA"/>
    <w:rPr>
      <w:sz w:val="24"/>
      <w:szCs w:val="24"/>
      <w:lang w:val="en-US" w:eastAsia="en-US" w:bidi="ar-SA"/>
    </w:rPr>
  </w:style>
  <w:style w:type="paragraph" w:customStyle="1" w:styleId="TableTextColHead">
    <w:name w:val="TableText Col Head"/>
    <w:next w:val="Normal"/>
    <w:rsid w:val="00D061AA"/>
    <w:pPr>
      <w:jc w:val="center"/>
    </w:pPr>
    <w:rPr>
      <w:rFonts w:ascii="Times New Roman Bold" w:hAnsi="Times New Roman Bold"/>
      <w:b/>
      <w:lang w:val="en-US" w:eastAsia="en-US"/>
    </w:rPr>
  </w:style>
  <w:style w:type="paragraph" w:customStyle="1" w:styleId="TableText">
    <w:name w:val="TableText"/>
    <w:link w:val="TableTextChar"/>
    <w:rsid w:val="00D061AA"/>
    <w:rPr>
      <w:rFonts w:cs="Arial"/>
      <w:lang w:val="en-US" w:eastAsia="en-US"/>
    </w:rPr>
  </w:style>
  <w:style w:type="paragraph" w:customStyle="1" w:styleId="TableTextFootnote">
    <w:name w:val="TableText Footnote"/>
    <w:rsid w:val="00D061AA"/>
    <w:rPr>
      <w:lang w:val="en-US" w:eastAsia="en-US"/>
    </w:rPr>
  </w:style>
  <w:style w:type="paragraph" w:customStyle="1" w:styleId="CM55">
    <w:name w:val="CM55"/>
    <w:basedOn w:val="Normal"/>
    <w:next w:val="Normal"/>
    <w:rsid w:val="00D061AA"/>
    <w:pPr>
      <w:widowControl w:val="0"/>
      <w:autoSpaceDE w:val="0"/>
      <w:autoSpaceDN w:val="0"/>
      <w:adjustRightInd w:val="0"/>
      <w:spacing w:after="243"/>
    </w:pPr>
    <w:rPr>
      <w:lang w:val="en-GB" w:eastAsia="en-GB"/>
    </w:rPr>
  </w:style>
  <w:style w:type="paragraph" w:styleId="Mapadeldocumento">
    <w:name w:val="Document Map"/>
    <w:basedOn w:val="Normal"/>
    <w:link w:val="MapadeldocumentoCar"/>
    <w:rsid w:val="00D061AA"/>
    <w:rPr>
      <w:rFonts w:ascii="Tahoma" w:hAnsi="Tahoma"/>
      <w:sz w:val="16"/>
      <w:szCs w:val="16"/>
    </w:rPr>
  </w:style>
  <w:style w:type="character" w:customStyle="1" w:styleId="MapadeldocumentoCar">
    <w:name w:val="Mapa del documento Car"/>
    <w:link w:val="Mapadeldocumento"/>
    <w:rsid w:val="00D061AA"/>
    <w:rPr>
      <w:rFonts w:ascii="Tahoma" w:hAnsi="Tahoma" w:cs="Tahoma"/>
      <w:sz w:val="16"/>
      <w:szCs w:val="16"/>
      <w:lang w:val="es-ES" w:eastAsia="es-ES"/>
    </w:rPr>
  </w:style>
  <w:style w:type="paragraph" w:customStyle="1" w:styleId="Default">
    <w:name w:val="Default"/>
    <w:rsid w:val="00D061AA"/>
    <w:pPr>
      <w:widowControl w:val="0"/>
      <w:autoSpaceDE w:val="0"/>
      <w:autoSpaceDN w:val="0"/>
      <w:adjustRightInd w:val="0"/>
    </w:pPr>
    <w:rPr>
      <w:color w:val="000000"/>
      <w:sz w:val="24"/>
      <w:szCs w:val="24"/>
      <w:lang w:val="en-GB" w:eastAsia="en-GB"/>
    </w:rPr>
  </w:style>
  <w:style w:type="paragraph" w:customStyle="1" w:styleId="CM56">
    <w:name w:val="CM56"/>
    <w:basedOn w:val="Normal"/>
    <w:next w:val="Normal"/>
    <w:rsid w:val="00D061AA"/>
    <w:pPr>
      <w:widowControl w:val="0"/>
      <w:autoSpaceDE w:val="0"/>
      <w:autoSpaceDN w:val="0"/>
      <w:adjustRightInd w:val="0"/>
      <w:spacing w:after="505"/>
    </w:pPr>
    <w:rPr>
      <w:lang w:val="en-GB" w:eastAsia="en-GB"/>
    </w:rPr>
  </w:style>
  <w:style w:type="character" w:customStyle="1" w:styleId="TableTextChar">
    <w:name w:val="TableText Char"/>
    <w:link w:val="TableText"/>
    <w:rsid w:val="00D061AA"/>
    <w:rPr>
      <w:rFonts w:cs="Arial"/>
      <w:lang w:val="en-US" w:eastAsia="en-US" w:bidi="ar-SA"/>
    </w:rPr>
  </w:style>
  <w:style w:type="paragraph" w:customStyle="1" w:styleId="Revision1">
    <w:name w:val="Revision1"/>
    <w:hidden/>
    <w:uiPriority w:val="99"/>
    <w:semiHidden/>
    <w:rsid w:val="00D061AA"/>
    <w:rPr>
      <w:sz w:val="24"/>
      <w:szCs w:val="24"/>
      <w:lang w:val="es-ES" w:eastAsia="es-ES"/>
    </w:rPr>
  </w:style>
  <w:style w:type="character" w:customStyle="1" w:styleId="tw4winMark">
    <w:name w:val="tw4winMark"/>
    <w:uiPriority w:val="99"/>
    <w:rsid w:val="00D061AA"/>
    <w:rPr>
      <w:rFonts w:ascii="Courier New" w:hAnsi="Courier New"/>
      <w:vanish/>
      <w:color w:val="800080"/>
      <w:sz w:val="24"/>
      <w:vertAlign w:val="subscript"/>
    </w:rPr>
  </w:style>
  <w:style w:type="paragraph" w:customStyle="1" w:styleId="CM65">
    <w:name w:val="CM65"/>
    <w:basedOn w:val="Default"/>
    <w:next w:val="Default"/>
    <w:rsid w:val="00D061AA"/>
    <w:pPr>
      <w:spacing w:after="98"/>
    </w:pPr>
    <w:rPr>
      <w:color w:val="auto"/>
    </w:rPr>
  </w:style>
  <w:style w:type="paragraph" w:styleId="Prrafodelista">
    <w:name w:val="List Paragraph"/>
    <w:basedOn w:val="Normal"/>
    <w:uiPriority w:val="34"/>
    <w:qFormat/>
    <w:rsid w:val="008A4896"/>
    <w:pPr>
      <w:spacing w:after="200" w:line="276" w:lineRule="auto"/>
      <w:ind w:left="720"/>
      <w:contextualSpacing/>
    </w:pPr>
    <w:rPr>
      <w:rFonts w:ascii="Calibri" w:hAnsi="Calibri"/>
      <w:sz w:val="22"/>
      <w:szCs w:val="22"/>
      <w:lang w:val="en-US" w:eastAsia="en-US"/>
    </w:rPr>
  </w:style>
  <w:style w:type="paragraph" w:customStyle="1" w:styleId="11">
    <w:name w:val="11"/>
    <w:basedOn w:val="Normal"/>
    <w:qFormat/>
    <w:rsid w:val="00AA094E"/>
    <w:pPr>
      <w:tabs>
        <w:tab w:val="left" w:pos="567"/>
      </w:tabs>
      <w:ind w:left="567" w:hanging="567"/>
      <w:jc w:val="center"/>
    </w:pPr>
    <w:rPr>
      <w:sz w:val="22"/>
      <w:szCs w:val="22"/>
      <w:lang w:val="es-ES_tradnl"/>
    </w:rPr>
  </w:style>
  <w:style w:type="paragraph" w:customStyle="1" w:styleId="12">
    <w:name w:val="12"/>
    <w:basedOn w:val="Normal"/>
    <w:qFormat/>
    <w:rsid w:val="00AA094E"/>
    <w:pPr>
      <w:tabs>
        <w:tab w:val="left" w:pos="567"/>
      </w:tabs>
      <w:ind w:hanging="567"/>
      <w:jc w:val="both"/>
    </w:pPr>
    <w:rPr>
      <w:b/>
      <w:sz w:val="22"/>
      <w:szCs w:val="22"/>
      <w:lang w:val="es-ES_tradnl"/>
    </w:rPr>
  </w:style>
  <w:style w:type="paragraph" w:customStyle="1" w:styleId="13">
    <w:name w:val="13"/>
    <w:basedOn w:val="Normal"/>
    <w:qFormat/>
    <w:rsid w:val="00AA094E"/>
    <w:pPr>
      <w:tabs>
        <w:tab w:val="left" w:pos="567"/>
      </w:tabs>
      <w:jc w:val="both"/>
    </w:pPr>
    <w:rPr>
      <w:b/>
      <w:sz w:val="22"/>
      <w:szCs w:val="22"/>
      <w:lang w:val="es-ES_tradnl"/>
    </w:rPr>
  </w:style>
  <w:style w:type="paragraph" w:customStyle="1" w:styleId="14">
    <w:name w:val="14"/>
    <w:basedOn w:val="Normal"/>
    <w:qFormat/>
    <w:rsid w:val="00AA094E"/>
    <w:pPr>
      <w:tabs>
        <w:tab w:val="left" w:pos="567"/>
      </w:tabs>
      <w:ind w:left="630" w:right="-1" w:hanging="630"/>
    </w:pPr>
    <w:rPr>
      <w:b/>
      <w:sz w:val="22"/>
      <w:szCs w:val="22"/>
    </w:rPr>
  </w:style>
  <w:style w:type="paragraph" w:customStyle="1" w:styleId="15">
    <w:name w:val="15"/>
    <w:basedOn w:val="Normal"/>
    <w:qFormat/>
    <w:rsid w:val="00AA094E"/>
    <w:pPr>
      <w:tabs>
        <w:tab w:val="left" w:pos="567"/>
      </w:tabs>
      <w:ind w:left="540" w:right="-1" w:hanging="540"/>
    </w:pPr>
    <w:rPr>
      <w:b/>
      <w:sz w:val="22"/>
      <w:szCs w:val="22"/>
    </w:rPr>
  </w:style>
  <w:style w:type="paragraph" w:customStyle="1" w:styleId="16">
    <w:name w:val="16"/>
    <w:basedOn w:val="Normal"/>
    <w:qFormat/>
    <w:rsid w:val="00AA094E"/>
    <w:pPr>
      <w:tabs>
        <w:tab w:val="left" w:pos="567"/>
      </w:tabs>
      <w:jc w:val="center"/>
    </w:pPr>
    <w:rPr>
      <w:b/>
      <w:sz w:val="22"/>
      <w:szCs w:val="22"/>
      <w:lang w:val="es-ES_tradnl"/>
    </w:rPr>
  </w:style>
  <w:style w:type="paragraph" w:customStyle="1" w:styleId="17">
    <w:name w:val="17"/>
    <w:basedOn w:val="Normal"/>
    <w:qFormat/>
    <w:rsid w:val="00AA094E"/>
    <w:pPr>
      <w:tabs>
        <w:tab w:val="left" w:pos="567"/>
      </w:tabs>
      <w:jc w:val="center"/>
    </w:pPr>
    <w:rPr>
      <w:b/>
      <w:bCs/>
      <w:sz w:val="22"/>
      <w:szCs w:val="22"/>
    </w:rPr>
  </w:style>
  <w:style w:type="paragraph" w:customStyle="1" w:styleId="BodytextAgency">
    <w:name w:val="Body text (Agency)"/>
    <w:basedOn w:val="Normal"/>
    <w:rsid w:val="00B10315"/>
    <w:pPr>
      <w:spacing w:after="140" w:line="280" w:lineRule="atLeast"/>
    </w:pPr>
    <w:rPr>
      <w:rFonts w:ascii="Verdana" w:hAnsi="Verdana"/>
      <w:sz w:val="18"/>
      <w:szCs w:val="20"/>
      <w:lang w:val="en-GB" w:eastAsia="zh-CN"/>
    </w:rPr>
  </w:style>
  <w:style w:type="character" w:customStyle="1" w:styleId="TableText12">
    <w:name w:val="TableText 12"/>
    <w:rsid w:val="005264DD"/>
    <w:rPr>
      <w:rFonts w:ascii="Times New Roman" w:hAnsi="Times New Roman"/>
      <w:sz w:val="24"/>
    </w:rPr>
  </w:style>
  <w:style w:type="paragraph" w:styleId="Revisin">
    <w:name w:val="Revision"/>
    <w:hidden/>
    <w:uiPriority w:val="99"/>
    <w:semiHidden/>
    <w:rsid w:val="00C52C4C"/>
    <w:rPr>
      <w:sz w:val="24"/>
      <w:szCs w:val="24"/>
      <w:lang w:val="es-ES" w:eastAsia="es-ES"/>
    </w:rPr>
  </w:style>
  <w:style w:type="character" w:customStyle="1" w:styleId="EMEABodyTextChar">
    <w:name w:val="EMEA Body Text Char"/>
    <w:link w:val="EMEABodyText"/>
    <w:locked/>
    <w:rsid w:val="006432E3"/>
    <w:rPr>
      <w:sz w:val="22"/>
    </w:rPr>
  </w:style>
  <w:style w:type="paragraph" w:customStyle="1" w:styleId="EMEABodyText">
    <w:name w:val="EMEA Body Text"/>
    <w:basedOn w:val="Normal"/>
    <w:link w:val="EMEABodyTextChar"/>
    <w:rsid w:val="006432E3"/>
    <w:rPr>
      <w:sz w:val="22"/>
      <w:szCs w:val="20"/>
      <w:lang w:val="x-none" w:eastAsia="x-none"/>
    </w:rPr>
  </w:style>
  <w:style w:type="paragraph" w:customStyle="1" w:styleId="EMEATitlePAC">
    <w:name w:val="EMEA Title PAC"/>
    <w:basedOn w:val="Normal"/>
    <w:next w:val="EMEABodyText"/>
    <w:rsid w:val="006432E3"/>
    <w:pPr>
      <w:keepNext/>
      <w:keepLines/>
      <w:pBdr>
        <w:top w:val="single" w:sz="4" w:space="1" w:color="auto"/>
        <w:left w:val="single" w:sz="4" w:space="4" w:color="auto"/>
        <w:bottom w:val="single" w:sz="4" w:space="1" w:color="auto"/>
        <w:right w:val="single" w:sz="4" w:space="4" w:color="auto"/>
      </w:pBdr>
    </w:pPr>
    <w:rPr>
      <w:b/>
      <w:caps/>
      <w:sz w:val="22"/>
      <w:szCs w:val="20"/>
      <w:lang w:val="en-GB" w:eastAsia="en-US"/>
    </w:rPr>
  </w:style>
  <w:style w:type="paragraph" w:styleId="HTMLconformatoprevio">
    <w:name w:val="HTML Preformatted"/>
    <w:basedOn w:val="Normal"/>
    <w:link w:val="HTMLconformatoprevioCar"/>
    <w:rsid w:val="00E330E8"/>
    <w:rPr>
      <w:rFonts w:ascii="Courier New" w:hAnsi="Courier New" w:cs="Courier New"/>
      <w:sz w:val="20"/>
      <w:szCs w:val="20"/>
    </w:rPr>
  </w:style>
  <w:style w:type="character" w:customStyle="1" w:styleId="HTMLconformatoprevioCar">
    <w:name w:val="HTML con formato previo Car"/>
    <w:link w:val="HTMLconformatoprevio"/>
    <w:rsid w:val="00E330E8"/>
    <w:rPr>
      <w:rFonts w:ascii="Courier New" w:hAnsi="Courier New" w:cs="Courier New"/>
      <w:lang w:val="es-ES" w:eastAsia="es-ES"/>
    </w:rPr>
  </w:style>
  <w:style w:type="paragraph" w:styleId="Textoindependienteprimerasangra">
    <w:name w:val="Body Text First Indent"/>
    <w:basedOn w:val="Textoindependiente"/>
    <w:link w:val="TextoindependienteprimerasangraCar"/>
    <w:rsid w:val="00763BCD"/>
    <w:pPr>
      <w:spacing w:after="120"/>
      <w:ind w:firstLine="210"/>
    </w:pPr>
    <w:rPr>
      <w:sz w:val="24"/>
      <w:lang w:val="es-ES"/>
    </w:rPr>
  </w:style>
  <w:style w:type="character" w:customStyle="1" w:styleId="TextoindependienteprimerasangraCar">
    <w:name w:val="Texto independiente primera sangría Car"/>
    <w:link w:val="Textoindependienteprimerasangra"/>
    <w:rsid w:val="00763BCD"/>
    <w:rPr>
      <w:sz w:val="24"/>
      <w:szCs w:val="24"/>
      <w:lang w:val="es-ES" w:eastAsia="es-ES"/>
    </w:rPr>
  </w:style>
  <w:style w:type="character" w:customStyle="1" w:styleId="Ttulo8Car">
    <w:name w:val="Título 8 Car"/>
    <w:link w:val="Ttulo8"/>
    <w:uiPriority w:val="9"/>
    <w:semiHidden/>
    <w:rsid w:val="00537D6E"/>
    <w:rPr>
      <w:rFonts w:ascii="Calibri" w:eastAsia="Times New Roman" w:hAnsi="Calibri" w:cs="Times New Roman"/>
      <w:i/>
      <w:iCs/>
      <w:sz w:val="24"/>
      <w:szCs w:val="24"/>
    </w:rPr>
  </w:style>
  <w:style w:type="character" w:styleId="Mencinsinresolver">
    <w:name w:val="Unresolved Mention"/>
    <w:basedOn w:val="Fuentedeprrafopredeter"/>
    <w:uiPriority w:val="99"/>
    <w:semiHidden/>
    <w:unhideWhenUsed/>
    <w:rsid w:val="00CF4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295664">
      <w:bodyDiv w:val="1"/>
      <w:marLeft w:val="0"/>
      <w:marRight w:val="0"/>
      <w:marTop w:val="0"/>
      <w:marBottom w:val="0"/>
      <w:divBdr>
        <w:top w:val="none" w:sz="0" w:space="0" w:color="auto"/>
        <w:left w:val="none" w:sz="0" w:space="0" w:color="auto"/>
        <w:bottom w:val="none" w:sz="0" w:space="0" w:color="auto"/>
        <w:right w:val="none" w:sz="0" w:space="0" w:color="auto"/>
      </w:divBdr>
    </w:div>
    <w:div w:id="813571523">
      <w:bodyDiv w:val="1"/>
      <w:marLeft w:val="0"/>
      <w:marRight w:val="0"/>
      <w:marTop w:val="0"/>
      <w:marBottom w:val="0"/>
      <w:divBdr>
        <w:top w:val="none" w:sz="0" w:space="0" w:color="auto"/>
        <w:left w:val="none" w:sz="0" w:space="0" w:color="auto"/>
        <w:bottom w:val="none" w:sz="0" w:space="0" w:color="auto"/>
        <w:right w:val="none" w:sz="0" w:space="0" w:color="auto"/>
      </w:divBdr>
    </w:div>
    <w:div w:id="1250239268">
      <w:bodyDiv w:val="1"/>
      <w:marLeft w:val="0"/>
      <w:marRight w:val="0"/>
      <w:marTop w:val="0"/>
      <w:marBottom w:val="0"/>
      <w:divBdr>
        <w:top w:val="none" w:sz="0" w:space="0" w:color="auto"/>
        <w:left w:val="none" w:sz="0" w:space="0" w:color="auto"/>
        <w:bottom w:val="none" w:sz="0" w:space="0" w:color="auto"/>
        <w:right w:val="none" w:sz="0" w:space="0" w:color="auto"/>
      </w:divBdr>
    </w:div>
    <w:div w:id="1378696918">
      <w:bodyDiv w:val="1"/>
      <w:marLeft w:val="0"/>
      <w:marRight w:val="0"/>
      <w:marTop w:val="0"/>
      <w:marBottom w:val="0"/>
      <w:divBdr>
        <w:top w:val="none" w:sz="0" w:space="0" w:color="auto"/>
        <w:left w:val="none" w:sz="0" w:space="0" w:color="auto"/>
        <w:bottom w:val="none" w:sz="0" w:space="0" w:color="auto"/>
        <w:right w:val="none" w:sz="0" w:space="0" w:color="auto"/>
      </w:divBdr>
    </w:div>
    <w:div w:id="1445348836">
      <w:bodyDiv w:val="1"/>
      <w:marLeft w:val="0"/>
      <w:marRight w:val="0"/>
      <w:marTop w:val="0"/>
      <w:marBottom w:val="0"/>
      <w:divBdr>
        <w:top w:val="none" w:sz="0" w:space="0" w:color="auto"/>
        <w:left w:val="none" w:sz="0" w:space="0" w:color="auto"/>
        <w:bottom w:val="none" w:sz="0" w:space="0" w:color="auto"/>
        <w:right w:val="none" w:sz="0" w:space="0" w:color="auto"/>
      </w:divBdr>
    </w:div>
    <w:div w:id="16697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oriconazole-accord"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EMADOC-1700519818-2319887</_dlc_DocId>
    <_dlc_DocIdUrl xmlns="a034c160-bfb7-45f5-8632-2eb7e0508071">
      <Url>https://euema.sharepoint.com/sites/CRM/_layouts/15/DocIdRedir.aspx?ID=EMADOC-1700519818-2319887</Url>
      <Description>EMADOC-1700519818-2319887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4697AF-C990-4D23-BFAC-9AA19B8CEEAE}"/>
</file>

<file path=customXml/itemProps2.xml><?xml version="1.0" encoding="utf-8"?>
<ds:datastoreItem xmlns:ds="http://schemas.openxmlformats.org/officeDocument/2006/customXml" ds:itemID="{6E67EB2A-61B8-46BF-B93E-0CE230C92F5B}">
  <ds:schemaRefs>
    <ds:schemaRef ds:uri="http://schemas.microsoft.com/office/2006/metadata/properties"/>
    <ds:schemaRef ds:uri="http://schemas.microsoft.com/office/infopath/2007/PartnerControls"/>
    <ds:schemaRef ds:uri="15b730e8-ef52-47c0-882f-c114b1201c56"/>
    <ds:schemaRef ds:uri="3f43a7e4-0095-4210-ba90-3b106b2b745d"/>
  </ds:schemaRefs>
</ds:datastoreItem>
</file>

<file path=customXml/itemProps3.xml><?xml version="1.0" encoding="utf-8"?>
<ds:datastoreItem xmlns:ds="http://schemas.openxmlformats.org/officeDocument/2006/customXml" ds:itemID="{0D44F26F-AD68-4B38-AFBA-F11463BF944F}">
  <ds:schemaRefs>
    <ds:schemaRef ds:uri="http://schemas.microsoft.com/sharepoint/v3/contenttype/forms"/>
  </ds:schemaRefs>
</ds:datastoreItem>
</file>

<file path=customXml/itemProps4.xml><?xml version="1.0" encoding="utf-8"?>
<ds:datastoreItem xmlns:ds="http://schemas.openxmlformats.org/officeDocument/2006/customXml" ds:itemID="{52B57C85-9E3C-4FC4-9572-422F3B1CE7C6}">
  <ds:schemaRefs>
    <ds:schemaRef ds:uri="http://schemas.openxmlformats.org/officeDocument/2006/bibliography"/>
  </ds:schemaRefs>
</ds:datastoreItem>
</file>

<file path=customXml/itemProps5.xml><?xml version="1.0" encoding="utf-8"?>
<ds:datastoreItem xmlns:ds="http://schemas.openxmlformats.org/officeDocument/2006/customXml" ds:itemID="{34840419-CC40-42E4-8B74-E9C520F22CCF}"/>
</file>

<file path=docProps/app.xml><?xml version="1.0" encoding="utf-8"?>
<Properties xmlns="http://schemas.openxmlformats.org/officeDocument/2006/extended-properties" xmlns:vt="http://schemas.openxmlformats.org/officeDocument/2006/docPropsVTypes">
  <Template>Normal.dotm</Template>
  <TotalTime>47</TotalTime>
  <Pages>58</Pages>
  <Words>19716</Words>
  <Characters>115088</Characters>
  <Application>Microsoft Office Word</Application>
  <DocSecurity>0</DocSecurity>
  <Lines>959</Lines>
  <Paragraphs>269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Voriconazole Accord : EPAR – Product information</vt:lpstr>
      <vt:lpstr>Voriconazole Accord : EPAR – Product information – tracked changes</vt:lpstr>
    </vt:vector>
  </TitlesOfParts>
  <Company>Hewlett-Packard Company</Company>
  <LinksUpToDate>false</LinksUpToDate>
  <CharactersWithSpaces>134535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Voriconazole Accord : EPAR – Product information</dc:title>
  <dc:subject>EPAR</dc:subject>
  <dc:creator>CHMP</dc:creator>
  <cp:keywords>Voriconazole Accord, INN-Voriconazole</cp:keywords>
  <cp:lastModifiedBy>MAH Review_LL</cp:lastModifiedBy>
  <cp:revision>8</cp:revision>
  <cp:lastPrinted>2019-02-07T05:43:00Z</cp:lastPrinted>
  <dcterms:created xsi:type="dcterms:W3CDTF">2025-05-01T09:34:00Z</dcterms:created>
  <dcterms:modified xsi:type="dcterms:W3CDTF">2025-07-11T09:56:00Z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6dd0f0-549d-4a31-862c-c1638adefb3b_Enabled">
    <vt:lpwstr>true</vt:lpwstr>
  </property>
  <property fmtid="{D5CDD505-2E9C-101B-9397-08002B2CF9AE}" pid="3" name="MSIP_Label_926dd0f0-549d-4a31-862c-c1638adefb3b_SetDate">
    <vt:lpwstr>2023-05-08T08:46:30Z</vt:lpwstr>
  </property>
  <property fmtid="{D5CDD505-2E9C-101B-9397-08002B2CF9AE}" pid="4" name="MSIP_Label_926dd0f0-549d-4a31-862c-c1638adefb3b_Method">
    <vt:lpwstr>Privileged</vt:lpwstr>
  </property>
  <property fmtid="{D5CDD505-2E9C-101B-9397-08002B2CF9AE}" pid="5" name="MSIP_Label_926dd0f0-549d-4a31-862c-c1638adefb3b_Name">
    <vt:lpwstr>General Business Data</vt:lpwstr>
  </property>
  <property fmtid="{D5CDD505-2E9C-101B-9397-08002B2CF9AE}" pid="6" name="MSIP_Label_926dd0f0-549d-4a31-862c-c1638adefb3b_SiteId">
    <vt:lpwstr>565796f8-44be-4e6f-86bd-5f094ff1fe93</vt:lpwstr>
  </property>
  <property fmtid="{D5CDD505-2E9C-101B-9397-08002B2CF9AE}" pid="7" name="MSIP_Label_926dd0f0-549d-4a31-862c-c1638adefb3b_ActionId">
    <vt:lpwstr>0ffee522-01f3-49a4-b343-857cfb3024d4</vt:lpwstr>
  </property>
  <property fmtid="{D5CDD505-2E9C-101B-9397-08002B2CF9AE}" pid="8" name="MSIP_Label_926dd0f0-549d-4a31-862c-c1638adefb3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d1af5ebf-f3d6-4433-8309-ee4efd1934fd</vt:lpwstr>
  </property>
</Properties>
</file>