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32D59" w14:textId="7A82CFDB" w:rsidR="0070021B" w:rsidRDefault="0070021B" w:rsidP="0070021B">
      <w:pPr>
        <w:pBdr>
          <w:top w:val="single" w:sz="4" w:space="1" w:color="auto"/>
          <w:left w:val="single" w:sz="4" w:space="4" w:color="auto"/>
          <w:bottom w:val="single" w:sz="4" w:space="1" w:color="auto"/>
          <w:right w:val="single" w:sz="4" w:space="4" w:color="auto"/>
        </w:pBdr>
      </w:pPr>
      <w:r>
        <w:t xml:space="preserve">See dokument on ravimi </w:t>
      </w:r>
      <w:r>
        <w:t>Kefdensis</w:t>
      </w:r>
      <w:r>
        <w:t xml:space="preserve"> heakskiidetud ravimiteave, milles kuvatakse märgituna pärast eelmist menetlust tehtud muudatused, mis mõjutavad ravimiteavet </w:t>
      </w:r>
      <w:r>
        <w:t>(EMEA/H/C/006490/0000)</w:t>
      </w:r>
      <w:r>
        <w:t>.</w:t>
      </w:r>
    </w:p>
    <w:p w14:paraId="03AF75FE" w14:textId="77777777" w:rsidR="0070021B" w:rsidRDefault="0070021B" w:rsidP="0070021B">
      <w:pPr>
        <w:pBdr>
          <w:top w:val="single" w:sz="4" w:space="1" w:color="auto"/>
          <w:left w:val="single" w:sz="4" w:space="4" w:color="auto"/>
          <w:bottom w:val="single" w:sz="4" w:space="1" w:color="auto"/>
          <w:right w:val="single" w:sz="4" w:space="4" w:color="auto"/>
        </w:pBdr>
      </w:pPr>
    </w:p>
    <w:p w14:paraId="7D4E4FC3" w14:textId="784C5033" w:rsidR="0070021B" w:rsidRPr="003F66DE" w:rsidRDefault="0070021B" w:rsidP="0070021B">
      <w:pPr>
        <w:pBdr>
          <w:top w:val="single" w:sz="4" w:space="1" w:color="auto"/>
          <w:left w:val="single" w:sz="4" w:space="4" w:color="auto"/>
          <w:bottom w:val="single" w:sz="4" w:space="1" w:color="auto"/>
          <w:right w:val="single" w:sz="4" w:space="4" w:color="auto"/>
        </w:pBdr>
      </w:pPr>
      <w:r>
        <w:t xml:space="preserve">Lisateave on Euroopa Ravimiameti veebilehel: </w:t>
      </w:r>
      <w:hyperlink r:id="rId12" w:history="1">
        <w:r>
          <w:rPr>
            <w:rStyle w:val="Hyperlink"/>
          </w:rPr>
          <w:t>https://www.ema.europa.eu/en/medicines/human/epar/kefdensis</w:t>
        </w:r>
      </w:hyperlink>
    </w:p>
    <w:p w14:paraId="7472598D" w14:textId="77777777" w:rsidR="00951F81" w:rsidRDefault="00951F81" w:rsidP="00951F81">
      <w:pPr>
        <w:jc w:val="center"/>
      </w:pPr>
    </w:p>
    <w:p w14:paraId="61E274ED" w14:textId="77777777" w:rsidR="00951F81" w:rsidRDefault="00951F81" w:rsidP="00951F81">
      <w:pPr>
        <w:jc w:val="center"/>
      </w:pPr>
    </w:p>
    <w:p w14:paraId="47AC87EE" w14:textId="77777777" w:rsidR="00951F81" w:rsidRDefault="00951F81" w:rsidP="00951F81">
      <w:pPr>
        <w:jc w:val="center"/>
      </w:pPr>
    </w:p>
    <w:p w14:paraId="40E79B83" w14:textId="77777777" w:rsidR="00951F81" w:rsidRDefault="00951F81" w:rsidP="00951F81">
      <w:pPr>
        <w:jc w:val="center"/>
      </w:pPr>
    </w:p>
    <w:p w14:paraId="1045D991" w14:textId="77777777" w:rsidR="00951F81" w:rsidRDefault="00951F81" w:rsidP="00951F81">
      <w:pPr>
        <w:jc w:val="center"/>
      </w:pPr>
    </w:p>
    <w:p w14:paraId="62B85582" w14:textId="77777777" w:rsidR="00951F81" w:rsidRDefault="00951F81" w:rsidP="00951F81">
      <w:pPr>
        <w:jc w:val="center"/>
      </w:pPr>
    </w:p>
    <w:p w14:paraId="54B54127" w14:textId="77777777" w:rsidR="00951F81" w:rsidRDefault="00951F81" w:rsidP="00951F81">
      <w:pPr>
        <w:jc w:val="center"/>
      </w:pPr>
    </w:p>
    <w:p w14:paraId="489168B5" w14:textId="77777777" w:rsidR="00951F81" w:rsidRDefault="00951F81" w:rsidP="00951F81">
      <w:pPr>
        <w:jc w:val="center"/>
      </w:pPr>
    </w:p>
    <w:p w14:paraId="0D6AC50B" w14:textId="77777777" w:rsidR="00951F81" w:rsidRDefault="00951F81" w:rsidP="00951F81">
      <w:pPr>
        <w:jc w:val="center"/>
        <w:rPr>
          <w:bCs/>
        </w:rPr>
      </w:pPr>
    </w:p>
    <w:p w14:paraId="5415EFF1" w14:textId="77777777" w:rsidR="00951F81" w:rsidRDefault="00951F81" w:rsidP="00951F81">
      <w:pPr>
        <w:jc w:val="center"/>
        <w:rPr>
          <w:bCs/>
        </w:rPr>
      </w:pPr>
    </w:p>
    <w:p w14:paraId="68A2CC30" w14:textId="77777777" w:rsidR="00951F81" w:rsidRDefault="00951F81" w:rsidP="00951F81">
      <w:pPr>
        <w:jc w:val="center"/>
        <w:rPr>
          <w:bCs/>
        </w:rPr>
      </w:pPr>
    </w:p>
    <w:p w14:paraId="48802CE5" w14:textId="77777777" w:rsidR="00951F81" w:rsidRDefault="00951F81" w:rsidP="00951F81">
      <w:pPr>
        <w:jc w:val="center"/>
        <w:rPr>
          <w:bCs/>
        </w:rPr>
      </w:pPr>
    </w:p>
    <w:p w14:paraId="784736C3" w14:textId="77777777" w:rsidR="00951F81" w:rsidRDefault="00951F81" w:rsidP="00951F81">
      <w:pPr>
        <w:jc w:val="center"/>
        <w:rPr>
          <w:bCs/>
        </w:rPr>
      </w:pPr>
    </w:p>
    <w:p w14:paraId="5F0CD46B" w14:textId="77777777" w:rsidR="00951F81" w:rsidRDefault="00951F81" w:rsidP="00951F81">
      <w:pPr>
        <w:jc w:val="center"/>
        <w:rPr>
          <w:bCs/>
        </w:rPr>
      </w:pPr>
    </w:p>
    <w:p w14:paraId="0A3DF733" w14:textId="77777777" w:rsidR="00951F81" w:rsidRDefault="00951F81" w:rsidP="00951F81">
      <w:pPr>
        <w:jc w:val="center"/>
        <w:rPr>
          <w:bCs/>
        </w:rPr>
      </w:pPr>
    </w:p>
    <w:p w14:paraId="06410957" w14:textId="77777777" w:rsidR="00951F81" w:rsidRDefault="00951F81" w:rsidP="00951F81">
      <w:pPr>
        <w:jc w:val="center"/>
        <w:rPr>
          <w:bCs/>
        </w:rPr>
      </w:pPr>
    </w:p>
    <w:p w14:paraId="08100FB9" w14:textId="77777777" w:rsidR="00951F81" w:rsidRDefault="00951F81" w:rsidP="00951F81">
      <w:pPr>
        <w:jc w:val="center"/>
        <w:rPr>
          <w:bCs/>
        </w:rPr>
      </w:pPr>
    </w:p>
    <w:p w14:paraId="6B37D9C3" w14:textId="77777777" w:rsidR="00951F81" w:rsidRDefault="00951F81" w:rsidP="00951F81">
      <w:pPr>
        <w:jc w:val="center"/>
        <w:rPr>
          <w:bCs/>
        </w:rPr>
      </w:pPr>
    </w:p>
    <w:p w14:paraId="58A9F876" w14:textId="77777777" w:rsidR="00951F81" w:rsidRDefault="00951F81" w:rsidP="00951F81">
      <w:pPr>
        <w:jc w:val="center"/>
        <w:rPr>
          <w:bCs/>
        </w:rPr>
      </w:pPr>
    </w:p>
    <w:p w14:paraId="0BADB2FE" w14:textId="77777777" w:rsidR="00951F81" w:rsidRDefault="00951F81" w:rsidP="00951F81">
      <w:pPr>
        <w:jc w:val="center"/>
        <w:rPr>
          <w:bCs/>
        </w:rPr>
      </w:pPr>
    </w:p>
    <w:p w14:paraId="21B871DF" w14:textId="77777777" w:rsidR="00951F81" w:rsidRDefault="00951F81" w:rsidP="00951F81">
      <w:pPr>
        <w:jc w:val="center"/>
        <w:rPr>
          <w:bCs/>
        </w:rPr>
      </w:pPr>
    </w:p>
    <w:p w14:paraId="3BF5494F" w14:textId="77777777" w:rsidR="00951F81" w:rsidRDefault="00951F81" w:rsidP="00951F81">
      <w:pPr>
        <w:jc w:val="center"/>
        <w:rPr>
          <w:bCs/>
        </w:rPr>
      </w:pPr>
    </w:p>
    <w:p w14:paraId="4C0A389C" w14:textId="77777777" w:rsidR="00951F81" w:rsidRDefault="00951F81" w:rsidP="00951F81">
      <w:pPr>
        <w:jc w:val="center"/>
        <w:rPr>
          <w:bCs/>
        </w:rPr>
      </w:pPr>
    </w:p>
    <w:p w14:paraId="3F2A9B81" w14:textId="77777777" w:rsidR="00951F81" w:rsidRDefault="00951F81" w:rsidP="00951F81">
      <w:pPr>
        <w:jc w:val="center"/>
        <w:rPr>
          <w:b/>
          <w:bCs/>
        </w:rPr>
      </w:pPr>
      <w:r>
        <w:rPr>
          <w:b/>
        </w:rPr>
        <w:t>I LISA</w:t>
      </w:r>
    </w:p>
    <w:p w14:paraId="609C6DBE" w14:textId="77777777" w:rsidR="00951F81" w:rsidRDefault="00951F81" w:rsidP="00951F81">
      <w:pPr>
        <w:jc w:val="center"/>
        <w:rPr>
          <w:bCs/>
        </w:rPr>
      </w:pPr>
    </w:p>
    <w:p w14:paraId="6C2AEF9B" w14:textId="77777777" w:rsidR="00951F81" w:rsidRDefault="00951F81" w:rsidP="00F70A44">
      <w:pPr>
        <w:pStyle w:val="TitleA"/>
        <w:outlineLvl w:val="0"/>
      </w:pPr>
      <w:r>
        <w:t>RAVIMI OMADUSTE KOKKUVÕTE</w:t>
      </w:r>
    </w:p>
    <w:p w14:paraId="2A016801" w14:textId="77777777" w:rsidR="00974204" w:rsidRDefault="00884E6E" w:rsidP="00884E6E">
      <w:pPr>
        <w:keepNext/>
        <w:ind w:left="567" w:hanging="567"/>
      </w:pPr>
      <w:r>
        <w:lastRenderedPageBreak/>
        <w:br w:type="page"/>
      </w:r>
    </w:p>
    <w:p w14:paraId="39320650" w14:textId="7BD3F26C" w:rsidR="00974204" w:rsidRDefault="00974204" w:rsidP="00974204">
      <w:pPr>
        <w:keepNext/>
        <w:tabs>
          <w:tab w:val="clear" w:pos="567"/>
          <w:tab w:val="left" w:pos="0"/>
        </w:tabs>
      </w:pPr>
      <w:r w:rsidRPr="00974204">
        <w:rPr>
          <w:rFonts w:eastAsia="Times New Roman"/>
          <w:noProof/>
          <w:szCs w:val="20"/>
        </w:rPr>
        <w:lastRenderedPageBreak/>
        <w:drawing>
          <wp:inline distT="0" distB="0" distL="0" distR="0" wp14:anchorId="25E28375" wp14:editId="2BE821CE">
            <wp:extent cx="200025" cy="171450"/>
            <wp:effectExtent l="0" t="0" r="9525" b="0"/>
            <wp:docPr id="81562082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20829" name="Picture 2" descr="A black background with a black squar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Pr="00974204">
        <w:rPr>
          <w:rFonts w:eastAsia="Times New Roman"/>
          <w:szCs w:val="20"/>
        </w:rPr>
        <w:t>Sellele</w:t>
      </w:r>
      <w:r w:rsidRPr="00974204">
        <w:rPr>
          <w:rFonts w:eastAsia="Times New Roman"/>
          <w:szCs w:val="24"/>
        </w:rPr>
        <w:t xml:space="preserve"> ravimile kohaldatakse täiendavat järelevalvet</w:t>
      </w:r>
      <w:r w:rsidRPr="00974204">
        <w:rPr>
          <w:rFonts w:eastAsia="Times New Roman"/>
          <w:noProof/>
          <w:szCs w:val="24"/>
        </w:rPr>
        <w:t>, mis võimaldab kiiresti tuvastada uut ohutusteavet.</w:t>
      </w:r>
      <w:r w:rsidRPr="00974204">
        <w:rPr>
          <w:rFonts w:eastAsia="Times New Roman"/>
          <w:szCs w:val="24"/>
        </w:rPr>
        <w:t xml:space="preserve"> </w:t>
      </w:r>
      <w:r w:rsidRPr="00974204">
        <w:rPr>
          <w:rFonts w:eastAsia="Times New Roman"/>
          <w:noProof/>
          <w:szCs w:val="24"/>
        </w:rPr>
        <w:t>Tervishoiutöötajatel palutakse teatada kõigist võimalikest kõrvaltoimetest.</w:t>
      </w:r>
      <w:r w:rsidRPr="00974204">
        <w:rPr>
          <w:rFonts w:eastAsia="Times New Roman"/>
          <w:szCs w:val="24"/>
        </w:rPr>
        <w:t xml:space="preserve"> K</w:t>
      </w:r>
      <w:r w:rsidRPr="00974204">
        <w:rPr>
          <w:rFonts w:eastAsia="Times New Roman"/>
          <w:noProof/>
          <w:szCs w:val="24"/>
        </w:rPr>
        <w:t>õrvaltoimetest teatamise kohta vt lõik 4.8.</w:t>
      </w:r>
    </w:p>
    <w:p w14:paraId="50F960E5" w14:textId="77777777" w:rsidR="00974204" w:rsidRDefault="00974204" w:rsidP="00884E6E">
      <w:pPr>
        <w:keepNext/>
        <w:ind w:left="567" w:hanging="567"/>
      </w:pPr>
    </w:p>
    <w:p w14:paraId="484D94ED" w14:textId="70F06256" w:rsidR="00951F81" w:rsidRDefault="00884E6E" w:rsidP="00884E6E">
      <w:pPr>
        <w:keepNext/>
        <w:ind w:left="567" w:hanging="567"/>
      </w:pPr>
      <w:r>
        <w:rPr>
          <w:b/>
        </w:rPr>
        <w:t>1.</w:t>
      </w:r>
      <w:r>
        <w:rPr>
          <w:b/>
        </w:rPr>
        <w:tab/>
        <w:t>RAVIMPREPARAADI NIMETUS</w:t>
      </w:r>
    </w:p>
    <w:p w14:paraId="6357290E" w14:textId="77777777" w:rsidR="00951F81" w:rsidRDefault="00951F81" w:rsidP="00951F81">
      <w:pPr>
        <w:keepNext/>
      </w:pPr>
    </w:p>
    <w:p w14:paraId="21CED993" w14:textId="575B9024" w:rsidR="00951F81" w:rsidRDefault="00974204" w:rsidP="00951F81">
      <w:r>
        <w:t>Kefdensis</w:t>
      </w:r>
      <w:r w:rsidR="00951F81">
        <w:t xml:space="preserve"> 60 mg süstelahus süstlis</w:t>
      </w:r>
    </w:p>
    <w:p w14:paraId="177DADED" w14:textId="77777777" w:rsidR="00951F81" w:rsidRDefault="00951F81" w:rsidP="00951F81"/>
    <w:p w14:paraId="4B86288D" w14:textId="77777777" w:rsidR="00951F81" w:rsidRDefault="00951F81" w:rsidP="00951F81"/>
    <w:p w14:paraId="74CE7FB0" w14:textId="77777777" w:rsidR="00951F81" w:rsidRDefault="00951F81" w:rsidP="00951F81">
      <w:pPr>
        <w:keepNext/>
        <w:ind w:left="567" w:hanging="567"/>
      </w:pPr>
      <w:r>
        <w:rPr>
          <w:b/>
        </w:rPr>
        <w:t>2.</w:t>
      </w:r>
      <w:r>
        <w:rPr>
          <w:b/>
        </w:rPr>
        <w:tab/>
        <w:t>KVALITATIIVNE JA KVANTITATIIVNE KOOSTIS</w:t>
      </w:r>
    </w:p>
    <w:p w14:paraId="3105744E" w14:textId="77777777" w:rsidR="00951F81" w:rsidRDefault="00951F81" w:rsidP="00951F81">
      <w:pPr>
        <w:keepNext/>
      </w:pPr>
    </w:p>
    <w:p w14:paraId="394BA76F" w14:textId="10629B4B" w:rsidR="00951F81" w:rsidRDefault="004C5314" w:rsidP="00951F81">
      <w:r>
        <w:t>Üks</w:t>
      </w:r>
      <w:r w:rsidR="00951F81">
        <w:t xml:space="preserve"> süstel sisaldab 60 mg denosumabi 1 ml lahuses (60 mg/ml).</w:t>
      </w:r>
    </w:p>
    <w:p w14:paraId="266311A9" w14:textId="77777777" w:rsidR="00951F81" w:rsidRDefault="00951F81" w:rsidP="00951F81"/>
    <w:p w14:paraId="41A94D0C" w14:textId="77777777" w:rsidR="00951F81" w:rsidRDefault="00951F81" w:rsidP="00951F81">
      <w:r>
        <w:t>Denosumab on inimese monoklonaalne IgG2 antikeha, mis on toodetud imetaja rakuliinis (hiina hamstri munasarjarakud) rekombinantse DNA tehnoloogia abil.</w:t>
      </w:r>
    </w:p>
    <w:p w14:paraId="4FE28F04" w14:textId="77777777" w:rsidR="00951F81" w:rsidRDefault="00951F81" w:rsidP="00951F81"/>
    <w:p w14:paraId="41957CEC" w14:textId="77777777" w:rsidR="00951F81" w:rsidRDefault="00951F81" w:rsidP="00951F81">
      <w:r>
        <w:t>Abiainete täielik loetelu vt lõik 6.1.</w:t>
      </w:r>
    </w:p>
    <w:p w14:paraId="1EE635DD" w14:textId="77777777" w:rsidR="00951F81" w:rsidRDefault="00951F81" w:rsidP="00951F81"/>
    <w:p w14:paraId="00AD27BF" w14:textId="77777777" w:rsidR="00951F81" w:rsidRDefault="00951F81" w:rsidP="00951F81"/>
    <w:p w14:paraId="0DDA704E" w14:textId="77777777" w:rsidR="00951F81" w:rsidRDefault="00951F81" w:rsidP="00951F81">
      <w:pPr>
        <w:keepNext/>
        <w:ind w:left="567" w:hanging="567"/>
        <w:rPr>
          <w:b/>
        </w:rPr>
      </w:pPr>
      <w:r>
        <w:rPr>
          <w:b/>
        </w:rPr>
        <w:t>3.</w:t>
      </w:r>
      <w:r>
        <w:rPr>
          <w:b/>
        </w:rPr>
        <w:tab/>
        <w:t>RAVIMVORM</w:t>
      </w:r>
    </w:p>
    <w:p w14:paraId="1013105F" w14:textId="77777777" w:rsidR="00951F81" w:rsidRDefault="00951F81" w:rsidP="00951F81">
      <w:pPr>
        <w:keepNext/>
      </w:pPr>
    </w:p>
    <w:p w14:paraId="4667B5AF" w14:textId="77777777" w:rsidR="00951F81" w:rsidRDefault="00951F81" w:rsidP="00951F81">
      <w:r>
        <w:t>Süstelahus.</w:t>
      </w:r>
    </w:p>
    <w:p w14:paraId="13B1E05E" w14:textId="77777777" w:rsidR="00951F81" w:rsidRDefault="00951F81" w:rsidP="00951F81"/>
    <w:p w14:paraId="29F93397" w14:textId="31EC566D" w:rsidR="00951F81" w:rsidRDefault="00951F81" w:rsidP="00951F81">
      <w:r>
        <w:t>Selge, värvitu kuni kergelt kollane lahus</w:t>
      </w:r>
      <w:r w:rsidR="00736F36" w:rsidRPr="00736F36">
        <w:t xml:space="preserve">, mille pH on </w:t>
      </w:r>
      <w:r w:rsidR="00A305BB" w:rsidRPr="00A305BB">
        <w:t xml:space="preserve">5,9…6,5 </w:t>
      </w:r>
      <w:r w:rsidR="00736F36" w:rsidRPr="00736F36">
        <w:t>ja osmolaalsus 270</w:t>
      </w:r>
      <w:r w:rsidR="009D0905">
        <w:t>...</w:t>
      </w:r>
      <w:r w:rsidR="00736F36" w:rsidRPr="00736F36">
        <w:t>330 mOsm/kg</w:t>
      </w:r>
      <w:r>
        <w:t>.</w:t>
      </w:r>
    </w:p>
    <w:p w14:paraId="583CFF98" w14:textId="77777777" w:rsidR="00951F81" w:rsidRDefault="00951F81" w:rsidP="00951F81"/>
    <w:p w14:paraId="37265EF5" w14:textId="77777777" w:rsidR="00951F81" w:rsidRDefault="00951F81" w:rsidP="00951F81"/>
    <w:p w14:paraId="5615B6B1" w14:textId="77777777" w:rsidR="00951F81" w:rsidRDefault="00951F81" w:rsidP="00951F81">
      <w:pPr>
        <w:keepNext/>
        <w:ind w:left="567" w:hanging="567"/>
        <w:rPr>
          <w:b/>
        </w:rPr>
      </w:pPr>
      <w:r>
        <w:rPr>
          <w:b/>
        </w:rPr>
        <w:t>4.</w:t>
      </w:r>
      <w:r>
        <w:rPr>
          <w:b/>
        </w:rPr>
        <w:tab/>
        <w:t>KLIINILISED ANDMED</w:t>
      </w:r>
    </w:p>
    <w:p w14:paraId="1A0E8E67" w14:textId="77777777" w:rsidR="00951F81" w:rsidRDefault="00951F81" w:rsidP="00951F81">
      <w:pPr>
        <w:keepNext/>
      </w:pPr>
    </w:p>
    <w:p w14:paraId="3B79C0B0" w14:textId="5106B194" w:rsidR="00951F81" w:rsidRDefault="00951F81" w:rsidP="00F70A44">
      <w:pPr>
        <w:keepNext/>
        <w:tabs>
          <w:tab w:val="clear" w:pos="567"/>
        </w:tabs>
        <w:ind w:left="562" w:hanging="562"/>
        <w:rPr>
          <w:b/>
        </w:rPr>
      </w:pPr>
      <w:r>
        <w:rPr>
          <w:b/>
        </w:rPr>
        <w:t>4.1</w:t>
      </w:r>
      <w:r>
        <w:rPr>
          <w:b/>
        </w:rPr>
        <w:tab/>
        <w:t>Näidustused</w:t>
      </w:r>
    </w:p>
    <w:p w14:paraId="48E1ED6A" w14:textId="77777777" w:rsidR="00951F81" w:rsidRDefault="00951F81" w:rsidP="00951F81">
      <w:pPr>
        <w:keepNext/>
      </w:pPr>
    </w:p>
    <w:p w14:paraId="1E5DCE4E" w14:textId="73D6AC89" w:rsidR="00951F81" w:rsidRDefault="00951F81" w:rsidP="00951F81">
      <w:r>
        <w:t xml:space="preserve">Osteoporoosi ravi naistel menopausijärgses eas ja meestel, kellel on suurenenud risk luumurdude tekkeks. </w:t>
      </w:r>
      <w:r w:rsidR="00974204">
        <w:t>Kefdensis</w:t>
      </w:r>
      <w:r>
        <w:t xml:space="preserve"> vähendab olulisel määral lülisamba</w:t>
      </w:r>
      <w:r>
        <w:noBreakHyphen/>
        <w:t xml:space="preserve">, </w:t>
      </w:r>
      <w:r w:rsidR="00557751">
        <w:t>teiste luustiku</w:t>
      </w:r>
      <w:r>
        <w:noBreakHyphen/>
        <w:t xml:space="preserve"> ja </w:t>
      </w:r>
      <w:r w:rsidR="00557751">
        <w:t>reieluukaela</w:t>
      </w:r>
      <w:r>
        <w:t>murdude riski menopausijärgses eas naistel.</w:t>
      </w:r>
    </w:p>
    <w:p w14:paraId="0FC0552A" w14:textId="77777777" w:rsidR="00951F81" w:rsidRDefault="00951F81" w:rsidP="00951F81"/>
    <w:p w14:paraId="608FE307" w14:textId="0286F6D0" w:rsidR="00951F81" w:rsidRDefault="00951F81" w:rsidP="00951F81">
      <w:r>
        <w:t xml:space="preserve">Luukao ravi meestel, kellel on suurenenud risk luumurdude tekkeks seoses hormoonablatsiooniga eesnäärmevähi raviks (vt lõik 5.1). </w:t>
      </w:r>
      <w:r w:rsidR="00557751">
        <w:t>Kefdensis vähendab olulisel määral lülisambamurdude riski e</w:t>
      </w:r>
      <w:r>
        <w:t>esnäärmevähi tõttu hormoonablatsioonravi saavatel meestel.</w:t>
      </w:r>
    </w:p>
    <w:p w14:paraId="0B057B48" w14:textId="77777777" w:rsidR="00951F81" w:rsidRDefault="00951F81" w:rsidP="00951F81"/>
    <w:p w14:paraId="6C5736AC" w14:textId="77777777" w:rsidR="00951F81" w:rsidRDefault="00951F81" w:rsidP="00951F81">
      <w:r>
        <w:t>Luukao ravi täiskasvanud patsientidel, kellel on suurenenud risk luumurdude tekkeks seoses pikaajalise glükokortikoidraviga (vt lõik 5.1).</w:t>
      </w:r>
    </w:p>
    <w:p w14:paraId="68D94331" w14:textId="77777777" w:rsidR="00951F81" w:rsidRDefault="00951F81" w:rsidP="00951F81"/>
    <w:p w14:paraId="71F39F6A" w14:textId="77777777" w:rsidR="00951F81" w:rsidRDefault="00951F81" w:rsidP="00951F81">
      <w:pPr>
        <w:keepNext/>
        <w:ind w:left="567" w:hanging="567"/>
        <w:rPr>
          <w:b/>
        </w:rPr>
      </w:pPr>
      <w:r>
        <w:rPr>
          <w:b/>
        </w:rPr>
        <w:t>4.2</w:t>
      </w:r>
      <w:r>
        <w:rPr>
          <w:b/>
        </w:rPr>
        <w:tab/>
        <w:t>Annustamine ja manustamisviis</w:t>
      </w:r>
    </w:p>
    <w:p w14:paraId="2A37A5F0" w14:textId="77777777" w:rsidR="00951F81" w:rsidRDefault="00951F81" w:rsidP="00951F81">
      <w:pPr>
        <w:keepNext/>
      </w:pPr>
    </w:p>
    <w:p w14:paraId="33E5A88D" w14:textId="77777777" w:rsidR="00951F81" w:rsidRDefault="00951F81" w:rsidP="00951F81">
      <w:pPr>
        <w:keepNext/>
        <w:rPr>
          <w:u w:val="single"/>
        </w:rPr>
      </w:pPr>
      <w:r>
        <w:rPr>
          <w:u w:val="single"/>
        </w:rPr>
        <w:t>Annustamine</w:t>
      </w:r>
    </w:p>
    <w:p w14:paraId="0C800430" w14:textId="77777777" w:rsidR="00951F81" w:rsidRDefault="00951F81" w:rsidP="00951F81">
      <w:pPr>
        <w:keepNext/>
      </w:pPr>
    </w:p>
    <w:p w14:paraId="262D6C8C" w14:textId="77777777" w:rsidR="00951F81" w:rsidRDefault="00951F81" w:rsidP="00951F81">
      <w:r>
        <w:t>Soovitatav annus on 60 mg denosumabi, manustatuna iga 6 kuu järel ühekordse nahaaluse süstena reide, kõhupiirkonda või õlavarde.</w:t>
      </w:r>
    </w:p>
    <w:p w14:paraId="37A9F8CC" w14:textId="77777777" w:rsidR="00951F81" w:rsidRDefault="00951F81" w:rsidP="00951F81"/>
    <w:p w14:paraId="0EBA7DF5" w14:textId="77777777" w:rsidR="00951F81" w:rsidRDefault="00951F81" w:rsidP="00951F81">
      <w:r>
        <w:t>Patsiendid peavad saama täiendavalt vajalikul määral kaltsiumi ja D</w:t>
      </w:r>
      <w:r>
        <w:noBreakHyphen/>
        <w:t>vitamiini (vt lõik 4.4).</w:t>
      </w:r>
    </w:p>
    <w:p w14:paraId="237EDD4C" w14:textId="77777777" w:rsidR="00951F81" w:rsidRDefault="00951F81" w:rsidP="00951F81"/>
    <w:p w14:paraId="54FC766A" w14:textId="406A145D" w:rsidR="00951F81" w:rsidRDefault="00951F81" w:rsidP="00951F81">
      <w:r>
        <w:t xml:space="preserve">Patsientidele, kes saavad ravi </w:t>
      </w:r>
      <w:r w:rsidR="00974204">
        <w:t>Kefdensis</w:t>
      </w:r>
      <w:r w:rsidR="00EB5669">
        <w:t>’ega</w:t>
      </w:r>
      <w:r>
        <w:t>, tuleb anda pakendi infoleht ja patsiendi meelespea.</w:t>
      </w:r>
    </w:p>
    <w:p w14:paraId="7457971F" w14:textId="77777777" w:rsidR="00951F81" w:rsidRDefault="00951F81" w:rsidP="00951F81"/>
    <w:p w14:paraId="5F4D7F90" w14:textId="77777777" w:rsidR="00951F81" w:rsidRDefault="00951F81" w:rsidP="00951F81">
      <w:r>
        <w:t>Osteoporoosi antiresorptiivse ravi optimaalne kestus (nii denosumabi kui bisfosfonaatidega) ei ole kindlaks tehtud. Jätkuva ravi vajadust peab denosumabi kasulikkuse ja potentsiaalsete riskide põhjal igal patsiendil individuaalselt perioodiliselt uuesti hindama, eriti pärast 5</w:t>
      </w:r>
      <w:r>
        <w:noBreakHyphen/>
        <w:t>aastast või pikemat ravi (vt lõik 4.4).</w:t>
      </w:r>
    </w:p>
    <w:p w14:paraId="3B23A888" w14:textId="77777777" w:rsidR="00951F81" w:rsidRDefault="00951F81" w:rsidP="00951F81"/>
    <w:p w14:paraId="62052E7D" w14:textId="0EB74D00" w:rsidR="00951F81" w:rsidRDefault="00951F81" w:rsidP="00951F81">
      <w:pPr>
        <w:keepNext/>
        <w:tabs>
          <w:tab w:val="clear" w:pos="567"/>
        </w:tabs>
        <w:rPr>
          <w:i/>
          <w:iCs/>
        </w:rPr>
      </w:pPr>
      <w:r>
        <w:rPr>
          <w:i/>
        </w:rPr>
        <w:t>Eakad (vanus ≥ 65 aasta)</w:t>
      </w:r>
    </w:p>
    <w:p w14:paraId="7BD55D61" w14:textId="77777777" w:rsidR="00951F81" w:rsidRDefault="00951F81" w:rsidP="00951F81">
      <w:r>
        <w:t>Eakatel patsientidel ei ole annuse kohandamine vajalik.</w:t>
      </w:r>
    </w:p>
    <w:p w14:paraId="436C48A0" w14:textId="77777777" w:rsidR="00951F81" w:rsidRDefault="00951F81" w:rsidP="00951F81"/>
    <w:p w14:paraId="2C2AFBAA" w14:textId="77777777" w:rsidR="00951F81" w:rsidRDefault="00951F81" w:rsidP="00951F81">
      <w:pPr>
        <w:keepNext/>
        <w:tabs>
          <w:tab w:val="clear" w:pos="567"/>
        </w:tabs>
        <w:rPr>
          <w:i/>
          <w:iCs/>
        </w:rPr>
      </w:pPr>
      <w:r>
        <w:rPr>
          <w:i/>
        </w:rPr>
        <w:t>Neerukahjustus</w:t>
      </w:r>
    </w:p>
    <w:p w14:paraId="080584EC" w14:textId="77777777" w:rsidR="00951F81" w:rsidRDefault="00951F81" w:rsidP="00951F81">
      <w:r>
        <w:t>Neerukahjustusega patsientidel ei ole annuse kohandamine vajalik (vt lõik 4.4 soovitused kaltsiumisisalduse jälgimiseks).</w:t>
      </w:r>
    </w:p>
    <w:p w14:paraId="56C9153E" w14:textId="77777777" w:rsidR="00951F81" w:rsidRDefault="00951F81" w:rsidP="00951F81"/>
    <w:p w14:paraId="7B40DE9C" w14:textId="68542990" w:rsidR="00951F81" w:rsidRDefault="00951F81" w:rsidP="00951F81">
      <w:r>
        <w:t xml:space="preserve">Pikaajalist süsteemset glükokortikoidravi saavate ja raske neerukahjustusega </w:t>
      </w:r>
      <w:r w:rsidR="001E5667">
        <w:t>(</w:t>
      </w:r>
      <w:r w:rsidR="003F3BC7" w:rsidRPr="003F3BC7">
        <w:t xml:space="preserve">glomerulaarfiltratsiooni kiirus, </w:t>
      </w:r>
      <w:r>
        <w:t>GFR &lt; 30 ml/min) patsientide kohta andmed puuduvad.</w:t>
      </w:r>
    </w:p>
    <w:p w14:paraId="02A906E1" w14:textId="77777777" w:rsidR="00951F81" w:rsidRDefault="00951F81" w:rsidP="00951F81"/>
    <w:p w14:paraId="29799120" w14:textId="77777777" w:rsidR="00951F81" w:rsidRDefault="00951F81" w:rsidP="00951F81">
      <w:pPr>
        <w:keepNext/>
        <w:tabs>
          <w:tab w:val="clear" w:pos="567"/>
        </w:tabs>
        <w:rPr>
          <w:i/>
          <w:iCs/>
        </w:rPr>
      </w:pPr>
      <w:r>
        <w:rPr>
          <w:i/>
        </w:rPr>
        <w:t>Maksakahjustus</w:t>
      </w:r>
    </w:p>
    <w:p w14:paraId="37C1329F" w14:textId="77777777" w:rsidR="00951F81" w:rsidRDefault="00951F81" w:rsidP="00951F81">
      <w:r>
        <w:t>Denosumabi efektiivsust ja ohutust ei ole uuritud maksakahjustusega patsientidel (vt lõik 5.2).</w:t>
      </w:r>
    </w:p>
    <w:p w14:paraId="09BFDEDF" w14:textId="77777777" w:rsidR="00951F81" w:rsidRDefault="00951F81" w:rsidP="00951F81"/>
    <w:p w14:paraId="20D5D413" w14:textId="77777777" w:rsidR="00951F81" w:rsidRDefault="00951F81" w:rsidP="00951F81">
      <w:pPr>
        <w:keepNext/>
        <w:tabs>
          <w:tab w:val="clear" w:pos="567"/>
        </w:tabs>
        <w:rPr>
          <w:i/>
          <w:iCs/>
        </w:rPr>
      </w:pPr>
      <w:r>
        <w:rPr>
          <w:i/>
        </w:rPr>
        <w:t>Lapsed</w:t>
      </w:r>
    </w:p>
    <w:p w14:paraId="4635A62F" w14:textId="36A28C8D" w:rsidR="00951F81" w:rsidRDefault="00974204" w:rsidP="00951F81">
      <w:r>
        <w:t>Kefdensis</w:t>
      </w:r>
      <w:r w:rsidR="00951F81">
        <w:t>’t ei soovitata kasutada lastel vanuses &lt; 18 aastat ohutusprobleemide tõttu, mis on seotud raske hüperkaltseemia ning võimaliku luukasvu pärssimise ja hammaste mittelõikumisega (vt lõigud 4.4 ja 5.3). 2...17</w:t>
      </w:r>
      <w:r w:rsidR="00951F81">
        <w:noBreakHyphen/>
        <w:t>aastaste laste kohta antud hetkel teadaolevad andmed on esitatud lõikudes 5.1 ja</w:t>
      </w:r>
      <w:r w:rsidR="006C38A3">
        <w:t> </w:t>
      </w:r>
      <w:r w:rsidR="00951F81">
        <w:t>5.2.</w:t>
      </w:r>
    </w:p>
    <w:p w14:paraId="13352548" w14:textId="77777777" w:rsidR="00951F81" w:rsidRDefault="00951F81" w:rsidP="00951F81"/>
    <w:p w14:paraId="78E3E437" w14:textId="77777777" w:rsidR="00951F81" w:rsidRDefault="00951F81" w:rsidP="00951F81">
      <w:pPr>
        <w:keepNext/>
        <w:rPr>
          <w:u w:val="single"/>
        </w:rPr>
      </w:pPr>
      <w:r>
        <w:rPr>
          <w:u w:val="single"/>
        </w:rPr>
        <w:t>Manustamisviis</w:t>
      </w:r>
    </w:p>
    <w:p w14:paraId="59B70080" w14:textId="77777777" w:rsidR="00951F81" w:rsidRDefault="00951F81" w:rsidP="00951F81">
      <w:pPr>
        <w:keepNext/>
      </w:pPr>
    </w:p>
    <w:p w14:paraId="5C9B0557" w14:textId="77777777" w:rsidR="00951F81" w:rsidRDefault="00951F81" w:rsidP="00951F81">
      <w:r>
        <w:t>Subkutaanne.</w:t>
      </w:r>
    </w:p>
    <w:p w14:paraId="4228C873" w14:textId="77777777" w:rsidR="00951F81" w:rsidRDefault="00951F81" w:rsidP="00951F81"/>
    <w:p w14:paraId="319EC88F" w14:textId="77777777" w:rsidR="00951F81" w:rsidRDefault="00951F81" w:rsidP="00951F81">
      <w:r>
        <w:t>Ravimit peab manustama isik, kes on saanud piisava koolituse süstimistehnika alal.</w:t>
      </w:r>
    </w:p>
    <w:p w14:paraId="3380D531" w14:textId="77777777" w:rsidR="00951F81" w:rsidRDefault="00951F81" w:rsidP="00951F81"/>
    <w:p w14:paraId="707F77F6" w14:textId="77777777" w:rsidR="00951F81" w:rsidRDefault="00951F81" w:rsidP="00951F81">
      <w:r>
        <w:t>Juhised manustamiseks, käsitsemiseks ja hävitamiseks on antud lõigus 6.6.</w:t>
      </w:r>
    </w:p>
    <w:p w14:paraId="652A1D4A" w14:textId="77777777" w:rsidR="00951F81" w:rsidRDefault="00951F81" w:rsidP="00951F81"/>
    <w:p w14:paraId="1BB282B7" w14:textId="77777777" w:rsidR="00951F81" w:rsidRDefault="00951F81" w:rsidP="00951F81">
      <w:pPr>
        <w:keepNext/>
        <w:ind w:left="567" w:hanging="567"/>
        <w:rPr>
          <w:b/>
        </w:rPr>
      </w:pPr>
      <w:r>
        <w:rPr>
          <w:b/>
        </w:rPr>
        <w:t>4.3</w:t>
      </w:r>
      <w:r>
        <w:rPr>
          <w:b/>
        </w:rPr>
        <w:tab/>
        <w:t>Vastunäidustused</w:t>
      </w:r>
    </w:p>
    <w:p w14:paraId="2A4D705D" w14:textId="77777777" w:rsidR="00951F81" w:rsidRDefault="00951F81" w:rsidP="00951F81">
      <w:pPr>
        <w:keepNext/>
      </w:pPr>
    </w:p>
    <w:p w14:paraId="77DC5701" w14:textId="77777777" w:rsidR="00951F81" w:rsidRDefault="00951F81" w:rsidP="00951F81">
      <w:r>
        <w:t>Ülitundlikkus toimeaine või lõigus 6.1 loetletud mis tahes abiaine suhtes.</w:t>
      </w:r>
    </w:p>
    <w:p w14:paraId="5B02BC8B" w14:textId="77777777" w:rsidR="00951F81" w:rsidRDefault="00951F81" w:rsidP="00951F81"/>
    <w:p w14:paraId="13081204" w14:textId="77777777" w:rsidR="00951F81" w:rsidRDefault="00951F81" w:rsidP="00951F81">
      <w:r>
        <w:t>Hüpokaltseemia (vt lõik 4.4).</w:t>
      </w:r>
    </w:p>
    <w:p w14:paraId="37A7DE0C" w14:textId="77777777" w:rsidR="00951F81" w:rsidRDefault="00951F81" w:rsidP="00951F81"/>
    <w:p w14:paraId="3DFE4DD9" w14:textId="77777777" w:rsidR="00951F81" w:rsidRDefault="00951F81" w:rsidP="00951F81">
      <w:pPr>
        <w:keepNext/>
        <w:ind w:left="567" w:hanging="567"/>
        <w:rPr>
          <w:b/>
        </w:rPr>
      </w:pPr>
      <w:r>
        <w:rPr>
          <w:b/>
        </w:rPr>
        <w:t>4.4</w:t>
      </w:r>
      <w:r>
        <w:rPr>
          <w:b/>
        </w:rPr>
        <w:tab/>
        <w:t>Erihoiatused ja ettevaatusabinõud kasutamisel</w:t>
      </w:r>
    </w:p>
    <w:p w14:paraId="5FFD4F5A" w14:textId="77777777" w:rsidR="00951F81" w:rsidRDefault="00951F81" w:rsidP="00951F81">
      <w:pPr>
        <w:keepNext/>
      </w:pPr>
    </w:p>
    <w:p w14:paraId="13DA2184" w14:textId="77777777" w:rsidR="00951F81" w:rsidRDefault="00951F81" w:rsidP="00951F81">
      <w:pPr>
        <w:pStyle w:val="Style11ptunderlined"/>
      </w:pPr>
      <w:r>
        <w:t>Jälgitavus</w:t>
      </w:r>
    </w:p>
    <w:p w14:paraId="3244750F" w14:textId="77777777" w:rsidR="00951F81" w:rsidRDefault="00951F81" w:rsidP="00951F81">
      <w:pPr>
        <w:keepNext/>
      </w:pPr>
    </w:p>
    <w:p w14:paraId="074B8B75" w14:textId="77777777" w:rsidR="00951F81" w:rsidRDefault="00951F81" w:rsidP="00951F81">
      <w:r>
        <w:t>Bioloogiliste ravimpreparaatide jälgitavuse parandamiseks tuleb manustatava ravimi nimi ja partii number selgelt dokumenteerida.</w:t>
      </w:r>
    </w:p>
    <w:p w14:paraId="7831B428" w14:textId="77777777" w:rsidR="00951F81" w:rsidRDefault="00951F81" w:rsidP="00951F81"/>
    <w:p w14:paraId="25D96CA0" w14:textId="77777777" w:rsidR="00951F81" w:rsidRDefault="00951F81" w:rsidP="00951F81">
      <w:pPr>
        <w:keepNext/>
        <w:rPr>
          <w:u w:val="single"/>
        </w:rPr>
      </w:pPr>
      <w:r>
        <w:rPr>
          <w:u w:val="single"/>
        </w:rPr>
        <w:t>Kaltsiumi ja D</w:t>
      </w:r>
      <w:r>
        <w:rPr>
          <w:u w:val="single"/>
        </w:rPr>
        <w:noBreakHyphen/>
        <w:t>vitamiini täiendav manustamine</w:t>
      </w:r>
    </w:p>
    <w:p w14:paraId="212906FA" w14:textId="77777777" w:rsidR="00951F81" w:rsidRDefault="00951F81" w:rsidP="00951F81">
      <w:pPr>
        <w:keepNext/>
      </w:pPr>
    </w:p>
    <w:p w14:paraId="3DFD57EC" w14:textId="77777777" w:rsidR="00951F81" w:rsidRDefault="00951F81" w:rsidP="00951F81">
      <w:r>
        <w:t>Piisav kaltsiumi ja D</w:t>
      </w:r>
      <w:r>
        <w:noBreakHyphen/>
        <w:t>vitamiini saamine on tähtis kõikide patsientide puhul.</w:t>
      </w:r>
    </w:p>
    <w:p w14:paraId="3B22CDEE" w14:textId="77777777" w:rsidR="00951F81" w:rsidRDefault="00951F81" w:rsidP="00951F81"/>
    <w:p w14:paraId="4142EB18" w14:textId="77777777" w:rsidR="00951F81" w:rsidRDefault="00951F81" w:rsidP="00951F81">
      <w:pPr>
        <w:keepNext/>
        <w:rPr>
          <w:u w:val="single"/>
        </w:rPr>
      </w:pPr>
      <w:r>
        <w:rPr>
          <w:u w:val="single"/>
        </w:rPr>
        <w:t>Ettevaatusabinõud kasutamisel</w:t>
      </w:r>
    </w:p>
    <w:p w14:paraId="3F41C412" w14:textId="77777777" w:rsidR="00951F81" w:rsidRDefault="00951F81" w:rsidP="00951F81">
      <w:pPr>
        <w:keepNext/>
      </w:pPr>
    </w:p>
    <w:p w14:paraId="590BC3E6" w14:textId="77777777" w:rsidR="00951F81" w:rsidRDefault="00951F81" w:rsidP="00951F81">
      <w:pPr>
        <w:keepNext/>
        <w:tabs>
          <w:tab w:val="clear" w:pos="567"/>
        </w:tabs>
        <w:rPr>
          <w:i/>
          <w:iCs/>
        </w:rPr>
      </w:pPr>
      <w:r>
        <w:rPr>
          <w:i/>
        </w:rPr>
        <w:t>Hüpokaltseemia</w:t>
      </w:r>
    </w:p>
    <w:p w14:paraId="336734D5" w14:textId="591A1C27" w:rsidR="00951F81" w:rsidRDefault="00951F81" w:rsidP="00951F81">
      <w:r>
        <w:t>On tähtis teha kindlaks patsiendid, kellel on oht hüpokaltseemia tekkeks. Hüpokaltseemia tuleb korrigeerida piisava kaltsiumi ja D</w:t>
      </w:r>
      <w:r>
        <w:noBreakHyphen/>
        <w:t>vitamiini manustamisega enne ravi alustamist. Enne igat annust on soovitatav kliiniliselt kontrollida vere kaltsiumisisaldust ning hüpokaltseemiasoodumusega patsientidel kahe nädala jooksul pärast esimest annust. Kui mõnel patsiendil tekivad ravi ajal võimalikule hüpokaltseemiale viitavad sümptomid (sümptomid vt lõik 4.8), peab mõõtma kaltsiumisisaldust. Patsientidele tuleb soovitada, et nad teavitaksid hüpokaltseemiale viitavatest sümptomitest.</w:t>
      </w:r>
    </w:p>
    <w:p w14:paraId="1962A6E6" w14:textId="77777777" w:rsidR="00951F81" w:rsidRDefault="00951F81" w:rsidP="00951F81"/>
    <w:p w14:paraId="78A97F06" w14:textId="5F4F726F" w:rsidR="00951F81" w:rsidRDefault="00951F81" w:rsidP="00951F81">
      <w:r>
        <w:t>Turuletulekujärgselt on teatatud raskest sümptomaatilisest hüpokaltseemiast (hospitaliseerimise, eluohtlike kõrvaltoimete ja surmaga lõppenud juhud). Ehkki enamik juhtudest tekkis esimestel nädalatel ravi alguses, esines neid ka hiljem.</w:t>
      </w:r>
    </w:p>
    <w:p w14:paraId="1C38938F" w14:textId="77777777" w:rsidR="00951F81" w:rsidRDefault="00951F81" w:rsidP="00951F81"/>
    <w:p w14:paraId="4181A8B8" w14:textId="77777777" w:rsidR="00951F81" w:rsidRDefault="00951F81" w:rsidP="00951F81">
      <w:r>
        <w:t>Samaaegne glükokortikoidravi on hüpokaltseemia täiendav ohutegur.</w:t>
      </w:r>
    </w:p>
    <w:p w14:paraId="26327788" w14:textId="77777777" w:rsidR="00951F81" w:rsidRDefault="00951F81" w:rsidP="00951F81"/>
    <w:p w14:paraId="79206A54" w14:textId="77777777" w:rsidR="00951F81" w:rsidRDefault="00951F81" w:rsidP="00951F81">
      <w:pPr>
        <w:keepNext/>
        <w:tabs>
          <w:tab w:val="clear" w:pos="567"/>
        </w:tabs>
        <w:rPr>
          <w:i/>
          <w:iCs/>
        </w:rPr>
      </w:pPr>
      <w:r>
        <w:rPr>
          <w:i/>
        </w:rPr>
        <w:t>Neerukahjustus</w:t>
      </w:r>
    </w:p>
    <w:p w14:paraId="6B9C151E" w14:textId="77777777" w:rsidR="00951F81" w:rsidRDefault="00951F81" w:rsidP="00951F81">
      <w:r>
        <w:t>Raske neerukahjustusega patsientidel (kreatiniini kliirens &lt; 30 ml/min) või dialüüsravi saavatel patsientidel on suurem oht hüpokaltseemia tekkeks. Oht hüpokaltseemia tekkeks koos kaasuva kõrvalkilpnäärmehormoonide sisalduse suurenemisega suureneb koos neerukahjustuse süvenemisega. Teatatud on rasketest ja surmaga lõppenud juhtudest. Selliste patsientide puhul on eriti oluline kaltsiumi ja D</w:t>
      </w:r>
      <w:r>
        <w:noBreakHyphen/>
        <w:t>vitamiini piisav manustamine ning kaltsiumisisalduse regulaarne jälgimine, vt eespool.</w:t>
      </w:r>
    </w:p>
    <w:p w14:paraId="5DE322CC" w14:textId="77777777" w:rsidR="00951F81" w:rsidRDefault="00951F81" w:rsidP="00951F81"/>
    <w:p w14:paraId="6DBAD289" w14:textId="77777777" w:rsidR="00951F81" w:rsidRDefault="00951F81" w:rsidP="00951F81">
      <w:pPr>
        <w:keepNext/>
        <w:tabs>
          <w:tab w:val="clear" w:pos="567"/>
        </w:tabs>
        <w:rPr>
          <w:i/>
          <w:iCs/>
        </w:rPr>
      </w:pPr>
      <w:r>
        <w:rPr>
          <w:i/>
        </w:rPr>
        <w:t>Nahainfektsioonid</w:t>
      </w:r>
    </w:p>
    <w:p w14:paraId="332BB739" w14:textId="77777777" w:rsidR="00951F81" w:rsidRDefault="00951F81" w:rsidP="00951F81">
      <w:r>
        <w:t xml:space="preserve">Denosumabi saavatel patsientidel võivad tekkida nahainfektsioonid (valdavalt tselluliit), mis viivad hospitaliseerimiseni (vt lõik 4.8). Patsientidele tuleb soovitada pöörduda kiiresti arsti poole, kui neil tekivad tselluliidinähud või </w:t>
      </w:r>
      <w:r>
        <w:noBreakHyphen/>
        <w:t>sümptomid.</w:t>
      </w:r>
    </w:p>
    <w:p w14:paraId="2F20DD73" w14:textId="77777777" w:rsidR="00951F81" w:rsidRDefault="00951F81" w:rsidP="00951F81"/>
    <w:p w14:paraId="1ADC5328" w14:textId="77777777" w:rsidR="00951F81" w:rsidRDefault="00951F81" w:rsidP="00951F81">
      <w:pPr>
        <w:keepNext/>
        <w:tabs>
          <w:tab w:val="clear" w:pos="567"/>
        </w:tabs>
        <w:rPr>
          <w:i/>
          <w:iCs/>
        </w:rPr>
      </w:pPr>
      <w:r>
        <w:rPr>
          <w:i/>
        </w:rPr>
        <w:t>Lõualuu osteonekroos</w:t>
      </w:r>
    </w:p>
    <w:p w14:paraId="116ED8DC" w14:textId="5B6EE073" w:rsidR="00951F81" w:rsidRDefault="00951F81" w:rsidP="00951F81">
      <w:r>
        <w:t xml:space="preserve">Patsientidel, kellele manustati osteoporoosi raviks </w:t>
      </w:r>
      <w:r w:rsidR="00B24F64">
        <w:t>denosumabi</w:t>
      </w:r>
      <w:r>
        <w:t>, on harva teatatud lõualuu osteonekroosist (vt lõik 4.8).</w:t>
      </w:r>
    </w:p>
    <w:p w14:paraId="648233A8" w14:textId="77777777" w:rsidR="00951F81" w:rsidRDefault="00951F81" w:rsidP="00951F81"/>
    <w:p w14:paraId="720495A9" w14:textId="77777777" w:rsidR="00951F81" w:rsidRDefault="00951F81" w:rsidP="00951F81">
      <w:r>
        <w:t>Patsientidel, kellel on suus paranemata lahtised pehmete kudede kahjustused, tuleb ravi algust/uut ravikuuri edasi lükata. Kaasuvate ohuteguritega patsientidele soovitatakse enne ravi alustamist denosumabiga hammaste arstlikku kontrolli koos asjakohase preventiivse hambaraviga ning individuaalset kasu ja riski hindamist.</w:t>
      </w:r>
    </w:p>
    <w:p w14:paraId="34EE683C" w14:textId="77777777" w:rsidR="00951F81" w:rsidRDefault="00951F81" w:rsidP="00951F81"/>
    <w:p w14:paraId="392198BE" w14:textId="77777777" w:rsidR="00951F81" w:rsidRDefault="00951F81" w:rsidP="00951F81">
      <w:pPr>
        <w:keepNext/>
      </w:pPr>
      <w:r>
        <w:t>Hinnates lõualuu osteonekroosi riski patsiendil, tuleb arvestada järgnevate ohuteguritega:</w:t>
      </w:r>
    </w:p>
    <w:p w14:paraId="58ED8DC9" w14:textId="77777777" w:rsidR="00951F81" w:rsidRDefault="00951F81" w:rsidP="00951F81">
      <w:pPr>
        <w:numPr>
          <w:ilvl w:val="0"/>
          <w:numId w:val="54"/>
        </w:numPr>
        <w:tabs>
          <w:tab w:val="clear" w:pos="567"/>
        </w:tabs>
        <w:ind w:left="567" w:hanging="567"/>
      </w:pPr>
      <w:r>
        <w:t>ravimi toime tugevus luuresorptsiooni pärssimisel (tugevatoimeliste ravimitega on oht suurem), manustamisviis (parenteraalsel manustamisel on oht suurem) ja luuresorptsiooni pärssiva ravimi kumulatiivne annus;</w:t>
      </w:r>
    </w:p>
    <w:p w14:paraId="2C652CEA" w14:textId="77777777" w:rsidR="00951F81" w:rsidRDefault="00951F81" w:rsidP="00951F81">
      <w:pPr>
        <w:numPr>
          <w:ilvl w:val="0"/>
          <w:numId w:val="54"/>
        </w:numPr>
        <w:tabs>
          <w:tab w:val="clear" w:pos="567"/>
        </w:tabs>
        <w:ind w:left="567" w:hanging="567"/>
      </w:pPr>
      <w:r>
        <w:t>kasvaja, kaasuvad haigusseisundid (nt aneemia, koagulopaatiad, infektsioon), suitsetamine;</w:t>
      </w:r>
    </w:p>
    <w:p w14:paraId="4078DF21" w14:textId="77777777" w:rsidR="00951F81" w:rsidRDefault="00951F81" w:rsidP="00951F81">
      <w:pPr>
        <w:keepNext/>
        <w:numPr>
          <w:ilvl w:val="0"/>
          <w:numId w:val="54"/>
        </w:numPr>
        <w:tabs>
          <w:tab w:val="clear" w:pos="567"/>
        </w:tabs>
        <w:ind w:left="567" w:hanging="567"/>
      </w:pPr>
      <w:r>
        <w:t>kaasuv ravi – kortikosteroidid, keemiaravi, angiogeneesi inhibiitorid, pea ja kaela kiiritusravi;</w:t>
      </w:r>
    </w:p>
    <w:p w14:paraId="7814D1D2" w14:textId="77777777" w:rsidR="00951F81" w:rsidRDefault="00951F81" w:rsidP="00951F81">
      <w:pPr>
        <w:numPr>
          <w:ilvl w:val="0"/>
          <w:numId w:val="54"/>
        </w:numPr>
        <w:tabs>
          <w:tab w:val="clear" w:pos="567"/>
        </w:tabs>
        <w:ind w:left="567" w:hanging="567"/>
      </w:pPr>
      <w:r>
        <w:t>halb suuhügieen, periodondi haigused, halvasti asetuvad hambaproteesid, varasem hambahaigus, invasiivne hambaraviprotseduur (nt hamba eemaldamine).</w:t>
      </w:r>
    </w:p>
    <w:p w14:paraId="51C26784" w14:textId="77777777" w:rsidR="00951F81" w:rsidRDefault="00951F81" w:rsidP="00951F81"/>
    <w:p w14:paraId="2A0A011B" w14:textId="77777777" w:rsidR="00951F81" w:rsidRDefault="00951F81" w:rsidP="00951F81">
      <w:r>
        <w:t>Kõikidele patsientidele tuleb soovitada hoolitseda hea suuhügieeni eest, käia regulaarselt hammaste seisundi arstlikus kontrollis ja ravi ajal denosumabiga teavitada viivitamatult suuõõnesümptomitest nagu hamba liikuvus, valu või turse või mitteparanevad haavandid või eritis. Ravi ajal tohib teostada invasiivseid hambaprotseduure ainult pärast hoolikat kaalumist ja vältides ajalist lähedust denosumabi manustamisega.</w:t>
      </w:r>
    </w:p>
    <w:p w14:paraId="5CD92D97" w14:textId="77777777" w:rsidR="00951F81" w:rsidRDefault="00951F81" w:rsidP="00951F81"/>
    <w:p w14:paraId="12B6F052" w14:textId="77777777" w:rsidR="00951F81" w:rsidRDefault="00951F81" w:rsidP="00951F81">
      <w:r>
        <w:t>Patsientidele, kellel tekkis lõualuu osteonekroos, tuleb koostada individuaalne raviplaan raviarsti ja lõualuu osteonekroosi ravis kogenud hambaarsti või näo</w:t>
      </w:r>
      <w:r>
        <w:noBreakHyphen/>
        <w:t xml:space="preserve"> ja lõualuukirurgi tihedas koostöös. Kui võimalik, peab kaaluma ravi ajutist katkestamist kuni seisundi paranemise ja kaasuvate ohutegurite leevendamiseni.</w:t>
      </w:r>
    </w:p>
    <w:p w14:paraId="0F2E33F0" w14:textId="77777777" w:rsidR="00951F81" w:rsidRDefault="00951F81" w:rsidP="00951F81"/>
    <w:p w14:paraId="7A8B2FDD" w14:textId="77777777" w:rsidR="00951F81" w:rsidRDefault="00951F81" w:rsidP="00951F81">
      <w:pPr>
        <w:keepNext/>
        <w:tabs>
          <w:tab w:val="clear" w:pos="567"/>
        </w:tabs>
        <w:rPr>
          <w:i/>
          <w:iCs/>
        </w:rPr>
      </w:pPr>
      <w:r>
        <w:rPr>
          <w:i/>
        </w:rPr>
        <w:t>Väliskuulmekäigu osteonekroos</w:t>
      </w:r>
    </w:p>
    <w:p w14:paraId="48B81B89" w14:textId="77777777" w:rsidR="00951F81" w:rsidRDefault="00951F81" w:rsidP="00951F81">
      <w:r>
        <w:t>On teatatud väliskuulmekäigu nekroosist seoses denosumabiga. Väliskuulmekäigu osteonekroosi võimalikud ohutegurid on muuhulgas ravi kortikosteroididega, keemiaravi ja/või paiksed ohutegurid nagu infektsioon või trauma. Denosumabiga ravitavate patsientide puhul, kellel on kõrvasümptomid, k.a kroonilised kõrvainfektsioonid, peab mõtlema väliskuulmekäigu osteonekroosi võimalusele.</w:t>
      </w:r>
    </w:p>
    <w:p w14:paraId="5A052020" w14:textId="77777777" w:rsidR="00951F81" w:rsidRDefault="00951F81" w:rsidP="00951F81"/>
    <w:p w14:paraId="11AE3ECC" w14:textId="77777777" w:rsidR="00951F81" w:rsidRDefault="00951F81" w:rsidP="00951F81">
      <w:pPr>
        <w:keepNext/>
        <w:tabs>
          <w:tab w:val="clear" w:pos="567"/>
        </w:tabs>
        <w:rPr>
          <w:i/>
          <w:iCs/>
        </w:rPr>
      </w:pPr>
      <w:r>
        <w:rPr>
          <w:i/>
        </w:rPr>
        <w:t>Reieluu atüüpilised murrud</w:t>
      </w:r>
    </w:p>
    <w:p w14:paraId="64ABE369" w14:textId="2911BEC3" w:rsidR="00951F81" w:rsidRDefault="00951F81" w:rsidP="00951F81">
      <w:r>
        <w:t>Denosumabiga ravitavatel patsientidel on teatatud reieluu atüüpiliste murdude tekkest (vt lõik 4.8). Reieluu atüüpilised murrud võivad tekkida reieluu pöörlialuses ja diafüüsi piirkonnas kerge trauma tagajärjel või ilma traumata. Neid juhte iseloomustab spetsiifiline radiograafiline leid. Reieluu atüüpiliste murdude tekkest on teatatud ka teatud kaasuva haigusseisundiga patsientidel (nt D</w:t>
      </w:r>
      <w:r>
        <w:noBreakHyphen/>
        <w:t>vitamiini vaegus, reumatoidartriit, hüpofosfataasia) ning teatud ravimite kasutamisel (nt bisfosfonaadid, glükokortikoidid, prootonpumba inhibiitorid). Need juhud on tekkinud ka ilma antiresorptiivse ravita. Sarnased murrud, millest on teatatud seoses bisfosfonaatidega, on sageli mõlemapoolsed, mistõttu tuleb denosumabiga ravitavatel patsientidel, kellel on tekkinud reieluu keskosa murd, uurida ka teist reieluud. Atüüpilise reieluu murru kahtlusega patsientidel, tuleb kaaluda ravi lõpetamist denosumabiga individuaalse riski</w:t>
      </w:r>
      <w:r w:rsidR="00A712B6">
        <w:t>/</w:t>
      </w:r>
      <w:r>
        <w:t>kasu hinnangu alusel. Ravi ajal denosumabiga tuleb patsientidele soovitada, et nad teataksid uuest või ebatavalisest valust reie, puusa või kubeme piirkonnas. Selliste sümptomitega patsientidel tuleb uurida reieluu võimalikku osalist murdu.</w:t>
      </w:r>
    </w:p>
    <w:p w14:paraId="3140220A" w14:textId="77777777" w:rsidR="00951F81" w:rsidRDefault="00951F81" w:rsidP="00951F81"/>
    <w:p w14:paraId="0466ACE2" w14:textId="77777777" w:rsidR="00951F81" w:rsidRDefault="00951F81" w:rsidP="00951F81">
      <w:pPr>
        <w:keepNext/>
        <w:tabs>
          <w:tab w:val="clear" w:pos="567"/>
        </w:tabs>
        <w:rPr>
          <w:i/>
          <w:iCs/>
        </w:rPr>
      </w:pPr>
      <w:r>
        <w:rPr>
          <w:i/>
        </w:rPr>
        <w:t>Pikaajaline antiresorptiivne ravi</w:t>
      </w:r>
    </w:p>
    <w:p w14:paraId="72030602" w14:textId="77777777" w:rsidR="00951F81" w:rsidRDefault="00951F81" w:rsidP="00951F81">
      <w:r>
        <w:t>Pikaajaline antiresorptiivne ravi (nii denosumabi kui bisfosfonaatidega) võib suurendada ebasoovitavate tulemuste, nt lõualuu osteonekroosi ja reieluu atüüpiliste murdude riski, tulenevalt luukoe uueneva taastekke olulisest pärssimisest (vt lõik 4.2).</w:t>
      </w:r>
    </w:p>
    <w:p w14:paraId="790A657F" w14:textId="77777777" w:rsidR="00951F81" w:rsidRDefault="00951F81" w:rsidP="00951F81"/>
    <w:p w14:paraId="3B1D9772" w14:textId="77777777" w:rsidR="00F72ED8" w:rsidRPr="00F72ED8" w:rsidRDefault="00F72ED8" w:rsidP="00F72ED8">
      <w:pPr>
        <w:rPr>
          <w:i/>
          <w:iCs/>
        </w:rPr>
      </w:pPr>
      <w:r w:rsidRPr="00F72ED8">
        <w:rPr>
          <w:i/>
          <w:iCs/>
        </w:rPr>
        <w:t>Ravi lõpetamine</w:t>
      </w:r>
    </w:p>
    <w:p w14:paraId="7947B44C" w14:textId="77777777" w:rsidR="00F72ED8" w:rsidRDefault="00F72ED8" w:rsidP="00F72ED8">
      <w:r>
        <w:t>Pärast denosumabi kasutamise lõpetamist on tavapärane luu mineraalainetiheduse (LMT) vähenemine (vt lõik 5.1), millega kaasneb luumurdude riski suurenemine. Seega on soovitatav LMT-d jälgida ja kaaluda alternatiivset ravi vastavalt kliinilistele juhistele.</w:t>
      </w:r>
    </w:p>
    <w:p w14:paraId="0F356C91" w14:textId="77777777" w:rsidR="00F72ED8" w:rsidRPr="00F72ED8" w:rsidRDefault="00F72ED8" w:rsidP="00951F81">
      <w:pPr>
        <w:keepNext/>
        <w:tabs>
          <w:tab w:val="clear" w:pos="567"/>
        </w:tabs>
        <w:rPr>
          <w:iCs/>
        </w:rPr>
      </w:pPr>
    </w:p>
    <w:p w14:paraId="1EE4B332" w14:textId="5D332C40" w:rsidR="00951F81" w:rsidRDefault="00951F81" w:rsidP="00951F81">
      <w:pPr>
        <w:keepNext/>
        <w:tabs>
          <w:tab w:val="clear" w:pos="567"/>
        </w:tabs>
        <w:rPr>
          <w:i/>
          <w:iCs/>
        </w:rPr>
      </w:pPr>
      <w:r>
        <w:rPr>
          <w:i/>
        </w:rPr>
        <w:t>Samaaegne ravi teiste denosumabi sisaldavate ravimitega</w:t>
      </w:r>
    </w:p>
    <w:p w14:paraId="46BB5AF5" w14:textId="77777777" w:rsidR="00951F81" w:rsidRDefault="00951F81" w:rsidP="00951F81">
      <w:r>
        <w:t>Denosumabiga ravitavatele patsientidele ei tohi samaaegselt manustada teisi denosumabi sisaldavaid ravimeid (luustikuga seotud haigusjuhtude ärahoidmiseks soliidtuumori luumetastaasidega täiskasvanutel).</w:t>
      </w:r>
    </w:p>
    <w:p w14:paraId="1C9D4205" w14:textId="77777777" w:rsidR="00951F81" w:rsidRDefault="00951F81" w:rsidP="00951F81"/>
    <w:p w14:paraId="57FA8B90" w14:textId="77777777" w:rsidR="00951F81" w:rsidRDefault="00951F81" w:rsidP="00951F81">
      <w:pPr>
        <w:keepNext/>
        <w:rPr>
          <w:i/>
          <w:iCs/>
        </w:rPr>
      </w:pPr>
      <w:r>
        <w:rPr>
          <w:i/>
        </w:rPr>
        <w:t>Hüperkaltseemia lastel</w:t>
      </w:r>
    </w:p>
    <w:p w14:paraId="41C8F3AC" w14:textId="28D00D71" w:rsidR="00951F81" w:rsidRDefault="00974204" w:rsidP="00951F81">
      <w:r>
        <w:t>Kefdensis</w:t>
      </w:r>
      <w:r w:rsidR="00951F81">
        <w:t>’t ei tohi kasutada lastel (vanus &lt; 18). Teatatud on tõsisest hüperkaltseemiast. Mõnel kliinilises uuringus esinenud juhul tekkis tüsistusena äge neerukahjustus.</w:t>
      </w:r>
    </w:p>
    <w:p w14:paraId="782B53AC" w14:textId="77777777" w:rsidR="00951F81" w:rsidRDefault="00951F81" w:rsidP="00951F81"/>
    <w:p w14:paraId="3135E4C5" w14:textId="77777777" w:rsidR="00951F81" w:rsidRDefault="00951F81" w:rsidP="00951F81">
      <w:pPr>
        <w:keepNext/>
        <w:ind w:left="567" w:hanging="567"/>
        <w:rPr>
          <w:b/>
        </w:rPr>
      </w:pPr>
      <w:r>
        <w:rPr>
          <w:b/>
        </w:rPr>
        <w:t>4.5</w:t>
      </w:r>
      <w:r>
        <w:rPr>
          <w:b/>
        </w:rPr>
        <w:tab/>
        <w:t>Koostoimed teiste ravimitega ja muud koostoimed</w:t>
      </w:r>
    </w:p>
    <w:p w14:paraId="7B9639FF" w14:textId="77777777" w:rsidR="00951F81" w:rsidRDefault="00951F81" w:rsidP="00951F81">
      <w:pPr>
        <w:keepNext/>
      </w:pPr>
    </w:p>
    <w:p w14:paraId="4D3BE312" w14:textId="77777777" w:rsidR="00951F81" w:rsidRDefault="00951F81" w:rsidP="00951F81">
      <w:r>
        <w:t>Denosumab ei mõjutanud koostoimeuuringus tsütokroom P450 3A4 (CYP3A4) poolt metaboliseeritava midasolaami farmakokineetikat. See näitab, et denosumab ei mõjuta CYP3A4 vahendusel metaboliseeritavate ravimite farmakokineetikat.</w:t>
      </w:r>
    </w:p>
    <w:p w14:paraId="0D831810" w14:textId="77777777" w:rsidR="00951F81" w:rsidRDefault="00951F81" w:rsidP="00951F81"/>
    <w:p w14:paraId="793ECE37" w14:textId="77777777" w:rsidR="00951F81" w:rsidRDefault="00951F81" w:rsidP="00951F81">
      <w:r>
        <w:t>Puuduvad kliinilised andmed denosumabi manustamisest koos hormoonasendusraviga (östrogeen), kuid farmakodünaamilise koostoime võimalus on arvatavasti väike.</w:t>
      </w:r>
    </w:p>
    <w:p w14:paraId="7979FADB" w14:textId="77777777" w:rsidR="00951F81" w:rsidRDefault="00951F81" w:rsidP="00951F81"/>
    <w:p w14:paraId="57998C88" w14:textId="77777777" w:rsidR="00951F81" w:rsidRDefault="00951F81" w:rsidP="00951F81">
      <w:r>
        <w:t>Ravivahetusuuringu (alendronaadilt denosumabile) andmetel ei mõjutanud eelnev ravi alendronaadiga menopausijärgses eas osteoporoosiga naistel denosumabi farmakokineetikat ja farmakodünaamikat.</w:t>
      </w:r>
    </w:p>
    <w:p w14:paraId="38B129AE" w14:textId="77777777" w:rsidR="00951F81" w:rsidRDefault="00951F81" w:rsidP="00951F81"/>
    <w:p w14:paraId="7F98BDBE" w14:textId="77777777" w:rsidR="00951F81" w:rsidRDefault="00951F81" w:rsidP="00951F81">
      <w:pPr>
        <w:keepNext/>
        <w:ind w:left="567" w:hanging="567"/>
        <w:rPr>
          <w:b/>
        </w:rPr>
      </w:pPr>
      <w:r>
        <w:rPr>
          <w:b/>
        </w:rPr>
        <w:t>4.6</w:t>
      </w:r>
      <w:r>
        <w:rPr>
          <w:b/>
        </w:rPr>
        <w:tab/>
        <w:t>Fertiilsus, rasedus ja imetamine</w:t>
      </w:r>
    </w:p>
    <w:p w14:paraId="21B41172" w14:textId="77777777" w:rsidR="00951F81" w:rsidRDefault="00951F81" w:rsidP="00951F81">
      <w:pPr>
        <w:keepNext/>
      </w:pPr>
    </w:p>
    <w:p w14:paraId="140DF9CA" w14:textId="77777777" w:rsidR="00951F81" w:rsidRDefault="00951F81" w:rsidP="00951F81">
      <w:pPr>
        <w:keepNext/>
        <w:rPr>
          <w:u w:val="single"/>
        </w:rPr>
      </w:pPr>
      <w:r>
        <w:rPr>
          <w:u w:val="single"/>
        </w:rPr>
        <w:t>Rasedus</w:t>
      </w:r>
    </w:p>
    <w:p w14:paraId="773476C6" w14:textId="77777777" w:rsidR="00951F81" w:rsidRDefault="00951F81" w:rsidP="00951F81">
      <w:pPr>
        <w:keepNext/>
      </w:pPr>
    </w:p>
    <w:p w14:paraId="32BD7335" w14:textId="77777777" w:rsidR="00951F81" w:rsidRDefault="00951F81" w:rsidP="00951F81">
      <w:r>
        <w:t>Denosumabi kasutamise kohta rasedatel andmed puuduvad või on piiratud hulgal. Loomkatsed on näidanud kahjulikku toimet reproduktiivsusele (vt lõik 5.3).</w:t>
      </w:r>
    </w:p>
    <w:p w14:paraId="28F973AC" w14:textId="77777777" w:rsidR="00951F81" w:rsidRDefault="00951F81" w:rsidP="00951F81"/>
    <w:p w14:paraId="04D768E7" w14:textId="734C9424" w:rsidR="00951F81" w:rsidRDefault="00974204" w:rsidP="00951F81">
      <w:r>
        <w:t>Kefdensis</w:t>
      </w:r>
      <w:r w:rsidR="00951F81">
        <w:t xml:space="preserve">'t ei soovitata kasutada rasedatel ja rasestumisvõimelistel naistel, kes ei kasuta rasestumisvastast vahendit. Naistele peab soovitama mitte rasestuda ravi ajal </w:t>
      </w:r>
      <w:r w:rsidR="00B24F64">
        <w:t>denosumabi</w:t>
      </w:r>
      <w:r w:rsidR="00951F81">
        <w:t xml:space="preserve">ga ja vähemalt 5 kuud pärast ravi lõppu. </w:t>
      </w:r>
      <w:r w:rsidR="00B24F64">
        <w:t>Denosumabi</w:t>
      </w:r>
      <w:r w:rsidR="00951F81">
        <w:t xml:space="preserve"> mis tahes toimed on tõenäoliselt tugevamad raseduse teisel ja kolmandal trimestril, sest monoklonaalsed antikehad läbivad platsentat lineaarselt raseduse arenguga, suurim on ülekanne kolmandal trimestril.</w:t>
      </w:r>
    </w:p>
    <w:p w14:paraId="56E00A1B" w14:textId="77777777" w:rsidR="00951F81" w:rsidRDefault="00951F81" w:rsidP="00951F81"/>
    <w:p w14:paraId="6BF0A3BE" w14:textId="77777777" w:rsidR="00951F81" w:rsidRDefault="00951F81" w:rsidP="00951F81">
      <w:pPr>
        <w:keepNext/>
        <w:rPr>
          <w:u w:val="single"/>
        </w:rPr>
      </w:pPr>
      <w:r>
        <w:rPr>
          <w:u w:val="single"/>
        </w:rPr>
        <w:t>Imetamine</w:t>
      </w:r>
    </w:p>
    <w:p w14:paraId="09C6AC7C" w14:textId="77777777" w:rsidR="00951F81" w:rsidRDefault="00951F81" w:rsidP="00951F81">
      <w:pPr>
        <w:keepNext/>
      </w:pPr>
    </w:p>
    <w:p w14:paraId="25D3B949" w14:textId="024984E5" w:rsidR="00951F81" w:rsidRDefault="00951F81" w:rsidP="00951F81">
      <w:r>
        <w:t xml:space="preserve">Ei ole teada, kas denosumab eritub rinnapiima. Katsed geneetiliselt modifitseeritud hiirtega, kelle RANKL oli geeni eemaldamise teel välja lülitatud (nn </w:t>
      </w:r>
      <w:r>
        <w:rPr>
          <w:i/>
        </w:rPr>
        <w:t>knockout mouse</w:t>
      </w:r>
      <w:r>
        <w:t xml:space="preserve">), viitavad, et RANKL (denosumabi toimekoht, vt lõik 5.1) puudumine võib mõjutada rinnanäärme kohanemist imetamiseks ja põhjustada laktatsioonihäireid sünnitusjärgselt (vt lõik 5.3). Otsus loobuda imetamisest või ravist </w:t>
      </w:r>
      <w:r w:rsidR="00B24F64">
        <w:t>denosumabiga</w:t>
      </w:r>
      <w:r>
        <w:t xml:space="preserve"> tuleb teha, lähtudes rinnapiimaga toitmise kasust vastsündinule/imikule ja </w:t>
      </w:r>
      <w:r w:rsidR="00B24F64">
        <w:t xml:space="preserve">denosumabi </w:t>
      </w:r>
      <w:r>
        <w:t>ravi kasust emale.</w:t>
      </w:r>
    </w:p>
    <w:p w14:paraId="4677EDC0" w14:textId="77777777" w:rsidR="00951F81" w:rsidRDefault="00951F81" w:rsidP="00951F81"/>
    <w:p w14:paraId="01E8BC7D" w14:textId="77777777" w:rsidR="00951F81" w:rsidRDefault="00951F81" w:rsidP="00951F81">
      <w:pPr>
        <w:keepNext/>
        <w:rPr>
          <w:u w:val="single"/>
        </w:rPr>
      </w:pPr>
      <w:r>
        <w:rPr>
          <w:u w:val="single"/>
        </w:rPr>
        <w:t>Fertiilsus</w:t>
      </w:r>
    </w:p>
    <w:p w14:paraId="5893C3CD" w14:textId="77777777" w:rsidR="00951F81" w:rsidRDefault="00951F81" w:rsidP="00951F81">
      <w:pPr>
        <w:keepNext/>
      </w:pPr>
    </w:p>
    <w:p w14:paraId="37CB78C0" w14:textId="77777777" w:rsidR="00951F81" w:rsidRDefault="00951F81" w:rsidP="00951F81">
      <w:r>
        <w:t>Puuduvad andmed denosumabi toime kohta inimese fertiilsusele. Loomkatsed ei näita otsest või kaudset kahjulikku mõju fertiilsusele (vt lõik 5.3).</w:t>
      </w:r>
    </w:p>
    <w:p w14:paraId="13E43019" w14:textId="77777777" w:rsidR="00951F81" w:rsidRDefault="00951F81" w:rsidP="00951F81"/>
    <w:p w14:paraId="3415FA76" w14:textId="77777777" w:rsidR="00951F81" w:rsidRDefault="00951F81" w:rsidP="00951F81">
      <w:pPr>
        <w:keepNext/>
        <w:ind w:left="567" w:hanging="567"/>
        <w:rPr>
          <w:b/>
        </w:rPr>
      </w:pPr>
      <w:r>
        <w:rPr>
          <w:b/>
        </w:rPr>
        <w:t>4.7</w:t>
      </w:r>
      <w:r>
        <w:rPr>
          <w:b/>
        </w:rPr>
        <w:tab/>
        <w:t>Toime reaktsioonikiirusele</w:t>
      </w:r>
    </w:p>
    <w:p w14:paraId="4A36505E" w14:textId="77777777" w:rsidR="00951F81" w:rsidRDefault="00951F81" w:rsidP="00951F81">
      <w:pPr>
        <w:keepNext/>
      </w:pPr>
    </w:p>
    <w:p w14:paraId="20B5F546" w14:textId="4638A895" w:rsidR="00951F81" w:rsidRDefault="00B24F64" w:rsidP="00951F81">
      <w:r>
        <w:t xml:space="preserve">Denosumab </w:t>
      </w:r>
      <w:r w:rsidR="00076974">
        <w:t>ei</w:t>
      </w:r>
      <w:r w:rsidR="00951F81">
        <w:t xml:space="preserve"> mõju</w:t>
      </w:r>
      <w:r w:rsidR="00076974">
        <w:t>ta või mõjutab ebaoluliselt</w:t>
      </w:r>
      <w:r w:rsidR="00951F81">
        <w:t xml:space="preserve"> autojuhtimise või masinate käsitsemise võime</w:t>
      </w:r>
      <w:r w:rsidR="00076974">
        <w:t>t</w:t>
      </w:r>
      <w:r w:rsidR="00951F81">
        <w:t>.</w:t>
      </w:r>
    </w:p>
    <w:p w14:paraId="7F8F5112" w14:textId="77777777" w:rsidR="00951F81" w:rsidRDefault="00951F81" w:rsidP="00951F81"/>
    <w:p w14:paraId="38262D28" w14:textId="77777777" w:rsidR="00951F81" w:rsidRDefault="00951F81" w:rsidP="00951F81">
      <w:pPr>
        <w:keepNext/>
        <w:ind w:left="567" w:hanging="567"/>
        <w:rPr>
          <w:b/>
        </w:rPr>
      </w:pPr>
      <w:r>
        <w:rPr>
          <w:b/>
        </w:rPr>
        <w:t>4.8</w:t>
      </w:r>
      <w:r>
        <w:rPr>
          <w:b/>
        </w:rPr>
        <w:tab/>
        <w:t>Kõrvaltoimed</w:t>
      </w:r>
    </w:p>
    <w:p w14:paraId="2B9F16B3" w14:textId="77777777" w:rsidR="00951F81" w:rsidRDefault="00951F81" w:rsidP="00951F81">
      <w:pPr>
        <w:keepNext/>
      </w:pPr>
    </w:p>
    <w:p w14:paraId="1136893A" w14:textId="77777777" w:rsidR="00951F81" w:rsidRDefault="00951F81" w:rsidP="00951F81">
      <w:pPr>
        <w:keepNext/>
        <w:rPr>
          <w:u w:val="single"/>
        </w:rPr>
      </w:pPr>
      <w:r>
        <w:rPr>
          <w:u w:val="single"/>
        </w:rPr>
        <w:t>Ohutusprofiili kokkuvõte</w:t>
      </w:r>
    </w:p>
    <w:p w14:paraId="743B3262" w14:textId="77777777" w:rsidR="00951F81" w:rsidRDefault="00951F81" w:rsidP="00951F81">
      <w:pPr>
        <w:keepNext/>
      </w:pPr>
    </w:p>
    <w:p w14:paraId="1E08E246" w14:textId="007B6221" w:rsidR="00951F81" w:rsidRDefault="00951F81" w:rsidP="00951F81">
      <w:r>
        <w:t>Denosumabi kõige sagedasemad kõrvaltoimed (</w:t>
      </w:r>
      <w:r w:rsidR="00C731DA">
        <w:t>esinevad</w:t>
      </w:r>
      <w:r>
        <w:t xml:space="preserve"> rohkem kui ühel patsiendil kümnest) on lihas</w:t>
      </w:r>
      <w:r w:rsidR="00100C64">
        <w:t>te ja luustiku</w:t>
      </w:r>
      <w:r>
        <w:t xml:space="preserve"> valu ja valu jäsemetes. Denosumabiga ravitavatel patsientidel on täheldatud aeg</w:t>
      </w:r>
      <w:r>
        <w:noBreakHyphen/>
        <w:t>ajalt tselluliidijuhte, harva hüpokaltseemia, ülitundlikkuse, lõualuu osteonekroosi ja reieluu atüüpilise murru juhte (vt lõigud 4.4 ja 4.8 – valitud kõrvaltoimete kirjeldus).</w:t>
      </w:r>
    </w:p>
    <w:p w14:paraId="55DD56E5" w14:textId="77777777" w:rsidR="00951F81" w:rsidRDefault="00951F81" w:rsidP="00951F81"/>
    <w:p w14:paraId="275B6343" w14:textId="77777777" w:rsidR="00951F81" w:rsidRDefault="00951F81" w:rsidP="00951F81">
      <w:pPr>
        <w:keepNext/>
        <w:rPr>
          <w:u w:val="single"/>
        </w:rPr>
      </w:pPr>
      <w:r>
        <w:rPr>
          <w:u w:val="single"/>
        </w:rPr>
        <w:t>Kõrvaltoimete tabel</w:t>
      </w:r>
    </w:p>
    <w:p w14:paraId="77FBD388" w14:textId="77777777" w:rsidR="00951F81" w:rsidRDefault="00951F81" w:rsidP="00951F81">
      <w:pPr>
        <w:keepNext/>
      </w:pPr>
    </w:p>
    <w:p w14:paraId="12EF1294" w14:textId="77777777" w:rsidR="00951F81" w:rsidRDefault="00951F81" w:rsidP="00951F81">
      <w:r>
        <w:t>Allolevas tabelis 1 on kõrvaltoimed, millest teatati II ja III faasi kliinilistes uuringutes osteoporoosiga naistel ja hormoonablatsioonravi saavatel rinnanäärme</w:t>
      </w:r>
      <w:r>
        <w:noBreakHyphen/>
        <w:t xml:space="preserve"> või eesnäärmevähiga patsientidel, ja/või turuletulekujärgselt kõrvaltoimeteatistes.</w:t>
      </w:r>
    </w:p>
    <w:p w14:paraId="78A86924" w14:textId="77777777" w:rsidR="00951F81" w:rsidRDefault="00951F81" w:rsidP="00951F81"/>
    <w:p w14:paraId="6FD67ED0" w14:textId="77777777" w:rsidR="00951F81" w:rsidRDefault="00951F81" w:rsidP="00951F81">
      <w:r>
        <w:t>Kõrvaltoimed (vt tabel 1) on kokkuleppeliselt klassifitseeritud alljärgnevalt: väga sage (≥ 1/10), sage (≥ 1/100 kuni &lt; 1/10), aeg</w:t>
      </w:r>
      <w:r>
        <w:noBreakHyphen/>
        <w:t>ajalt (≥ 1/1000 kuni &lt; 1/100), harv (≥ 1/10 000 kuni &lt; 1/1000), väga harv (&lt; 1/10 000) ja teadmata (ei saa hinnata olemasolevate andmete alusel). Igas esinemissageduse grupis on kõrvaltoimed loetletud tõsiduse vähenemise järjekorras.</w:t>
      </w:r>
    </w:p>
    <w:p w14:paraId="12CBF1C5" w14:textId="77777777" w:rsidR="00951F81" w:rsidRDefault="00951F81" w:rsidP="00951F81"/>
    <w:p w14:paraId="3506BDF3" w14:textId="77777777" w:rsidR="00951F81" w:rsidRDefault="00951F81" w:rsidP="00951F81">
      <w:pPr>
        <w:keepNext/>
        <w:rPr>
          <w:b/>
          <w:bCs/>
        </w:rPr>
      </w:pPr>
      <w:r>
        <w:rPr>
          <w:b/>
        </w:rPr>
        <w:t>Tabel 1. Kõrvaltoimed osteoporoosiga patsientidel ja hormoonablatsioonravi saavatel rinnanäärme</w:t>
      </w:r>
      <w:r>
        <w:rPr>
          <w:b/>
        </w:rPr>
        <w:noBreakHyphen/>
        <w:t xml:space="preserve"> või eesnäärmevähiga patsientidel.</w:t>
      </w:r>
    </w:p>
    <w:p w14:paraId="5EB1F3A2" w14:textId="77777777" w:rsidR="00951F81" w:rsidRDefault="00951F81" w:rsidP="00951F81">
      <w:pPr>
        <w:keepNext/>
      </w:pPr>
    </w:p>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30"/>
        <w:gridCol w:w="2466"/>
        <w:gridCol w:w="3455"/>
      </w:tblGrid>
      <w:tr w:rsidR="00951F81" w:rsidRPr="0011121C" w14:paraId="4967274B" w14:textId="77777777" w:rsidTr="00884E6E">
        <w:trPr>
          <w:cantSplit/>
          <w:trHeight w:val="57"/>
          <w:tblHeader/>
        </w:trPr>
        <w:tc>
          <w:tcPr>
            <w:tcW w:w="1655" w:type="pct"/>
            <w:tcBorders>
              <w:top w:val="single" w:sz="4" w:space="0" w:color="auto"/>
              <w:left w:val="single" w:sz="4" w:space="0" w:color="auto"/>
              <w:bottom w:val="single" w:sz="4" w:space="0" w:color="auto"/>
              <w:right w:val="single" w:sz="4" w:space="0" w:color="auto"/>
            </w:tcBorders>
          </w:tcPr>
          <w:p w14:paraId="6BDC7E51" w14:textId="77777777" w:rsidR="00951F81" w:rsidRDefault="00951F81" w:rsidP="006172AE">
            <w:pPr>
              <w:keepNext/>
              <w:rPr>
                <w:rFonts w:eastAsia="MS Mincho"/>
                <w:b/>
              </w:rPr>
            </w:pPr>
            <w:r>
              <w:rPr>
                <w:b/>
              </w:rPr>
              <w:t>MedDRA organsüsteemi klass</w:t>
            </w:r>
          </w:p>
        </w:tc>
        <w:tc>
          <w:tcPr>
            <w:tcW w:w="1393" w:type="pct"/>
            <w:tcBorders>
              <w:top w:val="single" w:sz="4" w:space="0" w:color="auto"/>
              <w:left w:val="single" w:sz="4" w:space="0" w:color="auto"/>
              <w:bottom w:val="single" w:sz="4" w:space="0" w:color="auto"/>
              <w:right w:val="single" w:sz="4" w:space="0" w:color="auto"/>
            </w:tcBorders>
          </w:tcPr>
          <w:p w14:paraId="04E6DBEC" w14:textId="24709338" w:rsidR="00951F81" w:rsidRDefault="00C731DA" w:rsidP="006172AE">
            <w:pPr>
              <w:keepNext/>
              <w:rPr>
                <w:rFonts w:eastAsia="MS Mincho"/>
                <w:bCs/>
                <w:u w:val="single"/>
              </w:rPr>
            </w:pPr>
            <w:r>
              <w:rPr>
                <w:b/>
              </w:rPr>
              <w:t>Esinemiss</w:t>
            </w:r>
            <w:r w:rsidR="00951F81">
              <w:rPr>
                <w:b/>
              </w:rPr>
              <w:t>agedus</w:t>
            </w:r>
          </w:p>
        </w:tc>
        <w:tc>
          <w:tcPr>
            <w:tcW w:w="1952" w:type="pct"/>
            <w:tcBorders>
              <w:top w:val="single" w:sz="4" w:space="0" w:color="auto"/>
              <w:left w:val="single" w:sz="4" w:space="0" w:color="auto"/>
              <w:bottom w:val="single" w:sz="4" w:space="0" w:color="auto"/>
              <w:right w:val="single" w:sz="4" w:space="0" w:color="auto"/>
            </w:tcBorders>
          </w:tcPr>
          <w:p w14:paraId="278F8ED4" w14:textId="77777777" w:rsidR="00951F81" w:rsidRDefault="00951F81" w:rsidP="006172AE">
            <w:pPr>
              <w:keepNext/>
              <w:rPr>
                <w:rFonts w:eastAsia="MS Mincho"/>
                <w:b/>
                <w:bCs/>
              </w:rPr>
            </w:pPr>
            <w:r>
              <w:rPr>
                <w:b/>
              </w:rPr>
              <w:t>Kõrvaltoimed</w:t>
            </w:r>
          </w:p>
        </w:tc>
      </w:tr>
      <w:tr w:rsidR="00951F81" w:rsidRPr="0011121C" w14:paraId="75024CB3"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55B3EA4" w14:textId="77777777" w:rsidR="00951F81" w:rsidRDefault="00951F81" w:rsidP="006172AE">
            <w:pPr>
              <w:keepNext/>
            </w:pPr>
            <w:r>
              <w:t>Infektsioonid ja infestatsioonid</w:t>
            </w:r>
          </w:p>
        </w:tc>
        <w:tc>
          <w:tcPr>
            <w:tcW w:w="1393" w:type="pct"/>
            <w:tcBorders>
              <w:top w:val="single" w:sz="4" w:space="0" w:color="auto"/>
              <w:left w:val="single" w:sz="4" w:space="0" w:color="auto"/>
              <w:bottom w:val="nil"/>
              <w:right w:val="single" w:sz="4" w:space="0" w:color="auto"/>
            </w:tcBorders>
          </w:tcPr>
          <w:p w14:paraId="687EDD9C" w14:textId="77777777" w:rsidR="00951F81" w:rsidRDefault="00951F81" w:rsidP="006172AE">
            <w:r>
              <w:t>Sage</w:t>
            </w:r>
          </w:p>
        </w:tc>
        <w:tc>
          <w:tcPr>
            <w:tcW w:w="1952" w:type="pct"/>
            <w:tcBorders>
              <w:top w:val="single" w:sz="4" w:space="0" w:color="auto"/>
              <w:left w:val="single" w:sz="4" w:space="0" w:color="auto"/>
              <w:bottom w:val="nil"/>
              <w:right w:val="single" w:sz="4" w:space="0" w:color="auto"/>
            </w:tcBorders>
          </w:tcPr>
          <w:p w14:paraId="6608A72D" w14:textId="77777777" w:rsidR="00951F81" w:rsidRDefault="00951F81" w:rsidP="006172AE">
            <w:r>
              <w:t>Kuseteede infektsioon</w:t>
            </w:r>
          </w:p>
        </w:tc>
      </w:tr>
      <w:tr w:rsidR="00951F81" w:rsidRPr="0011121C" w14:paraId="46499A82" w14:textId="77777777" w:rsidTr="00884E6E">
        <w:trPr>
          <w:cantSplit/>
          <w:trHeight w:val="57"/>
        </w:trPr>
        <w:tc>
          <w:tcPr>
            <w:tcW w:w="1655" w:type="pct"/>
            <w:vMerge/>
            <w:tcBorders>
              <w:left w:val="single" w:sz="4" w:space="0" w:color="auto"/>
              <w:right w:val="single" w:sz="4" w:space="0" w:color="auto"/>
            </w:tcBorders>
          </w:tcPr>
          <w:p w14:paraId="744569AF" w14:textId="77777777" w:rsidR="00951F81" w:rsidRDefault="00951F81" w:rsidP="006172AE">
            <w:pPr>
              <w:keepNext/>
            </w:pPr>
          </w:p>
        </w:tc>
        <w:tc>
          <w:tcPr>
            <w:tcW w:w="1393" w:type="pct"/>
            <w:tcBorders>
              <w:top w:val="nil"/>
              <w:left w:val="single" w:sz="4" w:space="0" w:color="auto"/>
              <w:bottom w:val="nil"/>
              <w:right w:val="single" w:sz="4" w:space="0" w:color="auto"/>
            </w:tcBorders>
          </w:tcPr>
          <w:p w14:paraId="25F445C1" w14:textId="77777777" w:rsidR="00951F81" w:rsidRDefault="00951F81" w:rsidP="006172AE">
            <w:r>
              <w:t>Sage</w:t>
            </w:r>
          </w:p>
        </w:tc>
        <w:tc>
          <w:tcPr>
            <w:tcW w:w="1952" w:type="pct"/>
            <w:tcBorders>
              <w:top w:val="nil"/>
              <w:left w:val="single" w:sz="4" w:space="0" w:color="auto"/>
              <w:bottom w:val="nil"/>
              <w:right w:val="single" w:sz="4" w:space="0" w:color="auto"/>
            </w:tcBorders>
          </w:tcPr>
          <w:p w14:paraId="2724B53D" w14:textId="77777777" w:rsidR="00951F81" w:rsidRDefault="00951F81" w:rsidP="006172AE">
            <w:r>
              <w:t>Ülemiste hingamisteede infektsioon</w:t>
            </w:r>
          </w:p>
        </w:tc>
      </w:tr>
      <w:tr w:rsidR="00951F81" w:rsidRPr="0011121C" w14:paraId="726888FF" w14:textId="77777777" w:rsidTr="00884E6E">
        <w:trPr>
          <w:cantSplit/>
          <w:trHeight w:val="57"/>
        </w:trPr>
        <w:tc>
          <w:tcPr>
            <w:tcW w:w="1655" w:type="pct"/>
            <w:vMerge/>
            <w:tcBorders>
              <w:left w:val="single" w:sz="4" w:space="0" w:color="auto"/>
              <w:right w:val="single" w:sz="4" w:space="0" w:color="auto"/>
            </w:tcBorders>
          </w:tcPr>
          <w:p w14:paraId="10B953A8" w14:textId="77777777" w:rsidR="00951F81" w:rsidRDefault="00951F81" w:rsidP="006172AE">
            <w:pPr>
              <w:keepNext/>
            </w:pPr>
          </w:p>
        </w:tc>
        <w:tc>
          <w:tcPr>
            <w:tcW w:w="1393" w:type="pct"/>
            <w:tcBorders>
              <w:top w:val="nil"/>
              <w:left w:val="single" w:sz="4" w:space="0" w:color="auto"/>
              <w:bottom w:val="nil"/>
              <w:right w:val="single" w:sz="4" w:space="0" w:color="auto"/>
            </w:tcBorders>
          </w:tcPr>
          <w:p w14:paraId="30CB131F" w14:textId="77777777" w:rsidR="00951F81" w:rsidRDefault="00951F81" w:rsidP="006172AE">
            <w:r>
              <w:t>Aeg-ajalt</w:t>
            </w:r>
          </w:p>
        </w:tc>
        <w:tc>
          <w:tcPr>
            <w:tcW w:w="1952" w:type="pct"/>
            <w:tcBorders>
              <w:top w:val="nil"/>
              <w:left w:val="single" w:sz="4" w:space="0" w:color="auto"/>
              <w:bottom w:val="nil"/>
              <w:right w:val="single" w:sz="4" w:space="0" w:color="auto"/>
            </w:tcBorders>
          </w:tcPr>
          <w:p w14:paraId="79A963DA" w14:textId="77777777" w:rsidR="00951F81" w:rsidRDefault="00951F81" w:rsidP="006172AE">
            <w:r>
              <w:t>Divertikuliit</w:t>
            </w:r>
            <w:r>
              <w:rPr>
                <w:vertAlign w:val="superscript"/>
              </w:rPr>
              <w:t>1</w:t>
            </w:r>
          </w:p>
        </w:tc>
      </w:tr>
      <w:tr w:rsidR="00951F81" w:rsidRPr="0011121C" w14:paraId="582125C5" w14:textId="77777777" w:rsidTr="00884E6E">
        <w:trPr>
          <w:cantSplit/>
          <w:trHeight w:val="57"/>
        </w:trPr>
        <w:tc>
          <w:tcPr>
            <w:tcW w:w="1655" w:type="pct"/>
            <w:vMerge/>
            <w:tcBorders>
              <w:left w:val="single" w:sz="4" w:space="0" w:color="auto"/>
              <w:right w:val="single" w:sz="4" w:space="0" w:color="auto"/>
            </w:tcBorders>
          </w:tcPr>
          <w:p w14:paraId="2F5C8092" w14:textId="77777777" w:rsidR="00951F81" w:rsidRDefault="00951F81" w:rsidP="006172AE">
            <w:pPr>
              <w:keepNext/>
            </w:pPr>
          </w:p>
        </w:tc>
        <w:tc>
          <w:tcPr>
            <w:tcW w:w="1393" w:type="pct"/>
            <w:tcBorders>
              <w:top w:val="nil"/>
              <w:left w:val="single" w:sz="4" w:space="0" w:color="auto"/>
              <w:bottom w:val="nil"/>
              <w:right w:val="single" w:sz="4" w:space="0" w:color="auto"/>
            </w:tcBorders>
          </w:tcPr>
          <w:p w14:paraId="0ABD241A" w14:textId="77777777" w:rsidR="00951F81" w:rsidRDefault="00951F81" w:rsidP="006172AE">
            <w:r>
              <w:t>Aeg-ajalt</w:t>
            </w:r>
          </w:p>
        </w:tc>
        <w:tc>
          <w:tcPr>
            <w:tcW w:w="1952" w:type="pct"/>
            <w:tcBorders>
              <w:top w:val="nil"/>
              <w:left w:val="single" w:sz="4" w:space="0" w:color="auto"/>
              <w:bottom w:val="nil"/>
              <w:right w:val="single" w:sz="4" w:space="0" w:color="auto"/>
            </w:tcBorders>
          </w:tcPr>
          <w:p w14:paraId="151EC2BA" w14:textId="77777777" w:rsidR="00951F81" w:rsidRDefault="00951F81" w:rsidP="006172AE">
            <w:r>
              <w:t>Tselluliit</w:t>
            </w:r>
            <w:r>
              <w:rPr>
                <w:vertAlign w:val="superscript"/>
              </w:rPr>
              <w:t>1</w:t>
            </w:r>
          </w:p>
        </w:tc>
      </w:tr>
      <w:tr w:rsidR="00951F81" w:rsidRPr="0011121C" w14:paraId="32656944"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0AB2EC5B" w14:textId="77777777" w:rsidR="00951F81" w:rsidRDefault="00951F81" w:rsidP="006172AE">
            <w:pPr>
              <w:keepNext/>
            </w:pPr>
          </w:p>
        </w:tc>
        <w:tc>
          <w:tcPr>
            <w:tcW w:w="1393" w:type="pct"/>
            <w:tcBorders>
              <w:top w:val="nil"/>
              <w:left w:val="single" w:sz="4" w:space="0" w:color="auto"/>
              <w:bottom w:val="single" w:sz="4" w:space="0" w:color="auto"/>
              <w:right w:val="single" w:sz="4" w:space="0" w:color="auto"/>
            </w:tcBorders>
          </w:tcPr>
          <w:p w14:paraId="0D222738" w14:textId="77777777" w:rsidR="00951F81" w:rsidRDefault="00951F81" w:rsidP="006172AE">
            <w:r>
              <w:t>Aeg-ajalt</w:t>
            </w:r>
          </w:p>
        </w:tc>
        <w:tc>
          <w:tcPr>
            <w:tcW w:w="1952" w:type="pct"/>
            <w:tcBorders>
              <w:top w:val="nil"/>
              <w:left w:val="single" w:sz="4" w:space="0" w:color="auto"/>
              <w:bottom w:val="single" w:sz="4" w:space="0" w:color="auto"/>
              <w:right w:val="single" w:sz="4" w:space="0" w:color="auto"/>
            </w:tcBorders>
          </w:tcPr>
          <w:p w14:paraId="72473FBF" w14:textId="77777777" w:rsidR="00951F81" w:rsidRDefault="00951F81" w:rsidP="006172AE">
            <w:r>
              <w:t>Kõrvainfektsioon</w:t>
            </w:r>
          </w:p>
        </w:tc>
      </w:tr>
      <w:tr w:rsidR="00951F81" w:rsidRPr="0011121C" w14:paraId="260EA276"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77841850" w14:textId="77777777" w:rsidR="00951F81" w:rsidRDefault="00951F81" w:rsidP="006172AE">
            <w:pPr>
              <w:keepNext/>
            </w:pPr>
            <w:r>
              <w:t>Immuunsüsteemi häired</w:t>
            </w:r>
          </w:p>
        </w:tc>
        <w:tc>
          <w:tcPr>
            <w:tcW w:w="1393" w:type="pct"/>
            <w:tcBorders>
              <w:top w:val="single" w:sz="4" w:space="0" w:color="auto"/>
              <w:left w:val="single" w:sz="4" w:space="0" w:color="auto"/>
              <w:bottom w:val="nil"/>
              <w:right w:val="single" w:sz="4" w:space="0" w:color="auto"/>
            </w:tcBorders>
          </w:tcPr>
          <w:p w14:paraId="21A5A143" w14:textId="77777777" w:rsidR="00951F81" w:rsidRDefault="00951F81" w:rsidP="006172AE">
            <w:r>
              <w:t>Harv</w:t>
            </w:r>
          </w:p>
        </w:tc>
        <w:tc>
          <w:tcPr>
            <w:tcW w:w="1952" w:type="pct"/>
            <w:tcBorders>
              <w:top w:val="single" w:sz="4" w:space="0" w:color="auto"/>
              <w:left w:val="single" w:sz="4" w:space="0" w:color="auto"/>
              <w:bottom w:val="nil"/>
              <w:right w:val="single" w:sz="4" w:space="0" w:color="auto"/>
            </w:tcBorders>
          </w:tcPr>
          <w:p w14:paraId="6A2845E7" w14:textId="77777777" w:rsidR="00951F81" w:rsidRDefault="00951F81" w:rsidP="006172AE">
            <w:r>
              <w:t>Ülitundlikkus ravimi suhtes</w:t>
            </w:r>
            <w:r>
              <w:rPr>
                <w:vertAlign w:val="superscript"/>
              </w:rPr>
              <w:t>1</w:t>
            </w:r>
          </w:p>
        </w:tc>
      </w:tr>
      <w:tr w:rsidR="00951F81" w:rsidRPr="0011121C" w14:paraId="15F892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1A7B3FCB" w14:textId="77777777" w:rsidR="00951F81" w:rsidRDefault="00951F81" w:rsidP="006172AE">
            <w:pPr>
              <w:keepNext/>
            </w:pPr>
          </w:p>
        </w:tc>
        <w:tc>
          <w:tcPr>
            <w:tcW w:w="1393" w:type="pct"/>
            <w:tcBorders>
              <w:top w:val="nil"/>
              <w:left w:val="single" w:sz="4" w:space="0" w:color="auto"/>
              <w:bottom w:val="single" w:sz="4" w:space="0" w:color="auto"/>
              <w:right w:val="single" w:sz="4" w:space="0" w:color="auto"/>
            </w:tcBorders>
          </w:tcPr>
          <w:p w14:paraId="054B07B2" w14:textId="77777777" w:rsidR="00951F81" w:rsidRDefault="00951F81" w:rsidP="006172AE">
            <w:r>
              <w:t>Harv</w:t>
            </w:r>
          </w:p>
        </w:tc>
        <w:tc>
          <w:tcPr>
            <w:tcW w:w="1952" w:type="pct"/>
            <w:tcBorders>
              <w:top w:val="nil"/>
              <w:left w:val="single" w:sz="4" w:space="0" w:color="auto"/>
              <w:bottom w:val="single" w:sz="4" w:space="0" w:color="auto"/>
              <w:right w:val="single" w:sz="4" w:space="0" w:color="auto"/>
            </w:tcBorders>
          </w:tcPr>
          <w:p w14:paraId="2A72ECF1" w14:textId="77777777" w:rsidR="00951F81" w:rsidRDefault="00951F81" w:rsidP="006172AE">
            <w:r>
              <w:t>Anafülaktiline reaktsioon</w:t>
            </w:r>
            <w:r>
              <w:rPr>
                <w:vertAlign w:val="superscript"/>
              </w:rPr>
              <w:t>1</w:t>
            </w:r>
          </w:p>
        </w:tc>
      </w:tr>
      <w:tr w:rsidR="00951F81" w:rsidRPr="0011121C" w14:paraId="4E7C5B16"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7C1EAD83" w14:textId="77777777" w:rsidR="00951F81" w:rsidRDefault="00951F81" w:rsidP="006172AE">
            <w:r>
              <w:t>Ainevahetus</w:t>
            </w:r>
            <w:r>
              <w:noBreakHyphen/>
              <w:t xml:space="preserve"> ja toitumishäired</w:t>
            </w:r>
          </w:p>
        </w:tc>
        <w:tc>
          <w:tcPr>
            <w:tcW w:w="1393" w:type="pct"/>
            <w:tcBorders>
              <w:top w:val="single" w:sz="4" w:space="0" w:color="auto"/>
              <w:left w:val="single" w:sz="4" w:space="0" w:color="auto"/>
              <w:bottom w:val="single" w:sz="4" w:space="0" w:color="auto"/>
              <w:right w:val="single" w:sz="4" w:space="0" w:color="auto"/>
            </w:tcBorders>
          </w:tcPr>
          <w:p w14:paraId="3FF3782C" w14:textId="77777777" w:rsidR="00951F81" w:rsidRDefault="00951F81" w:rsidP="006172AE">
            <w:r>
              <w:t>Harv</w:t>
            </w:r>
          </w:p>
        </w:tc>
        <w:tc>
          <w:tcPr>
            <w:tcW w:w="1952" w:type="pct"/>
            <w:tcBorders>
              <w:top w:val="single" w:sz="4" w:space="0" w:color="auto"/>
              <w:left w:val="single" w:sz="4" w:space="0" w:color="auto"/>
              <w:bottom w:val="single" w:sz="4" w:space="0" w:color="auto"/>
              <w:right w:val="single" w:sz="4" w:space="0" w:color="auto"/>
            </w:tcBorders>
          </w:tcPr>
          <w:p w14:paraId="7A55F3F1" w14:textId="77777777" w:rsidR="00951F81" w:rsidRDefault="00951F81" w:rsidP="006172AE">
            <w:r>
              <w:t>Hüpokaltseemia</w:t>
            </w:r>
            <w:r>
              <w:rPr>
                <w:vertAlign w:val="superscript"/>
              </w:rPr>
              <w:t>1</w:t>
            </w:r>
          </w:p>
        </w:tc>
      </w:tr>
      <w:tr w:rsidR="00951F81" w:rsidRPr="0011121C" w14:paraId="00985113" w14:textId="77777777" w:rsidTr="00884E6E">
        <w:trPr>
          <w:cantSplit/>
          <w:trHeight w:val="57"/>
        </w:trPr>
        <w:tc>
          <w:tcPr>
            <w:tcW w:w="1655" w:type="pct"/>
            <w:tcBorders>
              <w:top w:val="single" w:sz="4" w:space="0" w:color="auto"/>
              <w:left w:val="single" w:sz="4" w:space="0" w:color="auto"/>
              <w:bottom w:val="single" w:sz="4" w:space="0" w:color="auto"/>
              <w:right w:val="single" w:sz="4" w:space="0" w:color="auto"/>
            </w:tcBorders>
          </w:tcPr>
          <w:p w14:paraId="13BF429F" w14:textId="77777777" w:rsidR="00951F81" w:rsidRDefault="00951F81" w:rsidP="006172AE">
            <w:r>
              <w:t>Närvisüsteemi häired</w:t>
            </w:r>
          </w:p>
        </w:tc>
        <w:tc>
          <w:tcPr>
            <w:tcW w:w="1393" w:type="pct"/>
            <w:tcBorders>
              <w:top w:val="single" w:sz="4" w:space="0" w:color="auto"/>
              <w:left w:val="single" w:sz="4" w:space="0" w:color="auto"/>
              <w:bottom w:val="single" w:sz="4" w:space="0" w:color="auto"/>
              <w:right w:val="single" w:sz="4" w:space="0" w:color="auto"/>
            </w:tcBorders>
          </w:tcPr>
          <w:p w14:paraId="2B6B8942" w14:textId="77777777" w:rsidR="00951F81" w:rsidRDefault="00951F81" w:rsidP="006172AE">
            <w:r>
              <w:t>Sage</w:t>
            </w:r>
          </w:p>
        </w:tc>
        <w:tc>
          <w:tcPr>
            <w:tcW w:w="1952" w:type="pct"/>
            <w:tcBorders>
              <w:top w:val="single" w:sz="4" w:space="0" w:color="auto"/>
              <w:left w:val="single" w:sz="4" w:space="0" w:color="auto"/>
              <w:bottom w:val="single" w:sz="4" w:space="0" w:color="auto"/>
              <w:right w:val="single" w:sz="4" w:space="0" w:color="auto"/>
            </w:tcBorders>
          </w:tcPr>
          <w:p w14:paraId="577D64FE" w14:textId="77777777" w:rsidR="00951F81" w:rsidRDefault="00951F81" w:rsidP="006172AE">
            <w:r>
              <w:t>Ishias</w:t>
            </w:r>
          </w:p>
        </w:tc>
      </w:tr>
      <w:tr w:rsidR="00951F81" w:rsidRPr="0011121C" w14:paraId="766C33CF"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6E6AEF7C" w14:textId="77777777" w:rsidR="00951F81" w:rsidRDefault="00951F81" w:rsidP="006172AE">
            <w:r>
              <w:t>Seedetrakti häired</w:t>
            </w:r>
          </w:p>
        </w:tc>
        <w:tc>
          <w:tcPr>
            <w:tcW w:w="1393" w:type="pct"/>
            <w:tcBorders>
              <w:top w:val="single" w:sz="4" w:space="0" w:color="auto"/>
              <w:left w:val="single" w:sz="4" w:space="0" w:color="auto"/>
              <w:bottom w:val="nil"/>
              <w:right w:val="single" w:sz="4" w:space="0" w:color="auto"/>
            </w:tcBorders>
          </w:tcPr>
          <w:p w14:paraId="177260FC" w14:textId="77777777" w:rsidR="00951F81" w:rsidRDefault="00951F81" w:rsidP="006172AE">
            <w:r>
              <w:t>Sage</w:t>
            </w:r>
          </w:p>
        </w:tc>
        <w:tc>
          <w:tcPr>
            <w:tcW w:w="1952" w:type="pct"/>
            <w:tcBorders>
              <w:top w:val="single" w:sz="4" w:space="0" w:color="auto"/>
              <w:left w:val="single" w:sz="4" w:space="0" w:color="auto"/>
              <w:bottom w:val="nil"/>
              <w:right w:val="single" w:sz="4" w:space="0" w:color="auto"/>
            </w:tcBorders>
          </w:tcPr>
          <w:p w14:paraId="19FF6902" w14:textId="77777777" w:rsidR="00951F81" w:rsidRDefault="00951F81" w:rsidP="006172AE">
            <w:r>
              <w:t>Kõhukinnisus</w:t>
            </w:r>
          </w:p>
        </w:tc>
      </w:tr>
      <w:tr w:rsidR="00951F81" w:rsidRPr="0011121C" w14:paraId="6CE110FE"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300C9458" w14:textId="77777777" w:rsidR="00951F81" w:rsidRDefault="00951F81" w:rsidP="006172AE"/>
        </w:tc>
        <w:tc>
          <w:tcPr>
            <w:tcW w:w="1393" w:type="pct"/>
            <w:tcBorders>
              <w:top w:val="nil"/>
              <w:left w:val="single" w:sz="4" w:space="0" w:color="auto"/>
              <w:bottom w:val="single" w:sz="4" w:space="0" w:color="auto"/>
              <w:right w:val="single" w:sz="4" w:space="0" w:color="auto"/>
            </w:tcBorders>
          </w:tcPr>
          <w:p w14:paraId="6DA3CF74" w14:textId="77777777" w:rsidR="00951F81" w:rsidRDefault="00951F81" w:rsidP="006172AE">
            <w:r>
              <w:t>Sage</w:t>
            </w:r>
          </w:p>
        </w:tc>
        <w:tc>
          <w:tcPr>
            <w:tcW w:w="1952" w:type="pct"/>
            <w:tcBorders>
              <w:top w:val="nil"/>
              <w:left w:val="single" w:sz="4" w:space="0" w:color="auto"/>
              <w:bottom w:val="single" w:sz="4" w:space="0" w:color="auto"/>
              <w:right w:val="single" w:sz="4" w:space="0" w:color="auto"/>
            </w:tcBorders>
          </w:tcPr>
          <w:p w14:paraId="405A8D07" w14:textId="77777777" w:rsidR="00951F81" w:rsidRDefault="00951F81" w:rsidP="006172AE">
            <w:r>
              <w:t>Ebamugavustunne kõhus</w:t>
            </w:r>
          </w:p>
        </w:tc>
      </w:tr>
      <w:tr w:rsidR="00951F81" w:rsidRPr="0011121C" w14:paraId="48EAA8A4"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1155DD1B" w14:textId="77777777" w:rsidR="00951F81" w:rsidRDefault="00951F81" w:rsidP="006172AE">
            <w:pPr>
              <w:keepNext/>
            </w:pPr>
            <w:r>
              <w:t>Naha ja nahaaluskoe kahjustused</w:t>
            </w:r>
          </w:p>
        </w:tc>
        <w:tc>
          <w:tcPr>
            <w:tcW w:w="1393" w:type="pct"/>
            <w:tcBorders>
              <w:top w:val="single" w:sz="4" w:space="0" w:color="auto"/>
              <w:left w:val="single" w:sz="4" w:space="0" w:color="auto"/>
              <w:bottom w:val="nil"/>
              <w:right w:val="single" w:sz="4" w:space="0" w:color="auto"/>
            </w:tcBorders>
          </w:tcPr>
          <w:p w14:paraId="26101FF7" w14:textId="77777777" w:rsidR="00951F81" w:rsidRDefault="00951F81" w:rsidP="006172AE">
            <w:pPr>
              <w:keepNext/>
            </w:pPr>
            <w:r>
              <w:t>Sage</w:t>
            </w:r>
          </w:p>
        </w:tc>
        <w:tc>
          <w:tcPr>
            <w:tcW w:w="1952" w:type="pct"/>
            <w:tcBorders>
              <w:top w:val="single" w:sz="4" w:space="0" w:color="auto"/>
              <w:left w:val="single" w:sz="4" w:space="0" w:color="auto"/>
              <w:bottom w:val="nil"/>
              <w:right w:val="single" w:sz="4" w:space="0" w:color="auto"/>
            </w:tcBorders>
          </w:tcPr>
          <w:p w14:paraId="53A70153" w14:textId="77777777" w:rsidR="00951F81" w:rsidRDefault="00951F81" w:rsidP="006172AE">
            <w:pPr>
              <w:keepNext/>
            </w:pPr>
            <w:r>
              <w:t>Lööve</w:t>
            </w:r>
          </w:p>
        </w:tc>
      </w:tr>
      <w:tr w:rsidR="00951F81" w:rsidRPr="0011121C" w14:paraId="51AC380E" w14:textId="77777777" w:rsidTr="00884E6E">
        <w:trPr>
          <w:cantSplit/>
          <w:trHeight w:val="57"/>
        </w:trPr>
        <w:tc>
          <w:tcPr>
            <w:tcW w:w="1655" w:type="pct"/>
            <w:vMerge/>
            <w:tcBorders>
              <w:left w:val="single" w:sz="4" w:space="0" w:color="auto"/>
              <w:right w:val="single" w:sz="4" w:space="0" w:color="auto"/>
            </w:tcBorders>
          </w:tcPr>
          <w:p w14:paraId="6D546D19" w14:textId="77777777" w:rsidR="00951F81" w:rsidRDefault="00951F81" w:rsidP="006172AE">
            <w:pPr>
              <w:keepNext/>
            </w:pPr>
          </w:p>
        </w:tc>
        <w:tc>
          <w:tcPr>
            <w:tcW w:w="1393" w:type="pct"/>
            <w:tcBorders>
              <w:top w:val="nil"/>
              <w:left w:val="single" w:sz="4" w:space="0" w:color="auto"/>
              <w:bottom w:val="nil"/>
              <w:right w:val="single" w:sz="4" w:space="0" w:color="auto"/>
            </w:tcBorders>
          </w:tcPr>
          <w:p w14:paraId="5AEA49E6" w14:textId="77777777" w:rsidR="00951F81" w:rsidRDefault="00951F81" w:rsidP="006172AE">
            <w:pPr>
              <w:keepNext/>
            </w:pPr>
            <w:r>
              <w:t>Sage</w:t>
            </w:r>
          </w:p>
        </w:tc>
        <w:tc>
          <w:tcPr>
            <w:tcW w:w="1952" w:type="pct"/>
            <w:tcBorders>
              <w:top w:val="nil"/>
              <w:left w:val="single" w:sz="4" w:space="0" w:color="auto"/>
              <w:bottom w:val="nil"/>
              <w:right w:val="single" w:sz="4" w:space="0" w:color="auto"/>
            </w:tcBorders>
          </w:tcPr>
          <w:p w14:paraId="6921D318" w14:textId="77777777" w:rsidR="00951F81" w:rsidRDefault="00951F81" w:rsidP="006172AE">
            <w:pPr>
              <w:keepNext/>
            </w:pPr>
            <w:r>
              <w:t>Ekseem</w:t>
            </w:r>
          </w:p>
        </w:tc>
      </w:tr>
      <w:tr w:rsidR="00951F81" w:rsidRPr="0011121C" w14:paraId="77341C9F" w14:textId="77777777" w:rsidTr="00884E6E">
        <w:trPr>
          <w:cantSplit/>
          <w:trHeight w:val="57"/>
        </w:trPr>
        <w:tc>
          <w:tcPr>
            <w:tcW w:w="1655" w:type="pct"/>
            <w:vMerge/>
            <w:tcBorders>
              <w:left w:val="single" w:sz="4" w:space="0" w:color="auto"/>
              <w:right w:val="single" w:sz="4" w:space="0" w:color="auto"/>
            </w:tcBorders>
          </w:tcPr>
          <w:p w14:paraId="56EF3FFC" w14:textId="77777777" w:rsidR="00951F81" w:rsidRDefault="00951F81" w:rsidP="006172AE">
            <w:pPr>
              <w:keepNext/>
            </w:pPr>
          </w:p>
        </w:tc>
        <w:tc>
          <w:tcPr>
            <w:tcW w:w="1393" w:type="pct"/>
            <w:tcBorders>
              <w:top w:val="nil"/>
              <w:left w:val="single" w:sz="4" w:space="0" w:color="auto"/>
              <w:bottom w:val="nil"/>
              <w:right w:val="single" w:sz="4" w:space="0" w:color="auto"/>
            </w:tcBorders>
          </w:tcPr>
          <w:p w14:paraId="33768AA7" w14:textId="77777777" w:rsidR="00951F81" w:rsidRDefault="00951F81" w:rsidP="006172AE">
            <w:pPr>
              <w:keepNext/>
            </w:pPr>
            <w:r>
              <w:t>Sage</w:t>
            </w:r>
          </w:p>
        </w:tc>
        <w:tc>
          <w:tcPr>
            <w:tcW w:w="1952" w:type="pct"/>
            <w:tcBorders>
              <w:top w:val="nil"/>
              <w:left w:val="single" w:sz="4" w:space="0" w:color="auto"/>
              <w:bottom w:val="nil"/>
              <w:right w:val="single" w:sz="4" w:space="0" w:color="auto"/>
            </w:tcBorders>
          </w:tcPr>
          <w:p w14:paraId="65B1F5EB" w14:textId="77777777" w:rsidR="00951F81" w:rsidRDefault="00951F81" w:rsidP="006172AE">
            <w:pPr>
              <w:keepNext/>
            </w:pPr>
            <w:r>
              <w:t>Alopeetsia</w:t>
            </w:r>
          </w:p>
        </w:tc>
      </w:tr>
      <w:tr w:rsidR="00951F81" w:rsidRPr="0011121C" w14:paraId="5E8640F7" w14:textId="77777777" w:rsidTr="00884E6E">
        <w:trPr>
          <w:cantSplit/>
          <w:trHeight w:val="57"/>
        </w:trPr>
        <w:tc>
          <w:tcPr>
            <w:tcW w:w="1655" w:type="pct"/>
            <w:vMerge/>
            <w:tcBorders>
              <w:left w:val="single" w:sz="4" w:space="0" w:color="auto"/>
              <w:right w:val="single" w:sz="4" w:space="0" w:color="auto"/>
            </w:tcBorders>
          </w:tcPr>
          <w:p w14:paraId="253B0151" w14:textId="77777777" w:rsidR="00951F81" w:rsidRDefault="00951F81" w:rsidP="006172AE">
            <w:pPr>
              <w:keepNext/>
            </w:pPr>
          </w:p>
        </w:tc>
        <w:tc>
          <w:tcPr>
            <w:tcW w:w="1393" w:type="pct"/>
            <w:tcBorders>
              <w:top w:val="nil"/>
              <w:left w:val="single" w:sz="4" w:space="0" w:color="auto"/>
              <w:bottom w:val="nil"/>
              <w:right w:val="single" w:sz="4" w:space="0" w:color="auto"/>
            </w:tcBorders>
          </w:tcPr>
          <w:p w14:paraId="63AE3626" w14:textId="77777777" w:rsidR="00951F81" w:rsidRDefault="00951F81" w:rsidP="006172AE">
            <w:pPr>
              <w:keepNext/>
            </w:pPr>
            <w:r>
              <w:t>Aeg-ajalt</w:t>
            </w:r>
          </w:p>
        </w:tc>
        <w:tc>
          <w:tcPr>
            <w:tcW w:w="1952" w:type="pct"/>
            <w:tcBorders>
              <w:top w:val="nil"/>
              <w:left w:val="single" w:sz="4" w:space="0" w:color="auto"/>
              <w:bottom w:val="nil"/>
              <w:right w:val="single" w:sz="4" w:space="0" w:color="auto"/>
            </w:tcBorders>
          </w:tcPr>
          <w:p w14:paraId="2D6032B6" w14:textId="77777777" w:rsidR="00951F81" w:rsidRDefault="00951F81" w:rsidP="006172AE">
            <w:pPr>
              <w:keepNext/>
            </w:pPr>
            <w:r>
              <w:t>Lihhenoidne ravimlööve</w:t>
            </w:r>
            <w:r>
              <w:rPr>
                <w:vertAlign w:val="superscript"/>
              </w:rPr>
              <w:t>1</w:t>
            </w:r>
          </w:p>
        </w:tc>
      </w:tr>
      <w:tr w:rsidR="00951F81" w:rsidRPr="0011121C" w14:paraId="69734E70" w14:textId="77777777" w:rsidTr="00884E6E">
        <w:trPr>
          <w:cantSplit/>
          <w:trHeight w:val="57"/>
        </w:trPr>
        <w:tc>
          <w:tcPr>
            <w:tcW w:w="1655" w:type="pct"/>
            <w:vMerge/>
            <w:tcBorders>
              <w:left w:val="single" w:sz="4" w:space="0" w:color="auto"/>
              <w:right w:val="single" w:sz="4" w:space="0" w:color="auto"/>
            </w:tcBorders>
          </w:tcPr>
          <w:p w14:paraId="5F771D31" w14:textId="77777777" w:rsidR="00951F81" w:rsidRDefault="00951F81" w:rsidP="006172AE">
            <w:pPr>
              <w:keepNext/>
            </w:pPr>
          </w:p>
        </w:tc>
        <w:tc>
          <w:tcPr>
            <w:tcW w:w="1393" w:type="pct"/>
            <w:tcBorders>
              <w:top w:val="nil"/>
              <w:left w:val="single" w:sz="4" w:space="0" w:color="auto"/>
              <w:bottom w:val="single" w:sz="4" w:space="0" w:color="auto"/>
              <w:right w:val="single" w:sz="4" w:space="0" w:color="auto"/>
            </w:tcBorders>
          </w:tcPr>
          <w:p w14:paraId="77A7DC5B" w14:textId="77777777" w:rsidR="00951F81" w:rsidRDefault="00951F81" w:rsidP="006172AE">
            <w:pPr>
              <w:keepNext/>
            </w:pPr>
            <w:r>
              <w:t>Väga harv</w:t>
            </w:r>
          </w:p>
        </w:tc>
        <w:tc>
          <w:tcPr>
            <w:tcW w:w="1952" w:type="pct"/>
            <w:tcBorders>
              <w:top w:val="nil"/>
              <w:left w:val="single" w:sz="4" w:space="0" w:color="auto"/>
              <w:bottom w:val="single" w:sz="4" w:space="0" w:color="auto"/>
              <w:right w:val="single" w:sz="4" w:space="0" w:color="auto"/>
            </w:tcBorders>
          </w:tcPr>
          <w:p w14:paraId="7DBD7D0D" w14:textId="77777777" w:rsidR="00951F81" w:rsidRDefault="00951F81" w:rsidP="006172AE">
            <w:pPr>
              <w:keepNext/>
            </w:pPr>
            <w:r>
              <w:t>Allergiline vaskuliit</w:t>
            </w:r>
          </w:p>
        </w:tc>
      </w:tr>
      <w:tr w:rsidR="00951F81" w:rsidRPr="0011121C" w14:paraId="27D3980C" w14:textId="77777777" w:rsidTr="00884E6E">
        <w:trPr>
          <w:cantSplit/>
          <w:trHeight w:val="57"/>
        </w:trPr>
        <w:tc>
          <w:tcPr>
            <w:tcW w:w="1655" w:type="pct"/>
            <w:vMerge w:val="restart"/>
            <w:tcBorders>
              <w:top w:val="single" w:sz="4" w:space="0" w:color="auto"/>
              <w:left w:val="single" w:sz="4" w:space="0" w:color="auto"/>
              <w:right w:val="single" w:sz="4" w:space="0" w:color="auto"/>
            </w:tcBorders>
          </w:tcPr>
          <w:p w14:paraId="0794FC20" w14:textId="0DCC7FAF" w:rsidR="00951F81" w:rsidRDefault="00951F81" w:rsidP="006172AE">
            <w:pPr>
              <w:keepNext/>
            </w:pPr>
            <w:r>
              <w:t>Lihas</w:t>
            </w:r>
            <w:r w:rsidR="00CD306F">
              <w:t>te, luustiku</w:t>
            </w:r>
            <w:r>
              <w:t xml:space="preserve"> ja sidekoe kahjustused</w:t>
            </w:r>
          </w:p>
        </w:tc>
        <w:tc>
          <w:tcPr>
            <w:tcW w:w="1393" w:type="pct"/>
            <w:tcBorders>
              <w:top w:val="single" w:sz="4" w:space="0" w:color="auto"/>
              <w:left w:val="single" w:sz="4" w:space="0" w:color="auto"/>
              <w:bottom w:val="nil"/>
              <w:right w:val="single" w:sz="4" w:space="0" w:color="auto"/>
            </w:tcBorders>
          </w:tcPr>
          <w:p w14:paraId="79991E81" w14:textId="77777777" w:rsidR="00951F81" w:rsidRDefault="00951F81" w:rsidP="006172AE">
            <w:pPr>
              <w:keepNext/>
            </w:pPr>
            <w:r>
              <w:t>Väga sage</w:t>
            </w:r>
          </w:p>
        </w:tc>
        <w:tc>
          <w:tcPr>
            <w:tcW w:w="1952" w:type="pct"/>
            <w:tcBorders>
              <w:top w:val="single" w:sz="4" w:space="0" w:color="auto"/>
              <w:left w:val="single" w:sz="4" w:space="0" w:color="auto"/>
              <w:bottom w:val="nil"/>
              <w:right w:val="single" w:sz="4" w:space="0" w:color="auto"/>
            </w:tcBorders>
          </w:tcPr>
          <w:p w14:paraId="023434A0" w14:textId="77777777" w:rsidR="00951F81" w:rsidRDefault="00951F81" w:rsidP="006172AE">
            <w:pPr>
              <w:keepNext/>
            </w:pPr>
            <w:r>
              <w:t>Valu jäsemetes</w:t>
            </w:r>
          </w:p>
        </w:tc>
      </w:tr>
      <w:tr w:rsidR="00951F81" w:rsidRPr="0011121C" w14:paraId="2C623969" w14:textId="77777777" w:rsidTr="00884E6E">
        <w:trPr>
          <w:cantSplit/>
          <w:trHeight w:val="57"/>
        </w:trPr>
        <w:tc>
          <w:tcPr>
            <w:tcW w:w="1655" w:type="pct"/>
            <w:vMerge/>
            <w:tcBorders>
              <w:left w:val="single" w:sz="4" w:space="0" w:color="auto"/>
              <w:right w:val="single" w:sz="4" w:space="0" w:color="auto"/>
            </w:tcBorders>
          </w:tcPr>
          <w:p w14:paraId="7B7CC77F" w14:textId="77777777" w:rsidR="00951F81" w:rsidRDefault="00951F81" w:rsidP="006172AE">
            <w:pPr>
              <w:keepNext/>
            </w:pPr>
          </w:p>
        </w:tc>
        <w:tc>
          <w:tcPr>
            <w:tcW w:w="1393" w:type="pct"/>
            <w:tcBorders>
              <w:top w:val="nil"/>
              <w:left w:val="single" w:sz="4" w:space="0" w:color="auto"/>
              <w:bottom w:val="nil"/>
              <w:right w:val="single" w:sz="4" w:space="0" w:color="auto"/>
            </w:tcBorders>
          </w:tcPr>
          <w:p w14:paraId="7CFE3A62" w14:textId="77777777" w:rsidR="00951F81" w:rsidRDefault="00951F81" w:rsidP="006172AE">
            <w:pPr>
              <w:keepNext/>
            </w:pPr>
            <w:r>
              <w:t>Väga sage</w:t>
            </w:r>
          </w:p>
        </w:tc>
        <w:tc>
          <w:tcPr>
            <w:tcW w:w="1952" w:type="pct"/>
            <w:tcBorders>
              <w:top w:val="nil"/>
              <w:left w:val="single" w:sz="4" w:space="0" w:color="auto"/>
              <w:bottom w:val="nil"/>
              <w:right w:val="single" w:sz="4" w:space="0" w:color="auto"/>
            </w:tcBorders>
          </w:tcPr>
          <w:p w14:paraId="4012CD7E" w14:textId="794B1E78" w:rsidR="00951F81" w:rsidRDefault="00951F81" w:rsidP="006172AE">
            <w:pPr>
              <w:keepNext/>
            </w:pPr>
            <w:r>
              <w:t>Lihas</w:t>
            </w:r>
            <w:r w:rsidR="001C1D73">
              <w:t>te ja luustiku</w:t>
            </w:r>
            <w:r>
              <w:t xml:space="preserve"> valu</w:t>
            </w:r>
            <w:r>
              <w:rPr>
                <w:vertAlign w:val="superscript"/>
              </w:rPr>
              <w:t>1</w:t>
            </w:r>
          </w:p>
        </w:tc>
      </w:tr>
      <w:tr w:rsidR="00951F81" w:rsidRPr="0011121C" w14:paraId="2202457E" w14:textId="77777777" w:rsidTr="00884E6E">
        <w:trPr>
          <w:cantSplit/>
          <w:trHeight w:val="57"/>
        </w:trPr>
        <w:tc>
          <w:tcPr>
            <w:tcW w:w="1655" w:type="pct"/>
            <w:vMerge/>
            <w:tcBorders>
              <w:left w:val="single" w:sz="4" w:space="0" w:color="auto"/>
              <w:right w:val="single" w:sz="4" w:space="0" w:color="auto"/>
            </w:tcBorders>
          </w:tcPr>
          <w:p w14:paraId="4F41346E" w14:textId="77777777" w:rsidR="00951F81" w:rsidRDefault="00951F81" w:rsidP="006172AE">
            <w:pPr>
              <w:keepNext/>
            </w:pPr>
          </w:p>
        </w:tc>
        <w:tc>
          <w:tcPr>
            <w:tcW w:w="1393" w:type="pct"/>
            <w:tcBorders>
              <w:top w:val="nil"/>
              <w:left w:val="single" w:sz="4" w:space="0" w:color="auto"/>
              <w:bottom w:val="nil"/>
              <w:right w:val="single" w:sz="4" w:space="0" w:color="auto"/>
            </w:tcBorders>
          </w:tcPr>
          <w:p w14:paraId="13853E26" w14:textId="77777777" w:rsidR="00951F81" w:rsidRDefault="00951F81" w:rsidP="006172AE">
            <w:pPr>
              <w:keepNext/>
            </w:pPr>
            <w:r>
              <w:t>Harv</w:t>
            </w:r>
          </w:p>
        </w:tc>
        <w:tc>
          <w:tcPr>
            <w:tcW w:w="1952" w:type="pct"/>
            <w:tcBorders>
              <w:top w:val="nil"/>
              <w:left w:val="single" w:sz="4" w:space="0" w:color="auto"/>
              <w:bottom w:val="nil"/>
              <w:right w:val="single" w:sz="4" w:space="0" w:color="auto"/>
            </w:tcBorders>
          </w:tcPr>
          <w:p w14:paraId="79ADF7A4" w14:textId="77777777" w:rsidR="00951F81" w:rsidRDefault="00951F81" w:rsidP="006172AE">
            <w:pPr>
              <w:keepNext/>
            </w:pPr>
            <w:r>
              <w:t>Lõualuu osteonekroos</w:t>
            </w:r>
            <w:r>
              <w:rPr>
                <w:vertAlign w:val="superscript"/>
              </w:rPr>
              <w:t>1</w:t>
            </w:r>
          </w:p>
        </w:tc>
      </w:tr>
      <w:tr w:rsidR="00951F81" w:rsidRPr="0011121C" w14:paraId="1C4D166E" w14:textId="77777777" w:rsidTr="00884E6E">
        <w:trPr>
          <w:cantSplit/>
          <w:trHeight w:val="57"/>
        </w:trPr>
        <w:tc>
          <w:tcPr>
            <w:tcW w:w="1655" w:type="pct"/>
            <w:vMerge/>
            <w:tcBorders>
              <w:left w:val="single" w:sz="4" w:space="0" w:color="auto"/>
              <w:right w:val="single" w:sz="4" w:space="0" w:color="auto"/>
            </w:tcBorders>
          </w:tcPr>
          <w:p w14:paraId="4C30B070" w14:textId="77777777" w:rsidR="00951F81" w:rsidRDefault="00951F81" w:rsidP="006172AE">
            <w:pPr>
              <w:keepNext/>
            </w:pPr>
          </w:p>
        </w:tc>
        <w:tc>
          <w:tcPr>
            <w:tcW w:w="1393" w:type="pct"/>
            <w:tcBorders>
              <w:top w:val="nil"/>
              <w:left w:val="single" w:sz="4" w:space="0" w:color="auto"/>
              <w:bottom w:val="nil"/>
              <w:right w:val="single" w:sz="4" w:space="0" w:color="auto"/>
            </w:tcBorders>
          </w:tcPr>
          <w:p w14:paraId="02EDA556" w14:textId="77777777" w:rsidR="00951F81" w:rsidRDefault="00951F81" w:rsidP="006172AE">
            <w:pPr>
              <w:keepNext/>
            </w:pPr>
            <w:r>
              <w:t>Harv</w:t>
            </w:r>
          </w:p>
        </w:tc>
        <w:tc>
          <w:tcPr>
            <w:tcW w:w="1952" w:type="pct"/>
            <w:tcBorders>
              <w:top w:val="nil"/>
              <w:left w:val="single" w:sz="4" w:space="0" w:color="auto"/>
              <w:bottom w:val="nil"/>
              <w:right w:val="single" w:sz="4" w:space="0" w:color="auto"/>
            </w:tcBorders>
          </w:tcPr>
          <w:p w14:paraId="71EC9640" w14:textId="77777777" w:rsidR="00951F81" w:rsidRDefault="00951F81" w:rsidP="006172AE">
            <w:pPr>
              <w:keepNext/>
            </w:pPr>
            <w:r>
              <w:t>Reieluu atüüpilised murrud</w:t>
            </w:r>
            <w:r>
              <w:rPr>
                <w:vertAlign w:val="superscript"/>
              </w:rPr>
              <w:t>1</w:t>
            </w:r>
          </w:p>
        </w:tc>
      </w:tr>
      <w:tr w:rsidR="00951F81" w:rsidRPr="0011121C" w14:paraId="555FECA6" w14:textId="77777777" w:rsidTr="00884E6E">
        <w:trPr>
          <w:cantSplit/>
          <w:trHeight w:val="57"/>
        </w:trPr>
        <w:tc>
          <w:tcPr>
            <w:tcW w:w="1655" w:type="pct"/>
            <w:vMerge/>
            <w:tcBorders>
              <w:left w:val="single" w:sz="4" w:space="0" w:color="auto"/>
              <w:bottom w:val="single" w:sz="4" w:space="0" w:color="auto"/>
              <w:right w:val="single" w:sz="4" w:space="0" w:color="auto"/>
            </w:tcBorders>
          </w:tcPr>
          <w:p w14:paraId="54624A35" w14:textId="77777777" w:rsidR="00951F81" w:rsidRDefault="00951F81" w:rsidP="006172AE">
            <w:pPr>
              <w:keepNext/>
            </w:pPr>
          </w:p>
        </w:tc>
        <w:tc>
          <w:tcPr>
            <w:tcW w:w="1393" w:type="pct"/>
            <w:tcBorders>
              <w:top w:val="nil"/>
              <w:left w:val="single" w:sz="4" w:space="0" w:color="auto"/>
              <w:bottom w:val="single" w:sz="4" w:space="0" w:color="auto"/>
              <w:right w:val="single" w:sz="4" w:space="0" w:color="auto"/>
            </w:tcBorders>
          </w:tcPr>
          <w:p w14:paraId="59C5C1B2" w14:textId="77777777" w:rsidR="00951F81" w:rsidRDefault="00951F81" w:rsidP="006172AE">
            <w:pPr>
              <w:keepNext/>
            </w:pPr>
            <w:r>
              <w:t>Teadmata</w:t>
            </w:r>
          </w:p>
        </w:tc>
        <w:tc>
          <w:tcPr>
            <w:tcW w:w="1952" w:type="pct"/>
            <w:tcBorders>
              <w:top w:val="nil"/>
              <w:left w:val="single" w:sz="4" w:space="0" w:color="auto"/>
              <w:bottom w:val="single" w:sz="4" w:space="0" w:color="auto"/>
              <w:right w:val="single" w:sz="4" w:space="0" w:color="auto"/>
            </w:tcBorders>
          </w:tcPr>
          <w:p w14:paraId="12A4BFD4" w14:textId="77777777" w:rsidR="00951F81" w:rsidRDefault="00951F81" w:rsidP="006172AE">
            <w:pPr>
              <w:keepNext/>
            </w:pPr>
            <w:r>
              <w:t>Väliskuulmekäigu osteonekroos</w:t>
            </w:r>
            <w:r>
              <w:rPr>
                <w:vertAlign w:val="superscript"/>
              </w:rPr>
              <w:t>2</w:t>
            </w:r>
          </w:p>
        </w:tc>
      </w:tr>
    </w:tbl>
    <w:p w14:paraId="5C0684D4" w14:textId="77777777" w:rsidR="00951F81" w:rsidRDefault="00951F81" w:rsidP="00951F81">
      <w:pPr>
        <w:keepNext/>
        <w:rPr>
          <w:sz w:val="20"/>
          <w:szCs w:val="20"/>
        </w:rPr>
      </w:pPr>
      <w:r>
        <w:rPr>
          <w:sz w:val="20"/>
          <w:vertAlign w:val="superscript"/>
        </w:rPr>
        <w:t>1</w:t>
      </w:r>
      <w:r>
        <w:rPr>
          <w:sz w:val="20"/>
        </w:rPr>
        <w:t xml:space="preserve"> Vt lõik „Valitud kõrvaltoimete kirjeldus“.</w:t>
      </w:r>
    </w:p>
    <w:p w14:paraId="0122A1C5" w14:textId="77777777" w:rsidR="00951F81" w:rsidRDefault="00951F81" w:rsidP="00951F81">
      <w:pPr>
        <w:rPr>
          <w:sz w:val="20"/>
          <w:szCs w:val="20"/>
        </w:rPr>
      </w:pPr>
      <w:r>
        <w:rPr>
          <w:sz w:val="20"/>
          <w:vertAlign w:val="superscript"/>
        </w:rPr>
        <w:t>2</w:t>
      </w:r>
      <w:r>
        <w:rPr>
          <w:sz w:val="20"/>
        </w:rPr>
        <w:t xml:space="preserve"> Vt lõik 4.4.</w:t>
      </w:r>
    </w:p>
    <w:p w14:paraId="28A4B37F" w14:textId="77777777" w:rsidR="00951F81" w:rsidRDefault="00951F81" w:rsidP="00951F81">
      <w:pPr>
        <w:pStyle w:val="CommentText"/>
        <w:rPr>
          <w:sz w:val="22"/>
        </w:rPr>
      </w:pPr>
    </w:p>
    <w:p w14:paraId="5186DA11" w14:textId="77777777" w:rsidR="00951F81" w:rsidRDefault="00951F81" w:rsidP="00951F81">
      <w:r>
        <w:t>Platseebokontrolliga II faasi ja III faasi uuringute ühendatud andmete analüüsi põhjal teatati gripilaadsest haigusest denosumabi rühmas üldise esinemissagedusega 1,2% ja platseeborühmas 0,7%. Ehkki see kõrvalekalle tuvastati ühendandmete analüüsil, ei täheldatud seda kihitatud analüüsil.</w:t>
      </w:r>
    </w:p>
    <w:p w14:paraId="3D6895BB" w14:textId="77777777" w:rsidR="00951F81" w:rsidRDefault="00951F81" w:rsidP="00951F81"/>
    <w:p w14:paraId="7044F71B" w14:textId="77777777" w:rsidR="00951F81" w:rsidRDefault="00951F81" w:rsidP="00951F81">
      <w:pPr>
        <w:keepNext/>
        <w:rPr>
          <w:u w:val="single"/>
        </w:rPr>
      </w:pPr>
      <w:r>
        <w:rPr>
          <w:u w:val="single"/>
        </w:rPr>
        <w:t>Valitud kõrvaltoimete kirjeldus</w:t>
      </w:r>
    </w:p>
    <w:p w14:paraId="20C8AE49" w14:textId="77777777" w:rsidR="00951F81" w:rsidRDefault="00951F81" w:rsidP="00951F81">
      <w:pPr>
        <w:keepNext/>
      </w:pPr>
    </w:p>
    <w:p w14:paraId="4DD2FA83" w14:textId="77777777" w:rsidR="00951F81" w:rsidRDefault="00951F81" w:rsidP="00951F81">
      <w:pPr>
        <w:keepNext/>
        <w:tabs>
          <w:tab w:val="clear" w:pos="567"/>
        </w:tabs>
        <w:rPr>
          <w:i/>
          <w:iCs/>
        </w:rPr>
      </w:pPr>
      <w:r>
        <w:rPr>
          <w:i/>
        </w:rPr>
        <w:t>Hüpokaltseemia</w:t>
      </w:r>
    </w:p>
    <w:p w14:paraId="31E1652F" w14:textId="4BBC0474" w:rsidR="00951F81" w:rsidRDefault="00951F81" w:rsidP="00951F81">
      <w:r>
        <w:t xml:space="preserve">Kahes platseebokontrolliga III faasi uuringus menopausijärgses eas osteoporoosiga naistel langes ligikaudu 0,05% patsientidest (2/4050) pärast </w:t>
      </w:r>
      <w:r w:rsidR="00B24F64">
        <w:t xml:space="preserve">denosumabi </w:t>
      </w:r>
      <w:r>
        <w:t>manustamist seerumi kaltsiumisisaldus (alla 1,88 mmol/l). Seerumi kaltsiumisisalduse langusest (alla 1,88 mmol/l) ei teatatud ei kahes platseebokontrolliga III faasi kliinilises uuringus hormoonablatsioonravi saavatel patsientidel ega ka platseebokontrolliga III faasi kliinilises uuringus osteoporoosiga meespatsientidel.</w:t>
      </w:r>
    </w:p>
    <w:p w14:paraId="2FB6F939" w14:textId="77777777" w:rsidR="006079AB" w:rsidRDefault="006079AB" w:rsidP="00951F81"/>
    <w:p w14:paraId="4E27AD95" w14:textId="6ACC52B1" w:rsidR="00951F81" w:rsidRDefault="00951F81" w:rsidP="00951F81">
      <w:r>
        <w:t xml:space="preserve">Turuletulekujärgselt on harva teatatud raske sümptomaatilise hüpokaltseemia juhtudest, mis vajasid hospitaliseerimist, põhjustasid eluohtlikke kõrvaltoimeid või surma, valdavalt suurenenud hüpokaltseemiariskiga patsientidel, kes said </w:t>
      </w:r>
      <w:r w:rsidR="00215615">
        <w:t xml:space="preserve">ravi </w:t>
      </w:r>
      <w:r>
        <w:t>denosumab</w:t>
      </w:r>
      <w:r w:rsidR="00215615">
        <w:t>iga</w:t>
      </w:r>
      <w:r>
        <w:t>; enamik juhtudest tekkis esimestel nädalatel ravi alguses. Raske sümptomaatilise hüpokaltseemia kliinilise avaldumise näited on järgnevad: QT</w:t>
      </w:r>
      <w:r>
        <w:noBreakHyphen/>
        <w:t xml:space="preserve">intervalli pikenemine, </w:t>
      </w:r>
      <w:r w:rsidR="00215615">
        <w:t>tetaania</w:t>
      </w:r>
      <w:r>
        <w:t xml:space="preserve">, </w:t>
      </w:r>
      <w:r w:rsidR="00215615">
        <w:t xml:space="preserve">epileptilised </w:t>
      </w:r>
      <w:r>
        <w:t>hood ja psüühilise seisundi häire (vt lõik 4.4). Denosumabi kliinilistes uuringutes olid hüpokaltseemia sümptomiteks paresteesiad või lihasjäikus, tõmblused, spasmid ja lihaskrambid.</w:t>
      </w:r>
    </w:p>
    <w:p w14:paraId="633AFF06" w14:textId="77777777" w:rsidR="00951F81" w:rsidRDefault="00951F81" w:rsidP="00951F81"/>
    <w:p w14:paraId="6494E8F3" w14:textId="77777777" w:rsidR="00951F81" w:rsidRDefault="00951F81" w:rsidP="00951F81">
      <w:pPr>
        <w:keepNext/>
        <w:tabs>
          <w:tab w:val="clear" w:pos="567"/>
        </w:tabs>
        <w:rPr>
          <w:i/>
          <w:iCs/>
        </w:rPr>
      </w:pPr>
      <w:r>
        <w:rPr>
          <w:i/>
        </w:rPr>
        <w:t>Nahainfektsioonid</w:t>
      </w:r>
    </w:p>
    <w:p w14:paraId="3FB99A0E" w14:textId="50CD90D7" w:rsidR="00951F81" w:rsidRDefault="00951F81" w:rsidP="00951F81">
      <w:r>
        <w:t xml:space="preserve">Platseebokontrolliga III faasi uuringutes oli nahainfektsioonide üdine esinemissagedus platseebo- ja denosumabirühmades sarnane menopausijärgses eas osteoporoosiga naistel (platseebo: 1,2% (50/4041); </w:t>
      </w:r>
      <w:r w:rsidR="00B24F64">
        <w:t>denosumab</w:t>
      </w:r>
      <w:r>
        <w:t xml:space="preserve">: 1,5% (59/4050)); osteoporoosiga meestel (platseebo: 0,8% (1/120); </w:t>
      </w:r>
      <w:r w:rsidR="00B24F64">
        <w:t xml:space="preserve">denosumab </w:t>
      </w:r>
      <w:r>
        <w:t>0% (0/120)); hormoonablatsioonravi saavatel rinnanäärme</w:t>
      </w:r>
      <w:r>
        <w:noBreakHyphen/>
        <w:t xml:space="preserve"> ja eesnäärmevähiga patsientidel (platseebo: 1,7% (14/845); </w:t>
      </w:r>
      <w:r w:rsidR="00B24F64">
        <w:t>denosumab</w:t>
      </w:r>
      <w:r>
        <w:t xml:space="preserve">: 1,4% (12/860)). Hospitaliseerimiseni viinud nahainfektsioonidest teatati 0,1% (3/4041) platseebot saanud ja 0,4% (16/4050) </w:t>
      </w:r>
      <w:r w:rsidR="00B24F64">
        <w:t>denosumabi</w:t>
      </w:r>
      <w:r>
        <w:t>manustanud menopausijärgses eas osteoporoosiga naistest. Valdavalt oli tegemist tselluliidijuhtudega. Rinnanäärme</w:t>
      </w:r>
      <w:r>
        <w:noBreakHyphen/>
        <w:t xml:space="preserve"> ja eesnäärmevähi uuringutes teatati nahareaktsioonidest tõsiste kõrvaltoimetena samavõrra platseebo (0,6%, 5/845) ja </w:t>
      </w:r>
      <w:r w:rsidR="00B24F64">
        <w:t xml:space="preserve">denosumabi </w:t>
      </w:r>
      <w:r>
        <w:t>rühmades (0,6%, 5/860).</w:t>
      </w:r>
    </w:p>
    <w:p w14:paraId="4E57D484" w14:textId="77777777" w:rsidR="00951F81" w:rsidRDefault="00951F81" w:rsidP="00951F81"/>
    <w:p w14:paraId="1A80A618" w14:textId="77777777" w:rsidR="00951F81" w:rsidRDefault="00951F81" w:rsidP="00951F81">
      <w:pPr>
        <w:keepNext/>
        <w:tabs>
          <w:tab w:val="clear" w:pos="567"/>
        </w:tabs>
        <w:rPr>
          <w:i/>
          <w:iCs/>
        </w:rPr>
      </w:pPr>
      <w:r>
        <w:rPr>
          <w:i/>
        </w:rPr>
        <w:t>Lõualuu osteonekroos</w:t>
      </w:r>
    </w:p>
    <w:p w14:paraId="5470ADE6" w14:textId="3B8D35AE" w:rsidR="00951F81" w:rsidRDefault="00951F81" w:rsidP="00951F81">
      <w:r>
        <w:t>Osteoporoosi ning hormoonablatsioonravi saavate rinna</w:t>
      </w:r>
      <w:r>
        <w:noBreakHyphen/>
        <w:t xml:space="preserve"> või eesnäärmevähi patsientide kliinilistes uuringutes, kus osales kokku 23 148 patsienti, teatati lõualuu osteonekroosist harva, 16 patsiendil (vt lõik 4.4). Neist kolmteist lõualuu osteonekroosi juhtu tekkis menopausijärgse osteoporoosiga naistel III faasi kliinilise uuringu jätku</w:t>
      </w:r>
      <w:r>
        <w:noBreakHyphen/>
        <w:t xml:space="preserve">uuringus, pärast kuni 10-aastast </w:t>
      </w:r>
      <w:r w:rsidR="007371D4">
        <w:t xml:space="preserve">ravi </w:t>
      </w:r>
      <w:r>
        <w:t>denosumab</w:t>
      </w:r>
      <w:r w:rsidR="007371D4">
        <w:t>iga</w:t>
      </w:r>
      <w:r>
        <w:t>. Lõualuu osteonekroosi tekkesagedus oli denosumab</w:t>
      </w:r>
      <w:r w:rsidR="007371D4">
        <w:t xml:space="preserve">iga </w:t>
      </w:r>
      <w:r>
        <w:t>ravi 3. aastal 0,04%, 5. aastal 0,06% ja 10. aastal 0,44%. Lõualuu osteonekroosi risk kasvas koos denosumab</w:t>
      </w:r>
      <w:r w:rsidR="007371D4">
        <w:t xml:space="preserve">iga </w:t>
      </w:r>
      <w:r>
        <w:t>ravi kestusega.</w:t>
      </w:r>
    </w:p>
    <w:p w14:paraId="5770F1E8" w14:textId="77777777" w:rsidR="00D67D34" w:rsidRDefault="00D67D34" w:rsidP="00951F81"/>
    <w:p w14:paraId="01C71654" w14:textId="536FA8AF" w:rsidR="004D1912" w:rsidRDefault="004D1912" w:rsidP="00582476">
      <w:pPr>
        <w:rPr>
          <w:i/>
          <w:iCs/>
          <w:color w:val="000000"/>
        </w:rPr>
      </w:pPr>
      <w:r>
        <w:t xml:space="preserve">Lõualuu osteonekroosi riski on hinnatud ka retrospektiivses kohortuuringus, millesse olid kaasatud 76 192 menopausijärgses eas naist, kes said esmakordselt ravi </w:t>
      </w:r>
      <w:r w:rsidR="00B24F64">
        <w:t>denosumabi</w:t>
      </w:r>
      <w:r>
        <w:t>ga. Lõualuu osteonekroosi tekke sagedus oli 0,32% (95% CI: 0,26; 0,39) patsientide seas, kes kasutasid denosumabi kuni 3</w:t>
      </w:r>
      <w:r>
        <w:noBreakHyphen/>
        <w:t>aastase jälgimisperioodi jooksul, ja 0,51% (95% CI: 0,39; 0,65) patsientide seas, kes kasutasid denosumabi kuni 5</w:t>
      </w:r>
      <w:r>
        <w:noBreakHyphen/>
        <w:t>aastase jälgimisperioodi jooksul.</w:t>
      </w:r>
    </w:p>
    <w:p w14:paraId="01CC3FD4" w14:textId="77777777" w:rsidR="00951F81" w:rsidRDefault="00951F81" w:rsidP="00582476"/>
    <w:p w14:paraId="13B95161" w14:textId="77777777" w:rsidR="00951F81" w:rsidRDefault="00951F81" w:rsidP="00951F81">
      <w:pPr>
        <w:keepNext/>
        <w:tabs>
          <w:tab w:val="clear" w:pos="567"/>
        </w:tabs>
        <w:rPr>
          <w:i/>
          <w:iCs/>
        </w:rPr>
      </w:pPr>
      <w:r>
        <w:rPr>
          <w:i/>
        </w:rPr>
        <w:t>Reieluu atüüpilised murrud</w:t>
      </w:r>
    </w:p>
    <w:p w14:paraId="4773B3E8" w14:textId="0DCAC086" w:rsidR="00951F81" w:rsidRDefault="00951F81" w:rsidP="00951F81">
      <w:r>
        <w:t>Osteoporoosi kliiniliste uuringute programmis teatati denosumabiga ravitud patsientidel reieluu atüüpilistest murdudest harva (vt lõik 4.4).</w:t>
      </w:r>
    </w:p>
    <w:p w14:paraId="3CC9A891" w14:textId="77777777" w:rsidR="00951F81" w:rsidRDefault="00951F81" w:rsidP="00951F81"/>
    <w:p w14:paraId="1F54A1FD" w14:textId="77777777" w:rsidR="00951F81" w:rsidRDefault="00951F81" w:rsidP="00951F81">
      <w:pPr>
        <w:keepNext/>
        <w:tabs>
          <w:tab w:val="clear" w:pos="567"/>
        </w:tabs>
        <w:rPr>
          <w:i/>
          <w:iCs/>
        </w:rPr>
      </w:pPr>
      <w:r>
        <w:rPr>
          <w:i/>
        </w:rPr>
        <w:t>Divertikuliit</w:t>
      </w:r>
    </w:p>
    <w:p w14:paraId="0CD71C30" w14:textId="77777777" w:rsidR="00951F81" w:rsidRDefault="00951F81" w:rsidP="00951F81">
      <w:r>
        <w:t>Ühes platseebokontrolliga III faasi kliinilises uuringus täheldati androgeensupressioonravi saanud eesnäärmevähiga patsientidel kõrvaltoimena sagedamini divertikuliiti kui platseeborühmas (1,2% denosumab ja 0% platseebo). Osteoporoosiga meestel või menopausijärgses eas naistel ja aromataasi inhibiitoriga ravitavatel metastaseerumata rinnanäärmevähiga naistel oli divertikuliidi tekkesagedus ravigruppides võrreldav.</w:t>
      </w:r>
    </w:p>
    <w:p w14:paraId="33611689" w14:textId="77777777" w:rsidR="00951F81" w:rsidRDefault="00951F81" w:rsidP="00951F81"/>
    <w:p w14:paraId="2EAA48FB" w14:textId="77777777" w:rsidR="00951F81" w:rsidRDefault="00951F81" w:rsidP="00951F81">
      <w:pPr>
        <w:keepNext/>
        <w:tabs>
          <w:tab w:val="clear" w:pos="567"/>
        </w:tabs>
        <w:rPr>
          <w:i/>
          <w:iCs/>
        </w:rPr>
      </w:pPr>
      <w:r>
        <w:rPr>
          <w:i/>
        </w:rPr>
        <w:t>Ravimiga seotud ülitundlikkusreaktsioonid</w:t>
      </w:r>
    </w:p>
    <w:p w14:paraId="55BE9C66" w14:textId="0FE776C5" w:rsidR="00951F81" w:rsidRDefault="00B24F64" w:rsidP="00951F81">
      <w:r>
        <w:t>Denosumabi</w:t>
      </w:r>
      <w:r w:rsidR="00951F81">
        <w:t>ga ravitud patsientidel on harva teatatud ravimiga seotud ülitundlikkusjuhtudest, k.a lööbest, urtikaariast, näotursest, erüteemist ja anafülaktilistest reaktsioonidest.</w:t>
      </w:r>
    </w:p>
    <w:p w14:paraId="0C82DF62" w14:textId="77777777" w:rsidR="00951F81" w:rsidRDefault="00951F81" w:rsidP="00951F81"/>
    <w:p w14:paraId="13C05C6A" w14:textId="335124E9" w:rsidR="00951F81" w:rsidRDefault="00951F81" w:rsidP="00951F81">
      <w:pPr>
        <w:keepNext/>
        <w:tabs>
          <w:tab w:val="clear" w:pos="567"/>
        </w:tabs>
        <w:rPr>
          <w:i/>
          <w:iCs/>
        </w:rPr>
      </w:pPr>
      <w:r>
        <w:rPr>
          <w:i/>
        </w:rPr>
        <w:t>Lihas</w:t>
      </w:r>
      <w:r w:rsidR="001E7CEF">
        <w:rPr>
          <w:i/>
        </w:rPr>
        <w:t>te ja luustiku</w:t>
      </w:r>
      <w:r>
        <w:rPr>
          <w:i/>
        </w:rPr>
        <w:t xml:space="preserve"> valu</w:t>
      </w:r>
    </w:p>
    <w:p w14:paraId="55A60F9F" w14:textId="1EB5D76C" w:rsidR="00951F81" w:rsidRDefault="00951F81" w:rsidP="00951F81">
      <w:r>
        <w:t xml:space="preserve">Turuletulekujärgselt on </w:t>
      </w:r>
      <w:r w:rsidR="00B24F64">
        <w:t>denosumabi</w:t>
      </w:r>
      <w:r>
        <w:t>ga ravitud patsientidel teatatud lihas</w:t>
      </w:r>
      <w:r>
        <w:noBreakHyphen/>
        <w:t>skeleti valust, sh rasketest juhtudest. Kliinilistes uuringutes oli lihas</w:t>
      </w:r>
      <w:r w:rsidR="001E7CEF">
        <w:t>te ja luustiku</w:t>
      </w:r>
      <w:r>
        <w:t xml:space="preserve"> valu väga sagedane nii denosumabi kui platseeborühmades. Aeg</w:t>
      </w:r>
      <w:r>
        <w:noBreakHyphen/>
        <w:t>ajalt viis lihas</w:t>
      </w:r>
      <w:r w:rsidR="001E7CEF">
        <w:t>te ja luustiku</w:t>
      </w:r>
      <w:r>
        <w:t xml:space="preserve"> valu uuringuravi lõpetamiseni.</w:t>
      </w:r>
    </w:p>
    <w:p w14:paraId="5EB21AAE" w14:textId="77777777" w:rsidR="00951F81" w:rsidRDefault="00951F81" w:rsidP="00951F81"/>
    <w:p w14:paraId="71B66FD5" w14:textId="77777777" w:rsidR="00951F81" w:rsidRDefault="00951F81" w:rsidP="00951F81">
      <w:pPr>
        <w:keepNext/>
        <w:tabs>
          <w:tab w:val="clear" w:pos="567"/>
        </w:tabs>
        <w:rPr>
          <w:i/>
          <w:iCs/>
        </w:rPr>
      </w:pPr>
      <w:r>
        <w:rPr>
          <w:i/>
        </w:rPr>
        <w:t>Lihhenoidne ravimlööve</w:t>
      </w:r>
    </w:p>
    <w:p w14:paraId="7EED2A6C" w14:textId="77777777" w:rsidR="00951F81" w:rsidRDefault="00951F81" w:rsidP="00951F81">
      <w:r>
        <w:t>Turuletulekujärgselt on teatatud lihhenoidse ravimlööbe (nt lameda lihheni sarnased reaktsioonid) juhtudest.</w:t>
      </w:r>
    </w:p>
    <w:p w14:paraId="6B816EBD" w14:textId="77777777" w:rsidR="00951F81" w:rsidRDefault="00951F81" w:rsidP="00951F81"/>
    <w:p w14:paraId="5F822C17" w14:textId="4116111E" w:rsidR="00951F81" w:rsidRDefault="00951F81" w:rsidP="00951F81">
      <w:pPr>
        <w:keepNext/>
        <w:rPr>
          <w:u w:val="single"/>
        </w:rPr>
      </w:pPr>
      <w:r>
        <w:rPr>
          <w:u w:val="single"/>
        </w:rPr>
        <w:t>Teised eri</w:t>
      </w:r>
      <w:r w:rsidR="001E7CEF">
        <w:rPr>
          <w:u w:val="single"/>
        </w:rPr>
        <w:t>rühmad</w:t>
      </w:r>
    </w:p>
    <w:p w14:paraId="1FE249B2" w14:textId="77777777" w:rsidR="00951F81" w:rsidRDefault="00951F81" w:rsidP="00951F81">
      <w:pPr>
        <w:keepNext/>
      </w:pPr>
    </w:p>
    <w:p w14:paraId="4731F540" w14:textId="77777777" w:rsidR="00951F81" w:rsidRDefault="00951F81" w:rsidP="00951F81">
      <w:pPr>
        <w:keepNext/>
        <w:rPr>
          <w:i/>
          <w:iCs/>
        </w:rPr>
      </w:pPr>
      <w:r>
        <w:rPr>
          <w:i/>
        </w:rPr>
        <w:t>Lapsed</w:t>
      </w:r>
    </w:p>
    <w:p w14:paraId="629A6BF1" w14:textId="5CE6ED71" w:rsidR="00951F81" w:rsidRDefault="00974204" w:rsidP="00951F81">
      <w:r>
        <w:t>Kefdensis</w:t>
      </w:r>
      <w:r w:rsidR="00951F81">
        <w:t>’t ei tohi kasutada lastel (vanuses &lt; 18). Teatatud on tõsisest hüperkaltseemiast (vt lõik 5.1). Mõnel kliinilises uuringus esinenud juhul tekkis tüsistusena äge neerukahjustus.</w:t>
      </w:r>
    </w:p>
    <w:p w14:paraId="592BF8A1" w14:textId="77777777" w:rsidR="00951F81" w:rsidRDefault="00951F81" w:rsidP="00951F81">
      <w:pPr>
        <w:keepNext/>
      </w:pPr>
    </w:p>
    <w:p w14:paraId="06EE30E7" w14:textId="77777777" w:rsidR="00951F81" w:rsidRDefault="00951F81" w:rsidP="00951F81">
      <w:pPr>
        <w:keepNext/>
        <w:tabs>
          <w:tab w:val="clear" w:pos="567"/>
        </w:tabs>
        <w:rPr>
          <w:i/>
          <w:iCs/>
        </w:rPr>
      </w:pPr>
      <w:r>
        <w:rPr>
          <w:i/>
        </w:rPr>
        <w:t>Neerukahjustus</w:t>
      </w:r>
    </w:p>
    <w:p w14:paraId="7AD6BD6B" w14:textId="77777777" w:rsidR="00951F81" w:rsidRDefault="00951F81" w:rsidP="00951F81">
      <w:r>
        <w:t>Kliinilistes uuringutes oli tõsise neerupuudulikkusega (kreatiniini kliirens &lt; 30 ml/min) või dialüüsravi saavatel patsientidel suurem oht hüpokaltseemia tekkeks, kui neile ei manustatud täiendavalt kaltsiumi. Tõsise neerukahjustusega või dialüüsravi saavatel patsientidel on tähtis piisav kaltsiumi ja D</w:t>
      </w:r>
      <w:r>
        <w:noBreakHyphen/>
        <w:t>vitamiini saamine (vt lõik 4.4).</w:t>
      </w:r>
    </w:p>
    <w:p w14:paraId="1B2DB838" w14:textId="77777777" w:rsidR="00951F81" w:rsidRDefault="00951F81" w:rsidP="00951F81"/>
    <w:p w14:paraId="44010A0B" w14:textId="77777777" w:rsidR="00951F81" w:rsidRDefault="00951F81" w:rsidP="00951F81">
      <w:pPr>
        <w:keepNext/>
        <w:rPr>
          <w:u w:val="single"/>
        </w:rPr>
      </w:pPr>
      <w:r>
        <w:rPr>
          <w:u w:val="single"/>
        </w:rPr>
        <w:t>Võimalikest kõrvaltoimetest teatamine</w:t>
      </w:r>
    </w:p>
    <w:p w14:paraId="76EB2FB2" w14:textId="77777777" w:rsidR="00951F81" w:rsidRDefault="00951F81" w:rsidP="00951F81">
      <w:pPr>
        <w:keepNext/>
        <w:tabs>
          <w:tab w:val="clear" w:pos="567"/>
        </w:tabs>
        <w:autoSpaceDE w:val="0"/>
        <w:autoSpaceDN w:val="0"/>
        <w:adjustRightInd w:val="0"/>
        <w:rPr>
          <w:u w:val="single"/>
          <w:lang w:eastAsia="en-GB"/>
        </w:rPr>
      </w:pPr>
    </w:p>
    <w:p w14:paraId="3791A87D" w14:textId="42A9F76D" w:rsidR="00951F81" w:rsidRDefault="00951F81" w:rsidP="00951F81">
      <w:r>
        <w:t xml:space="preserve">Ravimi võimalikest kõrvaltoimetest on oluline teatada ka pärast ravimi müügiloa väljastamist. See võimaldab jätkuvalt hinnata ravimi kasu/riski suhet. Tervishoiutöötajatel palutakse kõigist võimalikest kõrvaltoimetest teatada </w:t>
      </w:r>
      <w:r>
        <w:rPr>
          <w:highlight w:val="lightGray"/>
        </w:rPr>
        <w:t xml:space="preserve">riikliku teavitamissüsteemi (vt </w:t>
      </w:r>
      <w:hyperlink r:id="rId14" w:history="1">
        <w:r>
          <w:rPr>
            <w:rStyle w:val="Hyperlink"/>
            <w:highlight w:val="lightGray"/>
          </w:rPr>
          <w:t>V lisa</w:t>
        </w:r>
      </w:hyperlink>
      <w:r>
        <w:rPr>
          <w:highlight w:val="lightGray"/>
        </w:rPr>
        <w:t>)</w:t>
      </w:r>
      <w:r>
        <w:t xml:space="preserve"> kaudu.</w:t>
      </w:r>
    </w:p>
    <w:p w14:paraId="69F9A1BE" w14:textId="77777777" w:rsidR="00951F81" w:rsidRDefault="00951F81" w:rsidP="00951F81"/>
    <w:p w14:paraId="28BEEA2A" w14:textId="77777777" w:rsidR="00951F81" w:rsidRDefault="00951F81" w:rsidP="00951F81">
      <w:pPr>
        <w:keepNext/>
        <w:ind w:left="567" w:hanging="567"/>
        <w:rPr>
          <w:b/>
        </w:rPr>
      </w:pPr>
      <w:r>
        <w:rPr>
          <w:b/>
        </w:rPr>
        <w:t>4.9</w:t>
      </w:r>
      <w:r>
        <w:rPr>
          <w:b/>
        </w:rPr>
        <w:tab/>
        <w:t>Üleannustamine</w:t>
      </w:r>
    </w:p>
    <w:p w14:paraId="3F2A1590" w14:textId="77777777" w:rsidR="00951F81" w:rsidRDefault="00951F81" w:rsidP="00951F81">
      <w:pPr>
        <w:keepNext/>
      </w:pPr>
    </w:p>
    <w:p w14:paraId="4C8A1A04" w14:textId="0D76C715" w:rsidR="00951F81" w:rsidRDefault="00951F81" w:rsidP="00951F81">
      <w:r>
        <w:t>Puudub kogemus üleannustamisest kliinilistes uuringutes. Kliinilistes uuringutes manustati denosumabi annuses kuni 180 mg iga 4 nädala järel (kumulatiivsed annused kuni 1080 mg 6 kuu vältel) ning täiendavaid kõrvaltoimeid ei täheldatud.</w:t>
      </w:r>
    </w:p>
    <w:p w14:paraId="6914EA16" w14:textId="77777777" w:rsidR="00951F81" w:rsidRDefault="00951F81" w:rsidP="00951F81"/>
    <w:p w14:paraId="626537A4" w14:textId="77777777" w:rsidR="00951F81" w:rsidRDefault="00951F81" w:rsidP="00951F81"/>
    <w:p w14:paraId="60146CC3" w14:textId="77777777" w:rsidR="00951F81" w:rsidRDefault="00951F81" w:rsidP="00951F81">
      <w:pPr>
        <w:keepNext/>
        <w:ind w:left="567" w:hanging="567"/>
        <w:rPr>
          <w:b/>
        </w:rPr>
      </w:pPr>
      <w:r>
        <w:rPr>
          <w:b/>
        </w:rPr>
        <w:t>5.</w:t>
      </w:r>
      <w:r>
        <w:rPr>
          <w:b/>
        </w:rPr>
        <w:tab/>
        <w:t>FARMAKOLOOGILISED OMADUSED</w:t>
      </w:r>
    </w:p>
    <w:p w14:paraId="0A9D5B0C" w14:textId="77777777" w:rsidR="00951F81" w:rsidRDefault="00951F81" w:rsidP="00951F81">
      <w:pPr>
        <w:keepNext/>
      </w:pPr>
    </w:p>
    <w:p w14:paraId="51BA858B" w14:textId="77777777" w:rsidR="00951F81" w:rsidRDefault="00951F81" w:rsidP="00951F81">
      <w:pPr>
        <w:keepNext/>
        <w:ind w:left="567" w:hanging="567"/>
        <w:rPr>
          <w:b/>
        </w:rPr>
      </w:pPr>
      <w:r>
        <w:rPr>
          <w:b/>
        </w:rPr>
        <w:t>5.1</w:t>
      </w:r>
      <w:r>
        <w:rPr>
          <w:b/>
        </w:rPr>
        <w:tab/>
        <w:t>Farmakodünaamilised omadused</w:t>
      </w:r>
    </w:p>
    <w:p w14:paraId="7BA20972" w14:textId="77777777" w:rsidR="00951F81" w:rsidRDefault="00951F81" w:rsidP="00951F81">
      <w:pPr>
        <w:keepNext/>
      </w:pPr>
    </w:p>
    <w:p w14:paraId="12516675" w14:textId="166F4075" w:rsidR="00951F81" w:rsidRDefault="00951F81" w:rsidP="00951F81">
      <w:r>
        <w:t>Farmakoterapeutiline rühm: luuhaiguste raviks kasutatavad ained</w:t>
      </w:r>
      <w:r w:rsidR="0029083D">
        <w:t>,</w:t>
      </w:r>
      <w:r>
        <w:t> teised luu struktuuri ja mineralisatsiooni mõjutavad ained; ATC</w:t>
      </w:r>
      <w:r>
        <w:noBreakHyphen/>
        <w:t>kood: M05BX04</w:t>
      </w:r>
    </w:p>
    <w:p w14:paraId="57D45CB6" w14:textId="77777777" w:rsidR="00951F81" w:rsidRDefault="00951F81" w:rsidP="00951F81"/>
    <w:p w14:paraId="00520823" w14:textId="3F061BF8" w:rsidR="00B24F64" w:rsidRDefault="00B24F64" w:rsidP="00B24F64">
      <w:r w:rsidRPr="00B24F64">
        <w:t xml:space="preserve">Kefdensis </w:t>
      </w:r>
      <w:r>
        <w:t>on bioloogiliselt sarnane ravimpreparaat. Täpne teave on Euroopa Ravimiameti kodulehel</w:t>
      </w:r>
    </w:p>
    <w:p w14:paraId="5265806E" w14:textId="0D44848E" w:rsidR="00B24F64" w:rsidRDefault="00B24F64" w:rsidP="00B24F64">
      <w:hyperlink r:id="rId15" w:history="1">
        <w:r w:rsidRPr="007B3375">
          <w:rPr>
            <w:rStyle w:val="Hyperlink"/>
          </w:rPr>
          <w:t>https://www.ema.europa.eu</w:t>
        </w:r>
      </w:hyperlink>
      <w:r>
        <w:t>.</w:t>
      </w:r>
    </w:p>
    <w:p w14:paraId="46BD218A" w14:textId="77777777" w:rsidR="00B24F64" w:rsidRDefault="00B24F64" w:rsidP="00B24F64"/>
    <w:p w14:paraId="08F59387" w14:textId="77777777" w:rsidR="00951F81" w:rsidRDefault="00951F81" w:rsidP="00951F81">
      <w:pPr>
        <w:keepNext/>
        <w:rPr>
          <w:u w:val="single"/>
        </w:rPr>
      </w:pPr>
      <w:r>
        <w:rPr>
          <w:u w:val="single"/>
        </w:rPr>
        <w:t>Toimemehhanism</w:t>
      </w:r>
    </w:p>
    <w:p w14:paraId="50295A9D" w14:textId="77777777" w:rsidR="00951F81" w:rsidRDefault="00951F81" w:rsidP="00951F81">
      <w:pPr>
        <w:keepNext/>
        <w:rPr>
          <w:u w:val="single"/>
        </w:rPr>
      </w:pPr>
    </w:p>
    <w:p w14:paraId="5D861831" w14:textId="77777777" w:rsidR="00951F81" w:rsidRDefault="00951F81" w:rsidP="00951F81">
      <w:r>
        <w:t>Denosumab on inimese monoklonaalne antikeha (IgG2), mis seondub kõrge afiinsusega sihtmärgiks oleva RANK ligandiga (RANKL), hoides ära selle retseptori, RANK</w:t>
      </w:r>
      <w:r>
        <w:noBreakHyphen/>
        <w:t>i (</w:t>
      </w:r>
      <w:r>
        <w:rPr>
          <w:i/>
        </w:rPr>
        <w:t>Receptor Activator Nuclear kappa B</w:t>
      </w:r>
      <w:r>
        <w:t>) aktivatsiooni osteoklastide eellasrakkude ja osteoklastide pinnal. RANKL/RANK vastasmõju ärahoidmine pärsib osteoklastide moodustumist, funktsioneerimist ja ellujäämist, vähendades seetõttu luuresorptsiooni kortikaal</w:t>
      </w:r>
      <w:r>
        <w:noBreakHyphen/>
        <w:t xml:space="preserve"> ja trabekulaarluukoes.</w:t>
      </w:r>
    </w:p>
    <w:p w14:paraId="7C5B03DD" w14:textId="77777777" w:rsidR="00951F81" w:rsidRDefault="00951F81" w:rsidP="00951F81"/>
    <w:p w14:paraId="4AB01CFC" w14:textId="77777777" w:rsidR="00951F81" w:rsidRDefault="00951F81" w:rsidP="00951F81">
      <w:pPr>
        <w:keepNext/>
        <w:rPr>
          <w:u w:val="single"/>
        </w:rPr>
      </w:pPr>
      <w:r>
        <w:rPr>
          <w:u w:val="single"/>
        </w:rPr>
        <w:t>Farmakodünaamilised toimed</w:t>
      </w:r>
    </w:p>
    <w:p w14:paraId="6154D85F" w14:textId="77777777" w:rsidR="00951F81" w:rsidRDefault="00951F81" w:rsidP="00951F81">
      <w:pPr>
        <w:keepNext/>
      </w:pPr>
    </w:p>
    <w:p w14:paraId="0EFD92C6" w14:textId="6A1E1EFD" w:rsidR="00951F81" w:rsidRDefault="00951F81" w:rsidP="00951F81">
      <w:r>
        <w:t xml:space="preserve">Ravi </w:t>
      </w:r>
      <w:r w:rsidR="00B24F64" w:rsidRPr="00B24F64">
        <w:t>denosumab</w:t>
      </w:r>
      <w:r w:rsidR="00B24F64">
        <w:t>i</w:t>
      </w:r>
      <w:r>
        <w:t>ga vähendas kiiresti luukoe uuenemise kiirust; luuresorptsiooni markeri, seerumi tüüp 1 C</w:t>
      </w:r>
      <w:r>
        <w:noBreakHyphen/>
        <w:t xml:space="preserve">telopeptiidi (CTX) madalseis (langus 85%) saavutati 3 päevaga, mis püsis annustamisintervalli vältel. Iga annustamisintervalli lõpus CTX vähenemine osaliselt taandus maksimaalsest tasemest ≥ 87% ligikaudu tasemele ≥ 45% (vahemik 45%...80%), peegeldades </w:t>
      </w:r>
      <w:r w:rsidR="00B24F64" w:rsidRPr="00B24F64">
        <w:t>denosumab</w:t>
      </w:r>
      <w:r w:rsidR="00B24F64">
        <w:t>i</w:t>
      </w:r>
      <w:r w:rsidR="00B24F64" w:rsidRPr="00B24F64" w:rsidDel="00974204">
        <w:t xml:space="preserve"> </w:t>
      </w:r>
      <w:r>
        <w:t>toime pöörduvust luukoe ümberkujunemisele (</w:t>
      </w:r>
      <w:r>
        <w:rPr>
          <w:i/>
        </w:rPr>
        <w:t>remodelling</w:t>
      </w:r>
      <w:r>
        <w:t>), kui sisaldus seerumis väheneb. Need toimed püsisid ravi jätkudes. Luukoe uuenemise markerid saavutasid üldiselt ravieelse taseme 9 kuu jooksul pärast viimast annust. Ravi taasalustamisel oli CTX vähenemine denosumabi toimel võrreldav vähenemisega patsientidel, kes esmaselt ravi alustasid.</w:t>
      </w:r>
    </w:p>
    <w:p w14:paraId="30F47CBD" w14:textId="77777777" w:rsidR="00951F81" w:rsidRDefault="00951F81" w:rsidP="00951F81"/>
    <w:p w14:paraId="2E622B17" w14:textId="77777777" w:rsidR="00951F81" w:rsidRDefault="00951F81" w:rsidP="00951F81">
      <w:pPr>
        <w:keepNext/>
        <w:rPr>
          <w:u w:val="single"/>
        </w:rPr>
      </w:pPr>
      <w:r>
        <w:rPr>
          <w:u w:val="single"/>
        </w:rPr>
        <w:t>Immunogeensus</w:t>
      </w:r>
    </w:p>
    <w:p w14:paraId="071BCF53" w14:textId="77777777" w:rsidR="00951F81" w:rsidRDefault="00951F81" w:rsidP="00951F81">
      <w:pPr>
        <w:keepNext/>
      </w:pPr>
    </w:p>
    <w:p w14:paraId="49C0D9C5" w14:textId="77777777" w:rsidR="00B24F64" w:rsidRDefault="00B24F64" w:rsidP="00B24F64">
      <w:r>
        <w:t>Denosumabiga ravimisel võivad areneda denosumabivastased antikehad. Antikehade arenemise ilmset</w:t>
      </w:r>
    </w:p>
    <w:p w14:paraId="11821183" w14:textId="77777777" w:rsidR="00B24F64" w:rsidRDefault="00B24F64" w:rsidP="00B24F64">
      <w:r>
        <w:t xml:space="preserve">korrelatsiooni farmakokineetika, kliinilise ravivastuse või kõrvalnähuga ei ole täheldatud. </w:t>
      </w:r>
    </w:p>
    <w:p w14:paraId="3D6041CE" w14:textId="77777777" w:rsidR="00951F81" w:rsidRDefault="00951F81" w:rsidP="00951F81"/>
    <w:p w14:paraId="30C95826" w14:textId="450884AC" w:rsidR="00951F81" w:rsidRDefault="00951F81" w:rsidP="00951F81">
      <w:pPr>
        <w:keepNext/>
        <w:rPr>
          <w:u w:val="single"/>
        </w:rPr>
      </w:pPr>
      <w:r>
        <w:rPr>
          <w:u w:val="single"/>
        </w:rPr>
        <w:t xml:space="preserve">Kliiniline efektiivsus ja ohutus </w:t>
      </w:r>
      <w:r w:rsidR="00764AFA">
        <w:rPr>
          <w:u w:val="single"/>
        </w:rPr>
        <w:t xml:space="preserve">osteoporoosiga </w:t>
      </w:r>
      <w:r>
        <w:rPr>
          <w:u w:val="single"/>
        </w:rPr>
        <w:t>menopausijärgse</w:t>
      </w:r>
      <w:r w:rsidR="00764AFA">
        <w:rPr>
          <w:u w:val="single"/>
        </w:rPr>
        <w:t>s eas</w:t>
      </w:r>
      <w:r>
        <w:rPr>
          <w:u w:val="single"/>
        </w:rPr>
        <w:t xml:space="preserve"> naistel</w:t>
      </w:r>
    </w:p>
    <w:p w14:paraId="37477B41" w14:textId="77777777" w:rsidR="00951F81" w:rsidRDefault="00951F81" w:rsidP="00951F81">
      <w:pPr>
        <w:keepNext/>
      </w:pPr>
    </w:p>
    <w:p w14:paraId="4C503119" w14:textId="4F720581" w:rsidR="00951F81" w:rsidRDefault="00951F81" w:rsidP="00951F81">
      <w:r>
        <w:t>Denosumabi efektiivsust ja ohutust, manustatuna iga 6 kuu järel 3 aasta vältel, uuriti 7808 menopausijärgses eas naisel (vanuses 60...91 aastat, kellest 23,6% oli olemasolev lülisambamurd), kelle luu mineraalainetihedus (LMT) oli selgroo nimmeosas või kogu puusa kohta mõõdetud T</w:t>
      </w:r>
      <w:r>
        <w:noBreakHyphen/>
        <w:t>skoori lähteväärtusena vahemikus –2,5...–4,0 ning keskmine absoluutne tõenäosus suurema osteoporootilise murru tekkeks oli 18,60% (detsiilid: 7,9%...32,4%) ja puusapiirkonna murru tekkeks 7,22% (detsiilid: 1,4%...14,9%). Uuringusse ei kaasatud naisi, kelle muu haigus või ravi võis mõjutada luukudet. Naistele manustati iga päev täiendavalt kaltsiumi (vähemalt 1000 mg) ja D</w:t>
      </w:r>
      <w:r>
        <w:noBreakHyphen/>
        <w:t>vitamiini (vähemalt 400 RÜ).</w:t>
      </w:r>
    </w:p>
    <w:p w14:paraId="3B7866AC" w14:textId="77777777" w:rsidR="00951F81" w:rsidRDefault="00951F81" w:rsidP="00951F81"/>
    <w:p w14:paraId="15079F1E" w14:textId="77777777" w:rsidR="00951F81" w:rsidRDefault="00951F81" w:rsidP="00951F81">
      <w:pPr>
        <w:keepNext/>
        <w:tabs>
          <w:tab w:val="clear" w:pos="567"/>
        </w:tabs>
        <w:rPr>
          <w:i/>
          <w:iCs/>
        </w:rPr>
      </w:pPr>
      <w:r>
        <w:rPr>
          <w:i/>
        </w:rPr>
        <w:t>Mõju lülisambamurdudele</w:t>
      </w:r>
    </w:p>
    <w:p w14:paraId="606FF213" w14:textId="761E537F" w:rsidR="00951F81" w:rsidRDefault="00B24F64" w:rsidP="00951F81">
      <w:r w:rsidRPr="00B24F64">
        <w:t>Denosumab</w:t>
      </w:r>
      <w:r w:rsidR="00951F81">
        <w:t xml:space="preserve"> vähendas olulisel määral uute lülisambamurdude tekkeriski 1., 2. ja 3. aastal (p &lt; 0,0001), vt tabel 2.</w:t>
      </w:r>
    </w:p>
    <w:p w14:paraId="41A6BB3D" w14:textId="77777777" w:rsidR="00951F81" w:rsidRDefault="00951F81" w:rsidP="00951F81"/>
    <w:p w14:paraId="3469E210" w14:textId="42932A7E" w:rsidR="00951F81" w:rsidRDefault="00951F81" w:rsidP="00951F81">
      <w:pPr>
        <w:keepNext/>
        <w:rPr>
          <w:b/>
          <w:bCs/>
        </w:rPr>
      </w:pPr>
      <w:r>
        <w:rPr>
          <w:b/>
        </w:rPr>
        <w:t xml:space="preserve">Tabel 2. </w:t>
      </w:r>
      <w:r w:rsidR="00B24F64" w:rsidRPr="00B24F64">
        <w:rPr>
          <w:b/>
        </w:rPr>
        <w:t>Denosumab</w:t>
      </w:r>
      <w:r w:rsidR="00B24F64">
        <w:rPr>
          <w:b/>
        </w:rPr>
        <w:t>i</w:t>
      </w:r>
      <w:r w:rsidR="00B24F64" w:rsidRPr="00B24F64" w:rsidDel="00974204">
        <w:rPr>
          <w:b/>
        </w:rPr>
        <w:t xml:space="preserve"> </w:t>
      </w:r>
      <w:r>
        <w:rPr>
          <w:b/>
        </w:rPr>
        <w:t>mõju uute lülisambamurdude tekkeriskile</w:t>
      </w:r>
    </w:p>
    <w:p w14:paraId="5D123D8D" w14:textId="77777777" w:rsidR="00951F81" w:rsidRDefault="00951F81" w:rsidP="00951F81">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7"/>
        <w:gridCol w:w="1996"/>
        <w:gridCol w:w="1996"/>
        <w:gridCol w:w="1907"/>
        <w:gridCol w:w="1907"/>
      </w:tblGrid>
      <w:tr w:rsidR="00951F81" w:rsidRPr="0011121C" w14:paraId="44A8A2D0" w14:textId="77777777" w:rsidTr="006172AE">
        <w:trPr>
          <w:cantSplit/>
          <w:trHeight w:val="57"/>
          <w:tblHeader/>
        </w:trPr>
        <w:tc>
          <w:tcPr>
            <w:tcW w:w="694" w:type="pct"/>
            <w:vMerge w:val="restart"/>
          </w:tcPr>
          <w:p w14:paraId="1FD03DD7" w14:textId="77777777" w:rsidR="00951F81" w:rsidRDefault="00951F81" w:rsidP="006172AE">
            <w:pPr>
              <w:keepNext/>
            </w:pPr>
          </w:p>
        </w:tc>
        <w:tc>
          <w:tcPr>
            <w:tcW w:w="2202" w:type="pct"/>
            <w:gridSpan w:val="2"/>
          </w:tcPr>
          <w:p w14:paraId="12E11F00" w14:textId="77777777" w:rsidR="00951F81" w:rsidRDefault="00951F81" w:rsidP="006172AE">
            <w:pPr>
              <w:keepNext/>
              <w:jc w:val="center"/>
            </w:pPr>
            <w:r>
              <w:t>Luumurruga naiste osakaal (%)</w:t>
            </w:r>
          </w:p>
        </w:tc>
        <w:tc>
          <w:tcPr>
            <w:tcW w:w="1052" w:type="pct"/>
            <w:vMerge w:val="restart"/>
          </w:tcPr>
          <w:p w14:paraId="616EF7D3" w14:textId="77777777" w:rsidR="00951F81" w:rsidRDefault="00951F81" w:rsidP="006172AE">
            <w:pPr>
              <w:keepNext/>
            </w:pPr>
            <w:r>
              <w:t>Absoluutse riski vähenemine (%)</w:t>
            </w:r>
          </w:p>
          <w:p w14:paraId="792635A9" w14:textId="0DC0088A" w:rsidR="00951F81" w:rsidRDefault="00951F81" w:rsidP="006172AE">
            <w:pPr>
              <w:keepNext/>
            </w:pPr>
            <w:r>
              <w:t xml:space="preserve">(95% </w:t>
            </w:r>
            <w:r w:rsidR="00682C3B">
              <w:t>CI</w:t>
            </w:r>
            <w:r>
              <w:t>)</w:t>
            </w:r>
          </w:p>
        </w:tc>
        <w:tc>
          <w:tcPr>
            <w:tcW w:w="1052" w:type="pct"/>
            <w:vMerge w:val="restart"/>
          </w:tcPr>
          <w:p w14:paraId="49E596B2" w14:textId="77777777" w:rsidR="00951F81" w:rsidRDefault="00951F81" w:rsidP="006172AE">
            <w:pPr>
              <w:keepNext/>
            </w:pPr>
            <w:r>
              <w:t>Suhtelise riski vähenemine (%)</w:t>
            </w:r>
          </w:p>
          <w:p w14:paraId="07D2FFB6" w14:textId="1B14409F" w:rsidR="00951F81" w:rsidRDefault="00951F81" w:rsidP="006172AE">
            <w:pPr>
              <w:keepNext/>
            </w:pPr>
            <w:r>
              <w:t xml:space="preserve">(95% </w:t>
            </w:r>
            <w:r w:rsidR="00682C3B">
              <w:t>CI</w:t>
            </w:r>
            <w:r>
              <w:t>)</w:t>
            </w:r>
          </w:p>
        </w:tc>
      </w:tr>
      <w:tr w:rsidR="00951F81" w:rsidRPr="0011121C" w14:paraId="1F2C013D" w14:textId="77777777" w:rsidTr="006172AE">
        <w:trPr>
          <w:cantSplit/>
          <w:trHeight w:val="57"/>
          <w:tblHeader/>
        </w:trPr>
        <w:tc>
          <w:tcPr>
            <w:tcW w:w="694" w:type="pct"/>
            <w:vMerge/>
          </w:tcPr>
          <w:p w14:paraId="147ADA29" w14:textId="77777777" w:rsidR="00951F81" w:rsidRDefault="00951F81" w:rsidP="006172AE">
            <w:pPr>
              <w:keepNext/>
            </w:pPr>
          </w:p>
        </w:tc>
        <w:tc>
          <w:tcPr>
            <w:tcW w:w="1101" w:type="pct"/>
          </w:tcPr>
          <w:p w14:paraId="48100D24" w14:textId="77777777" w:rsidR="00951F81" w:rsidRDefault="00951F81" w:rsidP="006172AE">
            <w:pPr>
              <w:keepNext/>
              <w:jc w:val="center"/>
            </w:pPr>
            <w:r>
              <w:t>Platseebo</w:t>
            </w:r>
          </w:p>
          <w:p w14:paraId="2AD50B66" w14:textId="760641D9" w:rsidR="00951F81" w:rsidRDefault="00951F81" w:rsidP="006172AE">
            <w:pPr>
              <w:keepNext/>
              <w:jc w:val="center"/>
            </w:pPr>
            <w:r>
              <w:t>n = 3906</w:t>
            </w:r>
          </w:p>
        </w:tc>
        <w:tc>
          <w:tcPr>
            <w:tcW w:w="1101" w:type="pct"/>
          </w:tcPr>
          <w:p w14:paraId="40EC3EF5" w14:textId="6B09F814" w:rsidR="00951F81" w:rsidRDefault="00A83187" w:rsidP="006172AE">
            <w:pPr>
              <w:keepNext/>
              <w:jc w:val="center"/>
            </w:pPr>
            <w:r>
              <w:t>D</w:t>
            </w:r>
            <w:r w:rsidR="00B24F64" w:rsidRPr="00B24F64">
              <w:t>enosumab</w:t>
            </w:r>
            <w:r w:rsidR="00951F81">
              <w:t>n = 3902</w:t>
            </w:r>
          </w:p>
        </w:tc>
        <w:tc>
          <w:tcPr>
            <w:tcW w:w="1052" w:type="pct"/>
            <w:vMerge/>
          </w:tcPr>
          <w:p w14:paraId="42381FE9" w14:textId="77777777" w:rsidR="00951F81" w:rsidRDefault="00951F81" w:rsidP="006172AE">
            <w:pPr>
              <w:keepNext/>
            </w:pPr>
          </w:p>
        </w:tc>
        <w:tc>
          <w:tcPr>
            <w:tcW w:w="1052" w:type="pct"/>
            <w:vMerge/>
          </w:tcPr>
          <w:p w14:paraId="7E2CFE7D" w14:textId="77777777" w:rsidR="00951F81" w:rsidRDefault="00951F81" w:rsidP="006172AE">
            <w:pPr>
              <w:keepNext/>
            </w:pPr>
          </w:p>
        </w:tc>
      </w:tr>
      <w:tr w:rsidR="00951F81" w:rsidRPr="0011121C" w14:paraId="1AFD2607" w14:textId="77777777" w:rsidTr="006172AE">
        <w:trPr>
          <w:cantSplit/>
          <w:trHeight w:val="57"/>
        </w:trPr>
        <w:tc>
          <w:tcPr>
            <w:tcW w:w="694" w:type="pct"/>
          </w:tcPr>
          <w:p w14:paraId="76385680" w14:textId="77777777" w:rsidR="00951F81" w:rsidRDefault="00951F81" w:rsidP="006172AE">
            <w:r>
              <w:t>0...1 aastat</w:t>
            </w:r>
          </w:p>
        </w:tc>
        <w:tc>
          <w:tcPr>
            <w:tcW w:w="1101" w:type="pct"/>
          </w:tcPr>
          <w:p w14:paraId="6A5B686E" w14:textId="77777777" w:rsidR="00951F81" w:rsidRDefault="00951F81" w:rsidP="006172AE">
            <w:pPr>
              <w:jc w:val="center"/>
            </w:pPr>
            <w:r>
              <w:t>2,2</w:t>
            </w:r>
          </w:p>
        </w:tc>
        <w:tc>
          <w:tcPr>
            <w:tcW w:w="1101" w:type="pct"/>
          </w:tcPr>
          <w:p w14:paraId="4FC22E95" w14:textId="77777777" w:rsidR="00951F81" w:rsidRDefault="00951F81" w:rsidP="006172AE">
            <w:pPr>
              <w:jc w:val="center"/>
            </w:pPr>
            <w:r>
              <w:t>0,9</w:t>
            </w:r>
          </w:p>
        </w:tc>
        <w:tc>
          <w:tcPr>
            <w:tcW w:w="1052" w:type="pct"/>
          </w:tcPr>
          <w:p w14:paraId="6781F62C" w14:textId="77777777" w:rsidR="00951F81" w:rsidRDefault="00951F81" w:rsidP="006172AE">
            <w:r>
              <w:t>1,4 (0,8; 1,9)</w:t>
            </w:r>
          </w:p>
        </w:tc>
        <w:tc>
          <w:tcPr>
            <w:tcW w:w="1052" w:type="pct"/>
          </w:tcPr>
          <w:p w14:paraId="7FCDF356" w14:textId="77777777" w:rsidR="00951F81" w:rsidRDefault="00951F81" w:rsidP="006172AE">
            <w:r>
              <w:t>61 (42; 74)**</w:t>
            </w:r>
          </w:p>
        </w:tc>
      </w:tr>
      <w:tr w:rsidR="00951F81" w:rsidRPr="0011121C" w14:paraId="0F1324AD" w14:textId="77777777" w:rsidTr="006172AE">
        <w:trPr>
          <w:cantSplit/>
          <w:trHeight w:val="57"/>
        </w:trPr>
        <w:tc>
          <w:tcPr>
            <w:tcW w:w="694" w:type="pct"/>
          </w:tcPr>
          <w:p w14:paraId="7CA890B6" w14:textId="77777777" w:rsidR="00951F81" w:rsidRDefault="00951F81" w:rsidP="006172AE">
            <w:r>
              <w:t>0...2 aastat</w:t>
            </w:r>
          </w:p>
        </w:tc>
        <w:tc>
          <w:tcPr>
            <w:tcW w:w="1101" w:type="pct"/>
          </w:tcPr>
          <w:p w14:paraId="69C4A2D5" w14:textId="77777777" w:rsidR="00951F81" w:rsidRDefault="00951F81" w:rsidP="006172AE">
            <w:pPr>
              <w:jc w:val="center"/>
            </w:pPr>
            <w:r>
              <w:t>5,0</w:t>
            </w:r>
          </w:p>
        </w:tc>
        <w:tc>
          <w:tcPr>
            <w:tcW w:w="1101" w:type="pct"/>
          </w:tcPr>
          <w:p w14:paraId="37A7A404" w14:textId="77777777" w:rsidR="00951F81" w:rsidRDefault="00951F81" w:rsidP="006172AE">
            <w:pPr>
              <w:jc w:val="center"/>
            </w:pPr>
            <w:r>
              <w:t>1,4</w:t>
            </w:r>
          </w:p>
        </w:tc>
        <w:tc>
          <w:tcPr>
            <w:tcW w:w="1052" w:type="pct"/>
          </w:tcPr>
          <w:p w14:paraId="354BF0BD" w14:textId="77777777" w:rsidR="00951F81" w:rsidRDefault="00951F81" w:rsidP="006172AE">
            <w:r>
              <w:t>3,5 (2,7; 4,3)</w:t>
            </w:r>
          </w:p>
        </w:tc>
        <w:tc>
          <w:tcPr>
            <w:tcW w:w="1052" w:type="pct"/>
          </w:tcPr>
          <w:p w14:paraId="3D5F60D8" w14:textId="77777777" w:rsidR="00951F81" w:rsidRDefault="00951F81" w:rsidP="006172AE">
            <w:r>
              <w:t>71 (61; 79)**</w:t>
            </w:r>
          </w:p>
        </w:tc>
      </w:tr>
      <w:tr w:rsidR="00951F81" w:rsidRPr="0011121C" w14:paraId="187411EE" w14:textId="77777777" w:rsidTr="006172AE">
        <w:trPr>
          <w:cantSplit/>
          <w:trHeight w:val="57"/>
        </w:trPr>
        <w:tc>
          <w:tcPr>
            <w:tcW w:w="694" w:type="pct"/>
          </w:tcPr>
          <w:p w14:paraId="6C72AB08" w14:textId="77777777" w:rsidR="00951F81" w:rsidRDefault="00951F81" w:rsidP="006172AE">
            <w:pPr>
              <w:keepNext/>
            </w:pPr>
            <w:r>
              <w:t>0...3 aastat</w:t>
            </w:r>
          </w:p>
        </w:tc>
        <w:tc>
          <w:tcPr>
            <w:tcW w:w="1101" w:type="pct"/>
          </w:tcPr>
          <w:p w14:paraId="061835DD" w14:textId="77777777" w:rsidR="00951F81" w:rsidRDefault="00951F81" w:rsidP="006172AE">
            <w:pPr>
              <w:keepNext/>
              <w:jc w:val="center"/>
            </w:pPr>
            <w:r>
              <w:t>7,2</w:t>
            </w:r>
          </w:p>
        </w:tc>
        <w:tc>
          <w:tcPr>
            <w:tcW w:w="1101" w:type="pct"/>
          </w:tcPr>
          <w:p w14:paraId="69D71EBF" w14:textId="77777777" w:rsidR="00951F81" w:rsidRDefault="00951F81" w:rsidP="006172AE">
            <w:pPr>
              <w:keepNext/>
              <w:jc w:val="center"/>
            </w:pPr>
            <w:r>
              <w:t>2,3</w:t>
            </w:r>
          </w:p>
        </w:tc>
        <w:tc>
          <w:tcPr>
            <w:tcW w:w="1052" w:type="pct"/>
          </w:tcPr>
          <w:p w14:paraId="7CC37FD1" w14:textId="77777777" w:rsidR="00951F81" w:rsidRDefault="00951F81" w:rsidP="006172AE">
            <w:pPr>
              <w:keepNext/>
            </w:pPr>
            <w:r>
              <w:t>4,8 (3,9; 5,8)</w:t>
            </w:r>
          </w:p>
        </w:tc>
        <w:tc>
          <w:tcPr>
            <w:tcW w:w="1052" w:type="pct"/>
          </w:tcPr>
          <w:p w14:paraId="730B6D7C" w14:textId="77777777" w:rsidR="00951F81" w:rsidRDefault="00951F81" w:rsidP="006172AE">
            <w:pPr>
              <w:keepNext/>
            </w:pPr>
            <w:r>
              <w:t>68 (59; 74)*</w:t>
            </w:r>
          </w:p>
        </w:tc>
      </w:tr>
    </w:tbl>
    <w:p w14:paraId="37E08FE2" w14:textId="77777777" w:rsidR="00951F81" w:rsidRDefault="00951F81" w:rsidP="00951F81">
      <w:pPr>
        <w:rPr>
          <w:sz w:val="20"/>
          <w:szCs w:val="20"/>
        </w:rPr>
      </w:pPr>
      <w:r>
        <w:rPr>
          <w:sz w:val="20"/>
        </w:rPr>
        <w:t>*p &lt; 0,0001; **p &lt; 0,0001 – selgitav analüüs</w:t>
      </w:r>
    </w:p>
    <w:p w14:paraId="3CFCA253" w14:textId="77777777" w:rsidR="00951F81" w:rsidRDefault="00951F81" w:rsidP="00951F81"/>
    <w:p w14:paraId="42EC2018" w14:textId="77777777" w:rsidR="00951F81" w:rsidRDefault="00951F81" w:rsidP="00951F81">
      <w:pPr>
        <w:keepNext/>
        <w:tabs>
          <w:tab w:val="clear" w:pos="567"/>
        </w:tabs>
        <w:rPr>
          <w:i/>
          <w:iCs/>
        </w:rPr>
      </w:pPr>
      <w:r>
        <w:rPr>
          <w:i/>
        </w:rPr>
        <w:t>Mõju puusapiirkonna murdudele</w:t>
      </w:r>
    </w:p>
    <w:p w14:paraId="77981FAB" w14:textId="20A0B469" w:rsidR="00951F81" w:rsidRDefault="00951F81" w:rsidP="00951F81">
      <w:r>
        <w:t xml:space="preserve">Puusapiirkonna murdude suhteline risk vähenes </w:t>
      </w:r>
      <w:r w:rsidR="00A83187" w:rsidRPr="00A83187">
        <w:t>denosumab</w:t>
      </w:r>
      <w:r w:rsidR="00A83187">
        <w:t>i</w:t>
      </w:r>
      <w:r>
        <w:t xml:space="preserve">ga 40% (absoluutse riski vähenemine 0,5%) 3 aasta vältel (p &lt; 0,05). Puusapiirkonna murdude tekkesagedus 3. aastaks oli platseeborühmas 1,2%, võrreldes 0,7% </w:t>
      </w:r>
      <w:r w:rsidR="00A83187" w:rsidRPr="00A83187">
        <w:t>denosumab</w:t>
      </w:r>
      <w:r w:rsidR="00A83187">
        <w:t xml:space="preserve">i </w:t>
      </w:r>
      <w:r>
        <w:t>rühmas.</w:t>
      </w:r>
    </w:p>
    <w:p w14:paraId="2203D2FE" w14:textId="77777777" w:rsidR="00951F81" w:rsidRDefault="00951F81" w:rsidP="00951F81"/>
    <w:p w14:paraId="07C21519" w14:textId="3FA1E2CA" w:rsidR="00951F81" w:rsidRDefault="00951F81" w:rsidP="00951F81">
      <w:r>
        <w:rPr>
          <w:i/>
        </w:rPr>
        <w:t>Post</w:t>
      </w:r>
      <w:r>
        <w:rPr>
          <w:i/>
        </w:rPr>
        <w:noBreakHyphen/>
        <w:t>hoc</w:t>
      </w:r>
      <w:r>
        <w:t xml:space="preserve"> analüüsis üle 75</w:t>
      </w:r>
      <w:r>
        <w:noBreakHyphen/>
        <w:t xml:space="preserve">aastaste naiste kohta täheldati </w:t>
      </w:r>
      <w:r w:rsidR="00A83187" w:rsidRPr="00A83187">
        <w:t>denosumab</w:t>
      </w:r>
      <w:r w:rsidR="00A83187">
        <w:t>i</w:t>
      </w:r>
      <w:r>
        <w:t>ga suhtelise riski vähenemist 62% (absoluutse riski vähenemine 1,4%, p &lt; 0,01).</w:t>
      </w:r>
    </w:p>
    <w:p w14:paraId="3BB003C0" w14:textId="77777777" w:rsidR="00951F81" w:rsidRDefault="00951F81" w:rsidP="00951F81"/>
    <w:p w14:paraId="6A8CA1E8" w14:textId="77777777" w:rsidR="00951F81" w:rsidRDefault="00951F81" w:rsidP="00951F81">
      <w:pPr>
        <w:keepNext/>
        <w:tabs>
          <w:tab w:val="clear" w:pos="567"/>
        </w:tabs>
        <w:rPr>
          <w:i/>
          <w:iCs/>
        </w:rPr>
      </w:pPr>
      <w:r>
        <w:rPr>
          <w:i/>
        </w:rPr>
        <w:t>Mõju kõikidele kliinilistele luumurdudele</w:t>
      </w:r>
    </w:p>
    <w:p w14:paraId="302C3439" w14:textId="7A9876FE" w:rsidR="00951F81" w:rsidRDefault="00A83187" w:rsidP="00951F81">
      <w:r>
        <w:t>D</w:t>
      </w:r>
      <w:r w:rsidRPr="00A83187">
        <w:t>enosumab</w:t>
      </w:r>
      <w:r w:rsidR="00951F81">
        <w:t>vähendas olulisel määral igat liiki luumurde kõikides rühmades (vt tabel 3).</w:t>
      </w:r>
    </w:p>
    <w:p w14:paraId="2ADC3A9C" w14:textId="77777777" w:rsidR="00951F81" w:rsidRDefault="00951F81" w:rsidP="00951F81"/>
    <w:p w14:paraId="5DC14C96" w14:textId="6C4BCB26" w:rsidR="00951F81" w:rsidRPr="00A83187" w:rsidRDefault="00951F81" w:rsidP="00F70A44">
      <w:pPr>
        <w:pStyle w:val="Text"/>
        <w:keepNext/>
        <w:tabs>
          <w:tab w:val="left" w:pos="567"/>
        </w:tabs>
        <w:spacing w:before="0" w:beforeAutospacing="0" w:after="0" w:afterAutospacing="0" w:line="240" w:lineRule="auto"/>
        <w:ind w:left="0"/>
        <w:rPr>
          <w:rFonts w:ascii="Times New Roman" w:hAnsi="Times New Roman" w:cs="Times New Roman"/>
          <w:b/>
          <w:color w:val="auto"/>
          <w:sz w:val="22"/>
          <w:szCs w:val="22"/>
        </w:rPr>
      </w:pPr>
      <w:r w:rsidRPr="00A83187">
        <w:rPr>
          <w:rFonts w:ascii="Times New Roman" w:hAnsi="Times New Roman" w:cs="Times New Roman"/>
          <w:b/>
          <w:color w:val="auto"/>
          <w:sz w:val="22"/>
          <w:szCs w:val="22"/>
        </w:rPr>
        <w:t xml:space="preserve">Tabel 3. </w:t>
      </w:r>
      <w:r w:rsidR="00A83187" w:rsidRPr="00B14CE1">
        <w:rPr>
          <w:rFonts w:ascii="Times New Roman" w:hAnsi="Times New Roman" w:cs="Times New Roman"/>
          <w:b/>
          <w:color w:val="auto"/>
          <w:sz w:val="22"/>
          <w:szCs w:val="22"/>
        </w:rPr>
        <w:t>Denosumabi</w:t>
      </w:r>
      <w:r w:rsidR="00A83187" w:rsidRPr="00B14CE1">
        <w:rPr>
          <w:rFonts w:ascii="Times New Roman" w:hAnsi="Times New Roman" w:cs="Times New Roman"/>
          <w:bCs w:val="0"/>
          <w:color w:val="auto"/>
          <w:sz w:val="22"/>
          <w:szCs w:val="22"/>
        </w:rPr>
        <w:t xml:space="preserve"> </w:t>
      </w:r>
      <w:r w:rsidRPr="00A83187">
        <w:rPr>
          <w:rFonts w:ascii="Times New Roman" w:hAnsi="Times New Roman" w:cs="Times New Roman"/>
          <w:b/>
          <w:color w:val="auto"/>
          <w:sz w:val="22"/>
          <w:szCs w:val="22"/>
        </w:rPr>
        <w:t>mõju kliiniliste murdude tekkeriskile 3 aasta vältel</w:t>
      </w:r>
    </w:p>
    <w:p w14:paraId="5BA3EF22" w14:textId="77777777" w:rsidR="00951F81" w:rsidRDefault="00951F81" w:rsidP="00951F81">
      <w:pPr>
        <w:keepNext/>
      </w:pPr>
    </w:p>
    <w:tbl>
      <w:tblPr>
        <w:tblW w:w="50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70"/>
        <w:gridCol w:w="1406"/>
        <w:gridCol w:w="1562"/>
        <w:gridCol w:w="1679"/>
        <w:gridCol w:w="1688"/>
      </w:tblGrid>
      <w:tr w:rsidR="00951F81" w:rsidRPr="0011121C" w14:paraId="0C12509D" w14:textId="77777777" w:rsidTr="00582476">
        <w:trPr>
          <w:cantSplit/>
          <w:trHeight w:val="57"/>
          <w:tblHeader/>
        </w:trPr>
        <w:tc>
          <w:tcPr>
            <w:tcW w:w="1521" w:type="pct"/>
            <w:vMerge w:val="restart"/>
            <w:tcBorders>
              <w:top w:val="single" w:sz="4" w:space="0" w:color="auto"/>
              <w:left w:val="single" w:sz="4" w:space="0" w:color="auto"/>
              <w:right w:val="single" w:sz="4" w:space="0" w:color="auto"/>
            </w:tcBorders>
          </w:tcPr>
          <w:p w14:paraId="3B19C09F" w14:textId="77777777" w:rsidR="00951F81" w:rsidRDefault="00951F81" w:rsidP="006172AE">
            <w:pPr>
              <w:pStyle w:val="lbltxt"/>
              <w:keepNext/>
              <w:rPr>
                <w:noProof w:val="0"/>
              </w:rPr>
            </w:pPr>
          </w:p>
        </w:tc>
        <w:tc>
          <w:tcPr>
            <w:tcW w:w="1630" w:type="pct"/>
            <w:gridSpan w:val="2"/>
            <w:tcBorders>
              <w:top w:val="single" w:sz="4" w:space="0" w:color="auto"/>
              <w:left w:val="single" w:sz="4" w:space="0" w:color="auto"/>
              <w:bottom w:val="single" w:sz="4" w:space="0" w:color="auto"/>
              <w:right w:val="single" w:sz="4" w:space="0" w:color="auto"/>
            </w:tcBorders>
          </w:tcPr>
          <w:p w14:paraId="65FF625C" w14:textId="77777777" w:rsidR="00951F81" w:rsidRDefault="00951F81" w:rsidP="006172AE">
            <w:pPr>
              <w:jc w:val="center"/>
            </w:pPr>
            <w:r>
              <w:t>Luumurruga naiste osakaal (%)</w:t>
            </w:r>
            <w:r>
              <w:rPr>
                <w:vertAlign w:val="superscript"/>
              </w:rPr>
              <w:t>+</w:t>
            </w:r>
          </w:p>
        </w:tc>
        <w:tc>
          <w:tcPr>
            <w:tcW w:w="922" w:type="pct"/>
            <w:vMerge w:val="restart"/>
            <w:tcBorders>
              <w:top w:val="single" w:sz="4" w:space="0" w:color="auto"/>
              <w:left w:val="single" w:sz="4" w:space="0" w:color="auto"/>
              <w:bottom w:val="single" w:sz="4" w:space="0" w:color="auto"/>
              <w:right w:val="single" w:sz="4" w:space="0" w:color="auto"/>
            </w:tcBorders>
          </w:tcPr>
          <w:p w14:paraId="116D5205" w14:textId="77777777" w:rsidR="00951F81" w:rsidRDefault="00951F81" w:rsidP="006172AE">
            <w:r>
              <w:t>Absoluutse riski vähenemine (%)</w:t>
            </w:r>
          </w:p>
          <w:p w14:paraId="29F04131" w14:textId="72FFC6DC" w:rsidR="00951F81" w:rsidRDefault="00951F81" w:rsidP="006172AE">
            <w:r>
              <w:t xml:space="preserve">(95% </w:t>
            </w:r>
            <w:r w:rsidR="006C38A3">
              <w:t>CI</w:t>
            </w:r>
            <w:r>
              <w:t>)</w:t>
            </w:r>
          </w:p>
        </w:tc>
        <w:tc>
          <w:tcPr>
            <w:tcW w:w="928" w:type="pct"/>
            <w:vMerge w:val="restart"/>
            <w:tcBorders>
              <w:top w:val="single" w:sz="4" w:space="0" w:color="auto"/>
              <w:left w:val="single" w:sz="4" w:space="0" w:color="auto"/>
              <w:bottom w:val="single" w:sz="4" w:space="0" w:color="auto"/>
              <w:right w:val="single" w:sz="4" w:space="0" w:color="auto"/>
            </w:tcBorders>
          </w:tcPr>
          <w:p w14:paraId="0101B132" w14:textId="77777777" w:rsidR="00951F81" w:rsidRDefault="00951F81" w:rsidP="006172AE">
            <w:r>
              <w:t>Suhtelise riski vähenemine (%)</w:t>
            </w:r>
          </w:p>
          <w:p w14:paraId="38F78E13" w14:textId="597CE17A" w:rsidR="00951F81" w:rsidRDefault="00951F81" w:rsidP="006172AE">
            <w:r>
              <w:t xml:space="preserve">(95% </w:t>
            </w:r>
            <w:r w:rsidR="006C38A3">
              <w:t>CI</w:t>
            </w:r>
            <w:r>
              <w:t>)</w:t>
            </w:r>
          </w:p>
        </w:tc>
      </w:tr>
      <w:tr w:rsidR="00951F81" w:rsidRPr="0011121C" w14:paraId="1CBDBE21" w14:textId="77777777" w:rsidTr="00582476">
        <w:trPr>
          <w:cantSplit/>
          <w:trHeight w:val="57"/>
          <w:tblHeader/>
        </w:trPr>
        <w:tc>
          <w:tcPr>
            <w:tcW w:w="1521" w:type="pct"/>
            <w:vMerge/>
            <w:tcBorders>
              <w:left w:val="single" w:sz="4" w:space="0" w:color="auto"/>
              <w:bottom w:val="single" w:sz="4" w:space="0" w:color="auto"/>
              <w:right w:val="single" w:sz="4" w:space="0" w:color="auto"/>
            </w:tcBorders>
          </w:tcPr>
          <w:p w14:paraId="35AB5095" w14:textId="77777777" w:rsidR="00951F81" w:rsidRDefault="00951F81" w:rsidP="006172AE">
            <w:pPr>
              <w:keepNext/>
            </w:pPr>
          </w:p>
        </w:tc>
        <w:tc>
          <w:tcPr>
            <w:tcW w:w="772" w:type="pct"/>
            <w:tcBorders>
              <w:top w:val="single" w:sz="4" w:space="0" w:color="auto"/>
              <w:left w:val="single" w:sz="4" w:space="0" w:color="auto"/>
              <w:bottom w:val="single" w:sz="4" w:space="0" w:color="auto"/>
              <w:right w:val="single" w:sz="4" w:space="0" w:color="auto"/>
            </w:tcBorders>
          </w:tcPr>
          <w:p w14:paraId="083F2ACA" w14:textId="77777777" w:rsidR="00951F81" w:rsidRDefault="00951F81" w:rsidP="006172AE">
            <w:pPr>
              <w:jc w:val="center"/>
            </w:pPr>
            <w:r>
              <w:t>Platseebo</w:t>
            </w:r>
          </w:p>
          <w:p w14:paraId="7A5945DF" w14:textId="1DB15D70" w:rsidR="00951F81" w:rsidRDefault="00951F81" w:rsidP="006172AE">
            <w:pPr>
              <w:jc w:val="center"/>
            </w:pPr>
            <w:r>
              <w:t>n = 3906</w:t>
            </w:r>
          </w:p>
        </w:tc>
        <w:tc>
          <w:tcPr>
            <w:tcW w:w="858" w:type="pct"/>
            <w:tcBorders>
              <w:top w:val="single" w:sz="4" w:space="0" w:color="auto"/>
              <w:left w:val="single" w:sz="4" w:space="0" w:color="auto"/>
              <w:bottom w:val="single" w:sz="4" w:space="0" w:color="auto"/>
              <w:right w:val="single" w:sz="4" w:space="0" w:color="auto"/>
            </w:tcBorders>
          </w:tcPr>
          <w:p w14:paraId="4EEAFD9C" w14:textId="29268595" w:rsidR="00951F81" w:rsidRDefault="00A83187" w:rsidP="006172AE">
            <w:pPr>
              <w:jc w:val="center"/>
            </w:pPr>
            <w:r>
              <w:t>D</w:t>
            </w:r>
            <w:r w:rsidRPr="00A83187">
              <w:t>enosumab</w:t>
            </w:r>
            <w:r w:rsidR="00951F81">
              <w:t>n = 3902</w:t>
            </w:r>
          </w:p>
        </w:tc>
        <w:tc>
          <w:tcPr>
            <w:tcW w:w="922" w:type="pct"/>
            <w:vMerge/>
            <w:tcBorders>
              <w:top w:val="single" w:sz="4" w:space="0" w:color="auto"/>
              <w:left w:val="single" w:sz="4" w:space="0" w:color="auto"/>
              <w:bottom w:val="single" w:sz="4" w:space="0" w:color="auto"/>
              <w:right w:val="single" w:sz="4" w:space="0" w:color="auto"/>
            </w:tcBorders>
            <w:vAlign w:val="center"/>
          </w:tcPr>
          <w:p w14:paraId="28102F93" w14:textId="77777777" w:rsidR="00951F81" w:rsidRDefault="00951F81" w:rsidP="006172AE"/>
        </w:tc>
        <w:tc>
          <w:tcPr>
            <w:tcW w:w="928" w:type="pct"/>
            <w:vMerge/>
            <w:tcBorders>
              <w:top w:val="single" w:sz="4" w:space="0" w:color="auto"/>
              <w:left w:val="single" w:sz="4" w:space="0" w:color="auto"/>
              <w:bottom w:val="single" w:sz="4" w:space="0" w:color="auto"/>
              <w:right w:val="single" w:sz="4" w:space="0" w:color="auto"/>
            </w:tcBorders>
            <w:vAlign w:val="center"/>
          </w:tcPr>
          <w:p w14:paraId="0FFDF572" w14:textId="77777777" w:rsidR="00951F81" w:rsidRDefault="00951F81" w:rsidP="006172AE"/>
        </w:tc>
      </w:tr>
      <w:tr w:rsidR="00951F81" w:rsidRPr="0011121C" w14:paraId="3465914E" w14:textId="77777777" w:rsidTr="00582476">
        <w:trPr>
          <w:cantSplit/>
          <w:trHeight w:val="57"/>
        </w:trPr>
        <w:tc>
          <w:tcPr>
            <w:tcW w:w="1521" w:type="pct"/>
            <w:tcBorders>
              <w:top w:val="single" w:sz="4" w:space="0" w:color="auto"/>
              <w:left w:val="single" w:sz="4" w:space="0" w:color="auto"/>
              <w:bottom w:val="single" w:sz="4" w:space="0" w:color="auto"/>
              <w:right w:val="single" w:sz="4" w:space="0" w:color="auto"/>
            </w:tcBorders>
          </w:tcPr>
          <w:p w14:paraId="3633B5CE" w14:textId="77777777" w:rsidR="00951F81" w:rsidRDefault="00951F81" w:rsidP="006172AE">
            <w:r>
              <w:t>Mistahes kliiniline murd</w:t>
            </w:r>
            <w:r>
              <w:rPr>
                <w:vertAlign w:val="superscript"/>
              </w:rPr>
              <w:t>1</w:t>
            </w:r>
          </w:p>
        </w:tc>
        <w:tc>
          <w:tcPr>
            <w:tcW w:w="772" w:type="pct"/>
            <w:tcBorders>
              <w:top w:val="single" w:sz="4" w:space="0" w:color="auto"/>
              <w:left w:val="single" w:sz="4" w:space="0" w:color="auto"/>
              <w:bottom w:val="single" w:sz="4" w:space="0" w:color="auto"/>
              <w:right w:val="single" w:sz="4" w:space="0" w:color="auto"/>
            </w:tcBorders>
          </w:tcPr>
          <w:p w14:paraId="78D2740D" w14:textId="77777777" w:rsidR="00951F81" w:rsidRDefault="00951F81" w:rsidP="006172AE">
            <w:pPr>
              <w:jc w:val="center"/>
            </w:pPr>
            <w:r>
              <w:t>10,2</w:t>
            </w:r>
          </w:p>
        </w:tc>
        <w:tc>
          <w:tcPr>
            <w:tcW w:w="858" w:type="pct"/>
            <w:tcBorders>
              <w:top w:val="single" w:sz="4" w:space="0" w:color="auto"/>
              <w:left w:val="single" w:sz="4" w:space="0" w:color="auto"/>
              <w:bottom w:val="single" w:sz="4" w:space="0" w:color="auto"/>
              <w:right w:val="single" w:sz="4" w:space="0" w:color="auto"/>
            </w:tcBorders>
          </w:tcPr>
          <w:p w14:paraId="3CBB1D38" w14:textId="77777777" w:rsidR="00951F81" w:rsidRDefault="00951F81" w:rsidP="006172AE">
            <w:pPr>
              <w:jc w:val="center"/>
            </w:pPr>
            <w:r>
              <w:t>7,2</w:t>
            </w:r>
          </w:p>
        </w:tc>
        <w:tc>
          <w:tcPr>
            <w:tcW w:w="922" w:type="pct"/>
            <w:tcBorders>
              <w:top w:val="single" w:sz="4" w:space="0" w:color="auto"/>
              <w:left w:val="single" w:sz="4" w:space="0" w:color="auto"/>
              <w:bottom w:val="single" w:sz="4" w:space="0" w:color="auto"/>
              <w:right w:val="single" w:sz="4" w:space="0" w:color="auto"/>
            </w:tcBorders>
          </w:tcPr>
          <w:p w14:paraId="715CC8FA" w14:textId="77777777" w:rsidR="00951F81" w:rsidRDefault="00951F81" w:rsidP="006172AE">
            <w:r>
              <w:t>2,9 (1,6; 4,2)</w:t>
            </w:r>
          </w:p>
        </w:tc>
        <w:tc>
          <w:tcPr>
            <w:tcW w:w="928" w:type="pct"/>
            <w:tcBorders>
              <w:top w:val="single" w:sz="4" w:space="0" w:color="auto"/>
              <w:left w:val="single" w:sz="4" w:space="0" w:color="auto"/>
              <w:bottom w:val="single" w:sz="4" w:space="0" w:color="auto"/>
              <w:right w:val="single" w:sz="4" w:space="0" w:color="auto"/>
            </w:tcBorders>
          </w:tcPr>
          <w:p w14:paraId="0F9724A5" w14:textId="77777777" w:rsidR="00951F81" w:rsidRDefault="00951F81" w:rsidP="006172AE">
            <w:r>
              <w:t>30 (19; 41)***</w:t>
            </w:r>
          </w:p>
        </w:tc>
      </w:tr>
      <w:tr w:rsidR="00951F81" w:rsidRPr="0011121C" w14:paraId="30A9BC71" w14:textId="77777777" w:rsidTr="00582476">
        <w:trPr>
          <w:cantSplit/>
          <w:trHeight w:val="57"/>
        </w:trPr>
        <w:tc>
          <w:tcPr>
            <w:tcW w:w="1521" w:type="pct"/>
            <w:tcBorders>
              <w:top w:val="single" w:sz="4" w:space="0" w:color="auto"/>
              <w:left w:val="single" w:sz="4" w:space="0" w:color="auto"/>
              <w:bottom w:val="single" w:sz="4" w:space="0" w:color="auto"/>
              <w:right w:val="single" w:sz="4" w:space="0" w:color="auto"/>
            </w:tcBorders>
          </w:tcPr>
          <w:p w14:paraId="37841C20" w14:textId="77777777" w:rsidR="00951F81" w:rsidRDefault="00951F81" w:rsidP="006172AE">
            <w:r>
              <w:t>Kliiniline lülisambamurd</w:t>
            </w:r>
          </w:p>
        </w:tc>
        <w:tc>
          <w:tcPr>
            <w:tcW w:w="772" w:type="pct"/>
            <w:tcBorders>
              <w:top w:val="single" w:sz="4" w:space="0" w:color="auto"/>
              <w:left w:val="single" w:sz="4" w:space="0" w:color="auto"/>
              <w:bottom w:val="single" w:sz="4" w:space="0" w:color="auto"/>
              <w:right w:val="single" w:sz="4" w:space="0" w:color="auto"/>
            </w:tcBorders>
          </w:tcPr>
          <w:p w14:paraId="6237D9B4" w14:textId="77777777" w:rsidR="00951F81" w:rsidRDefault="00951F81" w:rsidP="006172AE">
            <w:pPr>
              <w:jc w:val="center"/>
            </w:pPr>
            <w:r>
              <w:t>2,6</w:t>
            </w:r>
          </w:p>
        </w:tc>
        <w:tc>
          <w:tcPr>
            <w:tcW w:w="858" w:type="pct"/>
            <w:tcBorders>
              <w:top w:val="single" w:sz="4" w:space="0" w:color="auto"/>
              <w:left w:val="single" w:sz="4" w:space="0" w:color="auto"/>
              <w:bottom w:val="single" w:sz="4" w:space="0" w:color="auto"/>
              <w:right w:val="single" w:sz="4" w:space="0" w:color="auto"/>
            </w:tcBorders>
          </w:tcPr>
          <w:p w14:paraId="13A7C5AE" w14:textId="77777777" w:rsidR="00951F81" w:rsidRDefault="00951F81" w:rsidP="006172AE">
            <w:pPr>
              <w:jc w:val="center"/>
            </w:pPr>
            <w:r>
              <w:t>0,8</w:t>
            </w:r>
          </w:p>
        </w:tc>
        <w:tc>
          <w:tcPr>
            <w:tcW w:w="922" w:type="pct"/>
            <w:tcBorders>
              <w:top w:val="single" w:sz="4" w:space="0" w:color="auto"/>
              <w:left w:val="single" w:sz="4" w:space="0" w:color="auto"/>
              <w:bottom w:val="single" w:sz="4" w:space="0" w:color="auto"/>
              <w:right w:val="single" w:sz="4" w:space="0" w:color="auto"/>
            </w:tcBorders>
          </w:tcPr>
          <w:p w14:paraId="26575E48" w14:textId="77777777" w:rsidR="00951F81" w:rsidRDefault="00951F81" w:rsidP="006172AE">
            <w:r>
              <w:t>1,8 (1,2; 2,4)</w:t>
            </w:r>
          </w:p>
        </w:tc>
        <w:tc>
          <w:tcPr>
            <w:tcW w:w="928" w:type="pct"/>
            <w:tcBorders>
              <w:top w:val="single" w:sz="4" w:space="0" w:color="auto"/>
              <w:left w:val="single" w:sz="4" w:space="0" w:color="auto"/>
              <w:bottom w:val="single" w:sz="4" w:space="0" w:color="auto"/>
              <w:right w:val="single" w:sz="4" w:space="0" w:color="auto"/>
            </w:tcBorders>
          </w:tcPr>
          <w:p w14:paraId="00C8C13C" w14:textId="77777777" w:rsidR="00951F81" w:rsidRDefault="00951F81" w:rsidP="006172AE">
            <w:r>
              <w:t>69 (53; 80)***</w:t>
            </w:r>
          </w:p>
        </w:tc>
      </w:tr>
      <w:tr w:rsidR="00951F81" w:rsidRPr="0011121C" w14:paraId="277803C4" w14:textId="77777777" w:rsidTr="00582476">
        <w:trPr>
          <w:cantSplit/>
          <w:trHeight w:val="57"/>
        </w:trPr>
        <w:tc>
          <w:tcPr>
            <w:tcW w:w="1521" w:type="pct"/>
            <w:tcBorders>
              <w:top w:val="single" w:sz="4" w:space="0" w:color="auto"/>
              <w:left w:val="single" w:sz="4" w:space="0" w:color="auto"/>
              <w:bottom w:val="single" w:sz="4" w:space="0" w:color="auto"/>
              <w:right w:val="single" w:sz="4" w:space="0" w:color="auto"/>
            </w:tcBorders>
          </w:tcPr>
          <w:p w14:paraId="7AAF03E1" w14:textId="72D68EDA" w:rsidR="00951F81" w:rsidRDefault="002B05F4" w:rsidP="006172AE">
            <w:r>
              <w:t xml:space="preserve">Teine luustiku </w:t>
            </w:r>
            <w:r w:rsidR="00951F81">
              <w:t>murd</w:t>
            </w:r>
            <w:r w:rsidR="00951F81">
              <w:rPr>
                <w:vertAlign w:val="superscript"/>
              </w:rPr>
              <w:t>2</w:t>
            </w:r>
          </w:p>
        </w:tc>
        <w:tc>
          <w:tcPr>
            <w:tcW w:w="772" w:type="pct"/>
            <w:tcBorders>
              <w:top w:val="single" w:sz="4" w:space="0" w:color="auto"/>
              <w:left w:val="single" w:sz="4" w:space="0" w:color="auto"/>
              <w:bottom w:val="single" w:sz="4" w:space="0" w:color="auto"/>
              <w:right w:val="single" w:sz="4" w:space="0" w:color="auto"/>
            </w:tcBorders>
          </w:tcPr>
          <w:p w14:paraId="2734C95C" w14:textId="77777777" w:rsidR="00951F81" w:rsidRDefault="00951F81" w:rsidP="006172AE">
            <w:pPr>
              <w:jc w:val="center"/>
            </w:pPr>
            <w:r>
              <w:t>8,0</w:t>
            </w:r>
          </w:p>
        </w:tc>
        <w:tc>
          <w:tcPr>
            <w:tcW w:w="858" w:type="pct"/>
            <w:tcBorders>
              <w:top w:val="single" w:sz="4" w:space="0" w:color="auto"/>
              <w:left w:val="single" w:sz="4" w:space="0" w:color="auto"/>
              <w:bottom w:val="single" w:sz="4" w:space="0" w:color="auto"/>
              <w:right w:val="single" w:sz="4" w:space="0" w:color="auto"/>
            </w:tcBorders>
          </w:tcPr>
          <w:p w14:paraId="2F1D9EF9" w14:textId="77777777" w:rsidR="00951F81" w:rsidRDefault="00951F81" w:rsidP="006172AE">
            <w:pPr>
              <w:jc w:val="center"/>
            </w:pPr>
            <w:r>
              <w:t>6,5</w:t>
            </w:r>
          </w:p>
        </w:tc>
        <w:tc>
          <w:tcPr>
            <w:tcW w:w="922" w:type="pct"/>
            <w:tcBorders>
              <w:top w:val="single" w:sz="4" w:space="0" w:color="auto"/>
              <w:left w:val="single" w:sz="4" w:space="0" w:color="auto"/>
              <w:bottom w:val="single" w:sz="4" w:space="0" w:color="auto"/>
              <w:right w:val="single" w:sz="4" w:space="0" w:color="auto"/>
            </w:tcBorders>
          </w:tcPr>
          <w:p w14:paraId="1E68740D" w14:textId="77777777" w:rsidR="00951F81" w:rsidRDefault="00951F81" w:rsidP="006172AE">
            <w:r>
              <w:t>1,5 (0,3; 2,7)</w:t>
            </w:r>
          </w:p>
        </w:tc>
        <w:tc>
          <w:tcPr>
            <w:tcW w:w="928" w:type="pct"/>
            <w:tcBorders>
              <w:top w:val="single" w:sz="4" w:space="0" w:color="auto"/>
              <w:left w:val="single" w:sz="4" w:space="0" w:color="auto"/>
              <w:bottom w:val="single" w:sz="4" w:space="0" w:color="auto"/>
              <w:right w:val="single" w:sz="4" w:space="0" w:color="auto"/>
            </w:tcBorders>
          </w:tcPr>
          <w:p w14:paraId="2838D60A" w14:textId="77777777" w:rsidR="00951F81" w:rsidRDefault="00951F81" w:rsidP="006172AE">
            <w:r>
              <w:t>20 (5; 33)**</w:t>
            </w:r>
          </w:p>
        </w:tc>
      </w:tr>
      <w:tr w:rsidR="00951F81" w:rsidRPr="0011121C" w14:paraId="452B3A71" w14:textId="77777777" w:rsidTr="00582476">
        <w:trPr>
          <w:cantSplit/>
          <w:trHeight w:val="57"/>
        </w:trPr>
        <w:tc>
          <w:tcPr>
            <w:tcW w:w="1521" w:type="pct"/>
            <w:tcBorders>
              <w:top w:val="single" w:sz="4" w:space="0" w:color="auto"/>
              <w:left w:val="single" w:sz="4" w:space="0" w:color="auto"/>
              <w:bottom w:val="single" w:sz="4" w:space="0" w:color="auto"/>
              <w:right w:val="single" w:sz="4" w:space="0" w:color="auto"/>
            </w:tcBorders>
          </w:tcPr>
          <w:p w14:paraId="423550A4" w14:textId="2C332F44" w:rsidR="00951F81" w:rsidRDefault="00951F81" w:rsidP="006172AE">
            <w:r>
              <w:t xml:space="preserve">Suur </w:t>
            </w:r>
            <w:r w:rsidR="002B05F4">
              <w:t>teine luustiku murd</w:t>
            </w:r>
            <w:r>
              <w:rPr>
                <w:vertAlign w:val="superscript"/>
              </w:rPr>
              <w:t>3</w:t>
            </w:r>
          </w:p>
        </w:tc>
        <w:tc>
          <w:tcPr>
            <w:tcW w:w="772" w:type="pct"/>
            <w:tcBorders>
              <w:top w:val="single" w:sz="4" w:space="0" w:color="auto"/>
              <w:left w:val="single" w:sz="4" w:space="0" w:color="auto"/>
              <w:bottom w:val="single" w:sz="4" w:space="0" w:color="auto"/>
              <w:right w:val="single" w:sz="4" w:space="0" w:color="auto"/>
            </w:tcBorders>
          </w:tcPr>
          <w:p w14:paraId="126386A3" w14:textId="77777777" w:rsidR="00951F81" w:rsidRDefault="00951F81" w:rsidP="006172AE">
            <w:pPr>
              <w:jc w:val="center"/>
            </w:pPr>
            <w:r>
              <w:t>6,4</w:t>
            </w:r>
          </w:p>
        </w:tc>
        <w:tc>
          <w:tcPr>
            <w:tcW w:w="858" w:type="pct"/>
            <w:tcBorders>
              <w:top w:val="single" w:sz="4" w:space="0" w:color="auto"/>
              <w:left w:val="single" w:sz="4" w:space="0" w:color="auto"/>
              <w:bottom w:val="single" w:sz="4" w:space="0" w:color="auto"/>
              <w:right w:val="single" w:sz="4" w:space="0" w:color="auto"/>
            </w:tcBorders>
          </w:tcPr>
          <w:p w14:paraId="0F30D3A4" w14:textId="77777777" w:rsidR="00951F81" w:rsidRDefault="00951F81" w:rsidP="006172AE">
            <w:pPr>
              <w:jc w:val="center"/>
            </w:pPr>
            <w:r>
              <w:t>5,2</w:t>
            </w:r>
          </w:p>
        </w:tc>
        <w:tc>
          <w:tcPr>
            <w:tcW w:w="922" w:type="pct"/>
            <w:tcBorders>
              <w:top w:val="single" w:sz="4" w:space="0" w:color="auto"/>
              <w:left w:val="single" w:sz="4" w:space="0" w:color="auto"/>
              <w:bottom w:val="single" w:sz="4" w:space="0" w:color="auto"/>
              <w:right w:val="single" w:sz="4" w:space="0" w:color="auto"/>
            </w:tcBorders>
          </w:tcPr>
          <w:p w14:paraId="5F33E56F" w14:textId="77777777" w:rsidR="00951F81" w:rsidRDefault="00951F81" w:rsidP="006172AE">
            <w:r>
              <w:t>1,2 (0,1; 2,2)</w:t>
            </w:r>
          </w:p>
        </w:tc>
        <w:tc>
          <w:tcPr>
            <w:tcW w:w="928" w:type="pct"/>
            <w:tcBorders>
              <w:top w:val="single" w:sz="4" w:space="0" w:color="auto"/>
              <w:left w:val="single" w:sz="4" w:space="0" w:color="auto"/>
              <w:bottom w:val="single" w:sz="4" w:space="0" w:color="auto"/>
              <w:right w:val="single" w:sz="4" w:space="0" w:color="auto"/>
            </w:tcBorders>
          </w:tcPr>
          <w:p w14:paraId="64F5CFA1" w14:textId="77777777" w:rsidR="00951F81" w:rsidRDefault="00951F81" w:rsidP="006172AE">
            <w:r>
              <w:t>20 (3; 34)*</w:t>
            </w:r>
          </w:p>
        </w:tc>
      </w:tr>
      <w:tr w:rsidR="00951F81" w:rsidRPr="0011121C" w14:paraId="21B7D039" w14:textId="77777777" w:rsidTr="00582476">
        <w:trPr>
          <w:cantSplit/>
          <w:trHeight w:val="57"/>
        </w:trPr>
        <w:tc>
          <w:tcPr>
            <w:tcW w:w="1521" w:type="pct"/>
            <w:tcBorders>
              <w:top w:val="single" w:sz="4" w:space="0" w:color="auto"/>
              <w:left w:val="single" w:sz="4" w:space="0" w:color="auto"/>
              <w:bottom w:val="single" w:sz="4" w:space="0" w:color="auto"/>
              <w:right w:val="single" w:sz="4" w:space="0" w:color="auto"/>
            </w:tcBorders>
          </w:tcPr>
          <w:p w14:paraId="266DCA8F" w14:textId="77777777" w:rsidR="00951F81" w:rsidRDefault="00951F81" w:rsidP="006172AE">
            <w:r>
              <w:t>Suur osteoporootiline murd</w:t>
            </w:r>
            <w:r>
              <w:rPr>
                <w:vertAlign w:val="superscript"/>
              </w:rPr>
              <w:t>4</w:t>
            </w:r>
          </w:p>
        </w:tc>
        <w:tc>
          <w:tcPr>
            <w:tcW w:w="772" w:type="pct"/>
            <w:tcBorders>
              <w:top w:val="single" w:sz="4" w:space="0" w:color="auto"/>
              <w:left w:val="single" w:sz="4" w:space="0" w:color="auto"/>
              <w:bottom w:val="single" w:sz="4" w:space="0" w:color="auto"/>
              <w:right w:val="single" w:sz="4" w:space="0" w:color="auto"/>
            </w:tcBorders>
          </w:tcPr>
          <w:p w14:paraId="5D008AB1" w14:textId="77777777" w:rsidR="00951F81" w:rsidRDefault="00951F81" w:rsidP="006172AE">
            <w:pPr>
              <w:jc w:val="center"/>
            </w:pPr>
            <w:r>
              <w:t>8,0</w:t>
            </w:r>
          </w:p>
        </w:tc>
        <w:tc>
          <w:tcPr>
            <w:tcW w:w="858" w:type="pct"/>
            <w:tcBorders>
              <w:top w:val="single" w:sz="4" w:space="0" w:color="auto"/>
              <w:left w:val="single" w:sz="4" w:space="0" w:color="auto"/>
              <w:bottom w:val="single" w:sz="4" w:space="0" w:color="auto"/>
              <w:right w:val="single" w:sz="4" w:space="0" w:color="auto"/>
            </w:tcBorders>
          </w:tcPr>
          <w:p w14:paraId="78D591B9" w14:textId="77777777" w:rsidR="00951F81" w:rsidRDefault="00951F81" w:rsidP="006172AE">
            <w:pPr>
              <w:jc w:val="center"/>
            </w:pPr>
            <w:r>
              <w:t>5,3</w:t>
            </w:r>
          </w:p>
        </w:tc>
        <w:tc>
          <w:tcPr>
            <w:tcW w:w="922" w:type="pct"/>
            <w:tcBorders>
              <w:top w:val="single" w:sz="4" w:space="0" w:color="auto"/>
              <w:left w:val="single" w:sz="4" w:space="0" w:color="auto"/>
              <w:bottom w:val="single" w:sz="4" w:space="0" w:color="auto"/>
              <w:right w:val="single" w:sz="4" w:space="0" w:color="auto"/>
            </w:tcBorders>
          </w:tcPr>
          <w:p w14:paraId="344455DA" w14:textId="77777777" w:rsidR="00951F81" w:rsidRDefault="00951F81" w:rsidP="006172AE">
            <w:r>
              <w:t>2,7 (1,6; 3,9)</w:t>
            </w:r>
          </w:p>
        </w:tc>
        <w:tc>
          <w:tcPr>
            <w:tcW w:w="928" w:type="pct"/>
            <w:tcBorders>
              <w:top w:val="single" w:sz="4" w:space="0" w:color="auto"/>
              <w:left w:val="single" w:sz="4" w:space="0" w:color="auto"/>
              <w:bottom w:val="single" w:sz="4" w:space="0" w:color="auto"/>
              <w:right w:val="single" w:sz="4" w:space="0" w:color="auto"/>
            </w:tcBorders>
          </w:tcPr>
          <w:p w14:paraId="3C9E588C" w14:textId="77777777" w:rsidR="00951F81" w:rsidRDefault="00951F81" w:rsidP="006172AE">
            <w:r>
              <w:t>35 (22; 45)***</w:t>
            </w:r>
          </w:p>
        </w:tc>
      </w:tr>
    </w:tbl>
    <w:p w14:paraId="23BBDA9F" w14:textId="77777777" w:rsidR="00951F81" w:rsidRDefault="00951F81" w:rsidP="00951F81">
      <w:pPr>
        <w:keepNext/>
        <w:rPr>
          <w:sz w:val="20"/>
          <w:szCs w:val="20"/>
        </w:rPr>
      </w:pPr>
      <w:r>
        <w:rPr>
          <w:sz w:val="20"/>
        </w:rPr>
        <w:t>*p ≤ 0,05; **p = 0,0106 (</w:t>
      </w:r>
      <w:r>
        <w:rPr>
          <w:i/>
          <w:sz w:val="20"/>
        </w:rPr>
        <w:t>paljususkohandusse kaasatud teisene tulemusnäitaja</w:t>
      </w:r>
      <w:r>
        <w:rPr>
          <w:sz w:val="20"/>
        </w:rPr>
        <w:t>); ***p ≤ 0,0001</w:t>
      </w:r>
    </w:p>
    <w:p w14:paraId="78BEDD46" w14:textId="77777777" w:rsidR="00951F81" w:rsidRDefault="00951F81" w:rsidP="00951F81">
      <w:pPr>
        <w:keepNext/>
        <w:rPr>
          <w:sz w:val="20"/>
          <w:szCs w:val="20"/>
        </w:rPr>
      </w:pPr>
      <w:r>
        <w:rPr>
          <w:sz w:val="20"/>
          <w:vertAlign w:val="superscript"/>
        </w:rPr>
        <w:t>+</w:t>
      </w:r>
      <w:r>
        <w:rPr>
          <w:sz w:val="20"/>
        </w:rPr>
        <w:t xml:space="preserve"> Juhtude sagedus põhineb Kaplan</w:t>
      </w:r>
      <w:r>
        <w:rPr>
          <w:sz w:val="20"/>
        </w:rPr>
        <w:noBreakHyphen/>
        <w:t>Meyeri hinnangul 3 aasta kohta.</w:t>
      </w:r>
    </w:p>
    <w:p w14:paraId="4D3BCCA0" w14:textId="42A91719" w:rsidR="00951F81" w:rsidRDefault="00951F81" w:rsidP="00951F81">
      <w:pPr>
        <w:keepNext/>
        <w:rPr>
          <w:sz w:val="20"/>
          <w:szCs w:val="20"/>
        </w:rPr>
      </w:pPr>
      <w:r>
        <w:rPr>
          <w:sz w:val="20"/>
          <w:vertAlign w:val="superscript"/>
        </w:rPr>
        <w:t>1</w:t>
      </w:r>
      <w:r>
        <w:rPr>
          <w:sz w:val="20"/>
        </w:rPr>
        <w:t xml:space="preserve"> Hõlmab kliinilisi lülisamba ja </w:t>
      </w:r>
      <w:r w:rsidR="002B05F4">
        <w:rPr>
          <w:sz w:val="20"/>
        </w:rPr>
        <w:t xml:space="preserve">teisi luustiku </w:t>
      </w:r>
      <w:r>
        <w:rPr>
          <w:sz w:val="20"/>
        </w:rPr>
        <w:t>murde.</w:t>
      </w:r>
    </w:p>
    <w:p w14:paraId="0A25FC42" w14:textId="77777777" w:rsidR="00951F81" w:rsidRDefault="00951F81" w:rsidP="00951F81">
      <w:pPr>
        <w:keepNext/>
        <w:rPr>
          <w:sz w:val="20"/>
          <w:szCs w:val="20"/>
        </w:rPr>
      </w:pPr>
      <w:r>
        <w:rPr>
          <w:sz w:val="20"/>
          <w:vertAlign w:val="superscript"/>
        </w:rPr>
        <w:t>2</w:t>
      </w:r>
      <w:r>
        <w:rPr>
          <w:sz w:val="20"/>
        </w:rPr>
        <w:t xml:space="preserve"> Hõlmab lülisamba, kolju, näo, alalõua, randme, sõrmede ja varbalülide murde.</w:t>
      </w:r>
    </w:p>
    <w:p w14:paraId="6E4B1331" w14:textId="6BE7FA4A" w:rsidR="00951F81" w:rsidRDefault="00951F81" w:rsidP="00951F81">
      <w:pPr>
        <w:keepNext/>
        <w:rPr>
          <w:sz w:val="20"/>
          <w:szCs w:val="20"/>
        </w:rPr>
      </w:pPr>
      <w:r>
        <w:rPr>
          <w:sz w:val="20"/>
          <w:vertAlign w:val="superscript"/>
        </w:rPr>
        <w:t>3</w:t>
      </w:r>
      <w:r>
        <w:rPr>
          <w:sz w:val="20"/>
        </w:rPr>
        <w:t xml:space="preserve"> Hõlmab vaagna, reieluu distaalse osa, sääreluu proksimaalse osa, roiete, õlavarreluu proksimaalse osa, küünarvarre ja </w:t>
      </w:r>
      <w:r w:rsidR="002B05F4">
        <w:rPr>
          <w:sz w:val="20"/>
        </w:rPr>
        <w:t>reieluukaela</w:t>
      </w:r>
      <w:r>
        <w:rPr>
          <w:sz w:val="20"/>
        </w:rPr>
        <w:t>murde.</w:t>
      </w:r>
    </w:p>
    <w:p w14:paraId="512C26E0" w14:textId="3D79CB6A" w:rsidR="00951F81" w:rsidRDefault="00951F81" w:rsidP="00951F81">
      <w:pPr>
        <w:rPr>
          <w:sz w:val="20"/>
          <w:szCs w:val="20"/>
        </w:rPr>
      </w:pPr>
      <w:r>
        <w:rPr>
          <w:sz w:val="20"/>
          <w:vertAlign w:val="superscript"/>
        </w:rPr>
        <w:t>4</w:t>
      </w:r>
      <w:r>
        <w:rPr>
          <w:sz w:val="20"/>
        </w:rPr>
        <w:t xml:space="preserve"> Hõlmab kliinilisi lülisamba, </w:t>
      </w:r>
      <w:r w:rsidR="002B05F4">
        <w:rPr>
          <w:sz w:val="20"/>
        </w:rPr>
        <w:t>reieluukaela-</w:t>
      </w:r>
      <w:r>
        <w:rPr>
          <w:sz w:val="20"/>
        </w:rPr>
        <w:t>, küünarvarre ja õlavarreluu murde vastavalt WHO määratlusele.</w:t>
      </w:r>
    </w:p>
    <w:p w14:paraId="25DC44C1" w14:textId="77777777" w:rsidR="00951F81" w:rsidRDefault="00951F81" w:rsidP="00951F81"/>
    <w:p w14:paraId="0E4670BD" w14:textId="253A19C4" w:rsidR="00951F81" w:rsidRDefault="00951F81" w:rsidP="00951F81">
      <w:r>
        <w:t xml:space="preserve">Naistel reieluukaela LMT lähteväärtusega ≤ –2,5 vähendas </w:t>
      </w:r>
      <w:r w:rsidR="00A83187" w:rsidRPr="00A83187">
        <w:t>denosumab</w:t>
      </w:r>
      <w:r w:rsidR="00A83187">
        <w:t xml:space="preserve"> </w:t>
      </w:r>
      <w:r>
        <w:t>mitte</w:t>
      </w:r>
      <w:r>
        <w:noBreakHyphen/>
        <w:t>lülisambamurdude riski (suhtelise riski vähenemine 35%, absoluutse riski vähenemine 4,1%, p &lt; 0,001, uuriv analüüs).</w:t>
      </w:r>
    </w:p>
    <w:p w14:paraId="3F5FC738" w14:textId="77777777" w:rsidR="00951F81" w:rsidRDefault="00951F81" w:rsidP="00951F81"/>
    <w:p w14:paraId="586A90E6" w14:textId="5C22E050" w:rsidR="00951F81" w:rsidRDefault="00951F81" w:rsidP="00951F81">
      <w:r>
        <w:t>Uute lülisamba</w:t>
      </w:r>
      <w:r>
        <w:noBreakHyphen/>
        <w:t xml:space="preserve">, </w:t>
      </w:r>
      <w:r w:rsidR="00EE0860">
        <w:t>reieluukaela-</w:t>
      </w:r>
      <w:r>
        <w:t xml:space="preserve"> ja </w:t>
      </w:r>
      <w:r w:rsidR="00EE0860">
        <w:t xml:space="preserve">teiste luustiku </w:t>
      </w:r>
      <w:r>
        <w:t xml:space="preserve">murdude tekkesagedus vähenes </w:t>
      </w:r>
      <w:r w:rsidR="00A83187" w:rsidRPr="00A83187">
        <w:t>denosumab</w:t>
      </w:r>
      <w:r w:rsidR="00A83187">
        <w:t>i</w:t>
      </w:r>
      <w:r>
        <w:t>ga 3 aasta vältel ühetaoliselt, sõltumata 10</w:t>
      </w:r>
      <w:r>
        <w:noBreakHyphen/>
        <w:t>aastase murruriski lähteväärtusest.</w:t>
      </w:r>
    </w:p>
    <w:p w14:paraId="0B45B46E" w14:textId="77777777" w:rsidR="00951F81" w:rsidRDefault="00951F81" w:rsidP="00951F81"/>
    <w:p w14:paraId="0C279085" w14:textId="77777777" w:rsidR="00951F81" w:rsidRDefault="00951F81" w:rsidP="00951F81">
      <w:pPr>
        <w:keepNext/>
        <w:tabs>
          <w:tab w:val="clear" w:pos="567"/>
        </w:tabs>
        <w:rPr>
          <w:i/>
          <w:iCs/>
        </w:rPr>
      </w:pPr>
      <w:r>
        <w:rPr>
          <w:i/>
        </w:rPr>
        <w:t>Mõju luu mineraalsele tihedusele</w:t>
      </w:r>
    </w:p>
    <w:p w14:paraId="64DFE667" w14:textId="410452A0" w:rsidR="00951F81" w:rsidRDefault="00A83187" w:rsidP="00951F81">
      <w:r>
        <w:t>D</w:t>
      </w:r>
      <w:r w:rsidRPr="00A83187">
        <w:t>enosumab</w:t>
      </w:r>
      <w:r w:rsidR="00951F81">
        <w:t>suurendas platseeboga võrreldes olulisel määral LMT</w:t>
      </w:r>
      <w:r w:rsidR="00951F81">
        <w:noBreakHyphen/>
        <w:t xml:space="preserve">d kõigis mõõtmiskohtades 1., 2. ja 3. aastal. </w:t>
      </w:r>
      <w:r>
        <w:t>D</w:t>
      </w:r>
      <w:r w:rsidRPr="00A83187">
        <w:t>enosumab</w:t>
      </w:r>
      <w:r>
        <w:t xml:space="preserve"> </w:t>
      </w:r>
      <w:r w:rsidR="00951F81">
        <w:t>suurendas LMT</w:t>
      </w:r>
      <w:r w:rsidR="00951F81">
        <w:noBreakHyphen/>
        <w:t xml:space="preserve">d 3 aasta vältel selgroo nimmeosas 9,2%, kogu </w:t>
      </w:r>
      <w:r w:rsidR="00E34D1B">
        <w:t>reieluu</w:t>
      </w:r>
      <w:r w:rsidR="00951F81">
        <w:t xml:space="preserve"> kohta 6,0%, reieluu kaelas 4,8%, reieluu pöörlas 7,9%, kodarluu distaalses kolmandikus 3,5% ja kogu kehas 4,1% (kõik p &lt; 0,0001).</w:t>
      </w:r>
    </w:p>
    <w:p w14:paraId="7C96DE12" w14:textId="77777777" w:rsidR="00951F81" w:rsidRDefault="00951F81" w:rsidP="00951F81"/>
    <w:p w14:paraId="42D264E1" w14:textId="1AC28689" w:rsidR="00951F81" w:rsidRDefault="00951F81" w:rsidP="00951F81">
      <w:r>
        <w:t xml:space="preserve">Kliinilistes uuringutes, milles uuriti </w:t>
      </w:r>
      <w:r w:rsidR="00A83187" w:rsidRPr="00A83187">
        <w:t>denosumab</w:t>
      </w:r>
      <w:r w:rsidR="00A83187">
        <w:t xml:space="preserve">i </w:t>
      </w:r>
      <w:r>
        <w:t xml:space="preserve">manustamise katkestamise toimeid, taastus LMT ligikaudu ravieelne sisaldus 18 kuu jooksul pärast viimast annust, jäädes kõrgemaks kui platseebo korral. Need andmed näitavad, et toime säilitamiseks on vajalik ravi jätkamine </w:t>
      </w:r>
      <w:r w:rsidR="00A83187" w:rsidRPr="00A83187">
        <w:t>denosumab</w:t>
      </w:r>
      <w:r w:rsidR="00A83187">
        <w:t>i</w:t>
      </w:r>
      <w:r>
        <w:t xml:space="preserve">ga. </w:t>
      </w:r>
      <w:r w:rsidR="00A83187">
        <w:t>D</w:t>
      </w:r>
      <w:r w:rsidR="00A83187" w:rsidRPr="00A83187">
        <w:t>enosumab</w:t>
      </w:r>
      <w:r w:rsidR="00A83187">
        <w:t>i</w:t>
      </w:r>
      <w:r>
        <w:t xml:space="preserve">ga ravi taasalustamise tulemuseks oli samalaadne LMT tõus kui </w:t>
      </w:r>
      <w:r w:rsidR="00A83187" w:rsidRPr="00A83187">
        <w:t>denosumab</w:t>
      </w:r>
      <w:r w:rsidR="00A83187">
        <w:t xml:space="preserve">i </w:t>
      </w:r>
      <w:r>
        <w:t>esmakordsel manustamisel.</w:t>
      </w:r>
    </w:p>
    <w:p w14:paraId="1C74EDD2" w14:textId="77777777" w:rsidR="00951F81" w:rsidRDefault="00951F81" w:rsidP="00951F81"/>
    <w:p w14:paraId="4CD46236" w14:textId="77777777" w:rsidR="00951F81" w:rsidRDefault="00951F81" w:rsidP="00951F81">
      <w:pPr>
        <w:keepNext/>
        <w:tabs>
          <w:tab w:val="clear" w:pos="567"/>
        </w:tabs>
        <w:rPr>
          <w:i/>
          <w:iCs/>
        </w:rPr>
      </w:pPr>
      <w:r>
        <w:rPr>
          <w:i/>
        </w:rPr>
        <w:t>Menopausijärgse osteoporoosi ravi avatud jätku</w:t>
      </w:r>
      <w:r>
        <w:rPr>
          <w:i/>
        </w:rPr>
        <w:noBreakHyphen/>
        <w:t>uuring</w:t>
      </w:r>
    </w:p>
    <w:p w14:paraId="0AC8920E" w14:textId="77FD7130" w:rsidR="00951F81" w:rsidRDefault="00951F81" w:rsidP="00951F81">
      <w:r>
        <w:t xml:space="preserve">Kokku 4550 naist (2343 patsienti </w:t>
      </w:r>
      <w:r w:rsidR="00B2779E" w:rsidRPr="00A83187">
        <w:t>denosumab</w:t>
      </w:r>
      <w:r w:rsidR="00B2779E">
        <w:t xml:space="preserve">i </w:t>
      </w:r>
      <w:r>
        <w:t>rühmas ja 2207 platseeborühmas), kellele ülalkirjeldatud olulise tähtsusega uuringus jäi manustamata maksimaalselt üks annus uuringuravimit ja kes osalesid 36. kuu uuringuvisiidil, nõustusid osalema 7</w:t>
      </w:r>
      <w:r>
        <w:noBreakHyphen/>
        <w:t xml:space="preserve">aastases rahvusvahelises mitmekeskuselises avatud </w:t>
      </w:r>
      <w:r w:rsidR="00682C3B" w:rsidRPr="00682C3B">
        <w:t>kontrollrühmata</w:t>
      </w:r>
      <w:r>
        <w:t xml:space="preserve"> jätku</w:t>
      </w:r>
      <w:r>
        <w:noBreakHyphen/>
        <w:t xml:space="preserve">uuringus, et hinnata </w:t>
      </w:r>
      <w:r w:rsidR="00B2779E" w:rsidRPr="00A83187">
        <w:t>denosumab</w:t>
      </w:r>
      <w:r w:rsidR="00B2779E">
        <w:t xml:space="preserve">i </w:t>
      </w:r>
      <w:r>
        <w:t>ohutust ja efektiivsust pikaajalisel ravil. Kõikidele jätku</w:t>
      </w:r>
      <w:r>
        <w:noBreakHyphen/>
        <w:t xml:space="preserve">uuringus osalenud naistele pidi manustama 60 mg </w:t>
      </w:r>
      <w:r w:rsidR="00B2779E" w:rsidRPr="00A83187">
        <w:t>denosumab</w:t>
      </w:r>
      <w:r w:rsidR="00B2779E">
        <w:t xml:space="preserve">i </w:t>
      </w:r>
      <w:r>
        <w:t xml:space="preserve"> iga 6 kuu järel, samuti igapäevaselt kaltsiumit (vähemalt 1 g) ja D</w:t>
      </w:r>
      <w:r>
        <w:noBreakHyphen/>
        <w:t>vitamiini (vähemalt 400 RÜ). Jätku</w:t>
      </w:r>
      <w:r>
        <w:noBreakHyphen/>
        <w:t>uuringu lõpetas kokku 2626 uuritavat (58% jätku</w:t>
      </w:r>
      <w:r>
        <w:noBreakHyphen/>
        <w:t>uuringusse kaasatud naistest, st 34% põhiuuringusse kaasatud naistest).</w:t>
      </w:r>
    </w:p>
    <w:p w14:paraId="4B97CDCB" w14:textId="77777777" w:rsidR="00951F81" w:rsidRDefault="00951F81" w:rsidP="00951F81"/>
    <w:p w14:paraId="19BED31E" w14:textId="5DE29DBD" w:rsidR="00951F81" w:rsidRDefault="00951F81" w:rsidP="00951F81">
      <w:r>
        <w:t xml:space="preserve">Patsientidel, keda raviti </w:t>
      </w:r>
      <w:r w:rsidR="00B2779E" w:rsidRPr="00A83187">
        <w:t>denosumab</w:t>
      </w:r>
      <w:r w:rsidR="00B2779E">
        <w:t>i</w:t>
      </w:r>
      <w:r>
        <w:t xml:space="preserve">ga kuni 10 aastat, tõusis LMT põhiuuringueelse lähteväärtusega võrreldes selgroo nimmeosas 21,7%, kogu </w:t>
      </w:r>
      <w:r w:rsidR="008C0C9E">
        <w:t>reieluu</w:t>
      </w:r>
      <w:r>
        <w:t xml:space="preserve"> 9,2%, reieluu kaelas 9,0%, pöörlas 13,0% ja kodarluu distaalses kolmandikus 2,8%. Selgroo nimmeosa LMT keskmine T</w:t>
      </w:r>
      <w:r>
        <w:noBreakHyphen/>
        <w:t>skoor oli 10 aastat ravitud patsientidel uuringu lõpus –1,3.</w:t>
      </w:r>
    </w:p>
    <w:p w14:paraId="48B5EEBB" w14:textId="77777777" w:rsidR="00951F81" w:rsidRDefault="00951F81" w:rsidP="00951F81"/>
    <w:p w14:paraId="069444B1" w14:textId="59CA3ECA" w:rsidR="00951F81" w:rsidRDefault="00951F81" w:rsidP="00951F81">
      <w:r>
        <w:t>Ohutuse tulemusnäitajana hinnati luumurdude tekkesagedust, kuid luumurdude preventsiooni efektiivsust ei saa hinnata ravikatkestuste suure arvu ja avatud meetodi tõttu. Denosumabiga 10 aastat ravitud patsientidel (n = 1278) oli uute lülisamba</w:t>
      </w:r>
      <w:r>
        <w:noBreakHyphen/>
        <w:t xml:space="preserve"> ja </w:t>
      </w:r>
      <w:r w:rsidR="008C0C9E">
        <w:t xml:space="preserve">teiste luustiku </w:t>
      </w:r>
      <w:r>
        <w:t>murdude kumulatiivne tekkesagedus vastavalt ligikaudu 6,8% ja 13,1%. Patsientidel, kes uuringu mingil põhjusel katkestasid, oli raviaegsete luumurdude määr suurem.</w:t>
      </w:r>
    </w:p>
    <w:p w14:paraId="011BFC18" w14:textId="77777777" w:rsidR="00951F81" w:rsidRDefault="00951F81" w:rsidP="00951F81"/>
    <w:p w14:paraId="29A2C444" w14:textId="77777777" w:rsidR="00951F81" w:rsidRDefault="00951F81" w:rsidP="00951F81">
      <w:r>
        <w:t>Kinnitatud kolmteist lõualuu osteonekroosi juhtu ja kaks reieluu atüüpilise murru juhtu tekkisid jätku</w:t>
      </w:r>
      <w:r>
        <w:noBreakHyphen/>
        <w:t>uuringu ajal.</w:t>
      </w:r>
    </w:p>
    <w:p w14:paraId="64502A3C" w14:textId="77777777" w:rsidR="00951F81" w:rsidRDefault="00951F81" w:rsidP="00951F81"/>
    <w:p w14:paraId="72713AB7" w14:textId="77777777" w:rsidR="00951F81" w:rsidRDefault="00951F81" w:rsidP="00951F81">
      <w:pPr>
        <w:keepNext/>
        <w:rPr>
          <w:u w:val="single"/>
        </w:rPr>
      </w:pPr>
      <w:r>
        <w:rPr>
          <w:u w:val="single"/>
        </w:rPr>
        <w:t>Kliiniline efektiivsus ja ohutus osteoporoosiga meestel</w:t>
      </w:r>
    </w:p>
    <w:p w14:paraId="7CE66AD3" w14:textId="77777777" w:rsidR="00951F81" w:rsidRDefault="00951F81" w:rsidP="00951F81">
      <w:pPr>
        <w:keepNext/>
      </w:pPr>
    </w:p>
    <w:p w14:paraId="2E9D13AB" w14:textId="2E26F68C" w:rsidR="00951F81" w:rsidRDefault="00951F81" w:rsidP="00951F81">
      <w:r>
        <w:t xml:space="preserve">Efektiivsuse ja ohutuse uurimiseks manustati </w:t>
      </w:r>
      <w:r w:rsidR="005E1FCC" w:rsidRPr="00A83187">
        <w:t>denosumab</w:t>
      </w:r>
      <w:r w:rsidR="005E1FCC">
        <w:t>i</w:t>
      </w:r>
      <w:r w:rsidR="00D8693C">
        <w:t xml:space="preserve"> </w:t>
      </w:r>
      <w:r>
        <w:t>iga 6 kuu järel 1 aasta jooksul 242 mehele vanuses 31...84 aastat. Uuringusse ei kaasatud patsiente, kelle hinnanguline glomerulaarfiltratsioon (eGFR) oli &lt; 30 ml/min/1,73 m</w:t>
      </w:r>
      <w:r>
        <w:rPr>
          <w:vertAlign w:val="superscript"/>
        </w:rPr>
        <w:t>2</w:t>
      </w:r>
      <w:r>
        <w:t>. Kõikidele meestele manustati täiendavalt kaltsiumi (vähemalt 1000 mg ööpäevas) ja D</w:t>
      </w:r>
      <w:r>
        <w:noBreakHyphen/>
        <w:t>vitamiini (vähemalt 800 RÜ ööpäevas).</w:t>
      </w:r>
    </w:p>
    <w:p w14:paraId="5B085A11" w14:textId="77777777" w:rsidR="00951F81" w:rsidRDefault="00951F81" w:rsidP="00951F81"/>
    <w:p w14:paraId="6A741AEF" w14:textId="73B358D0" w:rsidR="00951F81" w:rsidRDefault="00951F81" w:rsidP="00951F81">
      <w:r>
        <w:t xml:space="preserve">Esmane efektiivsuse tulemusnäitaja oli selgroo nimmeosa LMT protsentuaalne muutus; efektiivsust luumurdude suhtes ei hinnatud. </w:t>
      </w:r>
      <w:r w:rsidR="00D8693C">
        <w:t>D</w:t>
      </w:r>
      <w:r w:rsidR="00D8693C" w:rsidRPr="00A83187">
        <w:t>enosumab</w:t>
      </w:r>
      <w:r w:rsidR="00D8693C">
        <w:t xml:space="preserve"> </w:t>
      </w:r>
      <w:r>
        <w:t>suurendas LMT</w:t>
      </w:r>
      <w:r>
        <w:noBreakHyphen/>
        <w:t xml:space="preserve">d 12. kuuks platseeboga võrreldes olulisel määral kõigis mõõtmiskohtades: 4,8% selgroo nimmeosas, 2,0% kogu </w:t>
      </w:r>
      <w:r w:rsidR="00CC0B52">
        <w:t>reieluu</w:t>
      </w:r>
      <w:r w:rsidR="006124AB">
        <w:t>s</w:t>
      </w:r>
      <w:r>
        <w:t xml:space="preserve">, 2,2% reieluu kaelas, 2,3% reieluu pöörlis ja 0,9% kodarluu distaalses kolmandikus (p &lt; 0,05). </w:t>
      </w:r>
      <w:r w:rsidR="00D8693C">
        <w:t>D</w:t>
      </w:r>
      <w:r w:rsidR="00D8693C" w:rsidRPr="00A83187">
        <w:t>enosumab</w:t>
      </w:r>
      <w:r w:rsidR="00D8693C">
        <w:t xml:space="preserve">  </w:t>
      </w:r>
      <w:r>
        <w:t>suurendas 1 aastaga selgroo nimmeosa LMT</w:t>
      </w:r>
      <w:r>
        <w:noBreakHyphen/>
        <w:t xml:space="preserve">d lähteväärtusega võrreldes 94,7% meestest. LMT olulist tõusu selgroo nimmeosas, kogu </w:t>
      </w:r>
      <w:r w:rsidR="00CC0B52">
        <w:t>reieluu</w:t>
      </w:r>
      <w:r w:rsidR="006124AB">
        <w:t>s</w:t>
      </w:r>
      <w:r>
        <w:t>, reieluu kaelas ja reieluu pöörlis täheldati 6 kuu möödudes (p &lt; 0,0001).</w:t>
      </w:r>
    </w:p>
    <w:p w14:paraId="033A3E16" w14:textId="77777777" w:rsidR="00951F81" w:rsidRDefault="00951F81" w:rsidP="00951F81"/>
    <w:p w14:paraId="6C6C7DBF" w14:textId="4263203E" w:rsidR="00951F81" w:rsidRDefault="00951F81" w:rsidP="00951F81">
      <w:pPr>
        <w:keepNext/>
        <w:rPr>
          <w:u w:val="single"/>
        </w:rPr>
      </w:pPr>
      <w:r>
        <w:rPr>
          <w:u w:val="single"/>
        </w:rPr>
        <w:t xml:space="preserve">Luuhistoloogia </w:t>
      </w:r>
      <w:r w:rsidR="00CC0B52">
        <w:rPr>
          <w:u w:val="single"/>
        </w:rPr>
        <w:t xml:space="preserve">osteoporoosiga </w:t>
      </w:r>
      <w:r>
        <w:rPr>
          <w:u w:val="single"/>
        </w:rPr>
        <w:t>menopausijärgse</w:t>
      </w:r>
      <w:r w:rsidR="00CC0B52">
        <w:rPr>
          <w:u w:val="single"/>
        </w:rPr>
        <w:t>s eas</w:t>
      </w:r>
      <w:r>
        <w:rPr>
          <w:u w:val="single"/>
        </w:rPr>
        <w:t xml:space="preserve"> naistel ja osteoporoosiga meestel</w:t>
      </w:r>
    </w:p>
    <w:p w14:paraId="19210B97" w14:textId="77777777" w:rsidR="00951F81" w:rsidRDefault="00951F81" w:rsidP="00951F81">
      <w:pPr>
        <w:keepNext/>
      </w:pPr>
    </w:p>
    <w:p w14:paraId="23C66C5C" w14:textId="25FEB9B6" w:rsidR="00951F81" w:rsidRDefault="00951F81" w:rsidP="00951F81">
      <w:r>
        <w:t>Luuhistoloogiat hinnati 62 menopausijärgses eas osteoporoosiga väikese luumassiga naisel, kellel ei olnud varem ravitud osteoporoosi või läksid üle eelnevalt ravilt alendronaadiga 1...3</w:t>
      </w:r>
      <w:r>
        <w:noBreakHyphen/>
        <w:t xml:space="preserve">aastasele ravile </w:t>
      </w:r>
      <w:r w:rsidR="00D8693C">
        <w:t>d</w:t>
      </w:r>
      <w:r w:rsidR="00D8693C" w:rsidRPr="00A83187">
        <w:t>enosumab</w:t>
      </w:r>
      <w:r w:rsidR="00D8693C">
        <w:t>i</w:t>
      </w:r>
      <w:r>
        <w:t>ga. Viiskümmend üheksa naist osales luubiopsia alluuringus menopausijärgse osteoporoosiga naiste jätku</w:t>
      </w:r>
      <w:r>
        <w:noBreakHyphen/>
        <w:t>uuringu 24. kuul (n = 41) ja (või) 84. kuul (n = 22). Luuhistoloogiat hinnati ka 17 osteoporoosiga mehel pärast 1</w:t>
      </w:r>
      <w:r>
        <w:noBreakHyphen/>
        <w:t xml:space="preserve">aastast ravi </w:t>
      </w:r>
      <w:r w:rsidR="00D8693C">
        <w:t>d</w:t>
      </w:r>
      <w:r w:rsidR="00D8693C" w:rsidRPr="00A83187">
        <w:t>enosumab</w:t>
      </w:r>
      <w:r w:rsidR="00D8693C">
        <w:t>i</w:t>
      </w:r>
      <w:r>
        <w:t>ga. Luubiopsiad näitasid normaalset luukoe arhitektuuri ja kvaliteeti ilma tõenditeta mineralisatsioonidefektide, põimikulise luukoe ja luuüdi fibroosi kohta. Histomorfomeetria tulemused menopausijärgse osteoporoosiga naiste jätku</w:t>
      </w:r>
      <w:r>
        <w:noBreakHyphen/>
        <w:t xml:space="preserve">uuringus näitasid, et </w:t>
      </w:r>
      <w:r w:rsidR="00D8693C">
        <w:t>d</w:t>
      </w:r>
      <w:r w:rsidR="00D8693C" w:rsidRPr="00A83187">
        <w:t>enosumab</w:t>
      </w:r>
      <w:r w:rsidR="00D8693C">
        <w:t xml:space="preserve">i </w:t>
      </w:r>
      <w:r>
        <w:t>antiresorptiivne toime, mõõdetuna aktivatsioonisageduse ja luukoe moodustumise määrana, on ajaliselt püsiv.</w:t>
      </w:r>
    </w:p>
    <w:p w14:paraId="0E37CA5C" w14:textId="77777777" w:rsidR="00951F81" w:rsidRDefault="00951F81" w:rsidP="00951F81"/>
    <w:p w14:paraId="0D5AE319" w14:textId="77777777" w:rsidR="00951F81" w:rsidRDefault="00951F81" w:rsidP="00951F81">
      <w:pPr>
        <w:keepNext/>
        <w:rPr>
          <w:u w:val="single"/>
        </w:rPr>
      </w:pPr>
      <w:r>
        <w:rPr>
          <w:u w:val="single"/>
        </w:rPr>
        <w:t>Kliiniline efektiivsus ja ohutus androgeensupressiooniga seotud luukaoga patsientidel</w:t>
      </w:r>
    </w:p>
    <w:p w14:paraId="72C6E7FB" w14:textId="77777777" w:rsidR="00951F81" w:rsidRDefault="00951F81" w:rsidP="00951F81">
      <w:pPr>
        <w:keepNext/>
      </w:pPr>
    </w:p>
    <w:p w14:paraId="53BE8756" w14:textId="55A5C730" w:rsidR="00951F81" w:rsidRDefault="00D8693C" w:rsidP="00951F81">
      <w:r>
        <w:t>D</w:t>
      </w:r>
      <w:r w:rsidRPr="00A83187">
        <w:t>enosumab</w:t>
      </w:r>
      <w:r>
        <w:t xml:space="preserve">i </w:t>
      </w:r>
      <w:r w:rsidR="00951F81">
        <w:t xml:space="preserve">efektiivsust ja ohutust, manustatuna iga 6 kuu järel 3 aasta vältel, uuriti histoloogiliselt kinnitatud metastaseerumata eesnäärmevähi tõttu androgeensupressioonravi saavatel meestel (1468 meest vanuses 48...97 aastat), </w:t>
      </w:r>
      <w:r w:rsidR="00682C3B" w:rsidRPr="00682C3B">
        <w:t>kellel luumurru risk</w:t>
      </w:r>
      <w:r w:rsidR="00951F81">
        <w:t xml:space="preserve"> oli suurenenud (järgneva määratluse alusel: vanus &gt; 70 a või &lt; 70 a koos LMT T</w:t>
      </w:r>
      <w:r w:rsidR="00951F81">
        <w:noBreakHyphen/>
        <w:t>skooriga selgroo nimmeosas, kogu puusapiirkonnas või reieluu kaelas &lt; –1,0 või varasem osteoporootiline murd). Kõikidele meestele manustati iga päev täiendavalt kaltsiumi (vähemalt 1000 mg) ja D</w:t>
      </w:r>
      <w:r w:rsidR="00951F81">
        <w:noBreakHyphen/>
        <w:t>vitamiini (vähemalt 400 RÜ).</w:t>
      </w:r>
    </w:p>
    <w:p w14:paraId="4F5AD186" w14:textId="77777777" w:rsidR="00951F81" w:rsidRDefault="00951F81" w:rsidP="00951F81"/>
    <w:p w14:paraId="6A24CF01" w14:textId="6B61E4E7" w:rsidR="00951F81" w:rsidRDefault="00D8693C" w:rsidP="00951F81">
      <w:r>
        <w:t>D</w:t>
      </w:r>
      <w:r w:rsidRPr="00A83187">
        <w:t>enosumab</w:t>
      </w:r>
      <w:r>
        <w:t xml:space="preserve"> </w:t>
      </w:r>
      <w:r w:rsidR="00951F81">
        <w:t>suurendas 3. aastaks platseeboga võrreldes oluliselt LMT</w:t>
      </w:r>
      <w:r w:rsidR="00951F81">
        <w:noBreakHyphen/>
        <w:t xml:space="preserve">d kõigis mõõtekohtades: selgroo nimmeosas 7,9%, kogu </w:t>
      </w:r>
      <w:r w:rsidR="00E616FC">
        <w:t>reieluu</w:t>
      </w:r>
      <w:r w:rsidR="002013D1">
        <w:t>s</w:t>
      </w:r>
      <w:r w:rsidR="00951F81">
        <w:t xml:space="preserve"> 5,7%, reieluu kaelas 4,9%, reieluu pöörlas 6,9%, kodarluu distaalses kolmandikus 6,9% ja kogu kehas 4,7% (kõik p &lt; 0,0001). Prospektiivselt kavandatud uurivas analüüsis täheldati LMT tõusu selgroo nimmeosas, kogu </w:t>
      </w:r>
      <w:r w:rsidR="00E616FC">
        <w:t>reieluu</w:t>
      </w:r>
      <w:r w:rsidR="002013D1">
        <w:t>s</w:t>
      </w:r>
      <w:r w:rsidR="00951F81">
        <w:t>, reieluu kaelas ja pöörlas 1 kuu möödudes esimesest annusest.</w:t>
      </w:r>
    </w:p>
    <w:p w14:paraId="21264496" w14:textId="77777777" w:rsidR="00951F81" w:rsidRDefault="00951F81" w:rsidP="00951F81"/>
    <w:p w14:paraId="5422058F" w14:textId="35CBF400" w:rsidR="00951F81" w:rsidRDefault="00D8693C" w:rsidP="00951F81">
      <w:r>
        <w:t>D</w:t>
      </w:r>
      <w:r w:rsidRPr="00A83187">
        <w:t>enosumab</w:t>
      </w:r>
      <w:r>
        <w:t xml:space="preserve"> </w:t>
      </w:r>
      <w:r w:rsidR="00951F81">
        <w:t>vähendas uute lülisambamurdude suhtelist riski: 1. aastal 85% (absoluutse riski vähenemine 1,6%), 2. aastal 69% (absoluutse riski vähenemine 2,2%) ja 3. aastal 62% (absoluutse riski vähenemine 2,4%; kõik p &lt; 0,01).</w:t>
      </w:r>
    </w:p>
    <w:p w14:paraId="383C1B56" w14:textId="77777777" w:rsidR="00951F81" w:rsidRDefault="00951F81" w:rsidP="00951F81"/>
    <w:p w14:paraId="74F18AA8" w14:textId="77777777" w:rsidR="00951F81" w:rsidRDefault="00951F81" w:rsidP="00951F81">
      <w:pPr>
        <w:keepNext/>
        <w:rPr>
          <w:u w:val="single"/>
        </w:rPr>
      </w:pPr>
      <w:r>
        <w:rPr>
          <w:u w:val="single"/>
        </w:rPr>
        <w:t>Kliiniline efektiivsus ja ohutus adjuvantravist aromataasi inhibiitoritega tuleneva luukaoga patsientidel</w:t>
      </w:r>
    </w:p>
    <w:p w14:paraId="716135C1" w14:textId="77777777" w:rsidR="00951F81" w:rsidRDefault="00951F81" w:rsidP="00951F81">
      <w:pPr>
        <w:keepNext/>
      </w:pPr>
    </w:p>
    <w:p w14:paraId="39582E84" w14:textId="2597550D" w:rsidR="00951F81" w:rsidRDefault="00D8693C" w:rsidP="00951F81">
      <w:r>
        <w:t>D</w:t>
      </w:r>
      <w:r w:rsidRPr="00A83187">
        <w:t>enosumab</w:t>
      </w:r>
      <w:r>
        <w:t xml:space="preserve">i </w:t>
      </w:r>
      <w:r w:rsidR="00951F81">
        <w:t>efektiivsust ja ohutust uuriti manustades seda iga 6 kuu järel 2 aasta vältel metastaseerumata rinnanäärmevähiga naistele (252 naist vanuses 35</w:t>
      </w:r>
      <w:r w:rsidR="00951F81">
        <w:noBreakHyphen/>
        <w:t>84 aastat), kelle LMT T</w:t>
      </w:r>
      <w:r w:rsidR="00951F81">
        <w:noBreakHyphen/>
        <w:t xml:space="preserve">skoori lähteväärtus, mõõdetuna selgroo nimmeosas, kogu </w:t>
      </w:r>
      <w:r w:rsidR="00DE0A7D">
        <w:t>reieluus</w:t>
      </w:r>
      <w:r w:rsidR="00951F81">
        <w:t xml:space="preserve"> ja reieluu kaelas, oli </w:t>
      </w:r>
      <w:r w:rsidR="00951F81">
        <w:noBreakHyphen/>
        <w:t>1,0...</w:t>
      </w:r>
      <w:r w:rsidR="00951F81">
        <w:noBreakHyphen/>
        <w:t>2,5. Kõikidele naistele manustati täiendavalt kaltsiumi (vähemalt 1000 mg</w:t>
      </w:r>
      <w:r w:rsidR="00682C3B">
        <w:t xml:space="preserve"> </w:t>
      </w:r>
      <w:r w:rsidR="00682C3B" w:rsidRPr="00682C3B">
        <w:t>ööpäevas</w:t>
      </w:r>
      <w:r w:rsidR="00951F81">
        <w:t>) ja D</w:t>
      </w:r>
      <w:r w:rsidR="00951F81">
        <w:noBreakHyphen/>
        <w:t>vitamiini (vähemalt 400 RÜ</w:t>
      </w:r>
      <w:r w:rsidR="00682C3B">
        <w:t xml:space="preserve"> </w:t>
      </w:r>
      <w:r w:rsidR="00682C3B" w:rsidRPr="00682C3B">
        <w:t>ööpäevas</w:t>
      </w:r>
      <w:r w:rsidR="00951F81">
        <w:t>).</w:t>
      </w:r>
    </w:p>
    <w:p w14:paraId="06FD4C1B" w14:textId="77777777" w:rsidR="00951F81" w:rsidRDefault="00951F81" w:rsidP="00951F81"/>
    <w:p w14:paraId="3E5D6C98" w14:textId="46696C82" w:rsidR="00951F81" w:rsidRDefault="00951F81" w:rsidP="00951F81">
      <w:r>
        <w:t xml:space="preserve">Esmane efektiivsuse tulemusnäitaja oli selgroo nimmeosa LMT protsentuaalne muutus; efektiivsust luumurdude suhtes ei hinnatud. </w:t>
      </w:r>
      <w:r w:rsidR="00D8693C">
        <w:t>D</w:t>
      </w:r>
      <w:r w:rsidR="00D8693C" w:rsidRPr="00A83187">
        <w:t>enosumab</w:t>
      </w:r>
      <w:r w:rsidR="00D8693C">
        <w:t xml:space="preserve"> </w:t>
      </w:r>
      <w:r>
        <w:t>suurendas platseeboga võrreldes olulisel määral LMT</w:t>
      </w:r>
      <w:r>
        <w:noBreakHyphen/>
        <w:t xml:space="preserve">d kõigis kliinilistes mõõtekohtades 2. aastal: selgroo nimmeosas 7,6%, kogu </w:t>
      </w:r>
      <w:r w:rsidR="00DE0A7D">
        <w:t>reieluus</w:t>
      </w:r>
      <w:r>
        <w:t xml:space="preserve"> 4,7%, reieluu kaelas 3,6%, reieluu pöörlas 5,9%, kodarluu distaalses kolmandikus 6,1% ja kogu kehas 4,2% (kõik p &lt; 0,0001).</w:t>
      </w:r>
    </w:p>
    <w:p w14:paraId="211BD352" w14:textId="77777777" w:rsidR="00951F81" w:rsidRDefault="00951F81" w:rsidP="00951F81"/>
    <w:p w14:paraId="4386AAEF" w14:textId="77777777" w:rsidR="00951F81" w:rsidRDefault="00951F81" w:rsidP="00951F81">
      <w:pPr>
        <w:keepNext/>
        <w:rPr>
          <w:u w:val="single"/>
        </w:rPr>
      </w:pPr>
      <w:r>
        <w:rPr>
          <w:u w:val="single"/>
        </w:rPr>
        <w:t>Süsteemse glükokortikoidraviga seotud luukao ravi</w:t>
      </w:r>
    </w:p>
    <w:p w14:paraId="20586ADE" w14:textId="77777777" w:rsidR="00951F81" w:rsidRDefault="00951F81" w:rsidP="00951F81">
      <w:pPr>
        <w:keepNext/>
      </w:pPr>
    </w:p>
    <w:p w14:paraId="7B088A88" w14:textId="6961EBEC" w:rsidR="00951F81" w:rsidRDefault="00D8693C" w:rsidP="00951F81">
      <w:r>
        <w:t>D</w:t>
      </w:r>
      <w:r w:rsidRPr="00A83187">
        <w:t>enosumab</w:t>
      </w:r>
      <w:r>
        <w:t xml:space="preserve">i </w:t>
      </w:r>
      <w:r w:rsidR="00951F81">
        <w:t>efektiivsuse ja ohutuse uurimiseks manustati iga päev suukaudselt ≥ 7,5 mg prednisooni (või võrdväärset ravimit) 795 patsiendile (70% naised ja 30% mehed) vanuses 20 kuni 94 aastat.</w:t>
      </w:r>
    </w:p>
    <w:p w14:paraId="11B772FA" w14:textId="77777777" w:rsidR="00951F81" w:rsidRDefault="00951F81" w:rsidP="00951F81"/>
    <w:p w14:paraId="45C2A621" w14:textId="03B53A1C" w:rsidR="00951F81" w:rsidRDefault="00951F81" w:rsidP="00951F81">
      <w:r>
        <w:t xml:space="preserve">Uuriti kahte alampopulatsiooni: glükokortikoidravi jätkavat (≥ 7,5 mg prednisooni või sellega võrdväärset ravimit päevas ≥ 3 kuud enne uuringusse kaasamist; n = 505) ja glükokortikoidravi alustavat (≥ 7,5 mg prednisooni või sellega võrdväärset ravimit päevas &lt; 3 kuud enne uuringusse kaasamist; n = 290). Patsiendid randomiseeriti (1:1) saama kahe aasta vältel iga 6 kuu järel 60 mg subkutaanselt </w:t>
      </w:r>
      <w:r w:rsidR="00D8693C">
        <w:t>d</w:t>
      </w:r>
      <w:r w:rsidR="00D8693C" w:rsidRPr="00A83187">
        <w:t>enosumab</w:t>
      </w:r>
      <w:r w:rsidR="00D8693C">
        <w:t xml:space="preserve">i </w:t>
      </w:r>
      <w:r>
        <w:t>või iga päev suukaudselt 5 mg risedronaati (aktiivne võrdlusravim). Patsiendid said igapäevase annuse kaltsiumilisandit (vähemalt 1000 mg) ja D</w:t>
      </w:r>
      <w:r w:rsidR="00682C3B">
        <w:rPr>
          <w:vertAlign w:val="subscript"/>
        </w:rPr>
        <w:noBreakHyphen/>
      </w:r>
      <w:r>
        <w:t>vitamiini (vähemalt 800 RÜ).</w:t>
      </w:r>
    </w:p>
    <w:p w14:paraId="576C1A80" w14:textId="77777777" w:rsidR="00951F81" w:rsidRDefault="00951F81" w:rsidP="00951F81"/>
    <w:p w14:paraId="69418A85" w14:textId="77777777" w:rsidR="00951F81" w:rsidRDefault="00951F81" w:rsidP="00951F81">
      <w:pPr>
        <w:keepNext/>
        <w:tabs>
          <w:tab w:val="clear" w:pos="567"/>
        </w:tabs>
        <w:rPr>
          <w:i/>
          <w:iCs/>
        </w:rPr>
      </w:pPr>
      <w:r>
        <w:rPr>
          <w:i/>
        </w:rPr>
        <w:t>Mõju luu mineraalainetihedusele (LMT)</w:t>
      </w:r>
    </w:p>
    <w:p w14:paraId="126C1159" w14:textId="7BF006B7" w:rsidR="00951F81" w:rsidRDefault="00951F81" w:rsidP="00951F81">
      <w:r>
        <w:t xml:space="preserve">Glükokortikoidravi jätkavas alampopulatsioonis andis </w:t>
      </w:r>
      <w:r w:rsidR="00D8693C">
        <w:t>d</w:t>
      </w:r>
      <w:r w:rsidR="00D8693C" w:rsidRPr="00A83187">
        <w:t>enosumab</w:t>
      </w:r>
      <w:r w:rsidR="00D8693C">
        <w:t xml:space="preserve"> </w:t>
      </w:r>
      <w:r>
        <w:t>lülisamba nimmeosa LMT suurendamisel parema tulemuse kui risedronaat nii esimesel aastal (</w:t>
      </w:r>
      <w:r w:rsidR="00D8693C">
        <w:t>d</w:t>
      </w:r>
      <w:r w:rsidR="00D8693C" w:rsidRPr="00A83187">
        <w:t>enosumab</w:t>
      </w:r>
      <w:r w:rsidR="00D8693C">
        <w:t xml:space="preserve"> </w:t>
      </w:r>
      <w:r>
        <w:t>3,6%, risedronaat 2,0%; p &lt; 0,001) kui ka teisel aastal (</w:t>
      </w:r>
      <w:r w:rsidR="00D8693C">
        <w:t>d</w:t>
      </w:r>
      <w:r w:rsidR="00D8693C" w:rsidRPr="00A83187">
        <w:t>enosumab</w:t>
      </w:r>
      <w:r w:rsidR="00D8693C">
        <w:t xml:space="preserve"> </w:t>
      </w:r>
      <w:r>
        <w:t xml:space="preserve">4,5%, risedronaat 2,2%; p &lt; 0,001). Glükokortikoidravi alustavas alampopulatsioonis andis </w:t>
      </w:r>
      <w:r w:rsidR="00D8693C">
        <w:t>d</w:t>
      </w:r>
      <w:r w:rsidR="00D8693C" w:rsidRPr="00A83187">
        <w:t>enosumab</w:t>
      </w:r>
      <w:r w:rsidR="00D8693C">
        <w:t xml:space="preserve"> </w:t>
      </w:r>
      <w:r>
        <w:t>lülisamba nimmeosa LMT suurendamisel parema tulemuse kui risedronaat nii esimesel aastal (</w:t>
      </w:r>
      <w:r w:rsidR="00D8693C">
        <w:t>d</w:t>
      </w:r>
      <w:r w:rsidR="00D8693C" w:rsidRPr="00A83187">
        <w:t>enosumab</w:t>
      </w:r>
      <w:r w:rsidR="00D8693C">
        <w:t xml:space="preserve"> </w:t>
      </w:r>
      <w:r>
        <w:t>3,1%, risedronaat 0,8%; p &lt; 0,001) kui ka teisel aastal (</w:t>
      </w:r>
      <w:r w:rsidR="00D8693C">
        <w:t>d</w:t>
      </w:r>
      <w:r w:rsidR="00D8693C" w:rsidRPr="00A83187">
        <w:t>enosumab</w:t>
      </w:r>
      <w:r w:rsidR="00D8693C">
        <w:t xml:space="preserve"> </w:t>
      </w:r>
      <w:r>
        <w:t>4,6%, risedronaat 1,5%; p &lt; 0,001).</w:t>
      </w:r>
    </w:p>
    <w:p w14:paraId="56E22E91" w14:textId="77777777" w:rsidR="00951F81" w:rsidRDefault="00951F81" w:rsidP="00951F81"/>
    <w:p w14:paraId="3E214319" w14:textId="772B5875" w:rsidR="00951F81" w:rsidRDefault="00951F81" w:rsidP="00951F81">
      <w:r>
        <w:t xml:space="preserve">Lisaks suurendas </w:t>
      </w:r>
      <w:r w:rsidR="00D8693C">
        <w:t>d</w:t>
      </w:r>
      <w:r w:rsidR="00D8693C" w:rsidRPr="00A83187">
        <w:t>enosumab</w:t>
      </w:r>
      <w:r w:rsidR="00D8693C">
        <w:t xml:space="preserve"> </w:t>
      </w:r>
      <w:r>
        <w:t>kogu puusapiirkonna, reieluukaela ja trohhanteri LMT protsentuaalset keskmist väärtust lähteväärtusega võrreldes oluliselt suuremal määral kui risedronaat.</w:t>
      </w:r>
    </w:p>
    <w:p w14:paraId="1D17E86E" w14:textId="77777777" w:rsidR="00951F81" w:rsidRDefault="00951F81" w:rsidP="00951F81"/>
    <w:p w14:paraId="393C8F57" w14:textId="72C8D809" w:rsidR="00951F81" w:rsidRDefault="00951F81" w:rsidP="00951F81">
      <w:r>
        <w:t xml:space="preserve">Uuring ei kajasta luumurdude erinevusi. Esimesel aastal oli uue radioloogilise leiuna tuvastatud lülisambamurdude esinemissagedus 2,7% (denosumab) </w:t>
      </w:r>
      <w:r w:rsidRPr="00FF056B">
        <w:rPr>
          <w:i/>
          <w:iCs/>
        </w:rPr>
        <w:t>vs</w:t>
      </w:r>
      <w:r>
        <w:t xml:space="preserve"> 3,2% (risedronaat). </w:t>
      </w:r>
      <w:r w:rsidR="006A21E7">
        <w:t>Teiste luustiku</w:t>
      </w:r>
      <w:r>
        <w:t xml:space="preserve"> murdude esinemissagedus oli 4,3% (denosumab) </w:t>
      </w:r>
      <w:r w:rsidRPr="00FF056B">
        <w:rPr>
          <w:i/>
          <w:iCs/>
        </w:rPr>
        <w:t>vs</w:t>
      </w:r>
      <w:r>
        <w:t xml:space="preserve"> 2,5% (risedronaat). Teisel aastal olid vastavad arvud 4,1% </w:t>
      </w:r>
      <w:r w:rsidRPr="00FF056B">
        <w:rPr>
          <w:i/>
          <w:iCs/>
        </w:rPr>
        <w:t>vs</w:t>
      </w:r>
      <w:r>
        <w:t xml:space="preserve"> 5,8% uue radioloogilise leiuna tuvastatud lülisambamurdude osas ja 5,3% </w:t>
      </w:r>
      <w:r w:rsidRPr="00FF056B">
        <w:rPr>
          <w:i/>
          <w:iCs/>
        </w:rPr>
        <w:t>vs</w:t>
      </w:r>
      <w:r>
        <w:t xml:space="preserve"> 3,8% </w:t>
      </w:r>
      <w:r w:rsidR="006A21E7">
        <w:t>teiste luustiku</w:t>
      </w:r>
      <w:r>
        <w:t xml:space="preserve"> murdude osas. Enamik murdusid esines glükokortikoidravi jätkavas alamrühmas.</w:t>
      </w:r>
    </w:p>
    <w:p w14:paraId="6353CC1A" w14:textId="77777777" w:rsidR="00951F81" w:rsidRDefault="00951F81" w:rsidP="00951F81"/>
    <w:p w14:paraId="20C9F6EF" w14:textId="77777777" w:rsidR="00951F81" w:rsidRDefault="00951F81" w:rsidP="00951F81">
      <w:pPr>
        <w:keepNext/>
        <w:rPr>
          <w:u w:val="single"/>
        </w:rPr>
      </w:pPr>
      <w:r>
        <w:rPr>
          <w:u w:val="single"/>
        </w:rPr>
        <w:t>Lapsed</w:t>
      </w:r>
    </w:p>
    <w:p w14:paraId="7F130177" w14:textId="77777777" w:rsidR="00951F81" w:rsidRDefault="00951F81" w:rsidP="00951F81">
      <w:pPr>
        <w:keepNext/>
      </w:pPr>
    </w:p>
    <w:p w14:paraId="172C3FD9" w14:textId="68AAED35" w:rsidR="00951F81" w:rsidRDefault="00951F81" w:rsidP="00951F81">
      <w:r>
        <w:t>2...17</w:t>
      </w:r>
      <w:r>
        <w:noBreakHyphen/>
        <w:t xml:space="preserve">aastastel </w:t>
      </w:r>
      <w:r>
        <w:rPr>
          <w:i/>
        </w:rPr>
        <w:t>osteogenesis imperfecta</w:t>
      </w:r>
      <w:r>
        <w:t>’ga (ebatäiuslik luuteke) lastel, kellest 52,3% olid meessoost ja 88,2% valgenahalised, viidi läbi kontrollrühmata III faasi uuring, milles hinnati efektiivsust, ohutust ja farmakokineetikat. 153 uuritavale manustati 36 kuu jooksul iga 6 kuu järel subkutaanselt denosumabi annuses 1 mg/kg, maksimaalselt kuni 60 mg. 60 uuritavat viidi üle manustamisele iga 3 kuu järel.</w:t>
      </w:r>
    </w:p>
    <w:p w14:paraId="179A2700" w14:textId="77777777" w:rsidR="00951F81" w:rsidRDefault="00951F81" w:rsidP="00951F81"/>
    <w:p w14:paraId="0FD6E333" w14:textId="37EE5E47" w:rsidR="00951F81" w:rsidRDefault="00951F81" w:rsidP="00951F81">
      <w:r>
        <w:t>Iga 3 kuu järel manustamise 12. kuul oli vähimruutude (LS) meetodil leitud keskmine (standardviga, SE) muutus selgroo nimmeosa LMT Z</w:t>
      </w:r>
      <w:r>
        <w:noBreakHyphen/>
        <w:t>skooris võrreldes ravieelsega 1,01 (0,12).</w:t>
      </w:r>
    </w:p>
    <w:p w14:paraId="41D6D7D8" w14:textId="77777777" w:rsidR="00951F81" w:rsidRDefault="00951F81" w:rsidP="00951F81"/>
    <w:p w14:paraId="6A235BC6" w14:textId="524534EF" w:rsidR="00951F81" w:rsidRDefault="00951F81" w:rsidP="00951F81">
      <w:r>
        <w:t>Iga 6 kuu järel manustamise korral teatatud kõige sagedasemad kõrvaltoimed olid artralgia (45,8%), valu jäsemetes (37,9%), seljavalu (32,7%) ja hüperkaltsiuuria (32,0%). Hüperkaltseemiast teatati nii iga 6 kuu järel (19%) kui ka iga 3 kuu järel (36,7%) manustamise korral. Hüperkaltseemiast kui raskest kõrvaltoimest (13,3%) teatati iga 3 kuu järel manustamise korral.</w:t>
      </w:r>
    </w:p>
    <w:p w14:paraId="6984A0C1" w14:textId="77777777" w:rsidR="00951F81" w:rsidRDefault="00951F81" w:rsidP="00951F81"/>
    <w:p w14:paraId="2018068C" w14:textId="1D718FBD" w:rsidR="00951F81" w:rsidRDefault="00951F81" w:rsidP="00951F81">
      <w:r>
        <w:t>Jätku-uuringus (N = 75) täheldati hüperkaltseemiat (18,5%) raske kõrvaltoimena kõigi iga 3 kuu järel manustatavate annuste puhul.</w:t>
      </w:r>
    </w:p>
    <w:p w14:paraId="54BFFB0E" w14:textId="77777777" w:rsidR="00951F81" w:rsidRDefault="00951F81" w:rsidP="00951F81"/>
    <w:p w14:paraId="640F2BE3" w14:textId="79802284" w:rsidR="00951F81" w:rsidRDefault="00951F81" w:rsidP="00951F81">
      <w:r>
        <w:t>Uuringud lõpetati enneaegselt eluohtlike kõrvaltoimete esinemise ja hüperkaltseemia tõttu hospitaliseerimiste pärast (vt lõik 4.2).</w:t>
      </w:r>
    </w:p>
    <w:p w14:paraId="3513A192" w14:textId="77777777" w:rsidR="00951F81" w:rsidRDefault="00951F81" w:rsidP="00951F81"/>
    <w:p w14:paraId="4D569B85" w14:textId="77777777" w:rsidR="00FF6CA8" w:rsidRDefault="00FF6CA8" w:rsidP="00FF6CA8">
      <w:r>
        <w:t>Ühes mitmekeskuselises randomiseeritud topeltpimedas platseebokontrolliga paralleelrühmadega</w:t>
      </w:r>
    </w:p>
    <w:p w14:paraId="0E991DFA" w14:textId="77777777" w:rsidR="00FF6CA8" w:rsidRDefault="00FF6CA8" w:rsidP="00FF6CA8">
      <w:r>
        <w:t>uuringus, mis viidi läbi 24 glükokortikoididest põhjustatud osteoporoosiga lapsel vanuses 5 kuni</w:t>
      </w:r>
    </w:p>
    <w:p w14:paraId="231FBF70" w14:textId="77777777" w:rsidR="00FF6CA8" w:rsidRDefault="00FF6CA8" w:rsidP="00FF6CA8">
      <w:r>
        <w:t>17 aastat, kus hinnati muutust lülisamba LMT Z-skooris võrreldes ravieelsega, ei tõestatud ravimi</w:t>
      </w:r>
    </w:p>
    <w:p w14:paraId="622544F6" w14:textId="0F6A8A57" w:rsidR="00FF6CA8" w:rsidRDefault="00FF6CA8" w:rsidP="00FF6CA8">
      <w:r>
        <w:t>ohutust ja efektiivsust, seetõttu ei tohi denosumabi sellel näidustusel kasutada</w:t>
      </w:r>
    </w:p>
    <w:p w14:paraId="7F551B8D" w14:textId="77777777" w:rsidR="00FF6CA8" w:rsidRDefault="00FF6CA8" w:rsidP="00FF6CA8"/>
    <w:p w14:paraId="4D2A2C6A" w14:textId="368390AC" w:rsidR="00951F81" w:rsidRDefault="00951F81" w:rsidP="00951F81">
      <w:r>
        <w:t xml:space="preserve">Euroopa Ravimiamet ei kohusta esitama </w:t>
      </w:r>
      <w:r w:rsidR="00D8693C" w:rsidRPr="00D8693C">
        <w:t>denosumabi sisaldava viidatava ravimiga</w:t>
      </w:r>
      <w:r w:rsidR="00D8693C" w:rsidRPr="00D8693C" w:rsidDel="00974204">
        <w:t xml:space="preserve"> </w:t>
      </w:r>
      <w:r>
        <w:t>läbi viidud uuringute tulemusi laste kõikide alarühmade kohta suguhormoonide ablatsioonraviga seotud luukao ravis ja laste kõikide alarühmade kohta vanuses alla 2 aasta osteoporoosi ravis. Teavet lastel kasutamise kohta vt lõik 4.2.</w:t>
      </w:r>
    </w:p>
    <w:p w14:paraId="65F6B832" w14:textId="77777777" w:rsidR="00951F81" w:rsidRDefault="00951F81" w:rsidP="00951F81"/>
    <w:p w14:paraId="45054043" w14:textId="77777777" w:rsidR="00951F81" w:rsidRDefault="00951F81" w:rsidP="00951F81">
      <w:pPr>
        <w:keepNext/>
        <w:ind w:left="567" w:hanging="567"/>
        <w:rPr>
          <w:b/>
        </w:rPr>
      </w:pPr>
      <w:r>
        <w:rPr>
          <w:b/>
        </w:rPr>
        <w:t>5.2</w:t>
      </w:r>
      <w:r>
        <w:rPr>
          <w:b/>
        </w:rPr>
        <w:tab/>
        <w:t>Farmakokineetilised omadused</w:t>
      </w:r>
    </w:p>
    <w:p w14:paraId="757F2BF8" w14:textId="77777777" w:rsidR="00951F81" w:rsidRDefault="00951F81" w:rsidP="00951F81">
      <w:pPr>
        <w:keepNext/>
      </w:pPr>
    </w:p>
    <w:p w14:paraId="2AC6BCEF" w14:textId="77777777" w:rsidR="00951F81" w:rsidRDefault="00951F81" w:rsidP="00951F81">
      <w:pPr>
        <w:keepNext/>
        <w:rPr>
          <w:u w:val="single"/>
        </w:rPr>
      </w:pPr>
      <w:r>
        <w:rPr>
          <w:u w:val="single"/>
        </w:rPr>
        <w:t>Imendumine</w:t>
      </w:r>
    </w:p>
    <w:p w14:paraId="254AEFC6" w14:textId="77777777" w:rsidR="00951F81" w:rsidRDefault="00951F81" w:rsidP="00951F81">
      <w:pPr>
        <w:keepNext/>
      </w:pPr>
    </w:p>
    <w:p w14:paraId="46DD3554" w14:textId="77777777" w:rsidR="00951F81" w:rsidRDefault="00951F81" w:rsidP="00951F81">
      <w:r>
        <w:t>Pärast subkutaanset manustamist annuses 1,0 mg/kg, mis vastab ligikaudu kinnitatud annusele 60 mg, on süsteemne saadavus AUC alusel 78%, võrreldes samal tasemel annuse manustamisega intravenoosselt. 60 mg subkutaanse annuse korral saavutati denosumabi maksimaalne kontsentratsioon seerumis (C</w:t>
      </w:r>
      <w:r>
        <w:rPr>
          <w:vertAlign w:val="subscript"/>
        </w:rPr>
        <w:t>max</w:t>
      </w:r>
      <w:r>
        <w:t>) 6 µg/ml (vahemik 1...17 µg/ml) 10 päevaga (vahemik 2...28 päeva).</w:t>
      </w:r>
    </w:p>
    <w:p w14:paraId="2F53AC69" w14:textId="77777777" w:rsidR="00951F81" w:rsidRDefault="00951F81" w:rsidP="00951F81"/>
    <w:p w14:paraId="380A0A44" w14:textId="77777777" w:rsidR="00951F81" w:rsidRDefault="00951F81" w:rsidP="00951F81">
      <w:pPr>
        <w:keepNext/>
        <w:rPr>
          <w:u w:val="single"/>
        </w:rPr>
      </w:pPr>
      <w:r>
        <w:rPr>
          <w:u w:val="single"/>
        </w:rPr>
        <w:t>Biotransformatsioon</w:t>
      </w:r>
    </w:p>
    <w:p w14:paraId="7438AF89" w14:textId="77777777" w:rsidR="00951F81" w:rsidRDefault="00951F81" w:rsidP="00951F81">
      <w:pPr>
        <w:keepNext/>
      </w:pPr>
    </w:p>
    <w:p w14:paraId="3DB31CFF" w14:textId="77777777" w:rsidR="00951F81" w:rsidRDefault="00951F81" w:rsidP="00951F81">
      <w:r>
        <w:t>Denosumab koosneb ainult aminohapetest ja süsivesikutest nagu loomulik immunoglobuliin ning selle eliminatsioon hepaatilise metabolismi mehhanismide vahendusel on ebatõenäoline. Eeldatavasti toimub selle metabolism ja eliminatsioon samal viisil nagu puhastumine immunoglobuliinidest, mille tulemuseks on lagundamine väikesteks peptiidideks ja individuaalseteks aminohapeteks.</w:t>
      </w:r>
    </w:p>
    <w:p w14:paraId="1B6C30CA" w14:textId="77777777" w:rsidR="00951F81" w:rsidRDefault="00951F81" w:rsidP="00951F81"/>
    <w:p w14:paraId="20987A2B" w14:textId="77777777" w:rsidR="00951F81" w:rsidRDefault="00951F81" w:rsidP="00951F81">
      <w:pPr>
        <w:keepNext/>
        <w:rPr>
          <w:u w:val="single"/>
        </w:rPr>
      </w:pPr>
      <w:r>
        <w:rPr>
          <w:u w:val="single"/>
        </w:rPr>
        <w:t>Eritumine</w:t>
      </w:r>
    </w:p>
    <w:p w14:paraId="149393B9" w14:textId="77777777" w:rsidR="00951F81" w:rsidRDefault="00951F81" w:rsidP="00951F81">
      <w:pPr>
        <w:keepNext/>
      </w:pPr>
    </w:p>
    <w:p w14:paraId="7C96DA59" w14:textId="77777777" w:rsidR="00951F81" w:rsidRDefault="00951F81" w:rsidP="00951F81">
      <w:r>
        <w:t>Pärast maksimaalset kontsentratsiooni (C</w:t>
      </w:r>
      <w:r>
        <w:rPr>
          <w:vertAlign w:val="subscript"/>
        </w:rPr>
        <w:t>max</w:t>
      </w:r>
      <w:r>
        <w:t>) vähenes sisaldus seerumis poolväärtusajaga 26 päeva (vahemik 6...52 päeva) 3</w:t>
      </w:r>
      <w:r>
        <w:noBreakHyphen/>
        <w:t>kuulise perioodi vältel (vahemik 1,5...4,5 kuud). Viiekümne kolmel protsendil (53%) patsientidest ei olnud 6 kuu möödumisel manustamisest denosumabisisaldus mõõdetav.</w:t>
      </w:r>
    </w:p>
    <w:p w14:paraId="424386BC" w14:textId="77777777" w:rsidR="00951F81" w:rsidRDefault="00951F81" w:rsidP="00951F81"/>
    <w:p w14:paraId="3394C49F" w14:textId="77777777" w:rsidR="00951F81" w:rsidRDefault="00951F81" w:rsidP="00951F81">
      <w:r>
        <w:t>Korduval subkutaansel manustamisel annuses 60 mg iga 6 kuu järel ei täheldatud akumulatsiooni või denosumabi farmakokineetika muutumist ajaga. Seonduvate antikehade teke ei mõjutanud denosumabi farmakokineetikat, mis oli sarnane meestel ja naistel. Vanus (28...87 aastat), rass ja haigusseisund (väike luumass või osteoporoos, eesnäärme</w:t>
      </w:r>
      <w:r>
        <w:noBreakHyphen/>
        <w:t xml:space="preserve"> või rinnanäärmevähk) ei mõjuta ilmselt denosumabi farmakokineetikat olulisel määral.</w:t>
      </w:r>
    </w:p>
    <w:p w14:paraId="6D47D7EF" w14:textId="77777777" w:rsidR="00951F81" w:rsidRDefault="00951F81" w:rsidP="00951F81"/>
    <w:p w14:paraId="7833D34C" w14:textId="1F646454" w:rsidR="00951F81" w:rsidRDefault="00951F81" w:rsidP="00951F81">
      <w:r>
        <w:t>Täheldati suundumust suurema kehakaaluga seotud väiksemale süsteemsele saadavusele AUC ja C</w:t>
      </w:r>
      <w:r>
        <w:rPr>
          <w:vertAlign w:val="subscript"/>
        </w:rPr>
        <w:t>max</w:t>
      </w:r>
      <w:r>
        <w:t xml:space="preserve"> põhjal. See suundumus ei ole siiski arvatavasti kliiniliselt oluline, sest farmakodünaamilised toimed luukoe ainevahetuse marketite alusel ja LMT tõus oli ühe</w:t>
      </w:r>
      <w:r w:rsidR="00607449">
        <w:t>sugune</w:t>
      </w:r>
      <w:r>
        <w:t xml:space="preserve"> kehakaalu laias vahemikus.</w:t>
      </w:r>
    </w:p>
    <w:p w14:paraId="773E04F7" w14:textId="77777777" w:rsidR="00951F81" w:rsidRDefault="00951F81" w:rsidP="00951F81"/>
    <w:p w14:paraId="21516966" w14:textId="77777777" w:rsidR="00951F81" w:rsidRDefault="00951F81" w:rsidP="00951F81">
      <w:pPr>
        <w:keepNext/>
        <w:rPr>
          <w:u w:val="single"/>
        </w:rPr>
      </w:pPr>
      <w:r>
        <w:rPr>
          <w:u w:val="single"/>
        </w:rPr>
        <w:t>Lineaarsus/mittelineaarsus</w:t>
      </w:r>
    </w:p>
    <w:p w14:paraId="4B4536A9" w14:textId="77777777" w:rsidR="00951F81" w:rsidRDefault="00951F81" w:rsidP="00951F81">
      <w:pPr>
        <w:keepNext/>
      </w:pPr>
    </w:p>
    <w:p w14:paraId="394ECB9C" w14:textId="77777777" w:rsidR="00951F81" w:rsidRDefault="00951F81" w:rsidP="00951F81">
      <w:r>
        <w:t>Annusvahemiku uuringutes oli denosumabi farmakokineetika mittelineaarne, annusest sõltuv, kliirensi aeglustumisega suuremate annuste või kontsentratsioonide korral, kuid ligikaudu annusega proportsionaalse süsteemse saadavuse suurenemisega 60 mg ja sellest suuremate annuste korral.</w:t>
      </w:r>
    </w:p>
    <w:p w14:paraId="1EE5EDD3" w14:textId="77777777" w:rsidR="00951F81" w:rsidRDefault="00951F81" w:rsidP="00951F81"/>
    <w:p w14:paraId="75E17C6F" w14:textId="77777777" w:rsidR="00951F81" w:rsidRDefault="00951F81" w:rsidP="00951F81">
      <w:pPr>
        <w:keepNext/>
        <w:rPr>
          <w:u w:val="single"/>
        </w:rPr>
      </w:pPr>
      <w:r>
        <w:rPr>
          <w:u w:val="single"/>
        </w:rPr>
        <w:t>Neerukahjustus</w:t>
      </w:r>
    </w:p>
    <w:p w14:paraId="666FA4C9" w14:textId="77777777" w:rsidR="00951F81" w:rsidRDefault="00951F81" w:rsidP="00951F81">
      <w:pPr>
        <w:keepNext/>
      </w:pPr>
    </w:p>
    <w:p w14:paraId="6411939A" w14:textId="6969A4CF" w:rsidR="00951F81" w:rsidRDefault="00951F81" w:rsidP="00951F81">
      <w:r>
        <w:t>Neerukahjustuse raskusaste ei mõjutanud denosumabi farmakokineetikat uuringus, milles osales 55 patsienti erineva</w:t>
      </w:r>
      <w:r w:rsidR="00607449">
        <w:t>te</w:t>
      </w:r>
      <w:r>
        <w:t xml:space="preserve"> neerufunktsiooni</w:t>
      </w:r>
      <w:r w:rsidR="00607449">
        <w:t xml:space="preserve"> astmete</w:t>
      </w:r>
      <w:r>
        <w:t>ga, k.a dialüüsravi saavad patsiendid.</w:t>
      </w:r>
    </w:p>
    <w:p w14:paraId="115859F5" w14:textId="77777777" w:rsidR="00951F81" w:rsidRDefault="00951F81" w:rsidP="00951F81"/>
    <w:p w14:paraId="057FCBC6" w14:textId="77777777" w:rsidR="00951F81" w:rsidRDefault="00951F81" w:rsidP="00951F81">
      <w:pPr>
        <w:keepNext/>
        <w:rPr>
          <w:u w:val="single"/>
        </w:rPr>
      </w:pPr>
      <w:r>
        <w:rPr>
          <w:u w:val="single"/>
        </w:rPr>
        <w:t>Maksakahjustus</w:t>
      </w:r>
    </w:p>
    <w:p w14:paraId="12B90E26" w14:textId="77777777" w:rsidR="00951F81" w:rsidRDefault="00951F81" w:rsidP="00951F81">
      <w:pPr>
        <w:keepNext/>
      </w:pPr>
    </w:p>
    <w:p w14:paraId="60608984" w14:textId="77777777" w:rsidR="00951F81" w:rsidRDefault="00951F81" w:rsidP="00951F81">
      <w:r>
        <w:t>Eriuuringut maksakahjustusega patsientidega ei ole teostatud. Üldiselt ei elimineeru monoklonaalsed antikehad hepaatilise metabolismi mehhanismide vahendusel. Eeldatavasti ei mõjuta maksakahjustus denosumabi farmakokineetikat.</w:t>
      </w:r>
    </w:p>
    <w:p w14:paraId="72887241" w14:textId="77777777" w:rsidR="00951F81" w:rsidRDefault="00951F81" w:rsidP="00951F81"/>
    <w:p w14:paraId="779417A1" w14:textId="77777777" w:rsidR="00951F81" w:rsidRDefault="00951F81" w:rsidP="00951F81">
      <w:pPr>
        <w:keepNext/>
        <w:rPr>
          <w:u w:val="single"/>
        </w:rPr>
      </w:pPr>
      <w:r>
        <w:rPr>
          <w:u w:val="single"/>
        </w:rPr>
        <w:t>Lapsed</w:t>
      </w:r>
    </w:p>
    <w:p w14:paraId="075B6A9C" w14:textId="77777777" w:rsidR="00951F81" w:rsidRDefault="00951F81" w:rsidP="00951F81"/>
    <w:p w14:paraId="5915A488" w14:textId="7051E0F6" w:rsidR="00951F81" w:rsidRDefault="00974204" w:rsidP="00951F81">
      <w:r>
        <w:t>Kefdensis</w:t>
      </w:r>
      <w:r w:rsidR="00951F81">
        <w:t>’t ei soovitata kasutada lastel (vt lõigud 4.2 ja 5.1).</w:t>
      </w:r>
    </w:p>
    <w:p w14:paraId="2E55E8A6" w14:textId="77777777" w:rsidR="00951F81" w:rsidRDefault="00951F81" w:rsidP="00951F81"/>
    <w:p w14:paraId="30CAE9B8" w14:textId="14E47F2E" w:rsidR="00951F81" w:rsidRDefault="00951F81" w:rsidP="00951F81">
      <w:r>
        <w:t>Ebatäiusliku luutekkega lastel (</w:t>
      </w:r>
      <w:r w:rsidR="005E2F61">
        <w:t>n</w:t>
      </w:r>
      <w:r>
        <w:t> = 153) läbi viidud III faasi uuringus täheldati kõigis vanuserühmades denosumabi maksimaalset kontsentratsiooni seerumis 10. päeval. Iga 3 kuu järel ja iga 6 kuu järel manustamise puhul olid denosumabi keskmised minimaalsed kontsentratsioonid seerumis 11...17</w:t>
      </w:r>
      <w:r>
        <w:noBreakHyphen/>
        <w:t>aastaste laste puhul suuremad ja 2...6</w:t>
      </w:r>
      <w:r>
        <w:noBreakHyphen/>
        <w:t>aastaste laste puhul väikseimad.</w:t>
      </w:r>
    </w:p>
    <w:p w14:paraId="73750145" w14:textId="77777777" w:rsidR="00951F81" w:rsidRDefault="00951F81" w:rsidP="00951F81"/>
    <w:p w14:paraId="6ABEB491" w14:textId="77777777" w:rsidR="00951F81" w:rsidRDefault="00951F81" w:rsidP="00951F81">
      <w:pPr>
        <w:keepNext/>
        <w:ind w:left="567" w:hanging="567"/>
        <w:rPr>
          <w:b/>
        </w:rPr>
      </w:pPr>
      <w:r>
        <w:rPr>
          <w:b/>
        </w:rPr>
        <w:t>5.3</w:t>
      </w:r>
      <w:r>
        <w:rPr>
          <w:b/>
        </w:rPr>
        <w:tab/>
        <w:t>Prekliinilised ohutusandmed</w:t>
      </w:r>
    </w:p>
    <w:p w14:paraId="31220C4C" w14:textId="77777777" w:rsidR="00951F81" w:rsidRDefault="00951F81" w:rsidP="00951F81">
      <w:pPr>
        <w:keepNext/>
      </w:pPr>
    </w:p>
    <w:p w14:paraId="023E8F7D" w14:textId="1CEFC35B" w:rsidR="00951F81" w:rsidRDefault="00951F81" w:rsidP="00951F81">
      <w:r>
        <w:t>Denosumabi manustamine ühekordse ja korduvtoksilisus</w:t>
      </w:r>
      <w:r w:rsidR="005E2F61">
        <w:t xml:space="preserve">e </w:t>
      </w:r>
      <w:r>
        <w:t>uuringutes makaakidele annustes, millega kaasnes 100...150 korda suurem süsteemne saadavus kui inimesel soovitatava annusega, ei mõjutanud südame</w:t>
      </w:r>
      <w:r>
        <w:noBreakHyphen/>
        <w:t>veresoonkonna füsioloogiat, isas</w:t>
      </w:r>
      <w:r>
        <w:noBreakHyphen/>
        <w:t xml:space="preserve"> või emasfertiilsuse ja ei põhjustatud spetsiifilist sihtorganite toksilist kahjustust.</w:t>
      </w:r>
    </w:p>
    <w:p w14:paraId="351353A7" w14:textId="77777777" w:rsidR="00951F81" w:rsidRDefault="00951F81" w:rsidP="00951F81"/>
    <w:p w14:paraId="417CEBB6" w14:textId="77777777" w:rsidR="00951F81" w:rsidRDefault="00951F81" w:rsidP="00951F81">
      <w:r>
        <w:t>Standarduuringuid denosumabi võimaliku genotoksilisuse tuvastamiseks ei ole tehtud, sest need ei ole selle molekuli puhul asjakohased. Oma iseloomu tõttu on denosumabi võimalik genotoksilisus siiski vähetõenäoline.</w:t>
      </w:r>
    </w:p>
    <w:p w14:paraId="706B7EE1" w14:textId="77777777" w:rsidR="00951F81" w:rsidRDefault="00951F81" w:rsidP="00951F81"/>
    <w:p w14:paraId="66EF6ECE" w14:textId="77777777" w:rsidR="00951F81" w:rsidRDefault="00951F81" w:rsidP="00951F81">
      <w:r>
        <w:t>Denosumabi võimalikku kartsinogeensust ei ole pikaajalistes loomkatsetes hinnatud.</w:t>
      </w:r>
    </w:p>
    <w:p w14:paraId="0A7AB26D" w14:textId="77777777" w:rsidR="00951F81" w:rsidRDefault="00951F81" w:rsidP="00951F81"/>
    <w:p w14:paraId="201BAE0E" w14:textId="77777777" w:rsidR="00951F81" w:rsidRDefault="00951F81" w:rsidP="00951F81">
      <w:r>
        <w:t>Prekliinilistes uuringutes väljalülitatud geenidega hiirtega, kellel puudus RANK või RANKL, täheldati loodetel häireid lümfisõlmede moodustumises. Väljalülitatud geenidega hiirtel, kellel puudus RANK või RANKL, täheldati samuti laktatsiooni puudumist seoses piimanäärmete laktatsiooniks küpsemise pärssimisega (lobulo</w:t>
      </w:r>
      <w:r>
        <w:noBreakHyphen/>
        <w:t>alveolaarsete näärmete areng tiinuse ajal).</w:t>
      </w:r>
    </w:p>
    <w:p w14:paraId="60F11A3D" w14:textId="77777777" w:rsidR="00951F81" w:rsidRDefault="00951F81" w:rsidP="00951F81"/>
    <w:p w14:paraId="1C88771F" w14:textId="77777777" w:rsidR="00951F81" w:rsidRDefault="00951F81" w:rsidP="00951F81">
      <w:r>
        <w:t>Uuringus makaakidega tiinuse perioodil, mis ajaliselt vastab raseduse esimesele trimestrile, ei põhjustanud denosumabi annused, mis olid 99 korda suurema süsteemse saadavusega AUC põhjal kui inimannused (60 mg iga 6 kuu järel), emaslooma või lootekahjustust. Selles katses loote lümfisõlmi ei uuritud.</w:t>
      </w:r>
    </w:p>
    <w:p w14:paraId="3A4E9563" w14:textId="77777777" w:rsidR="00951F81" w:rsidRDefault="00951F81" w:rsidP="00951F81"/>
    <w:p w14:paraId="73C5C87C" w14:textId="77777777" w:rsidR="00951F81" w:rsidRDefault="00951F81" w:rsidP="00951F81">
      <w:r>
        <w:t>Teises loomkatses makaakidega, kellel kogu tiinuse vältel manustatud denosumabi süsteemne saadavus AUC põhjal ületas 119</w:t>
      </w:r>
      <w:r>
        <w:noBreakHyphen/>
        <w:t>kordselt inimannust (60 mg iga 6 kuu järel), täheldati surnult sündide ja sünnijärgse suremuse suurenemist; ebanormaalse luukoe moodustumist, mille tõttu luutugevus vähenes, hematopoeesi langust ja hambumushäireid; perifeersete lümfisõlmede puudumist ja lootekasvu aeglustumist. Kõrgeim tase, mille puhul kõrvaltoimeid veel ei täheldatud, jäi reproduktsioonitoimete jaoks kindlaks tegemata. Luumuutused taandusid 6 kuu jooksul pärast sündi ja mõju hammaste lõikumisele puudus. Mõju lümfisõlmedele ja hambumushäired siiski püsisid ning ühel loomal täheldati mitmete kudede minimaalset või mõõdukat mineraliseerumist (seos raviga ei ole kindel). Puuduvad tõendid emaslooma sünnituseelse kahjustuse kohta; emasloomal tekkisid kõrvaltoimed sünnituse ajal harva. Emaslooma rinnanäärmete areng oli normaalne.</w:t>
      </w:r>
    </w:p>
    <w:p w14:paraId="05A92EDE" w14:textId="77777777" w:rsidR="00951F81" w:rsidRDefault="00951F81" w:rsidP="00951F81"/>
    <w:p w14:paraId="4677AAD4" w14:textId="77777777" w:rsidR="00951F81" w:rsidRDefault="00951F81" w:rsidP="00951F81">
      <w:r>
        <w:t>Prekliinilistes luukvaliteedi uuringutes pikka aega denosumabi saanud ahvidel kaasnes luukoe uuenemise langusega luu tugevuse paranemine ja normaalne luuhistoloogia. Denosumabi manustamisel eemaldatud munasarjadega ahvidele vähenes ajutiselt kaltsiumisisaldus ja suurenes ajutiselt parathormooni sisaldus.</w:t>
      </w:r>
    </w:p>
    <w:p w14:paraId="77E158FC" w14:textId="77777777" w:rsidR="00951F81" w:rsidRDefault="00951F81" w:rsidP="00951F81"/>
    <w:p w14:paraId="1B1FB0D0" w14:textId="77777777" w:rsidR="00951F81" w:rsidRDefault="00951F81" w:rsidP="00951F81">
      <w:r>
        <w:t>Geneetiliselt muundatud isashiirtel, kellel avaldus huRANKL (</w:t>
      </w:r>
      <w:r>
        <w:rPr>
          <w:i/>
        </w:rPr>
        <w:t>knock</w:t>
      </w:r>
      <w:r>
        <w:rPr>
          <w:i/>
        </w:rPr>
        <w:noBreakHyphen/>
        <w:t>in mice</w:t>
      </w:r>
      <w:r>
        <w:t>) ja kutsuti esile läbiv koljuluu murd, aeglustas denosumabi manustamine kõhre eemaldamist ja luukalluse ümberkujunemist kontrollrühmaga võrreldes, kuid puudus kõrvalmõju biomehaanilisele tugevusele.</w:t>
      </w:r>
    </w:p>
    <w:p w14:paraId="29CED961" w14:textId="77777777" w:rsidR="00951F81" w:rsidRDefault="00951F81" w:rsidP="00951F81"/>
    <w:p w14:paraId="7F763274" w14:textId="77777777" w:rsidR="00951F81" w:rsidRDefault="00951F81" w:rsidP="00951F81">
      <w:r>
        <w:t>Väljalülitatud geenidega hiirtel (vt lõik 4.6), kellel puudus RANK või RANKL, täheldati kehakaalu langust, aeglustunud luukasvu ja hammaste lõikumise puudumist. Vastsündinud rottidel põhjustas denosumabi sihtmärgiks oleva RANKL pärssimine Fc valguga seondunud osteoprotegeriiniga (OPG</w:t>
      </w:r>
      <w:r>
        <w:noBreakHyphen/>
        <w:t>Fc) luu kasvu ja hammaste lõikumise pärssimist. Selles mudelis olid muutused osaliselt pöörduvad, kui RANKL inhibiitorite manustamine katkestati. Primaatidest noorloomadel, kellele manustati denosumabi kliinilist süsteemset saadavust 27 ja 150 korda ületavas annuses (10 ja 50 mg/kg), olid luude kasvuplaadid ebanormaalsed. Seetõttu võib denosumab lastel kahjustada luude kasvu, jättes kasvuplaadid avatuks, ja pärssida hammaste lõikumist.</w:t>
      </w:r>
    </w:p>
    <w:p w14:paraId="747A92A2" w14:textId="77777777" w:rsidR="00951F81" w:rsidRDefault="00951F81" w:rsidP="00951F81"/>
    <w:p w14:paraId="1D5852DB" w14:textId="77777777" w:rsidR="00951F81" w:rsidRDefault="00951F81" w:rsidP="00951F81"/>
    <w:p w14:paraId="606F54BA" w14:textId="77777777" w:rsidR="00951F81" w:rsidRDefault="00951F81" w:rsidP="00951F81">
      <w:pPr>
        <w:keepNext/>
        <w:ind w:left="567" w:hanging="567"/>
        <w:rPr>
          <w:b/>
        </w:rPr>
      </w:pPr>
      <w:r>
        <w:rPr>
          <w:b/>
        </w:rPr>
        <w:t>6.</w:t>
      </w:r>
      <w:r>
        <w:rPr>
          <w:b/>
        </w:rPr>
        <w:tab/>
        <w:t>FARMATSEUTILISED ANDMED</w:t>
      </w:r>
    </w:p>
    <w:p w14:paraId="2A12541D" w14:textId="77777777" w:rsidR="00951F81" w:rsidRDefault="00951F81" w:rsidP="00951F81">
      <w:pPr>
        <w:keepNext/>
      </w:pPr>
    </w:p>
    <w:p w14:paraId="1C31AFA2" w14:textId="77777777" w:rsidR="00951F81" w:rsidRDefault="00951F81" w:rsidP="00951F81">
      <w:pPr>
        <w:keepNext/>
        <w:ind w:left="567" w:hanging="567"/>
        <w:rPr>
          <w:b/>
        </w:rPr>
      </w:pPr>
      <w:r>
        <w:rPr>
          <w:b/>
        </w:rPr>
        <w:t>6.1</w:t>
      </w:r>
      <w:r>
        <w:rPr>
          <w:b/>
        </w:rPr>
        <w:tab/>
        <w:t>Abiainete loetelu</w:t>
      </w:r>
    </w:p>
    <w:p w14:paraId="392B9E30" w14:textId="77777777" w:rsidR="00951F81" w:rsidRDefault="00951F81" w:rsidP="00951F81">
      <w:pPr>
        <w:keepNext/>
      </w:pPr>
    </w:p>
    <w:p w14:paraId="01566914" w14:textId="35264404" w:rsidR="00B25E0D" w:rsidRDefault="00A15FFC" w:rsidP="00B25E0D">
      <w:pPr>
        <w:keepNext/>
      </w:pPr>
      <w:r>
        <w:t>H</w:t>
      </w:r>
      <w:r w:rsidR="00B25E0D">
        <w:t>istidiin</w:t>
      </w:r>
    </w:p>
    <w:p w14:paraId="6B09E321" w14:textId="180C0BA5" w:rsidR="00B25E0D" w:rsidRDefault="00A15FFC" w:rsidP="00B25E0D">
      <w:pPr>
        <w:keepNext/>
      </w:pPr>
      <w:r>
        <w:t>H</w:t>
      </w:r>
      <w:r w:rsidR="00B25E0D">
        <w:t>istidiinmonovesinikkloriidi monohüdraat</w:t>
      </w:r>
    </w:p>
    <w:p w14:paraId="755B5209" w14:textId="3FACB4D7" w:rsidR="00B25E0D" w:rsidRDefault="00B25E0D" w:rsidP="00B25E0D">
      <w:pPr>
        <w:keepNext/>
      </w:pPr>
      <w:r>
        <w:t>Sahharoos</w:t>
      </w:r>
    </w:p>
    <w:p w14:paraId="152E1732" w14:textId="77777777" w:rsidR="00B25E0D" w:rsidRDefault="00B25E0D" w:rsidP="00B25E0D">
      <w:pPr>
        <w:keepNext/>
      </w:pPr>
      <w:r>
        <w:t>Poloksameer 188</w:t>
      </w:r>
    </w:p>
    <w:p w14:paraId="4B7049B8" w14:textId="34ED7855" w:rsidR="00951F81" w:rsidRDefault="00951F81" w:rsidP="00B25E0D">
      <w:pPr>
        <w:keepNext/>
      </w:pPr>
      <w:r>
        <w:t>Süstevesi</w:t>
      </w:r>
    </w:p>
    <w:p w14:paraId="11E6ACFF" w14:textId="77777777" w:rsidR="00951F81" w:rsidRDefault="00951F81" w:rsidP="00951F81"/>
    <w:p w14:paraId="59877EC3" w14:textId="77777777" w:rsidR="00951F81" w:rsidRDefault="00951F81" w:rsidP="00951F81">
      <w:pPr>
        <w:keepNext/>
        <w:ind w:left="567" w:hanging="567"/>
        <w:rPr>
          <w:b/>
        </w:rPr>
      </w:pPr>
      <w:r>
        <w:rPr>
          <w:b/>
        </w:rPr>
        <w:t>6.2</w:t>
      </w:r>
      <w:r>
        <w:rPr>
          <w:b/>
        </w:rPr>
        <w:tab/>
        <w:t>Sobimatus</w:t>
      </w:r>
    </w:p>
    <w:p w14:paraId="3E16EDA9" w14:textId="77777777" w:rsidR="00951F81" w:rsidRDefault="00951F81" w:rsidP="00951F81">
      <w:pPr>
        <w:keepNext/>
      </w:pPr>
    </w:p>
    <w:p w14:paraId="10A838AD" w14:textId="77777777" w:rsidR="00951F81" w:rsidRDefault="00951F81" w:rsidP="00951F81">
      <w:r>
        <w:t>Sobivusuuringute puudumise tõttu ei tohi seda ravimpreparaati teiste ravimitega segada.</w:t>
      </w:r>
    </w:p>
    <w:p w14:paraId="2092F4E1" w14:textId="77777777" w:rsidR="00951F81" w:rsidRDefault="00951F81" w:rsidP="00951F81"/>
    <w:p w14:paraId="40C91FC6" w14:textId="77777777" w:rsidR="00951F81" w:rsidRDefault="00951F81" w:rsidP="00951F81">
      <w:pPr>
        <w:keepNext/>
        <w:ind w:left="567" w:hanging="567"/>
        <w:rPr>
          <w:b/>
        </w:rPr>
      </w:pPr>
      <w:r>
        <w:rPr>
          <w:b/>
        </w:rPr>
        <w:t>6.3</w:t>
      </w:r>
      <w:r>
        <w:rPr>
          <w:b/>
        </w:rPr>
        <w:tab/>
        <w:t>Kõlblikkusaeg</w:t>
      </w:r>
    </w:p>
    <w:p w14:paraId="7ED4C611" w14:textId="77777777" w:rsidR="00951F81" w:rsidRDefault="00951F81" w:rsidP="00951F81">
      <w:pPr>
        <w:keepNext/>
      </w:pPr>
    </w:p>
    <w:p w14:paraId="43BF83E5" w14:textId="7B2B4AF5" w:rsidR="00951F81" w:rsidRDefault="00B25E0D" w:rsidP="00951F81">
      <w:r>
        <w:t>2 </w:t>
      </w:r>
      <w:r w:rsidR="00951F81">
        <w:t>aastat.</w:t>
      </w:r>
    </w:p>
    <w:p w14:paraId="2533BCA3" w14:textId="77777777" w:rsidR="00951F81" w:rsidRDefault="00951F81" w:rsidP="00951F81"/>
    <w:p w14:paraId="4CD887E4" w14:textId="46E78C18" w:rsidR="00951F81" w:rsidRDefault="00951F81" w:rsidP="00951F81">
      <w:r>
        <w:t xml:space="preserve">Pärast külmkapist välja võtmist võib </w:t>
      </w:r>
      <w:r w:rsidR="00974204">
        <w:t>Kefdensis</w:t>
      </w:r>
      <w:r>
        <w:t>’t hoida toatemperatuuril (kuni 25 °C) kuni 30 päeva originaalkarbis. Ravim tuleb nende 30 päeva jooksul ära kasutada.</w:t>
      </w:r>
    </w:p>
    <w:p w14:paraId="29E20507" w14:textId="77777777" w:rsidR="00951F81" w:rsidRDefault="00951F81" w:rsidP="00951F81"/>
    <w:p w14:paraId="5EE7B728" w14:textId="77777777" w:rsidR="00951F81" w:rsidRDefault="00951F81" w:rsidP="00951F81">
      <w:pPr>
        <w:keepNext/>
        <w:ind w:left="567" w:hanging="567"/>
        <w:rPr>
          <w:b/>
        </w:rPr>
      </w:pPr>
      <w:r>
        <w:rPr>
          <w:b/>
        </w:rPr>
        <w:t>6.4</w:t>
      </w:r>
      <w:r>
        <w:rPr>
          <w:b/>
        </w:rPr>
        <w:tab/>
        <w:t>Säilitamise eritingimused</w:t>
      </w:r>
    </w:p>
    <w:p w14:paraId="7A6A5CA8" w14:textId="77777777" w:rsidR="00951F81" w:rsidRDefault="00951F81" w:rsidP="00951F81">
      <w:pPr>
        <w:keepNext/>
      </w:pPr>
    </w:p>
    <w:p w14:paraId="5D71A525" w14:textId="77777777" w:rsidR="00951F81" w:rsidRDefault="00951F81" w:rsidP="00951F81">
      <w:r>
        <w:t>Hoida külmkapis (2 °C...8 °C).</w:t>
      </w:r>
    </w:p>
    <w:p w14:paraId="6BD9700E" w14:textId="77777777" w:rsidR="00951F81" w:rsidRDefault="00951F81" w:rsidP="00951F81">
      <w:r>
        <w:t>Mitte lasta külmuda.</w:t>
      </w:r>
    </w:p>
    <w:p w14:paraId="0FACAD58" w14:textId="053598A8" w:rsidR="00951F81" w:rsidRDefault="00951F81" w:rsidP="00951F81">
      <w:r>
        <w:t>Hoida süstel välispakendis valguse eest kaitstult.</w:t>
      </w:r>
    </w:p>
    <w:p w14:paraId="6E82BDF1" w14:textId="77777777" w:rsidR="00951F81" w:rsidRDefault="00951F81" w:rsidP="00951F81"/>
    <w:p w14:paraId="28BDB080" w14:textId="77777777" w:rsidR="00951F81" w:rsidRDefault="00951F81" w:rsidP="00951F81">
      <w:pPr>
        <w:keepNext/>
        <w:ind w:left="567" w:hanging="567"/>
        <w:rPr>
          <w:b/>
        </w:rPr>
      </w:pPr>
      <w:r>
        <w:rPr>
          <w:b/>
        </w:rPr>
        <w:t>6.5</w:t>
      </w:r>
      <w:r>
        <w:rPr>
          <w:b/>
        </w:rPr>
        <w:tab/>
        <w:t>Pakendi iseloomustus ja sisu</w:t>
      </w:r>
    </w:p>
    <w:p w14:paraId="1028F259" w14:textId="77777777" w:rsidR="00951F81" w:rsidRDefault="00951F81" w:rsidP="00951F81">
      <w:pPr>
        <w:keepNext/>
      </w:pPr>
    </w:p>
    <w:p w14:paraId="0DE5FDA0" w14:textId="720AF91C" w:rsidR="00951F81" w:rsidRDefault="00951F81" w:rsidP="00951F81">
      <w:r>
        <w:t xml:space="preserve">Üks ml lahust ühekordselt kasutatavas </w:t>
      </w:r>
      <w:r w:rsidR="006201FE">
        <w:t xml:space="preserve">I tüüpi klaasist </w:t>
      </w:r>
      <w:r>
        <w:t xml:space="preserve">süstlis roostevabast terasest </w:t>
      </w:r>
      <w:r w:rsidR="00082A79">
        <w:t xml:space="preserve">29 G </w:t>
      </w:r>
      <w:r>
        <w:t xml:space="preserve">nõelaga, </w:t>
      </w:r>
      <w:r w:rsidR="00B25E0D" w:rsidRPr="00B25E0D">
        <w:t>pikendatud sõrmeäärikute</w:t>
      </w:r>
      <w:r w:rsidR="00461BAD">
        <w:t>ga ja</w:t>
      </w:r>
      <w:r w:rsidR="00B25E0D" w:rsidRPr="00B25E0D">
        <w:t xml:space="preserve"> </w:t>
      </w:r>
      <w:r>
        <w:t>koos nõelakaitsmega</w:t>
      </w:r>
      <w:r w:rsidR="00B25E0D" w:rsidRPr="00B25E0D">
        <w:t>, ning kolvikork (bromobutüülkummist)</w:t>
      </w:r>
      <w:r>
        <w:t>.</w:t>
      </w:r>
    </w:p>
    <w:p w14:paraId="4B3FACEE" w14:textId="77777777" w:rsidR="00951F81" w:rsidRDefault="00951F81" w:rsidP="00951F81"/>
    <w:p w14:paraId="2BD6D909" w14:textId="7C839780" w:rsidR="00951F81" w:rsidRDefault="00951F81" w:rsidP="00B25E0D">
      <w:r>
        <w:t>Pakendis on üks süstel blisterümbrises.</w:t>
      </w:r>
    </w:p>
    <w:p w14:paraId="6C50EC62" w14:textId="77777777" w:rsidR="00951F81" w:rsidRDefault="00951F81" w:rsidP="00951F81"/>
    <w:p w14:paraId="77895BB1" w14:textId="77777777" w:rsidR="00951F81" w:rsidRDefault="00951F81" w:rsidP="00951F81">
      <w:pPr>
        <w:keepNext/>
        <w:ind w:left="567" w:hanging="567"/>
        <w:rPr>
          <w:b/>
        </w:rPr>
      </w:pPr>
      <w:r>
        <w:rPr>
          <w:b/>
        </w:rPr>
        <w:t>6.6</w:t>
      </w:r>
      <w:r>
        <w:rPr>
          <w:b/>
        </w:rPr>
        <w:tab/>
        <w:t>Erihoiatused ravimpreparaadi hävitamiseks ja käsitlemiseks</w:t>
      </w:r>
    </w:p>
    <w:p w14:paraId="6B8F8B4F" w14:textId="77777777" w:rsidR="00951F81" w:rsidRDefault="00951F81" w:rsidP="00951F81">
      <w:pPr>
        <w:keepNext/>
      </w:pPr>
    </w:p>
    <w:p w14:paraId="7CE05932" w14:textId="75A0E756" w:rsidR="00951F81" w:rsidRDefault="00951F81" w:rsidP="00951F81">
      <w:pPr>
        <w:numPr>
          <w:ilvl w:val="0"/>
          <w:numId w:val="54"/>
        </w:numPr>
        <w:tabs>
          <w:tab w:val="clear" w:pos="567"/>
        </w:tabs>
        <w:ind w:left="567" w:hanging="567"/>
      </w:pPr>
      <w:r>
        <w:t xml:space="preserve">Enne manustamist peab lahust kontrollima. </w:t>
      </w:r>
      <w:r w:rsidR="00B25E0D" w:rsidRPr="00B25E0D">
        <w:t>Lahus võib sisaldada jälgi poolläbipaistvatest kuni valgete valguliste osakestena.</w:t>
      </w:r>
      <w:r w:rsidR="00D83648">
        <w:t>Mitte</w:t>
      </w:r>
      <w:r>
        <w:t xml:space="preserve"> süsti</w:t>
      </w:r>
      <w:r w:rsidR="00D83648">
        <w:t>da</w:t>
      </w:r>
      <w:r>
        <w:t xml:space="preserve"> lahust, mis sisaldab nähtavaid osakesi, on hägune või muutnud värvi.</w:t>
      </w:r>
    </w:p>
    <w:p w14:paraId="45CACAF9" w14:textId="77777777" w:rsidR="00951F81" w:rsidRDefault="00951F81" w:rsidP="00951F81">
      <w:pPr>
        <w:numPr>
          <w:ilvl w:val="0"/>
          <w:numId w:val="54"/>
        </w:numPr>
        <w:tabs>
          <w:tab w:val="clear" w:pos="567"/>
        </w:tabs>
        <w:ind w:left="567" w:hanging="567"/>
      </w:pPr>
      <w:r>
        <w:t>Mitte loksutada.</w:t>
      </w:r>
    </w:p>
    <w:p w14:paraId="0FD99D62" w14:textId="4AD574A0" w:rsidR="00951F81" w:rsidRDefault="00951F81" w:rsidP="00951F81">
      <w:pPr>
        <w:numPr>
          <w:ilvl w:val="0"/>
          <w:numId w:val="54"/>
        </w:numPr>
        <w:tabs>
          <w:tab w:val="clear" w:pos="567"/>
        </w:tabs>
        <w:ind w:left="567" w:hanging="567"/>
      </w:pPr>
      <w:r>
        <w:t>Ebamugavustunde vältimiseks süstekohal las</w:t>
      </w:r>
      <w:r w:rsidR="00D83648">
        <w:t>ta</w:t>
      </w:r>
      <w:r>
        <w:t xml:space="preserve"> süstlil enne süstimist soojeneda toatemperatuurini (kuni 25 °C) ja süsti</w:t>
      </w:r>
      <w:r w:rsidR="00D83648">
        <w:t>da</w:t>
      </w:r>
      <w:r>
        <w:t xml:space="preserve"> aeglaselt.</w:t>
      </w:r>
    </w:p>
    <w:p w14:paraId="2A7773CC" w14:textId="79E7FB08" w:rsidR="00951F81" w:rsidRDefault="00951F81" w:rsidP="00951F81">
      <w:pPr>
        <w:numPr>
          <w:ilvl w:val="0"/>
          <w:numId w:val="54"/>
        </w:numPr>
        <w:tabs>
          <w:tab w:val="clear" w:pos="567"/>
        </w:tabs>
        <w:ind w:left="567" w:hanging="567"/>
      </w:pPr>
      <w:r>
        <w:t>Süsti</w:t>
      </w:r>
      <w:r w:rsidR="00D83648">
        <w:t>da</w:t>
      </w:r>
      <w:r>
        <w:t xml:space="preserve"> kogu süstli sisu.</w:t>
      </w:r>
    </w:p>
    <w:p w14:paraId="43A21F9E" w14:textId="77777777" w:rsidR="00951F81" w:rsidRDefault="00951F81" w:rsidP="00951F81"/>
    <w:p w14:paraId="3DA3C751" w14:textId="77777777" w:rsidR="00951F81" w:rsidRDefault="00951F81" w:rsidP="00951F81">
      <w:r>
        <w:t>Kasutamata ravimpreparaat või jäätmematerjal tuleb hävitada vastavalt kohalikele nõuetele.</w:t>
      </w:r>
    </w:p>
    <w:p w14:paraId="4F223CE0" w14:textId="77777777" w:rsidR="00951F81" w:rsidRDefault="00951F81" w:rsidP="00951F81"/>
    <w:p w14:paraId="6F863E08" w14:textId="77777777" w:rsidR="00951F81" w:rsidRDefault="00951F81" w:rsidP="00951F81"/>
    <w:p w14:paraId="0C069EE3" w14:textId="77777777" w:rsidR="00951F81" w:rsidRDefault="00951F81" w:rsidP="00951F81">
      <w:pPr>
        <w:keepNext/>
        <w:ind w:left="567" w:hanging="567"/>
        <w:rPr>
          <w:b/>
        </w:rPr>
      </w:pPr>
      <w:r>
        <w:rPr>
          <w:b/>
        </w:rPr>
        <w:t>7.</w:t>
      </w:r>
      <w:r>
        <w:rPr>
          <w:b/>
        </w:rPr>
        <w:tab/>
        <w:t>MÜÜGILOA HOIDJA</w:t>
      </w:r>
    </w:p>
    <w:p w14:paraId="750A262E" w14:textId="77777777" w:rsidR="00951F81" w:rsidRDefault="00951F81" w:rsidP="00951F81">
      <w:pPr>
        <w:keepNext/>
      </w:pPr>
    </w:p>
    <w:p w14:paraId="56A86592" w14:textId="77777777" w:rsidR="00B25E0D" w:rsidRPr="00F70A44" w:rsidRDefault="00B25E0D" w:rsidP="00B25E0D">
      <w:r w:rsidRPr="00F70A44">
        <w:t>STADA Arzneimittel AG</w:t>
      </w:r>
    </w:p>
    <w:p w14:paraId="154D7579" w14:textId="77777777" w:rsidR="00B25E0D" w:rsidRPr="00F70A44" w:rsidRDefault="00B25E0D" w:rsidP="00B25E0D">
      <w:r w:rsidRPr="00F70A44">
        <w:t>Stadastrasse 2–18</w:t>
      </w:r>
    </w:p>
    <w:p w14:paraId="57A057DB" w14:textId="77777777" w:rsidR="00B25E0D" w:rsidRPr="00F70A44" w:rsidRDefault="00B25E0D" w:rsidP="00B25E0D">
      <w:r w:rsidRPr="00F70A44">
        <w:t>61118 Bad Vilbel</w:t>
      </w:r>
    </w:p>
    <w:p w14:paraId="3D574F8A" w14:textId="50237A68" w:rsidR="00B25E0D" w:rsidRPr="00442125" w:rsidRDefault="00556C1E" w:rsidP="00B25E0D">
      <w:r>
        <w:t>Saksamaa</w:t>
      </w:r>
    </w:p>
    <w:p w14:paraId="4C7568E7" w14:textId="77777777" w:rsidR="00951F81" w:rsidRDefault="00951F81" w:rsidP="00951F81"/>
    <w:p w14:paraId="4F4635A4" w14:textId="77777777" w:rsidR="00951F81" w:rsidRDefault="00951F81" w:rsidP="00951F81"/>
    <w:p w14:paraId="5384B89B" w14:textId="77777777" w:rsidR="00951F81" w:rsidRDefault="00951F81" w:rsidP="00951F81">
      <w:pPr>
        <w:keepNext/>
        <w:ind w:left="567" w:hanging="567"/>
        <w:rPr>
          <w:b/>
        </w:rPr>
      </w:pPr>
      <w:r>
        <w:rPr>
          <w:b/>
        </w:rPr>
        <w:t>8.</w:t>
      </w:r>
      <w:r>
        <w:rPr>
          <w:b/>
        </w:rPr>
        <w:tab/>
        <w:t>MÜÜGILOA NUMBER (NUMBRID)</w:t>
      </w:r>
    </w:p>
    <w:p w14:paraId="25AAFEF5" w14:textId="77777777" w:rsidR="00951F81" w:rsidRDefault="00951F81" w:rsidP="00951F81">
      <w:pPr>
        <w:keepNext/>
      </w:pPr>
    </w:p>
    <w:p w14:paraId="4D558D57" w14:textId="7811492D" w:rsidR="00951F81" w:rsidRDefault="00A8211F" w:rsidP="00A8211F">
      <w:r>
        <w:t>EU/</w:t>
      </w:r>
      <w:r w:rsidRPr="004644DF">
        <w:t>1/25/1980/001</w:t>
      </w:r>
    </w:p>
    <w:p w14:paraId="7C35F55B" w14:textId="77777777" w:rsidR="00A8211F" w:rsidRDefault="00A8211F" w:rsidP="00EA669D"/>
    <w:p w14:paraId="661C15B3" w14:textId="77777777" w:rsidR="00951F81" w:rsidRDefault="00951F81" w:rsidP="00951F81">
      <w:pPr>
        <w:tabs>
          <w:tab w:val="clear" w:pos="567"/>
        </w:tabs>
      </w:pPr>
    </w:p>
    <w:p w14:paraId="5E795EB9" w14:textId="77777777" w:rsidR="00951F81" w:rsidRDefault="00951F81" w:rsidP="00951F81">
      <w:pPr>
        <w:keepNext/>
        <w:ind w:left="567" w:hanging="567"/>
        <w:rPr>
          <w:b/>
        </w:rPr>
      </w:pPr>
      <w:r>
        <w:rPr>
          <w:b/>
        </w:rPr>
        <w:t>9.</w:t>
      </w:r>
      <w:r>
        <w:rPr>
          <w:b/>
        </w:rPr>
        <w:tab/>
        <w:t>ESMASE MÜÜGILOA VÄLJASTAMISE/MÜÜGILOA UUENDAMISE KUUPÄEV</w:t>
      </w:r>
    </w:p>
    <w:p w14:paraId="7133D238" w14:textId="77777777" w:rsidR="00951F81" w:rsidRDefault="00951F81" w:rsidP="00951F81">
      <w:pPr>
        <w:keepNext/>
      </w:pPr>
    </w:p>
    <w:p w14:paraId="6F6DAEB5" w14:textId="06B39CD2" w:rsidR="00951F81" w:rsidRDefault="00951F81" w:rsidP="00B14CE1">
      <w:pPr>
        <w:keepNext/>
        <w:tabs>
          <w:tab w:val="clear" w:pos="567"/>
        </w:tabs>
      </w:pPr>
      <w:r>
        <w:t xml:space="preserve">Müügiloa esmase väljastamise kuupäev: </w:t>
      </w:r>
      <w:ins w:id="0" w:author="Author" w:date="2026-02-17T11:07:00Z" w16du:dateUtc="2026-02-17T10:07:00Z">
        <w:r w:rsidR="00622D93" w:rsidRPr="00E54BEC">
          <w:t>17. november 2025</w:t>
        </w:r>
      </w:ins>
    </w:p>
    <w:p w14:paraId="5DD43CC7" w14:textId="77777777" w:rsidR="00951F81" w:rsidRDefault="00951F81" w:rsidP="00951F81">
      <w:pPr>
        <w:tabs>
          <w:tab w:val="clear" w:pos="567"/>
        </w:tabs>
      </w:pPr>
    </w:p>
    <w:p w14:paraId="322C9535" w14:textId="77777777" w:rsidR="00951F81" w:rsidRDefault="00951F81" w:rsidP="00951F81">
      <w:pPr>
        <w:tabs>
          <w:tab w:val="clear" w:pos="567"/>
        </w:tabs>
      </w:pPr>
    </w:p>
    <w:p w14:paraId="7364CFD8" w14:textId="77777777" w:rsidR="00951F81" w:rsidRDefault="00951F81" w:rsidP="00951F81">
      <w:pPr>
        <w:keepNext/>
        <w:ind w:left="567" w:hanging="567"/>
        <w:rPr>
          <w:b/>
        </w:rPr>
      </w:pPr>
      <w:r>
        <w:rPr>
          <w:b/>
        </w:rPr>
        <w:t>10.</w:t>
      </w:r>
      <w:r>
        <w:rPr>
          <w:b/>
        </w:rPr>
        <w:tab/>
        <w:t>TEKSTI LÄBIVAATAMISE KUUPÄEV</w:t>
      </w:r>
    </w:p>
    <w:p w14:paraId="7D867725" w14:textId="77777777" w:rsidR="00951F81" w:rsidRDefault="00951F81" w:rsidP="00951F81">
      <w:pPr>
        <w:keepNext/>
      </w:pPr>
    </w:p>
    <w:p w14:paraId="2A95B304" w14:textId="77777777" w:rsidR="00951F81" w:rsidRDefault="00951F81" w:rsidP="00951F81">
      <w:pPr>
        <w:keepNext/>
        <w:tabs>
          <w:tab w:val="clear" w:pos="567"/>
        </w:tabs>
      </w:pPr>
    </w:p>
    <w:p w14:paraId="4C015B92" w14:textId="77777777" w:rsidR="00951F81" w:rsidRDefault="00951F81" w:rsidP="00951F81">
      <w:pPr>
        <w:keepNext/>
        <w:tabs>
          <w:tab w:val="clear" w:pos="567"/>
        </w:tabs>
      </w:pPr>
    </w:p>
    <w:p w14:paraId="6B22D5F0" w14:textId="3B16884E" w:rsidR="00951F81" w:rsidRDefault="00951F81" w:rsidP="00951F81">
      <w:pPr>
        <w:keepNext/>
        <w:tabs>
          <w:tab w:val="clear" w:pos="567"/>
        </w:tabs>
      </w:pPr>
      <w:r>
        <w:t xml:space="preserve">Täpne teave selle ravimpreparaadi kohta on Euroopa Ravimiameti kodulehel </w:t>
      </w:r>
      <w:hyperlink r:id="rId16" w:history="1">
        <w:r w:rsidR="00B25E0D" w:rsidRPr="00B25E0D">
          <w:rPr>
            <w:rStyle w:val="Hyperlink"/>
          </w:rPr>
          <w:t>https://www.ema.europa.eu</w:t>
        </w:r>
      </w:hyperlink>
      <w:r>
        <w:t>.</w:t>
      </w:r>
    </w:p>
    <w:p w14:paraId="32765997" w14:textId="77777777" w:rsidR="00951F81" w:rsidRDefault="00951F81" w:rsidP="00951F81">
      <w:pPr>
        <w:tabs>
          <w:tab w:val="clear" w:pos="567"/>
        </w:tabs>
      </w:pPr>
    </w:p>
    <w:p w14:paraId="0157C403" w14:textId="77777777" w:rsidR="00951F81" w:rsidRDefault="00951F81" w:rsidP="00951F81">
      <w:pPr>
        <w:jc w:val="center"/>
      </w:pPr>
      <w:r>
        <w:br w:type="page"/>
      </w:r>
    </w:p>
    <w:p w14:paraId="1F074583" w14:textId="77777777" w:rsidR="00951F81" w:rsidRDefault="00951F81" w:rsidP="00951F81">
      <w:pPr>
        <w:jc w:val="center"/>
      </w:pPr>
    </w:p>
    <w:p w14:paraId="750282B0" w14:textId="77777777" w:rsidR="00951F81" w:rsidRDefault="00951F81" w:rsidP="00951F81">
      <w:pPr>
        <w:jc w:val="center"/>
      </w:pPr>
    </w:p>
    <w:p w14:paraId="7C5C85F1" w14:textId="77777777" w:rsidR="00951F81" w:rsidRDefault="00951F81" w:rsidP="00951F81">
      <w:pPr>
        <w:jc w:val="center"/>
      </w:pPr>
    </w:p>
    <w:p w14:paraId="048B7BA5" w14:textId="77777777" w:rsidR="00951F81" w:rsidRDefault="00951F81" w:rsidP="00951F81">
      <w:pPr>
        <w:jc w:val="center"/>
      </w:pPr>
    </w:p>
    <w:p w14:paraId="76131D9D" w14:textId="77777777" w:rsidR="00951F81" w:rsidRDefault="00951F81" w:rsidP="00951F81">
      <w:pPr>
        <w:jc w:val="center"/>
      </w:pPr>
    </w:p>
    <w:p w14:paraId="56640479" w14:textId="77777777" w:rsidR="00951F81" w:rsidRDefault="00951F81" w:rsidP="00951F81">
      <w:pPr>
        <w:jc w:val="center"/>
      </w:pPr>
    </w:p>
    <w:p w14:paraId="560C7A49" w14:textId="77777777" w:rsidR="00951F81" w:rsidRDefault="00951F81" w:rsidP="00951F81">
      <w:pPr>
        <w:jc w:val="center"/>
      </w:pPr>
    </w:p>
    <w:p w14:paraId="37BC24AD" w14:textId="77777777" w:rsidR="00951F81" w:rsidRDefault="00951F81" w:rsidP="00951F81">
      <w:pPr>
        <w:jc w:val="center"/>
      </w:pPr>
    </w:p>
    <w:p w14:paraId="47D7D8BD" w14:textId="77777777" w:rsidR="00951F81" w:rsidRDefault="00951F81" w:rsidP="00951F81">
      <w:pPr>
        <w:jc w:val="center"/>
      </w:pPr>
    </w:p>
    <w:p w14:paraId="3EA2A6F9" w14:textId="77777777" w:rsidR="00951F81" w:rsidRDefault="00951F81" w:rsidP="00951F81">
      <w:pPr>
        <w:jc w:val="center"/>
      </w:pPr>
    </w:p>
    <w:p w14:paraId="00EC6FE9" w14:textId="77777777" w:rsidR="00951F81" w:rsidRDefault="00951F81" w:rsidP="00951F81">
      <w:pPr>
        <w:jc w:val="center"/>
      </w:pPr>
    </w:p>
    <w:p w14:paraId="098DDBC5" w14:textId="77777777" w:rsidR="00951F81" w:rsidRDefault="00951F81" w:rsidP="00951F81">
      <w:pPr>
        <w:jc w:val="center"/>
      </w:pPr>
    </w:p>
    <w:p w14:paraId="2234C8CB" w14:textId="77777777" w:rsidR="00951F81" w:rsidRDefault="00951F81" w:rsidP="00951F81">
      <w:pPr>
        <w:jc w:val="center"/>
      </w:pPr>
    </w:p>
    <w:p w14:paraId="5E07E9E0" w14:textId="77777777" w:rsidR="00951F81" w:rsidRDefault="00951F81" w:rsidP="00951F81">
      <w:pPr>
        <w:jc w:val="center"/>
      </w:pPr>
    </w:p>
    <w:p w14:paraId="70A41B90" w14:textId="77777777" w:rsidR="00951F81" w:rsidRDefault="00951F81" w:rsidP="00951F81">
      <w:pPr>
        <w:jc w:val="center"/>
      </w:pPr>
    </w:p>
    <w:p w14:paraId="62C25C18" w14:textId="77777777" w:rsidR="00951F81" w:rsidRDefault="00951F81" w:rsidP="00951F81">
      <w:pPr>
        <w:jc w:val="center"/>
      </w:pPr>
    </w:p>
    <w:p w14:paraId="5553FD6D" w14:textId="77777777" w:rsidR="00951F81" w:rsidRDefault="00951F81" w:rsidP="00951F81">
      <w:pPr>
        <w:jc w:val="center"/>
      </w:pPr>
    </w:p>
    <w:p w14:paraId="122E3058" w14:textId="77777777" w:rsidR="00951F81" w:rsidRDefault="00951F81" w:rsidP="00951F81">
      <w:pPr>
        <w:jc w:val="center"/>
      </w:pPr>
    </w:p>
    <w:p w14:paraId="1101491C" w14:textId="77777777" w:rsidR="00951F81" w:rsidRDefault="00951F81" w:rsidP="00951F81">
      <w:pPr>
        <w:jc w:val="center"/>
      </w:pPr>
    </w:p>
    <w:p w14:paraId="795E5FEE" w14:textId="77777777" w:rsidR="00951F81" w:rsidRDefault="00951F81" w:rsidP="00951F81">
      <w:pPr>
        <w:jc w:val="center"/>
      </w:pPr>
    </w:p>
    <w:p w14:paraId="34932679" w14:textId="77777777" w:rsidR="00951F81" w:rsidRDefault="00951F81" w:rsidP="00951F81">
      <w:pPr>
        <w:jc w:val="center"/>
      </w:pPr>
    </w:p>
    <w:p w14:paraId="0C37B0EC" w14:textId="77777777" w:rsidR="00951F81" w:rsidRDefault="00951F81" w:rsidP="00951F81">
      <w:pPr>
        <w:jc w:val="center"/>
      </w:pPr>
    </w:p>
    <w:p w14:paraId="4F8B13B7" w14:textId="77777777" w:rsidR="00951F81" w:rsidRDefault="00951F81" w:rsidP="00951F81">
      <w:pPr>
        <w:jc w:val="center"/>
        <w:rPr>
          <w:b/>
          <w:bCs/>
        </w:rPr>
      </w:pPr>
      <w:r>
        <w:rPr>
          <w:b/>
        </w:rPr>
        <w:t>II LISA</w:t>
      </w:r>
    </w:p>
    <w:p w14:paraId="25804659" w14:textId="77777777" w:rsidR="00951F81" w:rsidRDefault="00951F81" w:rsidP="00951F81">
      <w:pPr>
        <w:jc w:val="center"/>
      </w:pPr>
    </w:p>
    <w:p w14:paraId="45178944" w14:textId="6D7CE255" w:rsidR="00951F81" w:rsidRPr="008D43FE" w:rsidRDefault="00951F81" w:rsidP="008D43FE">
      <w:pPr>
        <w:ind w:left="1701" w:right="1418" w:hanging="709"/>
        <w:rPr>
          <w:b/>
        </w:rPr>
      </w:pPr>
      <w:r w:rsidRPr="008D43FE">
        <w:rPr>
          <w:b/>
        </w:rPr>
        <w:t>A.</w:t>
      </w:r>
      <w:r w:rsidRPr="008D43FE">
        <w:rPr>
          <w:b/>
        </w:rPr>
        <w:tab/>
        <w:t>BIOLOOGILISE TOIMEAINE</w:t>
      </w:r>
      <w:r w:rsidR="00B25E0D">
        <w:rPr>
          <w:b/>
        </w:rPr>
        <w:t>(TE)</w:t>
      </w:r>
      <w:r w:rsidRPr="008D43FE">
        <w:rPr>
          <w:b/>
        </w:rPr>
        <w:t xml:space="preserve"> TOOTJA</w:t>
      </w:r>
      <w:r w:rsidR="00B25E0D">
        <w:rPr>
          <w:b/>
        </w:rPr>
        <w:t>(</w:t>
      </w:r>
      <w:r w:rsidRPr="008D43FE">
        <w:rPr>
          <w:b/>
        </w:rPr>
        <w:t>D</w:t>
      </w:r>
      <w:r w:rsidR="00B25E0D">
        <w:rPr>
          <w:b/>
        </w:rPr>
        <w:t>)</w:t>
      </w:r>
      <w:r w:rsidRPr="008D43FE">
        <w:rPr>
          <w:b/>
        </w:rPr>
        <w:t xml:space="preserve"> JA RAVIMIPARTII KASUTAMISEKS VABASTAMISE EEST VASTUTAV</w:t>
      </w:r>
      <w:r w:rsidR="00B25E0D">
        <w:rPr>
          <w:b/>
        </w:rPr>
        <w:t>(</w:t>
      </w:r>
      <w:r w:rsidRPr="008D43FE">
        <w:rPr>
          <w:b/>
        </w:rPr>
        <w:t>AD</w:t>
      </w:r>
      <w:r w:rsidR="00B25E0D">
        <w:rPr>
          <w:b/>
        </w:rPr>
        <w:t>)</w:t>
      </w:r>
      <w:r w:rsidRPr="008D43FE">
        <w:rPr>
          <w:b/>
        </w:rPr>
        <w:t xml:space="preserve"> TOOTJA</w:t>
      </w:r>
      <w:r w:rsidR="00B25E0D">
        <w:rPr>
          <w:b/>
        </w:rPr>
        <w:t>(</w:t>
      </w:r>
      <w:r w:rsidRPr="008D43FE">
        <w:rPr>
          <w:b/>
        </w:rPr>
        <w:t>D</w:t>
      </w:r>
      <w:r w:rsidR="00B25E0D">
        <w:rPr>
          <w:b/>
        </w:rPr>
        <w:t>)</w:t>
      </w:r>
    </w:p>
    <w:p w14:paraId="32F9D3BD" w14:textId="77777777" w:rsidR="00951F81" w:rsidRDefault="00951F81" w:rsidP="00951F81">
      <w:pPr>
        <w:jc w:val="center"/>
      </w:pPr>
    </w:p>
    <w:p w14:paraId="353CD1ED" w14:textId="77777777" w:rsidR="00951F81" w:rsidRPr="008D43FE" w:rsidRDefault="00951F81" w:rsidP="008D43FE">
      <w:pPr>
        <w:ind w:left="1701" w:right="1418" w:hanging="709"/>
        <w:rPr>
          <w:b/>
        </w:rPr>
      </w:pPr>
      <w:r w:rsidRPr="008D43FE">
        <w:rPr>
          <w:b/>
        </w:rPr>
        <w:t>B.</w:t>
      </w:r>
      <w:r w:rsidRPr="008D43FE">
        <w:rPr>
          <w:b/>
        </w:rPr>
        <w:tab/>
        <w:t>HANKE- JA KASUTUSTINGIMUSED VÕI PIIRANGUD</w:t>
      </w:r>
    </w:p>
    <w:p w14:paraId="794E49E2" w14:textId="77777777" w:rsidR="00951F81" w:rsidRDefault="00951F81" w:rsidP="00951F81">
      <w:pPr>
        <w:jc w:val="center"/>
      </w:pPr>
    </w:p>
    <w:p w14:paraId="4B756CAB" w14:textId="77777777" w:rsidR="00951F81" w:rsidRPr="008D43FE" w:rsidRDefault="00951F81" w:rsidP="008D43FE">
      <w:pPr>
        <w:ind w:left="1701" w:right="1418" w:hanging="709"/>
        <w:rPr>
          <w:b/>
        </w:rPr>
      </w:pPr>
      <w:r w:rsidRPr="008D43FE">
        <w:rPr>
          <w:b/>
        </w:rPr>
        <w:t>C.</w:t>
      </w:r>
      <w:r w:rsidRPr="008D43FE">
        <w:rPr>
          <w:b/>
        </w:rPr>
        <w:tab/>
        <w:t>MÜÜGILOA MUUD TINGIMUSED JA NÕUDED</w:t>
      </w:r>
    </w:p>
    <w:p w14:paraId="72D6C8D7" w14:textId="77777777" w:rsidR="00951F81" w:rsidRDefault="00951F81" w:rsidP="00951F81">
      <w:pPr>
        <w:jc w:val="center"/>
      </w:pPr>
    </w:p>
    <w:p w14:paraId="34E3CF73" w14:textId="77777777" w:rsidR="00951F81" w:rsidRPr="008D43FE" w:rsidRDefault="00951F81" w:rsidP="008D43FE">
      <w:pPr>
        <w:ind w:left="1701" w:right="1418" w:hanging="709"/>
        <w:rPr>
          <w:b/>
        </w:rPr>
      </w:pPr>
      <w:r w:rsidRPr="008D43FE">
        <w:rPr>
          <w:b/>
        </w:rPr>
        <w:t>D.</w:t>
      </w:r>
      <w:r w:rsidRPr="008D43FE">
        <w:rPr>
          <w:b/>
        </w:rPr>
        <w:tab/>
        <w:t>RAVIMPREPARAADI OHUTU JA EFEKTIIVSE KASUTAMISE TINGIMUSED JA PIIRANGUD</w:t>
      </w:r>
    </w:p>
    <w:p w14:paraId="229A459F" w14:textId="77777777" w:rsidR="00951F81" w:rsidRDefault="00951F81" w:rsidP="00951F81">
      <w:pPr>
        <w:jc w:val="center"/>
      </w:pPr>
    </w:p>
    <w:p w14:paraId="136DAC3F" w14:textId="77777777" w:rsidR="00951F81" w:rsidRDefault="00951F81" w:rsidP="00951F81">
      <w:pPr>
        <w:jc w:val="center"/>
      </w:pPr>
    </w:p>
    <w:p w14:paraId="7175AB4D" w14:textId="7A323554" w:rsidR="00951F81" w:rsidRDefault="00951F81" w:rsidP="00F70A44">
      <w:pPr>
        <w:pStyle w:val="TitleB"/>
        <w:ind w:left="562" w:hanging="562"/>
        <w:outlineLvl w:val="0"/>
      </w:pPr>
      <w:r>
        <w:br w:type="page"/>
        <w:t>A.</w:t>
      </w:r>
      <w:r>
        <w:tab/>
        <w:t>BIOLOOGILISE TOIMEAINE TOOTJA JA RAVIMIPARTII KASUTAMISEKS VABASTAMISE EEST VASTUTAV</w:t>
      </w:r>
      <w:r w:rsidR="00B25E0D">
        <w:t>(</w:t>
      </w:r>
      <w:r>
        <w:t>AD</w:t>
      </w:r>
      <w:r w:rsidR="00B25E0D">
        <w:t>)</w:t>
      </w:r>
      <w:r>
        <w:t xml:space="preserve"> TOOTJA</w:t>
      </w:r>
      <w:r w:rsidR="00B25E0D">
        <w:t>(</w:t>
      </w:r>
      <w:r>
        <w:t>D</w:t>
      </w:r>
      <w:r w:rsidR="00B25E0D">
        <w:t>)</w:t>
      </w:r>
    </w:p>
    <w:p w14:paraId="4A398E93" w14:textId="77777777" w:rsidR="00951F81" w:rsidRDefault="00951F81" w:rsidP="00951F81">
      <w:pPr>
        <w:keepNext/>
      </w:pPr>
    </w:p>
    <w:p w14:paraId="1D1F82EF" w14:textId="1365E67D" w:rsidR="00951F81" w:rsidRDefault="00951F81" w:rsidP="00951F81">
      <w:pPr>
        <w:keepNext/>
        <w:rPr>
          <w:u w:val="single"/>
        </w:rPr>
      </w:pPr>
      <w:r>
        <w:rPr>
          <w:u w:val="single"/>
        </w:rPr>
        <w:t>Bioloogilise toimeaine</w:t>
      </w:r>
      <w:r w:rsidR="00B25E0D">
        <w:rPr>
          <w:u w:val="single"/>
        </w:rPr>
        <w:t>(te)</w:t>
      </w:r>
      <w:r>
        <w:rPr>
          <w:u w:val="single"/>
        </w:rPr>
        <w:t xml:space="preserve"> tootja</w:t>
      </w:r>
      <w:r w:rsidR="00B25E0D">
        <w:rPr>
          <w:u w:val="single"/>
        </w:rPr>
        <w:t>(</w:t>
      </w:r>
      <w:r>
        <w:rPr>
          <w:u w:val="single"/>
        </w:rPr>
        <w:t>te</w:t>
      </w:r>
      <w:r w:rsidR="00B25E0D">
        <w:rPr>
          <w:u w:val="single"/>
        </w:rPr>
        <w:t>)</w:t>
      </w:r>
      <w:r>
        <w:rPr>
          <w:u w:val="single"/>
        </w:rPr>
        <w:t xml:space="preserve"> nimi ja aadress</w:t>
      </w:r>
    </w:p>
    <w:p w14:paraId="5CEEC305" w14:textId="77777777" w:rsidR="00951F81" w:rsidRDefault="00951F81" w:rsidP="00951F81">
      <w:pPr>
        <w:keepNext/>
      </w:pPr>
    </w:p>
    <w:p w14:paraId="031BF9B2" w14:textId="77777777" w:rsidR="00B25E0D" w:rsidRPr="00442125" w:rsidRDefault="00B25E0D" w:rsidP="00B25E0D">
      <w:r w:rsidRPr="00442125">
        <w:t>Alvotech hf</w:t>
      </w:r>
    </w:p>
    <w:p w14:paraId="6346D656" w14:textId="77777777" w:rsidR="00B25E0D" w:rsidRPr="00442125" w:rsidRDefault="00B25E0D" w:rsidP="00B25E0D">
      <w:r w:rsidRPr="00442125">
        <w:t>Sæmundargata 15-19</w:t>
      </w:r>
    </w:p>
    <w:p w14:paraId="2F9995AF" w14:textId="77777777" w:rsidR="00B25E0D" w:rsidRPr="00442125" w:rsidRDefault="00B25E0D" w:rsidP="00B25E0D">
      <w:r w:rsidRPr="00442125">
        <w:t>102 Reykjavik</w:t>
      </w:r>
    </w:p>
    <w:p w14:paraId="32102F65" w14:textId="5AA58EEB" w:rsidR="00B25E0D" w:rsidRPr="00442125" w:rsidRDefault="00B25E0D" w:rsidP="00B25E0D">
      <w:r>
        <w:t>Island</w:t>
      </w:r>
    </w:p>
    <w:p w14:paraId="3C3F44B3" w14:textId="77777777" w:rsidR="00B25E0D" w:rsidRDefault="00B25E0D" w:rsidP="00951F81">
      <w:pPr>
        <w:keepNext/>
        <w:tabs>
          <w:tab w:val="clear" w:pos="567"/>
        </w:tabs>
      </w:pPr>
    </w:p>
    <w:p w14:paraId="5EF83CC4" w14:textId="77777777" w:rsidR="00951F81" w:rsidRDefault="00951F81" w:rsidP="00951F81">
      <w:pPr>
        <w:tabs>
          <w:tab w:val="clear" w:pos="567"/>
        </w:tabs>
      </w:pPr>
    </w:p>
    <w:p w14:paraId="7440014B" w14:textId="588A13E2" w:rsidR="00951F81" w:rsidRDefault="00951F81" w:rsidP="00951F81">
      <w:pPr>
        <w:keepNext/>
        <w:rPr>
          <w:u w:val="single"/>
        </w:rPr>
      </w:pPr>
      <w:r>
        <w:rPr>
          <w:u w:val="single"/>
        </w:rPr>
        <w:t>Ravimipartii kasutamiseks vabastamise eest vastutava</w:t>
      </w:r>
      <w:r w:rsidR="001B1D26">
        <w:rPr>
          <w:u w:val="single"/>
        </w:rPr>
        <w:t>(</w:t>
      </w:r>
      <w:r>
        <w:rPr>
          <w:u w:val="single"/>
        </w:rPr>
        <w:t>te</w:t>
      </w:r>
      <w:r w:rsidR="001B1D26">
        <w:rPr>
          <w:u w:val="single"/>
        </w:rPr>
        <w:t>)</w:t>
      </w:r>
      <w:r>
        <w:rPr>
          <w:u w:val="single"/>
        </w:rPr>
        <w:t xml:space="preserve"> tootja</w:t>
      </w:r>
      <w:r w:rsidR="001B1D26">
        <w:rPr>
          <w:u w:val="single"/>
        </w:rPr>
        <w:t>(</w:t>
      </w:r>
      <w:r>
        <w:rPr>
          <w:u w:val="single"/>
        </w:rPr>
        <w:t>te</w:t>
      </w:r>
      <w:r w:rsidR="001B1D26">
        <w:rPr>
          <w:u w:val="single"/>
        </w:rPr>
        <w:t>)</w:t>
      </w:r>
      <w:r>
        <w:rPr>
          <w:u w:val="single"/>
        </w:rPr>
        <w:t xml:space="preserve"> nimi ja aadress</w:t>
      </w:r>
    </w:p>
    <w:p w14:paraId="567E8F22" w14:textId="77777777" w:rsidR="00951F81" w:rsidRDefault="00951F81" w:rsidP="00951F81">
      <w:pPr>
        <w:keepNext/>
      </w:pPr>
    </w:p>
    <w:p w14:paraId="4793F971" w14:textId="77777777" w:rsidR="001B1D26" w:rsidRPr="00442125" w:rsidRDefault="001B1D26" w:rsidP="001B1D26">
      <w:r w:rsidRPr="00442125">
        <w:t>Alvotech hf</w:t>
      </w:r>
    </w:p>
    <w:p w14:paraId="12D52DC9" w14:textId="77777777" w:rsidR="001B1D26" w:rsidRPr="00442125" w:rsidRDefault="001B1D26" w:rsidP="001B1D26">
      <w:r w:rsidRPr="00442125">
        <w:t>Sæmundargata 15-19</w:t>
      </w:r>
    </w:p>
    <w:p w14:paraId="174A214F" w14:textId="77777777" w:rsidR="001B1D26" w:rsidRPr="00442125" w:rsidRDefault="001B1D26" w:rsidP="001B1D26">
      <w:r w:rsidRPr="00442125">
        <w:t>102 Reykjavik</w:t>
      </w:r>
    </w:p>
    <w:p w14:paraId="11EC8A66" w14:textId="4590ED93" w:rsidR="001B1D26" w:rsidRDefault="001B1D26" w:rsidP="001B1D26">
      <w:r>
        <w:t>Island</w:t>
      </w:r>
    </w:p>
    <w:p w14:paraId="732ADD05" w14:textId="77777777" w:rsidR="00951F81" w:rsidRDefault="00951F81" w:rsidP="00951F81">
      <w:pPr>
        <w:tabs>
          <w:tab w:val="clear" w:pos="567"/>
        </w:tabs>
      </w:pPr>
    </w:p>
    <w:p w14:paraId="29B63FB4" w14:textId="77777777" w:rsidR="00622D93" w:rsidRPr="00E54BEC" w:rsidRDefault="00622D93" w:rsidP="00622D93">
      <w:pPr>
        <w:widowControl w:val="0"/>
        <w:rPr>
          <w:ins w:id="1" w:author="Author" w:date="2026-02-17T11:07:00Z" w16du:dateUtc="2026-02-17T10:07:00Z"/>
        </w:rPr>
      </w:pPr>
      <w:ins w:id="2" w:author="Author" w:date="2026-02-17T11:07:00Z" w16du:dateUtc="2026-02-17T10:07:00Z">
        <w:r w:rsidRPr="00E54BEC">
          <w:t>STADA Arzneimittel AG</w:t>
        </w:r>
      </w:ins>
    </w:p>
    <w:p w14:paraId="4FB6B03C" w14:textId="77777777" w:rsidR="00622D93" w:rsidRPr="00E54BEC" w:rsidRDefault="00622D93" w:rsidP="00622D93">
      <w:pPr>
        <w:widowControl w:val="0"/>
        <w:rPr>
          <w:ins w:id="3" w:author="Author" w:date="2026-02-17T11:07:00Z" w16du:dateUtc="2026-02-17T10:07:00Z"/>
        </w:rPr>
      </w:pPr>
      <w:ins w:id="4" w:author="Author" w:date="2026-02-17T11:07:00Z" w16du:dateUtc="2026-02-17T10:07:00Z">
        <w:r w:rsidRPr="00E54BEC">
          <w:t>Stadastrasse 2–18</w:t>
        </w:r>
      </w:ins>
    </w:p>
    <w:p w14:paraId="2E93D174" w14:textId="77777777" w:rsidR="00622D93" w:rsidRPr="00E54BEC" w:rsidRDefault="00622D93" w:rsidP="00622D93">
      <w:pPr>
        <w:widowControl w:val="0"/>
        <w:rPr>
          <w:ins w:id="5" w:author="Author" w:date="2026-02-17T11:07:00Z" w16du:dateUtc="2026-02-17T10:07:00Z"/>
        </w:rPr>
      </w:pPr>
      <w:ins w:id="6" w:author="Author" w:date="2026-02-17T11:07:00Z" w16du:dateUtc="2026-02-17T10:07:00Z">
        <w:r w:rsidRPr="00E54BEC">
          <w:t>61118 Bad Vilbel</w:t>
        </w:r>
      </w:ins>
    </w:p>
    <w:p w14:paraId="77D718F1" w14:textId="77777777" w:rsidR="00622D93" w:rsidRPr="00742F48" w:rsidRDefault="00622D93" w:rsidP="00622D93">
      <w:pPr>
        <w:widowControl w:val="0"/>
        <w:rPr>
          <w:ins w:id="7" w:author="Author" w:date="2026-02-17T11:07:00Z" w16du:dateUtc="2026-02-17T10:07:00Z"/>
        </w:rPr>
      </w:pPr>
      <w:ins w:id="8" w:author="Author" w:date="2026-02-17T11:07:00Z" w16du:dateUtc="2026-02-17T10:07:00Z">
        <w:r>
          <w:t>Saksamaa</w:t>
        </w:r>
      </w:ins>
    </w:p>
    <w:p w14:paraId="11E4D289" w14:textId="77777777" w:rsidR="00622D93" w:rsidRPr="00CD38BE" w:rsidRDefault="00622D93" w:rsidP="00622D93">
      <w:pPr>
        <w:rPr>
          <w:ins w:id="9" w:author="Author" w:date="2026-02-17T11:07:00Z" w16du:dateUtc="2026-02-17T10:07:00Z"/>
        </w:rPr>
      </w:pPr>
    </w:p>
    <w:p w14:paraId="126D8459" w14:textId="77777777" w:rsidR="00622D93" w:rsidRDefault="00622D93" w:rsidP="00622D93">
      <w:pPr>
        <w:rPr>
          <w:ins w:id="10" w:author="Author" w:date="2026-02-17T11:07:00Z" w16du:dateUtc="2026-02-17T10:07:00Z"/>
        </w:rPr>
      </w:pPr>
      <w:ins w:id="11" w:author="Author" w:date="2026-02-17T11:07:00Z" w16du:dateUtc="2026-02-17T10:07:00Z">
        <w:r>
          <w:t>Ravimi trükitud pakendi infolehel peab olema vastava ravimipartii kasutamiseks vabastamise eest vastutava tootja nimi ja aadress.</w:t>
        </w:r>
      </w:ins>
    </w:p>
    <w:p w14:paraId="2A3765EA" w14:textId="77777777" w:rsidR="00951F81" w:rsidRDefault="00951F81" w:rsidP="00951F81">
      <w:pPr>
        <w:tabs>
          <w:tab w:val="clear" w:pos="567"/>
        </w:tabs>
      </w:pPr>
    </w:p>
    <w:p w14:paraId="2A4D970E" w14:textId="77777777" w:rsidR="00951F81" w:rsidRDefault="00951F81" w:rsidP="00F70A44">
      <w:pPr>
        <w:pStyle w:val="TitleB"/>
        <w:ind w:left="562" w:hanging="562"/>
        <w:outlineLvl w:val="0"/>
      </w:pPr>
      <w:r>
        <w:t>B.</w:t>
      </w:r>
      <w:r>
        <w:tab/>
        <w:t>HANKE- JA KASUTUSTINGIMUSED VÕI PIIRANGUD</w:t>
      </w:r>
    </w:p>
    <w:p w14:paraId="7DA8ADC7" w14:textId="77777777" w:rsidR="00951F81" w:rsidRDefault="00951F81" w:rsidP="00951F81">
      <w:pPr>
        <w:keepNext/>
      </w:pPr>
    </w:p>
    <w:p w14:paraId="4B1FA640" w14:textId="77777777" w:rsidR="00951F81" w:rsidRDefault="00951F81" w:rsidP="00951F81">
      <w:pPr>
        <w:tabs>
          <w:tab w:val="clear" w:pos="567"/>
        </w:tabs>
      </w:pPr>
      <w:r>
        <w:t>Retseptiravim.</w:t>
      </w:r>
    </w:p>
    <w:p w14:paraId="1839C1F0" w14:textId="77777777" w:rsidR="00951F81" w:rsidRDefault="00951F81" w:rsidP="00951F81">
      <w:pPr>
        <w:tabs>
          <w:tab w:val="clear" w:pos="567"/>
        </w:tabs>
      </w:pPr>
    </w:p>
    <w:p w14:paraId="7AD1E21C" w14:textId="77777777" w:rsidR="00951F81" w:rsidRDefault="00951F81" w:rsidP="00951F81">
      <w:pPr>
        <w:tabs>
          <w:tab w:val="clear" w:pos="567"/>
        </w:tabs>
      </w:pPr>
    </w:p>
    <w:p w14:paraId="60DC48C7" w14:textId="77777777" w:rsidR="00951F81" w:rsidRDefault="00951F81" w:rsidP="00F70A44">
      <w:pPr>
        <w:pStyle w:val="TitleB"/>
        <w:ind w:left="562" w:hanging="562"/>
        <w:outlineLvl w:val="0"/>
      </w:pPr>
      <w:r>
        <w:t>C.</w:t>
      </w:r>
      <w:r>
        <w:tab/>
        <w:t>MÜÜGILOA MUUD TINGIMUSED JA NÕUDED</w:t>
      </w:r>
    </w:p>
    <w:p w14:paraId="7DE0D6D3" w14:textId="77777777" w:rsidR="00951F81" w:rsidRDefault="00951F81" w:rsidP="00951F81">
      <w:pPr>
        <w:keepNext/>
      </w:pPr>
    </w:p>
    <w:p w14:paraId="359E695E" w14:textId="77777777" w:rsidR="00951F81" w:rsidRDefault="00951F81" w:rsidP="00951F81">
      <w:pPr>
        <w:keepNext/>
        <w:numPr>
          <w:ilvl w:val="0"/>
          <w:numId w:val="55"/>
        </w:numPr>
        <w:ind w:left="567" w:hanging="567"/>
        <w:rPr>
          <w:b/>
          <w:bCs/>
        </w:rPr>
      </w:pPr>
      <w:r>
        <w:rPr>
          <w:b/>
        </w:rPr>
        <w:t>Perioodilised ohutusaruanded</w:t>
      </w:r>
    </w:p>
    <w:p w14:paraId="193D19C9" w14:textId="77777777" w:rsidR="00951F81" w:rsidRDefault="00951F81" w:rsidP="00951F81">
      <w:pPr>
        <w:keepNext/>
      </w:pPr>
    </w:p>
    <w:p w14:paraId="5812F74E" w14:textId="77777777" w:rsidR="00951F81" w:rsidRDefault="00951F81" w:rsidP="00951F81">
      <w:pPr>
        <w:tabs>
          <w:tab w:val="clear" w:pos="567"/>
        </w:tabs>
      </w:pPr>
      <w:r>
        <w:t>Nõuded asjaomase ravimi perioodiliste ohutusaruannete esitamiseks on sätestatud direktiivi 2001/83/EÜ artikli 107c punkti 7 kohaselt liidu kontrollpäevade loetelus (EURD loetelu) ja iga hilisem uuendus avaldatakse Euroopa ravimite veebiportaalis.</w:t>
      </w:r>
    </w:p>
    <w:p w14:paraId="6AA64985" w14:textId="77777777" w:rsidR="00951F81" w:rsidRDefault="00951F81" w:rsidP="00951F81">
      <w:pPr>
        <w:tabs>
          <w:tab w:val="clear" w:pos="567"/>
        </w:tabs>
      </w:pPr>
    </w:p>
    <w:p w14:paraId="085F5986" w14:textId="77777777" w:rsidR="00951F81" w:rsidRDefault="00951F81" w:rsidP="00951F81">
      <w:pPr>
        <w:tabs>
          <w:tab w:val="clear" w:pos="567"/>
        </w:tabs>
      </w:pPr>
    </w:p>
    <w:p w14:paraId="4CFA13DD" w14:textId="77777777" w:rsidR="00951F81" w:rsidRDefault="00951F81" w:rsidP="00F70A44">
      <w:pPr>
        <w:pStyle w:val="TitleB"/>
        <w:ind w:left="562" w:hanging="562"/>
        <w:outlineLvl w:val="0"/>
      </w:pPr>
      <w:r>
        <w:t>D.</w:t>
      </w:r>
      <w:r>
        <w:tab/>
        <w:t>RAVIMPREPARAADI OHUTU JA EFEKTIIVSE KASUTAMISE TINGIMUSED JA PIIRANGUD</w:t>
      </w:r>
    </w:p>
    <w:p w14:paraId="30D8E93E" w14:textId="77777777" w:rsidR="00951F81" w:rsidRDefault="00951F81" w:rsidP="00951F81">
      <w:pPr>
        <w:keepNext/>
      </w:pPr>
    </w:p>
    <w:p w14:paraId="0C78AED7" w14:textId="77777777" w:rsidR="00951F81" w:rsidRDefault="00951F81" w:rsidP="00951F81">
      <w:pPr>
        <w:keepNext/>
        <w:numPr>
          <w:ilvl w:val="0"/>
          <w:numId w:val="55"/>
        </w:numPr>
        <w:ind w:left="567" w:hanging="567"/>
        <w:rPr>
          <w:b/>
          <w:bCs/>
        </w:rPr>
      </w:pPr>
      <w:r>
        <w:rPr>
          <w:b/>
        </w:rPr>
        <w:t>Riskijuhtimiskava</w:t>
      </w:r>
    </w:p>
    <w:p w14:paraId="0CD8343E" w14:textId="77777777" w:rsidR="00951F81" w:rsidRDefault="00951F81" w:rsidP="00951F81">
      <w:pPr>
        <w:keepNext/>
      </w:pPr>
    </w:p>
    <w:p w14:paraId="5D58E299" w14:textId="77777777" w:rsidR="00951F81" w:rsidRDefault="00951F81" w:rsidP="00951F81">
      <w:pPr>
        <w:tabs>
          <w:tab w:val="clear" w:pos="567"/>
        </w:tabs>
      </w:pPr>
      <w:r>
        <w:t>Müügiloa hoidja peab nõutavad ravimiohutuse toimingud ja sekkumismeetmed läbi viima vastavalt müügiloa taotluse moodulis 1.8.2 esitatud kokkulepitud riskijuhtimiskavale ja mis tahes järgmistele ajakohastatud riskijuhtimiskavadele.</w:t>
      </w:r>
    </w:p>
    <w:p w14:paraId="35F9EAA3" w14:textId="77777777" w:rsidR="00951F81" w:rsidRDefault="00951F81" w:rsidP="00951F81">
      <w:pPr>
        <w:tabs>
          <w:tab w:val="clear" w:pos="567"/>
        </w:tabs>
      </w:pPr>
    </w:p>
    <w:p w14:paraId="4FAB4E00" w14:textId="77777777" w:rsidR="00951F81" w:rsidRDefault="00951F81" w:rsidP="00951F81">
      <w:pPr>
        <w:keepNext/>
        <w:tabs>
          <w:tab w:val="clear" w:pos="567"/>
        </w:tabs>
      </w:pPr>
      <w:r>
        <w:t>Ajakohastatud riskijuhtimiskava tuleb esitada:</w:t>
      </w:r>
    </w:p>
    <w:p w14:paraId="79DC2738" w14:textId="77777777" w:rsidR="00951F81" w:rsidRDefault="00951F81" w:rsidP="00951F81">
      <w:pPr>
        <w:keepNext/>
        <w:numPr>
          <w:ilvl w:val="0"/>
          <w:numId w:val="54"/>
        </w:numPr>
        <w:tabs>
          <w:tab w:val="clear" w:pos="567"/>
        </w:tabs>
        <w:ind w:left="567" w:hanging="567"/>
      </w:pPr>
      <w:r>
        <w:t>Euroopa Ravimiameti nõudel;</w:t>
      </w:r>
    </w:p>
    <w:p w14:paraId="0DD98BA7" w14:textId="77777777" w:rsidR="00951F81" w:rsidRDefault="00951F81" w:rsidP="00951F81">
      <w:pPr>
        <w:numPr>
          <w:ilvl w:val="0"/>
          <w:numId w:val="54"/>
        </w:numPr>
        <w:tabs>
          <w:tab w:val="clear" w:pos="567"/>
        </w:tabs>
        <w:ind w:left="567" w:hanging="567"/>
      </w:pPr>
      <w:r>
        <w:t>kui muudetakse riskijuhtimissüsteemi, eriti kui saadakse uut teavet, mis võib oluliselt mõjutada riski/kasu suhet, või kui saavutatakse oluline (ravimiohutuse või riski minimeerimise) eesmärk.</w:t>
      </w:r>
    </w:p>
    <w:p w14:paraId="6DCF4654" w14:textId="77777777" w:rsidR="00951F81" w:rsidRPr="001B1D26" w:rsidRDefault="00951F81" w:rsidP="00951F81">
      <w:pPr>
        <w:pStyle w:val="Default"/>
        <w:rPr>
          <w:iCs/>
          <w:color w:val="auto"/>
          <w:sz w:val="22"/>
          <w:szCs w:val="22"/>
        </w:rPr>
      </w:pPr>
    </w:p>
    <w:p w14:paraId="43C9FB5A" w14:textId="77777777" w:rsidR="00951F81" w:rsidRPr="001B1D26" w:rsidRDefault="00951F81" w:rsidP="00951F81">
      <w:pPr>
        <w:keepNext/>
        <w:numPr>
          <w:ilvl w:val="0"/>
          <w:numId w:val="55"/>
        </w:numPr>
        <w:ind w:left="567" w:hanging="567"/>
        <w:rPr>
          <w:b/>
          <w:bCs/>
        </w:rPr>
      </w:pPr>
      <w:r w:rsidRPr="001B1D26">
        <w:rPr>
          <w:b/>
        </w:rPr>
        <w:t>Riski minimeerimise lisameetmed</w:t>
      </w:r>
    </w:p>
    <w:p w14:paraId="36BC88D5" w14:textId="77777777" w:rsidR="00951F81" w:rsidRPr="001B1D26" w:rsidRDefault="00951F81" w:rsidP="00951F81">
      <w:pPr>
        <w:keepNext/>
      </w:pPr>
    </w:p>
    <w:p w14:paraId="7AD4F704" w14:textId="1B8927CD" w:rsidR="001B1D26" w:rsidRPr="001B1D26" w:rsidRDefault="001B1D26" w:rsidP="00951F81">
      <w:pPr>
        <w:tabs>
          <w:tab w:val="clear" w:pos="567"/>
        </w:tabs>
      </w:pPr>
      <w:r w:rsidRPr="001B1D26">
        <w:t>Riski minimeerimise lisameetmeid kohaldatakse alljärgneva ohuga:</w:t>
      </w:r>
      <w:r w:rsidR="00951F81" w:rsidRPr="001B1D26">
        <w:t xml:space="preserve"> </w:t>
      </w:r>
    </w:p>
    <w:p w14:paraId="4BDBF71A" w14:textId="0102095F" w:rsidR="001B1D26" w:rsidRPr="00B14CE1" w:rsidRDefault="00951F81" w:rsidP="001B1D26">
      <w:pPr>
        <w:pStyle w:val="ListParagraph"/>
        <w:numPr>
          <w:ilvl w:val="0"/>
          <w:numId w:val="57"/>
        </w:numPr>
        <w:rPr>
          <w:sz w:val="22"/>
          <w:szCs w:val="22"/>
        </w:rPr>
      </w:pPr>
      <w:r w:rsidRPr="00B14CE1">
        <w:rPr>
          <w:sz w:val="22"/>
          <w:szCs w:val="22"/>
        </w:rPr>
        <w:t>lõualuu osteonekroos</w:t>
      </w:r>
      <w:r w:rsidR="006201FE">
        <w:rPr>
          <w:sz w:val="22"/>
          <w:szCs w:val="22"/>
        </w:rPr>
        <w:t>.</w:t>
      </w:r>
      <w:r w:rsidR="001B1D26" w:rsidRPr="00B14CE1">
        <w:rPr>
          <w:sz w:val="22"/>
          <w:szCs w:val="22"/>
        </w:rPr>
        <w:t xml:space="preserve"> </w:t>
      </w:r>
    </w:p>
    <w:p w14:paraId="4A8F14DA" w14:textId="77777777" w:rsidR="001B1D26" w:rsidRPr="001B1D26" w:rsidRDefault="001B1D26" w:rsidP="001B1D26"/>
    <w:p w14:paraId="79DA24BF" w14:textId="112B2062" w:rsidR="00951F81" w:rsidRPr="001B1D26" w:rsidRDefault="001B1D26" w:rsidP="00B14CE1">
      <w:r w:rsidRPr="001B1D26">
        <w:rPr>
          <w:b/>
          <w:bCs/>
        </w:rPr>
        <w:t>P</w:t>
      </w:r>
      <w:r w:rsidRPr="00B14CE1">
        <w:rPr>
          <w:b/>
          <w:bCs/>
        </w:rPr>
        <w:t xml:space="preserve">atsiendi </w:t>
      </w:r>
      <w:r w:rsidR="00951F81" w:rsidRPr="00B14CE1">
        <w:rPr>
          <w:b/>
          <w:bCs/>
        </w:rPr>
        <w:t>meelespea</w:t>
      </w:r>
      <w:r w:rsidR="00951F81" w:rsidRPr="001B1D26">
        <w:t>.</w:t>
      </w:r>
    </w:p>
    <w:p w14:paraId="40C0BDA1" w14:textId="77777777" w:rsidR="00951F81" w:rsidRDefault="00951F81" w:rsidP="00951F81">
      <w:pPr>
        <w:jc w:val="center"/>
      </w:pPr>
      <w:r>
        <w:br w:type="page"/>
      </w:r>
    </w:p>
    <w:p w14:paraId="3D37A846" w14:textId="77777777" w:rsidR="00951F81" w:rsidRDefault="00951F81" w:rsidP="00951F81">
      <w:pPr>
        <w:jc w:val="center"/>
      </w:pPr>
    </w:p>
    <w:p w14:paraId="1B3F56A8" w14:textId="77777777" w:rsidR="00951F81" w:rsidRDefault="00951F81" w:rsidP="00951F81">
      <w:pPr>
        <w:jc w:val="center"/>
      </w:pPr>
    </w:p>
    <w:p w14:paraId="67EC1A9C" w14:textId="77777777" w:rsidR="00951F81" w:rsidRDefault="00951F81" w:rsidP="00951F81">
      <w:pPr>
        <w:jc w:val="center"/>
      </w:pPr>
    </w:p>
    <w:p w14:paraId="67C5B99F" w14:textId="77777777" w:rsidR="00951F81" w:rsidRDefault="00951F81" w:rsidP="00951F81">
      <w:pPr>
        <w:jc w:val="center"/>
      </w:pPr>
    </w:p>
    <w:p w14:paraId="276EF8A2" w14:textId="77777777" w:rsidR="00951F81" w:rsidRDefault="00951F81" w:rsidP="00951F81">
      <w:pPr>
        <w:jc w:val="center"/>
      </w:pPr>
    </w:p>
    <w:p w14:paraId="67451998" w14:textId="77777777" w:rsidR="00951F81" w:rsidRDefault="00951F81" w:rsidP="00951F81">
      <w:pPr>
        <w:jc w:val="center"/>
      </w:pPr>
    </w:p>
    <w:p w14:paraId="60F3C5A4" w14:textId="77777777" w:rsidR="00951F81" w:rsidRDefault="00951F81" w:rsidP="00951F81">
      <w:pPr>
        <w:jc w:val="center"/>
      </w:pPr>
    </w:p>
    <w:p w14:paraId="02F2143A" w14:textId="77777777" w:rsidR="00951F81" w:rsidRDefault="00951F81" w:rsidP="00951F81">
      <w:pPr>
        <w:jc w:val="center"/>
      </w:pPr>
    </w:p>
    <w:p w14:paraId="1BFE9AE9" w14:textId="77777777" w:rsidR="00951F81" w:rsidRDefault="00951F81" w:rsidP="00951F81">
      <w:pPr>
        <w:jc w:val="center"/>
      </w:pPr>
    </w:p>
    <w:p w14:paraId="1189AC13" w14:textId="77777777" w:rsidR="00951F81" w:rsidRDefault="00951F81" w:rsidP="00951F81">
      <w:pPr>
        <w:jc w:val="center"/>
      </w:pPr>
    </w:p>
    <w:p w14:paraId="699B0DB2" w14:textId="77777777" w:rsidR="00951F81" w:rsidRDefault="00951F81" w:rsidP="00951F81">
      <w:pPr>
        <w:jc w:val="center"/>
      </w:pPr>
    </w:p>
    <w:p w14:paraId="7C6959BA" w14:textId="77777777" w:rsidR="00951F81" w:rsidRDefault="00951F81" w:rsidP="00951F81">
      <w:pPr>
        <w:jc w:val="center"/>
      </w:pPr>
    </w:p>
    <w:p w14:paraId="70A41C45" w14:textId="77777777" w:rsidR="00951F81" w:rsidRDefault="00951F81" w:rsidP="00951F81">
      <w:pPr>
        <w:jc w:val="center"/>
      </w:pPr>
    </w:p>
    <w:p w14:paraId="62DD6BE4" w14:textId="77777777" w:rsidR="00951F81" w:rsidRDefault="00951F81" w:rsidP="00951F81">
      <w:pPr>
        <w:jc w:val="center"/>
      </w:pPr>
    </w:p>
    <w:p w14:paraId="6380E829" w14:textId="77777777" w:rsidR="00951F81" w:rsidRDefault="00951F81" w:rsidP="00951F81">
      <w:pPr>
        <w:jc w:val="center"/>
      </w:pPr>
    </w:p>
    <w:p w14:paraId="63576108" w14:textId="77777777" w:rsidR="00951F81" w:rsidRDefault="00951F81" w:rsidP="00951F81">
      <w:pPr>
        <w:jc w:val="center"/>
      </w:pPr>
    </w:p>
    <w:p w14:paraId="2A325E94" w14:textId="77777777" w:rsidR="00951F81" w:rsidRDefault="00951F81" w:rsidP="00951F81">
      <w:pPr>
        <w:jc w:val="center"/>
      </w:pPr>
    </w:p>
    <w:p w14:paraId="6963121B" w14:textId="77777777" w:rsidR="00951F81" w:rsidRDefault="00951F81" w:rsidP="00951F81">
      <w:pPr>
        <w:jc w:val="center"/>
      </w:pPr>
    </w:p>
    <w:p w14:paraId="18BA7472" w14:textId="77777777" w:rsidR="00951F81" w:rsidRDefault="00951F81" w:rsidP="00951F81">
      <w:pPr>
        <w:jc w:val="center"/>
      </w:pPr>
    </w:p>
    <w:p w14:paraId="4411FCB3" w14:textId="77777777" w:rsidR="00951F81" w:rsidRDefault="00951F81" w:rsidP="00951F81">
      <w:pPr>
        <w:jc w:val="center"/>
      </w:pPr>
    </w:p>
    <w:p w14:paraId="01183D37" w14:textId="77777777" w:rsidR="00951F81" w:rsidRDefault="00951F81" w:rsidP="00951F81">
      <w:pPr>
        <w:jc w:val="center"/>
      </w:pPr>
    </w:p>
    <w:p w14:paraId="19F126D2" w14:textId="77777777" w:rsidR="00951F81" w:rsidRDefault="00951F81" w:rsidP="00951F81">
      <w:pPr>
        <w:jc w:val="center"/>
      </w:pPr>
    </w:p>
    <w:p w14:paraId="536B16D6" w14:textId="77777777" w:rsidR="00951F81" w:rsidRDefault="00951F81" w:rsidP="00951F81">
      <w:pPr>
        <w:jc w:val="center"/>
        <w:rPr>
          <w:b/>
          <w:bCs/>
        </w:rPr>
      </w:pPr>
      <w:r>
        <w:rPr>
          <w:b/>
        </w:rPr>
        <w:t>III LISA</w:t>
      </w:r>
    </w:p>
    <w:p w14:paraId="4E57FF33" w14:textId="77777777" w:rsidR="00951F81" w:rsidRDefault="00951F81" w:rsidP="00951F81">
      <w:pPr>
        <w:jc w:val="center"/>
      </w:pPr>
    </w:p>
    <w:p w14:paraId="20E61574" w14:textId="77777777" w:rsidR="00951F81" w:rsidRDefault="00951F81" w:rsidP="00951F81">
      <w:pPr>
        <w:jc w:val="center"/>
        <w:rPr>
          <w:b/>
          <w:bCs/>
        </w:rPr>
      </w:pPr>
      <w:r>
        <w:rPr>
          <w:b/>
        </w:rPr>
        <w:t>PAKENDI MÄRGISTUS JA INFOLEHT</w:t>
      </w:r>
    </w:p>
    <w:p w14:paraId="35D1D962" w14:textId="77777777" w:rsidR="00951F81" w:rsidRDefault="00951F81" w:rsidP="00951F81">
      <w:pPr>
        <w:jc w:val="center"/>
      </w:pPr>
      <w:r>
        <w:br w:type="page"/>
      </w:r>
    </w:p>
    <w:p w14:paraId="4E8D6110" w14:textId="77777777" w:rsidR="00951F81" w:rsidRDefault="00951F81" w:rsidP="00951F81">
      <w:pPr>
        <w:jc w:val="center"/>
      </w:pPr>
    </w:p>
    <w:p w14:paraId="20D18233" w14:textId="77777777" w:rsidR="00951F81" w:rsidRDefault="00951F81" w:rsidP="00951F81">
      <w:pPr>
        <w:jc w:val="center"/>
      </w:pPr>
    </w:p>
    <w:p w14:paraId="207C9AC6" w14:textId="77777777" w:rsidR="00951F81" w:rsidRDefault="00951F81" w:rsidP="00951F81">
      <w:pPr>
        <w:jc w:val="center"/>
      </w:pPr>
    </w:p>
    <w:p w14:paraId="674A52E7" w14:textId="77777777" w:rsidR="00951F81" w:rsidRDefault="00951F81" w:rsidP="00951F81">
      <w:pPr>
        <w:jc w:val="center"/>
      </w:pPr>
    </w:p>
    <w:p w14:paraId="295B51DE" w14:textId="77777777" w:rsidR="00951F81" w:rsidRDefault="00951F81" w:rsidP="00951F81">
      <w:pPr>
        <w:jc w:val="center"/>
      </w:pPr>
    </w:p>
    <w:p w14:paraId="2F608558" w14:textId="77777777" w:rsidR="00951F81" w:rsidRDefault="00951F81" w:rsidP="00951F81">
      <w:pPr>
        <w:jc w:val="center"/>
      </w:pPr>
    </w:p>
    <w:p w14:paraId="24E856B0" w14:textId="77777777" w:rsidR="00951F81" w:rsidRDefault="00951F81" w:rsidP="00951F81">
      <w:pPr>
        <w:jc w:val="center"/>
      </w:pPr>
    </w:p>
    <w:p w14:paraId="00526FFD" w14:textId="77777777" w:rsidR="00951F81" w:rsidRDefault="00951F81" w:rsidP="00951F81">
      <w:pPr>
        <w:jc w:val="center"/>
      </w:pPr>
    </w:p>
    <w:p w14:paraId="759EEC69" w14:textId="77777777" w:rsidR="00951F81" w:rsidRDefault="00951F81" w:rsidP="00951F81">
      <w:pPr>
        <w:jc w:val="center"/>
      </w:pPr>
    </w:p>
    <w:p w14:paraId="6CE07E7D" w14:textId="77777777" w:rsidR="00951F81" w:rsidRDefault="00951F81" w:rsidP="00951F81">
      <w:pPr>
        <w:jc w:val="center"/>
      </w:pPr>
    </w:p>
    <w:p w14:paraId="7B6183DB" w14:textId="77777777" w:rsidR="00951F81" w:rsidRDefault="00951F81" w:rsidP="00951F81">
      <w:pPr>
        <w:jc w:val="center"/>
      </w:pPr>
    </w:p>
    <w:p w14:paraId="670C71E6" w14:textId="77777777" w:rsidR="00951F81" w:rsidRDefault="00951F81" w:rsidP="00951F81">
      <w:pPr>
        <w:jc w:val="center"/>
      </w:pPr>
    </w:p>
    <w:p w14:paraId="637A82CF" w14:textId="77777777" w:rsidR="00951F81" w:rsidRDefault="00951F81" w:rsidP="00951F81">
      <w:pPr>
        <w:jc w:val="center"/>
      </w:pPr>
    </w:p>
    <w:p w14:paraId="6DF91B82" w14:textId="77777777" w:rsidR="00951F81" w:rsidRDefault="00951F81" w:rsidP="00951F81">
      <w:pPr>
        <w:jc w:val="center"/>
      </w:pPr>
    </w:p>
    <w:p w14:paraId="08A1420A" w14:textId="77777777" w:rsidR="00951F81" w:rsidRDefault="00951F81" w:rsidP="00951F81">
      <w:pPr>
        <w:jc w:val="center"/>
      </w:pPr>
    </w:p>
    <w:p w14:paraId="2D6F3E32" w14:textId="77777777" w:rsidR="00951F81" w:rsidRDefault="00951F81" w:rsidP="00951F81">
      <w:pPr>
        <w:jc w:val="center"/>
      </w:pPr>
    </w:p>
    <w:p w14:paraId="1FB1BF5C" w14:textId="77777777" w:rsidR="00951F81" w:rsidRDefault="00951F81" w:rsidP="00951F81">
      <w:pPr>
        <w:jc w:val="center"/>
      </w:pPr>
    </w:p>
    <w:p w14:paraId="0106F2EF" w14:textId="77777777" w:rsidR="00951F81" w:rsidRDefault="00951F81" w:rsidP="00951F81">
      <w:pPr>
        <w:jc w:val="center"/>
      </w:pPr>
    </w:p>
    <w:p w14:paraId="02A26B62" w14:textId="77777777" w:rsidR="00951F81" w:rsidRDefault="00951F81" w:rsidP="00951F81">
      <w:pPr>
        <w:jc w:val="center"/>
      </w:pPr>
    </w:p>
    <w:p w14:paraId="2BFE36B1" w14:textId="77777777" w:rsidR="00951F81" w:rsidRDefault="00951F81" w:rsidP="00951F81">
      <w:pPr>
        <w:jc w:val="center"/>
      </w:pPr>
    </w:p>
    <w:p w14:paraId="5284EA18" w14:textId="77777777" w:rsidR="00951F81" w:rsidRDefault="00951F81" w:rsidP="00951F81">
      <w:pPr>
        <w:jc w:val="center"/>
      </w:pPr>
    </w:p>
    <w:p w14:paraId="50157857" w14:textId="77777777" w:rsidR="00951F81" w:rsidRDefault="00951F81" w:rsidP="00951F81">
      <w:pPr>
        <w:jc w:val="center"/>
      </w:pPr>
    </w:p>
    <w:p w14:paraId="62B68D0D" w14:textId="77777777" w:rsidR="00951F81" w:rsidRDefault="00951F81" w:rsidP="00F70A44">
      <w:pPr>
        <w:pStyle w:val="TitleA"/>
        <w:outlineLvl w:val="0"/>
      </w:pPr>
      <w:r>
        <w:t>A. PAKENDI MÄRGISTUS</w:t>
      </w:r>
    </w:p>
    <w:p w14:paraId="104E17B3" w14:textId="77777777" w:rsidR="00951F81" w:rsidRDefault="00951F81" w:rsidP="00951F81">
      <w:pPr>
        <w:jc w:val="center"/>
      </w:pPr>
    </w:p>
    <w:p w14:paraId="72325479" w14:textId="147AFBFC" w:rsidR="00951F81" w:rsidRDefault="00884E6E" w:rsidP="00884E6E">
      <w:pPr>
        <w:pBdr>
          <w:top w:val="single" w:sz="4" w:space="1" w:color="auto"/>
          <w:left w:val="single" w:sz="4" w:space="4" w:color="auto"/>
          <w:bottom w:val="single" w:sz="4" w:space="1" w:color="auto"/>
          <w:right w:val="single" w:sz="4" w:space="4" w:color="auto"/>
        </w:pBdr>
        <w:tabs>
          <w:tab w:val="clear" w:pos="567"/>
        </w:tabs>
        <w:rPr>
          <w:b/>
        </w:rPr>
      </w:pPr>
      <w:r>
        <w:br w:type="page"/>
      </w:r>
      <w:r>
        <w:rPr>
          <w:b/>
        </w:rPr>
        <w:t>VÄLISPAKENDIL PEAVAD OLEMA JÄRGMISED ANDMED</w:t>
      </w:r>
    </w:p>
    <w:p w14:paraId="0FDFA87C" w14:textId="77777777" w:rsidR="00951F81" w:rsidRDefault="00951F81" w:rsidP="00951F81">
      <w:pPr>
        <w:pBdr>
          <w:top w:val="single" w:sz="4" w:space="1" w:color="auto"/>
          <w:left w:val="single" w:sz="4" w:space="4" w:color="auto"/>
          <w:bottom w:val="single" w:sz="4" w:space="1" w:color="auto"/>
          <w:right w:val="single" w:sz="4" w:space="4" w:color="auto"/>
        </w:pBdr>
        <w:tabs>
          <w:tab w:val="clear" w:pos="567"/>
        </w:tabs>
        <w:rPr>
          <w:bCs/>
        </w:rPr>
      </w:pPr>
    </w:p>
    <w:p w14:paraId="124F60B6" w14:textId="77777777" w:rsidR="00951F81" w:rsidRDefault="00951F81" w:rsidP="00884E6E">
      <w:pPr>
        <w:pBdr>
          <w:top w:val="single" w:sz="4" w:space="1" w:color="auto"/>
          <w:left w:val="single" w:sz="4" w:space="4" w:color="auto"/>
          <w:bottom w:val="single" w:sz="4" w:space="1" w:color="auto"/>
          <w:right w:val="single" w:sz="4" w:space="4" w:color="auto"/>
        </w:pBdr>
        <w:tabs>
          <w:tab w:val="clear" w:pos="567"/>
        </w:tabs>
        <w:rPr>
          <w:b/>
        </w:rPr>
      </w:pPr>
      <w:r>
        <w:rPr>
          <w:b/>
        </w:rPr>
        <w:t>SÜSTLI KARP</w:t>
      </w:r>
    </w:p>
    <w:p w14:paraId="0A3DDA6C" w14:textId="77777777" w:rsidR="00951F81" w:rsidRDefault="00951F81" w:rsidP="00951F81">
      <w:pPr>
        <w:tabs>
          <w:tab w:val="clear" w:pos="567"/>
        </w:tabs>
      </w:pPr>
    </w:p>
    <w:p w14:paraId="01F10C79" w14:textId="77777777" w:rsidR="00951F81" w:rsidRDefault="00951F81" w:rsidP="00951F81">
      <w:pPr>
        <w:tabs>
          <w:tab w:val="clear" w:pos="567"/>
        </w:tabs>
      </w:pPr>
    </w:p>
    <w:p w14:paraId="17782A05" w14:textId="4C9D2515" w:rsidR="00951F81" w:rsidRDefault="00951F81" w:rsidP="00F70A44">
      <w:pPr>
        <w:keepNext/>
        <w:pBdr>
          <w:top w:val="single" w:sz="4" w:space="1" w:color="auto"/>
          <w:left w:val="single" w:sz="4" w:space="4" w:color="auto"/>
          <w:bottom w:val="single" w:sz="4" w:space="1" w:color="auto"/>
          <w:right w:val="single" w:sz="4" w:space="4" w:color="auto"/>
        </w:pBdr>
        <w:ind w:left="567" w:hanging="567"/>
      </w:pPr>
      <w:r>
        <w:rPr>
          <w:b/>
        </w:rPr>
        <w:t>1.</w:t>
      </w:r>
      <w:r>
        <w:rPr>
          <w:b/>
        </w:rPr>
        <w:tab/>
        <w:t>RAVIMPREPARAADI NIMETUS</w:t>
      </w:r>
    </w:p>
    <w:p w14:paraId="77F0ADCC" w14:textId="77777777" w:rsidR="00951F81" w:rsidRDefault="00951F81" w:rsidP="00F70A44">
      <w:pPr>
        <w:keepNext/>
      </w:pPr>
    </w:p>
    <w:p w14:paraId="674873DA" w14:textId="3E8606E6" w:rsidR="00951F81" w:rsidRDefault="00974204" w:rsidP="00F70A44">
      <w:pPr>
        <w:keepNext/>
        <w:tabs>
          <w:tab w:val="clear" w:pos="567"/>
        </w:tabs>
      </w:pPr>
      <w:r>
        <w:t>Kefdensis</w:t>
      </w:r>
      <w:r w:rsidR="00951F81">
        <w:t xml:space="preserve"> 60 mg süstelahus süstlis</w:t>
      </w:r>
    </w:p>
    <w:p w14:paraId="61915F10" w14:textId="3FDCDBA0" w:rsidR="00951F81" w:rsidRPr="00B14CE1" w:rsidRDefault="00951F81" w:rsidP="00F70A44">
      <w:pPr>
        <w:tabs>
          <w:tab w:val="clear" w:pos="567"/>
        </w:tabs>
        <w:rPr>
          <w:i/>
          <w:iCs/>
        </w:rPr>
      </w:pPr>
      <w:r w:rsidRPr="00B14CE1">
        <w:rPr>
          <w:i/>
          <w:iCs/>
        </w:rPr>
        <w:t>denosumab</w:t>
      </w:r>
      <w:r w:rsidR="00B6460C" w:rsidRPr="00B14CE1">
        <w:rPr>
          <w:i/>
          <w:iCs/>
        </w:rPr>
        <w:t>um</w:t>
      </w:r>
    </w:p>
    <w:p w14:paraId="20F8E618" w14:textId="77777777" w:rsidR="00951F81" w:rsidRDefault="00951F81" w:rsidP="00F70A44">
      <w:pPr>
        <w:tabs>
          <w:tab w:val="clear" w:pos="567"/>
        </w:tabs>
      </w:pPr>
    </w:p>
    <w:p w14:paraId="079FF52C" w14:textId="77777777" w:rsidR="00951F81" w:rsidRDefault="00951F81" w:rsidP="00F70A44">
      <w:pPr>
        <w:tabs>
          <w:tab w:val="clear" w:pos="567"/>
        </w:tabs>
      </w:pPr>
    </w:p>
    <w:p w14:paraId="1E8D5348" w14:textId="43A47B8F" w:rsidR="00951F81" w:rsidRDefault="00951F81" w:rsidP="00F70A44">
      <w:pPr>
        <w:keepNext/>
        <w:pBdr>
          <w:top w:val="single" w:sz="4" w:space="1" w:color="auto"/>
          <w:left w:val="single" w:sz="4" w:space="4" w:color="auto"/>
          <w:bottom w:val="single" w:sz="4" w:space="1" w:color="auto"/>
          <w:right w:val="single" w:sz="4" w:space="4" w:color="auto"/>
        </w:pBdr>
        <w:ind w:left="567" w:hanging="567"/>
        <w:rPr>
          <w:b/>
        </w:rPr>
      </w:pPr>
      <w:r>
        <w:rPr>
          <w:b/>
        </w:rPr>
        <w:t>2.</w:t>
      </w:r>
      <w:r>
        <w:rPr>
          <w:b/>
        </w:rPr>
        <w:tab/>
        <w:t>TOIMEAINE(TE) SISALDUS</w:t>
      </w:r>
    </w:p>
    <w:p w14:paraId="2EC0B0C6" w14:textId="77777777" w:rsidR="00951F81" w:rsidRDefault="00951F81" w:rsidP="00F70A44">
      <w:pPr>
        <w:keepNext/>
      </w:pPr>
    </w:p>
    <w:p w14:paraId="314A5793" w14:textId="69083092" w:rsidR="00951F81" w:rsidRDefault="00B6460C" w:rsidP="00F70A44">
      <w:pPr>
        <w:tabs>
          <w:tab w:val="clear" w:pos="567"/>
        </w:tabs>
      </w:pPr>
      <w:r>
        <w:t xml:space="preserve">Üks </w:t>
      </w:r>
      <w:r w:rsidR="00951F81">
        <w:t>1 ml süstel sisaldab 60 mg denosumabi</w:t>
      </w:r>
      <w:r w:rsidR="00F72ED8">
        <w:t xml:space="preserve"> (60mg/ml)</w:t>
      </w:r>
      <w:r w:rsidR="00951F81">
        <w:t>.</w:t>
      </w:r>
    </w:p>
    <w:p w14:paraId="0C0E6C5C" w14:textId="77777777" w:rsidR="00951F81" w:rsidRDefault="00951F81" w:rsidP="00F70A44">
      <w:pPr>
        <w:tabs>
          <w:tab w:val="clear" w:pos="567"/>
        </w:tabs>
      </w:pPr>
    </w:p>
    <w:p w14:paraId="205FC39D" w14:textId="77777777" w:rsidR="00951F81" w:rsidRDefault="00951F81" w:rsidP="00F70A44">
      <w:pPr>
        <w:tabs>
          <w:tab w:val="clear" w:pos="567"/>
        </w:tabs>
      </w:pPr>
    </w:p>
    <w:p w14:paraId="14E02EBC" w14:textId="1824EA21" w:rsidR="00951F81" w:rsidRDefault="00951F81" w:rsidP="00F70A44">
      <w:pPr>
        <w:keepNext/>
        <w:pBdr>
          <w:top w:val="single" w:sz="4" w:space="1" w:color="auto"/>
          <w:left w:val="single" w:sz="4" w:space="4" w:color="auto"/>
          <w:bottom w:val="single" w:sz="4" w:space="1" w:color="auto"/>
          <w:right w:val="single" w:sz="4" w:space="4" w:color="auto"/>
        </w:pBdr>
        <w:ind w:left="567" w:hanging="567"/>
        <w:rPr>
          <w:highlight w:val="lightGray"/>
        </w:rPr>
      </w:pPr>
      <w:r>
        <w:rPr>
          <w:b/>
        </w:rPr>
        <w:t>3.</w:t>
      </w:r>
      <w:r>
        <w:rPr>
          <w:b/>
        </w:rPr>
        <w:tab/>
        <w:t>ABIAINED</w:t>
      </w:r>
    </w:p>
    <w:p w14:paraId="776DADD2" w14:textId="77777777" w:rsidR="00951F81" w:rsidRDefault="00951F81" w:rsidP="00F70A44">
      <w:pPr>
        <w:keepNext/>
      </w:pPr>
    </w:p>
    <w:p w14:paraId="45B25517" w14:textId="4C978E66" w:rsidR="00951F81" w:rsidRDefault="00D34D55" w:rsidP="00F70A44">
      <w:pPr>
        <w:keepNext/>
      </w:pPr>
      <w:r>
        <w:t>H</w:t>
      </w:r>
      <w:r w:rsidR="00B6460C">
        <w:t xml:space="preserve">istidiin, histidiinmonovesinikkloriidi monohüdraat, sahharoos, poloksameer 188, </w:t>
      </w:r>
      <w:r w:rsidR="00951F81">
        <w:t>süstevesi.</w:t>
      </w:r>
    </w:p>
    <w:p w14:paraId="65771A50" w14:textId="77777777" w:rsidR="00951F81" w:rsidRDefault="00951F81" w:rsidP="00F70A44">
      <w:pPr>
        <w:tabs>
          <w:tab w:val="clear" w:pos="567"/>
        </w:tabs>
      </w:pPr>
    </w:p>
    <w:p w14:paraId="2539496E" w14:textId="77777777" w:rsidR="00951F81" w:rsidRDefault="00951F81" w:rsidP="00F70A44">
      <w:pPr>
        <w:tabs>
          <w:tab w:val="clear" w:pos="567"/>
        </w:tabs>
      </w:pPr>
    </w:p>
    <w:p w14:paraId="21C2B6B0" w14:textId="5B36AAE9" w:rsidR="00951F81" w:rsidRDefault="00951F81" w:rsidP="00F70A44">
      <w:pPr>
        <w:keepNext/>
        <w:pBdr>
          <w:top w:val="single" w:sz="4" w:space="1" w:color="auto"/>
          <w:left w:val="single" w:sz="4" w:space="4" w:color="auto"/>
          <w:bottom w:val="single" w:sz="4" w:space="1" w:color="auto"/>
          <w:right w:val="single" w:sz="4" w:space="4" w:color="auto"/>
        </w:pBdr>
        <w:ind w:left="567" w:hanging="567"/>
      </w:pPr>
      <w:r>
        <w:rPr>
          <w:b/>
        </w:rPr>
        <w:t>4.</w:t>
      </w:r>
      <w:r>
        <w:rPr>
          <w:b/>
        </w:rPr>
        <w:tab/>
        <w:t>RAVIMVORM JA PAKENDI SUURUS</w:t>
      </w:r>
    </w:p>
    <w:p w14:paraId="45E73A7B" w14:textId="77777777" w:rsidR="00951F81" w:rsidRDefault="00951F81" w:rsidP="00F70A44">
      <w:pPr>
        <w:keepNext/>
      </w:pPr>
    </w:p>
    <w:p w14:paraId="52BB5188" w14:textId="77777777" w:rsidR="00951F81" w:rsidRDefault="00951F81" w:rsidP="00F70A44">
      <w:pPr>
        <w:keepNext/>
        <w:rPr>
          <w:highlight w:val="lightGray"/>
        </w:rPr>
      </w:pPr>
      <w:r>
        <w:rPr>
          <w:highlight w:val="lightGray"/>
        </w:rPr>
        <w:t>Süstelahus</w:t>
      </w:r>
    </w:p>
    <w:p w14:paraId="7733A7DE" w14:textId="3584C5D8" w:rsidR="00951F81" w:rsidRDefault="00B6460C" w:rsidP="00F70A44">
      <w:pPr>
        <w:keepNext/>
        <w:tabs>
          <w:tab w:val="clear" w:pos="567"/>
        </w:tabs>
      </w:pPr>
      <w:r>
        <w:t xml:space="preserve">1 </w:t>
      </w:r>
      <w:r w:rsidR="00951F81">
        <w:t>süstel</w:t>
      </w:r>
    </w:p>
    <w:p w14:paraId="2B3B17F6" w14:textId="77777777" w:rsidR="00951F81" w:rsidRDefault="00951F81" w:rsidP="00F70A44">
      <w:pPr>
        <w:tabs>
          <w:tab w:val="clear" w:pos="567"/>
        </w:tabs>
      </w:pPr>
    </w:p>
    <w:p w14:paraId="15130BB1" w14:textId="77777777" w:rsidR="00951F81" w:rsidRDefault="00951F81" w:rsidP="00F70A44">
      <w:pPr>
        <w:tabs>
          <w:tab w:val="clear" w:pos="567"/>
        </w:tabs>
      </w:pPr>
    </w:p>
    <w:p w14:paraId="16B4382E" w14:textId="5B478BF4" w:rsidR="00951F81" w:rsidRDefault="00951F81" w:rsidP="00F70A44">
      <w:pPr>
        <w:keepNext/>
        <w:pBdr>
          <w:top w:val="single" w:sz="4" w:space="2" w:color="auto"/>
          <w:left w:val="single" w:sz="4" w:space="4" w:color="auto"/>
          <w:bottom w:val="single" w:sz="4" w:space="1" w:color="auto"/>
          <w:right w:val="single" w:sz="4" w:space="4" w:color="auto"/>
        </w:pBdr>
        <w:ind w:left="567" w:hanging="567"/>
        <w:rPr>
          <w:highlight w:val="lightGray"/>
        </w:rPr>
      </w:pPr>
      <w:r>
        <w:rPr>
          <w:b/>
        </w:rPr>
        <w:t>5.</w:t>
      </w:r>
      <w:r>
        <w:rPr>
          <w:b/>
        </w:rPr>
        <w:tab/>
        <w:t xml:space="preserve">MANUSTAMISVIIS JA </w:t>
      </w:r>
      <w:r>
        <w:rPr>
          <w:b/>
        </w:rPr>
        <w:noBreakHyphen/>
        <w:t>TEE</w:t>
      </w:r>
    </w:p>
    <w:p w14:paraId="1ADBFD01" w14:textId="77777777" w:rsidR="00951F81" w:rsidRDefault="00951F81" w:rsidP="00F70A44">
      <w:pPr>
        <w:keepNext/>
      </w:pPr>
    </w:p>
    <w:p w14:paraId="0485BD00" w14:textId="53BB0F89" w:rsidR="00951F81" w:rsidRDefault="00951F81" w:rsidP="00F70A44">
      <w:pPr>
        <w:keepNext/>
        <w:tabs>
          <w:tab w:val="clear" w:pos="567"/>
        </w:tabs>
      </w:pPr>
      <w:r>
        <w:t>Subkutaanne</w:t>
      </w:r>
    </w:p>
    <w:p w14:paraId="19B04DDE" w14:textId="77777777" w:rsidR="00951F81" w:rsidRDefault="00951F81" w:rsidP="00F70A44">
      <w:pPr>
        <w:keepNext/>
        <w:tabs>
          <w:tab w:val="clear" w:pos="567"/>
        </w:tabs>
      </w:pPr>
      <w:r>
        <w:rPr>
          <w:b/>
        </w:rPr>
        <w:t>Oluline:</w:t>
      </w:r>
      <w:r>
        <w:t xml:space="preserve"> enne süstli käsitsemist lugege pakendi infolehte.</w:t>
      </w:r>
    </w:p>
    <w:p w14:paraId="1BA7FF37" w14:textId="77777777" w:rsidR="00951F81" w:rsidRDefault="00951F81" w:rsidP="00F70A44">
      <w:pPr>
        <w:keepNext/>
        <w:tabs>
          <w:tab w:val="clear" w:pos="567"/>
        </w:tabs>
      </w:pPr>
      <w:r>
        <w:t>Mitte loksutada.</w:t>
      </w:r>
    </w:p>
    <w:p w14:paraId="16F691FD" w14:textId="77777777" w:rsidR="00951F81" w:rsidRDefault="00951F81" w:rsidP="00F70A44">
      <w:pPr>
        <w:rPr>
          <w:highlight w:val="lightGray"/>
        </w:rPr>
      </w:pPr>
      <w:r>
        <w:rPr>
          <w:highlight w:val="lightGray"/>
        </w:rPr>
        <w:t>Enne ravimi kasutamist lugege pakendi infolehte.</w:t>
      </w:r>
    </w:p>
    <w:p w14:paraId="0C4B4272" w14:textId="77777777" w:rsidR="00951F81" w:rsidRDefault="00951F81" w:rsidP="00F70A44">
      <w:pPr>
        <w:tabs>
          <w:tab w:val="clear" w:pos="567"/>
        </w:tabs>
      </w:pPr>
    </w:p>
    <w:p w14:paraId="657F6193" w14:textId="77777777" w:rsidR="00556C1E" w:rsidRDefault="00556C1E" w:rsidP="00F70A44">
      <w:pPr>
        <w:tabs>
          <w:tab w:val="clear" w:pos="567"/>
        </w:tabs>
      </w:pPr>
      <w:r w:rsidRPr="00B14CE1">
        <w:rPr>
          <w:highlight w:val="darkGray"/>
        </w:rPr>
        <w:t>QR-kood tuleb lisada</w:t>
      </w:r>
    </w:p>
    <w:p w14:paraId="20B1463C" w14:textId="1BE3085F" w:rsidR="00556C1E" w:rsidRDefault="00B30E31" w:rsidP="00F70A44">
      <w:pPr>
        <w:tabs>
          <w:tab w:val="clear" w:pos="567"/>
        </w:tabs>
      </w:pPr>
      <w:r>
        <w:t>k</w:t>
      </w:r>
      <w:r w:rsidR="00556C1E">
        <w:t>efdensispatients.com</w:t>
      </w:r>
    </w:p>
    <w:p w14:paraId="3E40D758" w14:textId="77777777" w:rsidR="00951F81" w:rsidRDefault="00951F81" w:rsidP="00F70A44">
      <w:pPr>
        <w:tabs>
          <w:tab w:val="clear" w:pos="567"/>
        </w:tabs>
      </w:pPr>
    </w:p>
    <w:p w14:paraId="58923331" w14:textId="62D0EB47" w:rsidR="00951F81" w:rsidRDefault="00951F81" w:rsidP="00F70A44">
      <w:pPr>
        <w:keepNext/>
        <w:pBdr>
          <w:top w:val="single" w:sz="4" w:space="1" w:color="auto"/>
          <w:left w:val="single" w:sz="4" w:space="4" w:color="auto"/>
          <w:bottom w:val="single" w:sz="4" w:space="1" w:color="auto"/>
          <w:right w:val="single" w:sz="4" w:space="4" w:color="auto"/>
        </w:pBdr>
        <w:ind w:left="567" w:hanging="567"/>
      </w:pPr>
      <w:r>
        <w:rPr>
          <w:b/>
        </w:rPr>
        <w:t>6.</w:t>
      </w:r>
      <w:r>
        <w:rPr>
          <w:b/>
        </w:rPr>
        <w:tab/>
        <w:t>ERIHOIATUS, ET RAVIMIT TULEB HOIDA LASTE EEST VARJATUD JA KÄTTESAAMATUS KOHAS</w:t>
      </w:r>
    </w:p>
    <w:p w14:paraId="7BC2D20A" w14:textId="77777777" w:rsidR="00951F81" w:rsidRDefault="00951F81" w:rsidP="00F70A44">
      <w:pPr>
        <w:keepNext/>
      </w:pPr>
    </w:p>
    <w:p w14:paraId="7C00B168" w14:textId="77777777" w:rsidR="00951F81" w:rsidRDefault="00951F81" w:rsidP="00F70A44">
      <w:pPr>
        <w:tabs>
          <w:tab w:val="clear" w:pos="567"/>
        </w:tabs>
      </w:pPr>
      <w:r>
        <w:t>Hoida laste eest varjatud ja kättesaamatus kohas.</w:t>
      </w:r>
    </w:p>
    <w:p w14:paraId="41A2D2A6" w14:textId="77777777" w:rsidR="00951F81" w:rsidRDefault="00951F81" w:rsidP="00F70A44">
      <w:pPr>
        <w:tabs>
          <w:tab w:val="clear" w:pos="567"/>
        </w:tabs>
      </w:pPr>
    </w:p>
    <w:p w14:paraId="1E780B7D" w14:textId="77777777" w:rsidR="00951F81" w:rsidRDefault="00951F81" w:rsidP="00F70A44">
      <w:pPr>
        <w:tabs>
          <w:tab w:val="clear" w:pos="567"/>
        </w:tabs>
      </w:pPr>
    </w:p>
    <w:p w14:paraId="7E5D8470" w14:textId="03DEE241" w:rsidR="00951F81" w:rsidRDefault="00951F81" w:rsidP="00F70A44">
      <w:pPr>
        <w:keepNext/>
        <w:pBdr>
          <w:top w:val="single" w:sz="4" w:space="1" w:color="auto"/>
          <w:left w:val="single" w:sz="4" w:space="4" w:color="auto"/>
          <w:bottom w:val="single" w:sz="4" w:space="1" w:color="auto"/>
          <w:right w:val="single" w:sz="4" w:space="4" w:color="auto"/>
        </w:pBdr>
        <w:ind w:left="567" w:hanging="567"/>
        <w:rPr>
          <w:highlight w:val="lightGray"/>
        </w:rPr>
      </w:pPr>
      <w:r>
        <w:rPr>
          <w:b/>
        </w:rPr>
        <w:t>7.</w:t>
      </w:r>
      <w:r>
        <w:rPr>
          <w:b/>
        </w:rPr>
        <w:tab/>
        <w:t>TEISED ERIHOIATUSED (VAJADUSEL)</w:t>
      </w:r>
    </w:p>
    <w:p w14:paraId="64AEA835" w14:textId="77777777" w:rsidR="00951F81" w:rsidRDefault="00951F81" w:rsidP="00F70A44">
      <w:pPr>
        <w:keepNext/>
      </w:pPr>
    </w:p>
    <w:p w14:paraId="1B77EC45" w14:textId="77777777" w:rsidR="00951F81" w:rsidRDefault="00951F81" w:rsidP="00F70A44">
      <w:pPr>
        <w:tabs>
          <w:tab w:val="clear" w:pos="567"/>
        </w:tabs>
      </w:pPr>
    </w:p>
    <w:p w14:paraId="62AFE5EF" w14:textId="189A9AD4" w:rsidR="00951F81" w:rsidRDefault="00951F81" w:rsidP="00F70A44">
      <w:pPr>
        <w:keepNext/>
        <w:pBdr>
          <w:top w:val="single" w:sz="4" w:space="1" w:color="auto"/>
          <w:left w:val="single" w:sz="4" w:space="4" w:color="auto"/>
          <w:bottom w:val="single" w:sz="4" w:space="1" w:color="auto"/>
          <w:right w:val="single" w:sz="4" w:space="4" w:color="auto"/>
        </w:pBdr>
        <w:ind w:left="567" w:hanging="567"/>
        <w:rPr>
          <w:highlight w:val="lightGray"/>
        </w:rPr>
      </w:pPr>
      <w:r>
        <w:rPr>
          <w:b/>
        </w:rPr>
        <w:t>8.</w:t>
      </w:r>
      <w:r>
        <w:rPr>
          <w:b/>
        </w:rPr>
        <w:tab/>
        <w:t>KÕLBLIKKUSAEG</w:t>
      </w:r>
    </w:p>
    <w:p w14:paraId="1114FDFC" w14:textId="77777777" w:rsidR="00951F81" w:rsidRDefault="00951F81" w:rsidP="00F70A44">
      <w:pPr>
        <w:keepNext/>
      </w:pPr>
    </w:p>
    <w:p w14:paraId="6D605F32" w14:textId="37EFDD14" w:rsidR="00951F81" w:rsidRDefault="00EB5669" w:rsidP="00F70A44">
      <w:pPr>
        <w:tabs>
          <w:tab w:val="clear" w:pos="567"/>
        </w:tabs>
      </w:pPr>
      <w:r>
        <w:t>EXP</w:t>
      </w:r>
    </w:p>
    <w:p w14:paraId="2530F947" w14:textId="77777777" w:rsidR="00951F81" w:rsidRDefault="00951F81" w:rsidP="00F70A44">
      <w:pPr>
        <w:tabs>
          <w:tab w:val="clear" w:pos="567"/>
        </w:tabs>
      </w:pPr>
    </w:p>
    <w:p w14:paraId="62D7D2DC" w14:textId="77777777" w:rsidR="00951F81" w:rsidRDefault="00951F81" w:rsidP="00F70A44">
      <w:pPr>
        <w:tabs>
          <w:tab w:val="clear" w:pos="567"/>
        </w:tabs>
      </w:pPr>
    </w:p>
    <w:p w14:paraId="0CC1395C" w14:textId="7E3267DE" w:rsidR="00951F81" w:rsidRDefault="00951F81" w:rsidP="00F70A44">
      <w:pPr>
        <w:pBdr>
          <w:top w:val="single" w:sz="4" w:space="1" w:color="auto"/>
          <w:left w:val="single" w:sz="4" w:space="4" w:color="auto"/>
          <w:bottom w:val="single" w:sz="4" w:space="1" w:color="auto"/>
          <w:right w:val="single" w:sz="4" w:space="4" w:color="auto"/>
        </w:pBdr>
        <w:ind w:left="567" w:hanging="567"/>
      </w:pPr>
      <w:r>
        <w:rPr>
          <w:b/>
        </w:rPr>
        <w:t>9.</w:t>
      </w:r>
      <w:r>
        <w:rPr>
          <w:b/>
        </w:rPr>
        <w:tab/>
        <w:t>SÄILITAMISE ERITINGIMUSED</w:t>
      </w:r>
    </w:p>
    <w:p w14:paraId="6BC2466D" w14:textId="77777777" w:rsidR="00951F81" w:rsidRDefault="00951F81" w:rsidP="00F70A44"/>
    <w:p w14:paraId="1714B2CB" w14:textId="77777777" w:rsidR="00951F81" w:rsidRDefault="00951F81" w:rsidP="00F70A44">
      <w:pPr>
        <w:tabs>
          <w:tab w:val="clear" w:pos="567"/>
        </w:tabs>
      </w:pPr>
      <w:r>
        <w:t>Hoida külmkapis.</w:t>
      </w:r>
    </w:p>
    <w:p w14:paraId="101BDE81" w14:textId="77777777" w:rsidR="00951F81" w:rsidRDefault="00951F81" w:rsidP="00F70A44">
      <w:pPr>
        <w:tabs>
          <w:tab w:val="clear" w:pos="567"/>
        </w:tabs>
      </w:pPr>
      <w:r>
        <w:t>Mitte lasta külmuda.</w:t>
      </w:r>
    </w:p>
    <w:p w14:paraId="1833BCA7" w14:textId="560F38BD" w:rsidR="00951F81" w:rsidRDefault="00951F81" w:rsidP="00F70A44">
      <w:pPr>
        <w:tabs>
          <w:tab w:val="clear" w:pos="567"/>
        </w:tabs>
      </w:pPr>
      <w:r>
        <w:t>Hoida süstel välispakendis valguse eest kaitstult.</w:t>
      </w:r>
    </w:p>
    <w:p w14:paraId="13D91894" w14:textId="77777777" w:rsidR="00951F81" w:rsidRDefault="00951F81" w:rsidP="00F70A44">
      <w:pPr>
        <w:tabs>
          <w:tab w:val="clear" w:pos="567"/>
        </w:tabs>
      </w:pPr>
    </w:p>
    <w:p w14:paraId="0A90AB4D" w14:textId="77777777" w:rsidR="00951F81" w:rsidRDefault="00951F81" w:rsidP="00F70A44">
      <w:pPr>
        <w:tabs>
          <w:tab w:val="clear" w:pos="567"/>
        </w:tabs>
      </w:pPr>
    </w:p>
    <w:p w14:paraId="6B087207" w14:textId="6EC799F8" w:rsidR="00951F81" w:rsidRDefault="00951F81" w:rsidP="00F70A44">
      <w:pPr>
        <w:keepNext/>
        <w:pBdr>
          <w:top w:val="single" w:sz="4" w:space="1" w:color="auto"/>
          <w:left w:val="single" w:sz="4" w:space="4" w:color="auto"/>
          <w:bottom w:val="single" w:sz="4" w:space="1" w:color="auto"/>
          <w:right w:val="single" w:sz="4" w:space="4" w:color="auto"/>
        </w:pBdr>
        <w:ind w:left="567" w:hanging="567"/>
        <w:rPr>
          <w:b/>
        </w:rPr>
      </w:pPr>
      <w:r>
        <w:rPr>
          <w:b/>
        </w:rPr>
        <w:t>10.</w:t>
      </w:r>
      <w:r>
        <w:rPr>
          <w:b/>
        </w:rPr>
        <w:tab/>
        <w:t>ERINÕUDED KASUTAMATA JÄÄNUD RAVIMIPREPARAADI VÕI SELLEST TEKKINUD JÄÄTMEMATERJALI HÄVITAMISEKS, VASTAVALT VAJADUSELE</w:t>
      </w:r>
    </w:p>
    <w:p w14:paraId="3E0B5434" w14:textId="77777777" w:rsidR="00951F81" w:rsidRDefault="00951F81" w:rsidP="00F70A44">
      <w:pPr>
        <w:keepNext/>
      </w:pPr>
    </w:p>
    <w:p w14:paraId="53AA2AD4" w14:textId="77777777" w:rsidR="00951F81" w:rsidRDefault="00951F81" w:rsidP="00F70A44">
      <w:pPr>
        <w:tabs>
          <w:tab w:val="clear" w:pos="567"/>
        </w:tabs>
      </w:pPr>
    </w:p>
    <w:p w14:paraId="4239DBFC" w14:textId="7A6AB5B4" w:rsidR="00951F81" w:rsidRDefault="00951F81" w:rsidP="00F70A44">
      <w:pPr>
        <w:keepNext/>
        <w:pBdr>
          <w:top w:val="single" w:sz="4" w:space="1" w:color="auto"/>
          <w:left w:val="single" w:sz="4" w:space="4" w:color="auto"/>
          <w:bottom w:val="single" w:sz="4" w:space="1" w:color="auto"/>
          <w:right w:val="single" w:sz="4" w:space="4" w:color="auto"/>
        </w:pBdr>
        <w:ind w:left="567" w:hanging="567"/>
        <w:rPr>
          <w:b/>
        </w:rPr>
      </w:pPr>
      <w:r>
        <w:rPr>
          <w:b/>
        </w:rPr>
        <w:t>11.</w:t>
      </w:r>
      <w:r>
        <w:rPr>
          <w:b/>
        </w:rPr>
        <w:tab/>
        <w:t>MÜÜGILOA HOIDJA NIMI JA AADRESS</w:t>
      </w:r>
    </w:p>
    <w:p w14:paraId="40B92BA3" w14:textId="77777777" w:rsidR="00951F81" w:rsidRDefault="00951F81" w:rsidP="00F70A44">
      <w:pPr>
        <w:keepNext/>
      </w:pPr>
    </w:p>
    <w:p w14:paraId="441D10ED" w14:textId="77777777" w:rsidR="00556C1E" w:rsidRPr="00F70A44" w:rsidRDefault="00556C1E" w:rsidP="00F70A44">
      <w:r w:rsidRPr="00F70A44">
        <w:t>STADA Arzneimittel AG</w:t>
      </w:r>
    </w:p>
    <w:p w14:paraId="2A1F32BC" w14:textId="77777777" w:rsidR="00556C1E" w:rsidRPr="00F70A44" w:rsidRDefault="00556C1E" w:rsidP="00F70A44">
      <w:r w:rsidRPr="00F70A44">
        <w:t>Stadastrasse 2–18</w:t>
      </w:r>
    </w:p>
    <w:p w14:paraId="09EA1996" w14:textId="77777777" w:rsidR="00556C1E" w:rsidRPr="00B14CE1" w:rsidRDefault="00556C1E" w:rsidP="00F70A44">
      <w:pPr>
        <w:rPr>
          <w:lang w:val="en-GB"/>
        </w:rPr>
      </w:pPr>
      <w:r w:rsidRPr="00B14CE1">
        <w:rPr>
          <w:lang w:val="en-GB"/>
        </w:rPr>
        <w:t>61118 Bad Vilbel</w:t>
      </w:r>
    </w:p>
    <w:p w14:paraId="74E44750" w14:textId="08797E43" w:rsidR="00556C1E" w:rsidRPr="00442125" w:rsidRDefault="00556C1E" w:rsidP="00F70A44">
      <w:r>
        <w:t>Saksamaa</w:t>
      </w:r>
    </w:p>
    <w:p w14:paraId="3FAE2398" w14:textId="77777777" w:rsidR="00951F81" w:rsidRDefault="00951F81" w:rsidP="00F70A44">
      <w:pPr>
        <w:tabs>
          <w:tab w:val="clear" w:pos="567"/>
        </w:tabs>
      </w:pPr>
    </w:p>
    <w:p w14:paraId="16984C5F" w14:textId="77777777" w:rsidR="00951F81" w:rsidRDefault="00951F81" w:rsidP="00F70A44">
      <w:pPr>
        <w:tabs>
          <w:tab w:val="clear" w:pos="567"/>
        </w:tabs>
      </w:pPr>
    </w:p>
    <w:p w14:paraId="6BB69D4B" w14:textId="6AC9A8E8" w:rsidR="00951F81" w:rsidRDefault="00951F81" w:rsidP="00F70A44">
      <w:pPr>
        <w:keepNext/>
        <w:pBdr>
          <w:top w:val="single" w:sz="4" w:space="1" w:color="auto"/>
          <w:left w:val="single" w:sz="4" w:space="4" w:color="auto"/>
          <w:bottom w:val="single" w:sz="4" w:space="1" w:color="auto"/>
          <w:right w:val="single" w:sz="4" w:space="4" w:color="auto"/>
        </w:pBdr>
        <w:ind w:left="567" w:hanging="567"/>
        <w:rPr>
          <w:b/>
        </w:rPr>
      </w:pPr>
      <w:r>
        <w:rPr>
          <w:b/>
        </w:rPr>
        <w:t>12.</w:t>
      </w:r>
      <w:r>
        <w:rPr>
          <w:b/>
        </w:rPr>
        <w:tab/>
        <w:t>MÜÜGILOA NUMBER (NUMBRID)</w:t>
      </w:r>
    </w:p>
    <w:p w14:paraId="57BD3CB5" w14:textId="77777777" w:rsidR="00951F81" w:rsidRDefault="00951F81" w:rsidP="00F70A44">
      <w:pPr>
        <w:keepNext/>
      </w:pPr>
    </w:p>
    <w:p w14:paraId="2952C5B1" w14:textId="77777777" w:rsidR="00A8211F" w:rsidRDefault="00A8211F" w:rsidP="00A8211F">
      <w:r>
        <w:t>EU/</w:t>
      </w:r>
      <w:r w:rsidRPr="004644DF">
        <w:t>1/25/1980/001</w:t>
      </w:r>
    </w:p>
    <w:p w14:paraId="5EB209D1" w14:textId="77777777" w:rsidR="00951F81" w:rsidRDefault="00951F81" w:rsidP="00F70A44">
      <w:pPr>
        <w:tabs>
          <w:tab w:val="clear" w:pos="567"/>
        </w:tabs>
      </w:pPr>
    </w:p>
    <w:p w14:paraId="6F2F7F00" w14:textId="77777777" w:rsidR="00951F81" w:rsidRDefault="00951F81" w:rsidP="00F70A44">
      <w:pPr>
        <w:tabs>
          <w:tab w:val="clear" w:pos="567"/>
        </w:tabs>
      </w:pPr>
    </w:p>
    <w:p w14:paraId="0C28084E" w14:textId="5561C97C" w:rsidR="00951F81" w:rsidRDefault="00951F81" w:rsidP="00F70A44">
      <w:pPr>
        <w:keepNext/>
        <w:pBdr>
          <w:top w:val="single" w:sz="4" w:space="1" w:color="auto"/>
          <w:left w:val="single" w:sz="4" w:space="4" w:color="auto"/>
          <w:bottom w:val="single" w:sz="4" w:space="1" w:color="auto"/>
          <w:right w:val="single" w:sz="4" w:space="4" w:color="auto"/>
        </w:pBdr>
        <w:ind w:left="567" w:hanging="567"/>
      </w:pPr>
      <w:r>
        <w:rPr>
          <w:b/>
        </w:rPr>
        <w:t>13.</w:t>
      </w:r>
      <w:r>
        <w:rPr>
          <w:b/>
        </w:rPr>
        <w:tab/>
        <w:t>PARTII NUMBER</w:t>
      </w:r>
    </w:p>
    <w:p w14:paraId="76D361FD" w14:textId="77777777" w:rsidR="00951F81" w:rsidRDefault="00951F81" w:rsidP="00F70A44">
      <w:pPr>
        <w:keepNext/>
      </w:pPr>
    </w:p>
    <w:p w14:paraId="266315F5" w14:textId="665287F5" w:rsidR="00951F81" w:rsidRDefault="00EB5669" w:rsidP="00F70A44">
      <w:pPr>
        <w:tabs>
          <w:tab w:val="clear" w:pos="567"/>
        </w:tabs>
      </w:pPr>
      <w:r>
        <w:t>Lot</w:t>
      </w:r>
    </w:p>
    <w:p w14:paraId="424E12F9" w14:textId="77777777" w:rsidR="00951F81" w:rsidRDefault="00951F81" w:rsidP="00F70A44">
      <w:pPr>
        <w:tabs>
          <w:tab w:val="clear" w:pos="567"/>
        </w:tabs>
      </w:pPr>
    </w:p>
    <w:p w14:paraId="483AB26C" w14:textId="77777777" w:rsidR="00951F81" w:rsidRDefault="00951F81" w:rsidP="00F70A44">
      <w:pPr>
        <w:tabs>
          <w:tab w:val="clear" w:pos="567"/>
        </w:tabs>
      </w:pPr>
    </w:p>
    <w:p w14:paraId="0EDBBC85" w14:textId="237B87F8" w:rsidR="00951F81" w:rsidRDefault="00951F81" w:rsidP="00F70A44">
      <w:pPr>
        <w:keepNext/>
        <w:pBdr>
          <w:top w:val="single" w:sz="4" w:space="1" w:color="auto"/>
          <w:left w:val="single" w:sz="4" w:space="4" w:color="auto"/>
          <w:bottom w:val="single" w:sz="4" w:space="1" w:color="auto"/>
          <w:right w:val="single" w:sz="4" w:space="4" w:color="auto"/>
        </w:pBdr>
        <w:ind w:left="567" w:hanging="567"/>
      </w:pPr>
      <w:r>
        <w:rPr>
          <w:b/>
        </w:rPr>
        <w:t>14.</w:t>
      </w:r>
      <w:r>
        <w:rPr>
          <w:b/>
        </w:rPr>
        <w:tab/>
        <w:t>RAVIMI VÄLJASTAMISTINGIMUSED</w:t>
      </w:r>
    </w:p>
    <w:p w14:paraId="1EDBE148" w14:textId="77777777" w:rsidR="00951F81" w:rsidRDefault="00951F81" w:rsidP="00F70A44">
      <w:pPr>
        <w:keepNext/>
      </w:pPr>
    </w:p>
    <w:p w14:paraId="745E4C03" w14:textId="77777777" w:rsidR="00951F81" w:rsidRDefault="00951F81" w:rsidP="00F70A44">
      <w:pPr>
        <w:tabs>
          <w:tab w:val="clear" w:pos="567"/>
        </w:tabs>
      </w:pPr>
    </w:p>
    <w:p w14:paraId="60970C85" w14:textId="551BFA7A" w:rsidR="00951F81" w:rsidRDefault="00951F81" w:rsidP="00F70A44">
      <w:pPr>
        <w:keepNext/>
        <w:pBdr>
          <w:top w:val="single" w:sz="4" w:space="1" w:color="auto"/>
          <w:left w:val="single" w:sz="4" w:space="4" w:color="auto"/>
          <w:bottom w:val="single" w:sz="4" w:space="1" w:color="auto"/>
          <w:right w:val="single" w:sz="4" w:space="4" w:color="auto"/>
        </w:pBdr>
        <w:ind w:left="567" w:hanging="567"/>
      </w:pPr>
      <w:r>
        <w:rPr>
          <w:b/>
        </w:rPr>
        <w:t>15.</w:t>
      </w:r>
      <w:r>
        <w:rPr>
          <w:b/>
        </w:rPr>
        <w:tab/>
        <w:t>KASUTUSJUHEND</w:t>
      </w:r>
    </w:p>
    <w:p w14:paraId="1DC826DB" w14:textId="77777777" w:rsidR="00951F81" w:rsidRDefault="00951F81" w:rsidP="00F70A44">
      <w:pPr>
        <w:keepNext/>
      </w:pPr>
    </w:p>
    <w:p w14:paraId="22875F8D" w14:textId="77777777" w:rsidR="00951F81" w:rsidRDefault="00951F81" w:rsidP="00F70A44">
      <w:pPr>
        <w:tabs>
          <w:tab w:val="clear" w:pos="567"/>
        </w:tabs>
      </w:pPr>
    </w:p>
    <w:p w14:paraId="3E695C58" w14:textId="2D64FBCE" w:rsidR="00951F81" w:rsidRDefault="00951F81" w:rsidP="00F70A44">
      <w:pPr>
        <w:keepNext/>
        <w:pBdr>
          <w:top w:val="single" w:sz="4" w:space="1" w:color="auto"/>
          <w:left w:val="single" w:sz="4" w:space="4" w:color="auto"/>
          <w:bottom w:val="single" w:sz="4" w:space="1" w:color="auto"/>
          <w:right w:val="single" w:sz="4" w:space="4" w:color="auto"/>
        </w:pBdr>
        <w:ind w:left="567" w:hanging="567"/>
      </w:pPr>
      <w:r>
        <w:rPr>
          <w:b/>
        </w:rPr>
        <w:t>16.</w:t>
      </w:r>
      <w:r>
        <w:rPr>
          <w:b/>
        </w:rPr>
        <w:tab/>
        <w:t>TEAVE BRAILLE’ KIRJAS (PUNKTKIRJAS)</w:t>
      </w:r>
    </w:p>
    <w:p w14:paraId="6B0877AE" w14:textId="77777777" w:rsidR="00951F81" w:rsidRDefault="00951F81" w:rsidP="00F70A44">
      <w:pPr>
        <w:keepNext/>
      </w:pPr>
    </w:p>
    <w:p w14:paraId="3EE434A3" w14:textId="6FC4F01D" w:rsidR="00951F81" w:rsidRDefault="000517DC" w:rsidP="00951F81">
      <w:pPr>
        <w:tabs>
          <w:tab w:val="clear" w:pos="567"/>
        </w:tabs>
      </w:pPr>
      <w:r>
        <w:t>K</w:t>
      </w:r>
      <w:r w:rsidR="00974204">
        <w:t>efdensis</w:t>
      </w:r>
    </w:p>
    <w:p w14:paraId="53C436BE" w14:textId="77777777" w:rsidR="00951F81" w:rsidRDefault="00951F81" w:rsidP="00951F81">
      <w:pPr>
        <w:tabs>
          <w:tab w:val="clear" w:pos="567"/>
        </w:tabs>
      </w:pPr>
    </w:p>
    <w:p w14:paraId="2974F596" w14:textId="77777777" w:rsidR="00951F81" w:rsidRDefault="00951F81" w:rsidP="00951F81">
      <w:pPr>
        <w:tabs>
          <w:tab w:val="clear" w:pos="567"/>
        </w:tabs>
      </w:pPr>
    </w:p>
    <w:p w14:paraId="06FE37D0" w14:textId="77777777" w:rsidR="00951F81"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17.</w:t>
      </w:r>
      <w:r>
        <w:rPr>
          <w:b/>
        </w:rPr>
        <w:tab/>
        <w:t>AINULAADNE IDENTIFIKAATOR – 2D</w:t>
      </w:r>
      <w:r>
        <w:rPr>
          <w:b/>
        </w:rPr>
        <w:noBreakHyphen/>
        <w:t>vöötkood</w:t>
      </w:r>
    </w:p>
    <w:p w14:paraId="61AFE281" w14:textId="77777777" w:rsidR="00951F81" w:rsidRDefault="00951F81" w:rsidP="00951F81">
      <w:pPr>
        <w:keepNext/>
      </w:pPr>
    </w:p>
    <w:p w14:paraId="339154B1" w14:textId="77777777" w:rsidR="00951F81" w:rsidRDefault="00951F81" w:rsidP="00951F81">
      <w:pPr>
        <w:rPr>
          <w:highlight w:val="lightGray"/>
        </w:rPr>
      </w:pPr>
      <w:r>
        <w:rPr>
          <w:highlight w:val="lightGray"/>
        </w:rPr>
        <w:t>Lisatud on 2D</w:t>
      </w:r>
      <w:r>
        <w:rPr>
          <w:highlight w:val="lightGray"/>
        </w:rPr>
        <w:noBreakHyphen/>
        <w:t>vöötkood, mis sisaldab ainulaadset identifikaatorit.</w:t>
      </w:r>
    </w:p>
    <w:p w14:paraId="696ADE5E" w14:textId="77777777" w:rsidR="00951F81" w:rsidRDefault="00951F81" w:rsidP="00951F81">
      <w:pPr>
        <w:tabs>
          <w:tab w:val="clear" w:pos="567"/>
        </w:tabs>
      </w:pPr>
    </w:p>
    <w:p w14:paraId="43E1B4B5" w14:textId="77777777" w:rsidR="00951F81" w:rsidRDefault="00951F81" w:rsidP="00951F81">
      <w:pPr>
        <w:tabs>
          <w:tab w:val="clear" w:pos="567"/>
        </w:tabs>
      </w:pPr>
    </w:p>
    <w:p w14:paraId="44DE678F" w14:textId="77777777" w:rsidR="00951F81" w:rsidRDefault="00951F81" w:rsidP="00951F81">
      <w:pPr>
        <w:keepNext/>
        <w:pBdr>
          <w:top w:val="single" w:sz="4" w:space="1" w:color="auto"/>
          <w:left w:val="single" w:sz="4" w:space="4" w:color="auto"/>
          <w:bottom w:val="single" w:sz="4" w:space="0" w:color="auto"/>
          <w:right w:val="single" w:sz="4" w:space="4" w:color="auto"/>
        </w:pBdr>
        <w:tabs>
          <w:tab w:val="clear" w:pos="567"/>
        </w:tabs>
        <w:ind w:left="567" w:hanging="567"/>
        <w:rPr>
          <w:i/>
        </w:rPr>
      </w:pPr>
      <w:r>
        <w:rPr>
          <w:b/>
        </w:rPr>
        <w:t>18.</w:t>
      </w:r>
      <w:r>
        <w:rPr>
          <w:b/>
        </w:rPr>
        <w:tab/>
        <w:t>AINULAADNE IDENTIFIKAATOR – INIMLOETAVAD ANDMED</w:t>
      </w:r>
    </w:p>
    <w:p w14:paraId="2337B0B1" w14:textId="77777777" w:rsidR="00951F81" w:rsidRDefault="00951F81" w:rsidP="00951F81">
      <w:pPr>
        <w:keepNext/>
      </w:pPr>
    </w:p>
    <w:p w14:paraId="2A8244AD" w14:textId="77777777" w:rsidR="00951F81" w:rsidRDefault="00951F81" w:rsidP="00951F81">
      <w:pPr>
        <w:keepNext/>
        <w:tabs>
          <w:tab w:val="clear" w:pos="567"/>
        </w:tabs>
      </w:pPr>
      <w:r>
        <w:t>PC</w:t>
      </w:r>
    </w:p>
    <w:p w14:paraId="62917A89" w14:textId="77777777" w:rsidR="00951F81" w:rsidRDefault="00951F81" w:rsidP="00951F81">
      <w:pPr>
        <w:keepNext/>
        <w:tabs>
          <w:tab w:val="clear" w:pos="567"/>
        </w:tabs>
      </w:pPr>
      <w:r>
        <w:t>SN</w:t>
      </w:r>
    </w:p>
    <w:p w14:paraId="0216C3DF" w14:textId="77777777" w:rsidR="00951F81" w:rsidRPr="00B14CE1" w:rsidRDefault="00951F81" w:rsidP="00951F81">
      <w:pPr>
        <w:keepNext/>
      </w:pPr>
      <w:r w:rsidRPr="00B14CE1">
        <w:t>NN</w:t>
      </w:r>
    </w:p>
    <w:p w14:paraId="73ED6CF9" w14:textId="2D0CC4AA" w:rsidR="00951F81" w:rsidRDefault="00884E6E" w:rsidP="00B14CE1">
      <w:pPr>
        <w:keepNext/>
        <w:pBdr>
          <w:top w:val="single" w:sz="2" w:space="1" w:color="auto"/>
          <w:left w:val="single" w:sz="2" w:space="4" w:color="auto"/>
          <w:bottom w:val="single" w:sz="2" w:space="1" w:color="auto"/>
          <w:right w:val="single" w:sz="2" w:space="4" w:color="auto"/>
        </w:pBdr>
        <w:tabs>
          <w:tab w:val="clear" w:pos="567"/>
        </w:tabs>
        <w:rPr>
          <w:noProof/>
        </w:rPr>
      </w:pPr>
      <w:r>
        <w:br w:type="page"/>
      </w:r>
    </w:p>
    <w:p w14:paraId="767A7D25" w14:textId="2BE4201F" w:rsidR="00951F81" w:rsidRDefault="00884E6E" w:rsidP="00884E6E">
      <w:pPr>
        <w:keepNext/>
        <w:pBdr>
          <w:top w:val="single" w:sz="4" w:space="1" w:color="auto"/>
          <w:left w:val="single" w:sz="4" w:space="4" w:color="auto"/>
          <w:bottom w:val="single" w:sz="4" w:space="1" w:color="auto"/>
          <w:right w:val="single" w:sz="4" w:space="4" w:color="auto"/>
        </w:pBdr>
        <w:rPr>
          <w:b/>
        </w:rPr>
      </w:pPr>
      <w:r>
        <w:br w:type="page"/>
      </w:r>
      <w:r>
        <w:rPr>
          <w:b/>
        </w:rPr>
        <w:t>MINIMAALSED ANDMED, MIS PEAVAD OLEMA VÄIKESEL VAHETUL SISEPAKENDIL</w:t>
      </w:r>
    </w:p>
    <w:p w14:paraId="541FFBD6" w14:textId="77777777" w:rsidR="00951F81" w:rsidRDefault="00951F81" w:rsidP="00951F81">
      <w:pPr>
        <w:keepNext/>
        <w:pBdr>
          <w:top w:val="single" w:sz="4" w:space="1" w:color="auto"/>
          <w:left w:val="single" w:sz="4" w:space="4" w:color="auto"/>
          <w:bottom w:val="single" w:sz="4" w:space="1" w:color="auto"/>
          <w:right w:val="single" w:sz="4" w:space="4" w:color="auto"/>
        </w:pBdr>
        <w:rPr>
          <w:b/>
        </w:rPr>
      </w:pPr>
    </w:p>
    <w:p w14:paraId="6A0D2345" w14:textId="06DD0986" w:rsidR="00951F81" w:rsidRDefault="00951F81" w:rsidP="00951F81">
      <w:pPr>
        <w:keepNext/>
        <w:pBdr>
          <w:top w:val="single" w:sz="4" w:space="1" w:color="auto"/>
          <w:left w:val="single" w:sz="4" w:space="4" w:color="auto"/>
          <w:bottom w:val="single" w:sz="4" w:space="1" w:color="auto"/>
          <w:right w:val="single" w:sz="4" w:space="4" w:color="auto"/>
        </w:pBdr>
        <w:rPr>
          <w:b/>
          <w:highlight w:val="lightGray"/>
        </w:rPr>
      </w:pPr>
      <w:r>
        <w:rPr>
          <w:b/>
        </w:rPr>
        <w:t>SÜSTLI ETIKETT</w:t>
      </w:r>
    </w:p>
    <w:p w14:paraId="150F08CD" w14:textId="77777777" w:rsidR="00951F81" w:rsidRDefault="00951F81" w:rsidP="00951F81">
      <w:pPr>
        <w:keepNext/>
        <w:rPr>
          <w:lang w:val="fi-FI"/>
        </w:rPr>
      </w:pPr>
    </w:p>
    <w:p w14:paraId="7CD1682D" w14:textId="77777777" w:rsidR="00951F81" w:rsidRDefault="00951F81" w:rsidP="00951F81">
      <w:pPr>
        <w:tabs>
          <w:tab w:val="clear" w:pos="567"/>
        </w:tabs>
        <w:rPr>
          <w:lang w:val="fi-FI"/>
        </w:rPr>
      </w:pPr>
    </w:p>
    <w:p w14:paraId="08968009" w14:textId="161CCD61" w:rsidR="00951F81" w:rsidRDefault="00951F81" w:rsidP="00F70A44">
      <w:pPr>
        <w:keepNext/>
        <w:pBdr>
          <w:top w:val="single" w:sz="4" w:space="1" w:color="auto"/>
          <w:left w:val="single" w:sz="4" w:space="4" w:color="auto"/>
          <w:bottom w:val="single" w:sz="4" w:space="1" w:color="auto"/>
          <w:right w:val="single" w:sz="4" w:space="4" w:color="auto"/>
        </w:pBdr>
        <w:ind w:left="567" w:hanging="567"/>
        <w:rPr>
          <w:b/>
        </w:rPr>
      </w:pPr>
      <w:r>
        <w:rPr>
          <w:b/>
        </w:rPr>
        <w:t>1.</w:t>
      </w:r>
      <w:r>
        <w:rPr>
          <w:b/>
        </w:rPr>
        <w:tab/>
        <w:t>RAVIMPREPARAADI NIMETUS JA MANUSTAMISTEE</w:t>
      </w:r>
    </w:p>
    <w:p w14:paraId="10BA8C26" w14:textId="77777777" w:rsidR="00951F81" w:rsidRDefault="00951F81" w:rsidP="00F70A44">
      <w:pPr>
        <w:keepNext/>
      </w:pPr>
    </w:p>
    <w:p w14:paraId="5F9F4E17" w14:textId="68C32043" w:rsidR="00951F81" w:rsidRDefault="00974204" w:rsidP="00F70A44">
      <w:pPr>
        <w:keepNext/>
        <w:tabs>
          <w:tab w:val="clear" w:pos="567"/>
        </w:tabs>
      </w:pPr>
      <w:r>
        <w:t>Kefdensis</w:t>
      </w:r>
      <w:r w:rsidR="00951F81">
        <w:t xml:space="preserve"> 60 mg süstelahus</w:t>
      </w:r>
    </w:p>
    <w:p w14:paraId="7D83C2B6" w14:textId="7A6F23D7" w:rsidR="00951F81" w:rsidRPr="00B14CE1" w:rsidRDefault="00951F81" w:rsidP="00F70A44">
      <w:pPr>
        <w:keepNext/>
        <w:tabs>
          <w:tab w:val="clear" w:pos="567"/>
        </w:tabs>
        <w:rPr>
          <w:i/>
          <w:iCs/>
        </w:rPr>
      </w:pPr>
      <w:r w:rsidRPr="00B14CE1">
        <w:rPr>
          <w:i/>
          <w:iCs/>
        </w:rPr>
        <w:t>denosumab</w:t>
      </w:r>
      <w:r w:rsidR="00EB5669" w:rsidRPr="00B14CE1">
        <w:rPr>
          <w:i/>
          <w:iCs/>
        </w:rPr>
        <w:t>um</w:t>
      </w:r>
    </w:p>
    <w:p w14:paraId="42D1B1B5" w14:textId="77777777" w:rsidR="00951F81" w:rsidRDefault="00951F81" w:rsidP="00F70A44">
      <w:pPr>
        <w:tabs>
          <w:tab w:val="clear" w:pos="567"/>
        </w:tabs>
      </w:pPr>
      <w:r>
        <w:t>s.c.</w:t>
      </w:r>
    </w:p>
    <w:p w14:paraId="019B54AF" w14:textId="77777777" w:rsidR="00951F81" w:rsidRDefault="00951F81" w:rsidP="00F70A44">
      <w:pPr>
        <w:tabs>
          <w:tab w:val="clear" w:pos="567"/>
        </w:tabs>
      </w:pPr>
    </w:p>
    <w:p w14:paraId="3F0C6E94" w14:textId="77777777" w:rsidR="00951F81" w:rsidRDefault="00951F81" w:rsidP="00F70A44">
      <w:pPr>
        <w:tabs>
          <w:tab w:val="clear" w:pos="567"/>
        </w:tabs>
      </w:pPr>
    </w:p>
    <w:p w14:paraId="5AFAF5A9" w14:textId="69FFB6E9" w:rsidR="00951F81" w:rsidRDefault="00951F81" w:rsidP="00F70A44">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2.</w:t>
      </w:r>
      <w:r>
        <w:rPr>
          <w:b/>
        </w:rPr>
        <w:tab/>
        <w:t>MANUSTAMISVIIS</w:t>
      </w:r>
    </w:p>
    <w:p w14:paraId="68AF4E27" w14:textId="77777777" w:rsidR="00951F81" w:rsidRDefault="00951F81" w:rsidP="00F70A44">
      <w:pPr>
        <w:keepNext/>
      </w:pPr>
    </w:p>
    <w:p w14:paraId="28560E61" w14:textId="77777777" w:rsidR="00951F81" w:rsidRDefault="00951F81" w:rsidP="00F70A44">
      <w:pPr>
        <w:tabs>
          <w:tab w:val="clear" w:pos="567"/>
        </w:tabs>
      </w:pPr>
    </w:p>
    <w:p w14:paraId="08725B69" w14:textId="77777777" w:rsidR="00951F81" w:rsidRDefault="00951F81" w:rsidP="00F70A44">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3.</w:t>
      </w:r>
      <w:r>
        <w:rPr>
          <w:caps w:val="0"/>
        </w:rPr>
        <w:tab/>
        <w:t>KÕLBLIKKUSAEG</w:t>
      </w:r>
    </w:p>
    <w:p w14:paraId="26297927" w14:textId="77777777" w:rsidR="00951F81" w:rsidRDefault="00951F81" w:rsidP="00F70A44">
      <w:pPr>
        <w:keepNext/>
      </w:pPr>
    </w:p>
    <w:p w14:paraId="201994E0" w14:textId="77777777" w:rsidR="00951F81" w:rsidRDefault="00951F81" w:rsidP="00F70A44">
      <w:pPr>
        <w:tabs>
          <w:tab w:val="clear" w:pos="567"/>
        </w:tabs>
      </w:pPr>
      <w:r>
        <w:t>EXP</w:t>
      </w:r>
    </w:p>
    <w:p w14:paraId="107128B3" w14:textId="77777777" w:rsidR="00951F81" w:rsidRDefault="00951F81" w:rsidP="00F70A44">
      <w:pPr>
        <w:tabs>
          <w:tab w:val="clear" w:pos="567"/>
        </w:tabs>
      </w:pPr>
    </w:p>
    <w:p w14:paraId="60330DE7" w14:textId="77777777" w:rsidR="00951F81" w:rsidRDefault="00951F81" w:rsidP="00F70A44">
      <w:pPr>
        <w:tabs>
          <w:tab w:val="clear" w:pos="567"/>
        </w:tabs>
      </w:pPr>
    </w:p>
    <w:p w14:paraId="21A93D92" w14:textId="77777777" w:rsidR="00951F81" w:rsidRDefault="00951F81" w:rsidP="00F70A44">
      <w:pPr>
        <w:pStyle w:val="lblhead1"/>
        <w:pBdr>
          <w:top w:val="single" w:sz="4" w:space="1" w:color="auto"/>
          <w:left w:val="single" w:sz="4" w:space="4" w:color="auto"/>
          <w:bottom w:val="single" w:sz="4" w:space="1" w:color="auto"/>
          <w:right w:val="single" w:sz="4" w:space="4" w:color="auto"/>
        </w:pBdr>
        <w:rPr>
          <w:caps w:val="0"/>
          <w:noProof w:val="0"/>
          <w:highlight w:val="lightGray"/>
        </w:rPr>
      </w:pPr>
      <w:r>
        <w:rPr>
          <w:caps w:val="0"/>
        </w:rPr>
        <w:t>4.</w:t>
      </w:r>
      <w:r>
        <w:rPr>
          <w:caps w:val="0"/>
        </w:rPr>
        <w:tab/>
        <w:t>PARTII NUMBER</w:t>
      </w:r>
    </w:p>
    <w:p w14:paraId="74ABDE08" w14:textId="77777777" w:rsidR="00951F81" w:rsidRDefault="00951F81" w:rsidP="00F70A44">
      <w:pPr>
        <w:keepNext/>
      </w:pPr>
    </w:p>
    <w:p w14:paraId="0071CA80" w14:textId="77777777" w:rsidR="00951F81" w:rsidRDefault="00951F81" w:rsidP="00F70A44">
      <w:pPr>
        <w:tabs>
          <w:tab w:val="clear" w:pos="567"/>
        </w:tabs>
      </w:pPr>
      <w:r>
        <w:t>Lot</w:t>
      </w:r>
    </w:p>
    <w:p w14:paraId="28725210" w14:textId="77777777" w:rsidR="00951F81" w:rsidRDefault="00951F81" w:rsidP="00F70A44">
      <w:pPr>
        <w:tabs>
          <w:tab w:val="clear" w:pos="567"/>
        </w:tabs>
      </w:pPr>
    </w:p>
    <w:p w14:paraId="44C3072E" w14:textId="77777777" w:rsidR="00951F81" w:rsidRDefault="00951F81" w:rsidP="00F70A44">
      <w:pPr>
        <w:tabs>
          <w:tab w:val="clear" w:pos="567"/>
        </w:tabs>
      </w:pPr>
    </w:p>
    <w:p w14:paraId="08F74D1D" w14:textId="1218FD16" w:rsidR="00951F81" w:rsidRDefault="00951F81" w:rsidP="00F70A44">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5.</w:t>
      </w:r>
      <w:r>
        <w:rPr>
          <w:b/>
        </w:rPr>
        <w:tab/>
        <w:t>PAKENDI SISU KAALU, MAHU VÕI ÜHIKUTE JÄRGI</w:t>
      </w:r>
    </w:p>
    <w:p w14:paraId="125601CB" w14:textId="77777777" w:rsidR="00951F81" w:rsidRDefault="00951F81" w:rsidP="00F70A44">
      <w:pPr>
        <w:keepNext/>
      </w:pPr>
    </w:p>
    <w:p w14:paraId="088F7B54" w14:textId="00C6998C" w:rsidR="00951F81" w:rsidRDefault="002B78B0" w:rsidP="00F70A44">
      <w:pPr>
        <w:tabs>
          <w:tab w:val="clear" w:pos="567"/>
        </w:tabs>
      </w:pPr>
      <w:r>
        <w:t xml:space="preserve">1 </w:t>
      </w:r>
      <w:r w:rsidR="00EB5669">
        <w:t>ml</w:t>
      </w:r>
    </w:p>
    <w:p w14:paraId="037AE9EF" w14:textId="77777777" w:rsidR="00951F81" w:rsidRDefault="00951F81" w:rsidP="00F70A44">
      <w:pPr>
        <w:tabs>
          <w:tab w:val="clear" w:pos="567"/>
        </w:tabs>
      </w:pPr>
    </w:p>
    <w:p w14:paraId="1D6D33F1" w14:textId="77777777" w:rsidR="00951F81" w:rsidRDefault="00951F81" w:rsidP="00F70A44">
      <w:pPr>
        <w:tabs>
          <w:tab w:val="clear" w:pos="567"/>
        </w:tabs>
      </w:pPr>
    </w:p>
    <w:p w14:paraId="016E6E49" w14:textId="63B1F2CE" w:rsidR="00951F81" w:rsidRDefault="00951F81" w:rsidP="00F70A44">
      <w:pPr>
        <w:keepNext/>
        <w:pBdr>
          <w:top w:val="single" w:sz="4" w:space="1" w:color="auto"/>
          <w:left w:val="single" w:sz="4" w:space="4" w:color="auto"/>
          <w:bottom w:val="single" w:sz="4" w:space="1" w:color="auto"/>
          <w:right w:val="single" w:sz="4" w:space="4" w:color="auto"/>
        </w:pBdr>
        <w:ind w:left="567" w:hanging="567"/>
        <w:rPr>
          <w:b/>
          <w:highlight w:val="lightGray"/>
        </w:rPr>
      </w:pPr>
      <w:r>
        <w:rPr>
          <w:b/>
        </w:rPr>
        <w:t>6.</w:t>
      </w:r>
      <w:r>
        <w:rPr>
          <w:b/>
        </w:rPr>
        <w:tab/>
        <w:t>MUU</w:t>
      </w:r>
    </w:p>
    <w:p w14:paraId="04898FCF" w14:textId="77777777" w:rsidR="00951F81" w:rsidRDefault="00951F81" w:rsidP="00951F81">
      <w:pPr>
        <w:keepNext/>
      </w:pPr>
    </w:p>
    <w:p w14:paraId="1D2E63C6" w14:textId="77777777" w:rsidR="00951F81" w:rsidRDefault="00951F81" w:rsidP="00951F81">
      <w:pPr>
        <w:tabs>
          <w:tab w:val="clear" w:pos="567"/>
        </w:tabs>
      </w:pPr>
    </w:p>
    <w:p w14:paraId="17B660AC" w14:textId="77777777" w:rsidR="00951F81" w:rsidRDefault="00951F81" w:rsidP="00951F81">
      <w:pPr>
        <w:tabs>
          <w:tab w:val="clear" w:pos="567"/>
        </w:tabs>
      </w:pPr>
    </w:p>
    <w:p w14:paraId="4AA773BC" w14:textId="77777777" w:rsidR="00951F81" w:rsidRDefault="00951F81" w:rsidP="00951F81">
      <w:pPr>
        <w:tabs>
          <w:tab w:val="clear" w:pos="567"/>
        </w:tabs>
      </w:pPr>
    </w:p>
    <w:p w14:paraId="150FD78E" w14:textId="77777777" w:rsidR="00951F81" w:rsidRDefault="00951F81" w:rsidP="00951F81">
      <w:pPr>
        <w:jc w:val="center"/>
      </w:pPr>
      <w:r>
        <w:br w:type="page"/>
      </w:r>
    </w:p>
    <w:p w14:paraId="1BCD176A" w14:textId="77777777" w:rsidR="00951F81" w:rsidRDefault="00951F81" w:rsidP="00951F81">
      <w:pPr>
        <w:jc w:val="center"/>
      </w:pPr>
    </w:p>
    <w:p w14:paraId="2607F329" w14:textId="77777777" w:rsidR="00951F81" w:rsidRDefault="00951F81" w:rsidP="00951F81">
      <w:pPr>
        <w:jc w:val="center"/>
      </w:pPr>
    </w:p>
    <w:p w14:paraId="1A082179" w14:textId="77777777" w:rsidR="00951F81" w:rsidRDefault="00951F81" w:rsidP="00951F81">
      <w:pPr>
        <w:jc w:val="center"/>
      </w:pPr>
    </w:p>
    <w:p w14:paraId="44F8CD90" w14:textId="77777777" w:rsidR="00951F81" w:rsidRDefault="00951F81" w:rsidP="00951F81">
      <w:pPr>
        <w:jc w:val="center"/>
      </w:pPr>
    </w:p>
    <w:p w14:paraId="17F2E668" w14:textId="77777777" w:rsidR="00951F81" w:rsidRDefault="00951F81" w:rsidP="00951F81">
      <w:pPr>
        <w:jc w:val="center"/>
      </w:pPr>
    </w:p>
    <w:p w14:paraId="5C7DD622" w14:textId="77777777" w:rsidR="00951F81" w:rsidRDefault="00951F81" w:rsidP="00951F81">
      <w:pPr>
        <w:jc w:val="center"/>
      </w:pPr>
    </w:p>
    <w:p w14:paraId="628CB296" w14:textId="77777777" w:rsidR="00951F81" w:rsidRDefault="00951F81" w:rsidP="00951F81">
      <w:pPr>
        <w:jc w:val="center"/>
      </w:pPr>
    </w:p>
    <w:p w14:paraId="4AAC1555" w14:textId="77777777" w:rsidR="00951F81" w:rsidRDefault="00951F81" w:rsidP="00951F81">
      <w:pPr>
        <w:jc w:val="center"/>
      </w:pPr>
    </w:p>
    <w:p w14:paraId="46BB4CD9" w14:textId="77777777" w:rsidR="00951F81" w:rsidRDefault="00951F81" w:rsidP="00951F81">
      <w:pPr>
        <w:jc w:val="center"/>
      </w:pPr>
    </w:p>
    <w:p w14:paraId="1A7FFB0C" w14:textId="77777777" w:rsidR="00951F81" w:rsidRDefault="00951F81" w:rsidP="00951F81">
      <w:pPr>
        <w:jc w:val="center"/>
      </w:pPr>
    </w:p>
    <w:p w14:paraId="3ACEC983" w14:textId="77777777" w:rsidR="00951F81" w:rsidRDefault="00951F81" w:rsidP="00951F81">
      <w:pPr>
        <w:jc w:val="center"/>
      </w:pPr>
    </w:p>
    <w:p w14:paraId="2A156B60" w14:textId="77777777" w:rsidR="00951F81" w:rsidRDefault="00951F81" w:rsidP="00951F81">
      <w:pPr>
        <w:jc w:val="center"/>
      </w:pPr>
    </w:p>
    <w:p w14:paraId="12C511FA" w14:textId="77777777" w:rsidR="00951F81" w:rsidRDefault="00951F81" w:rsidP="00951F81">
      <w:pPr>
        <w:jc w:val="center"/>
      </w:pPr>
    </w:p>
    <w:p w14:paraId="2D4F5DF7" w14:textId="77777777" w:rsidR="00951F81" w:rsidRDefault="00951F81" w:rsidP="00951F81">
      <w:pPr>
        <w:jc w:val="center"/>
      </w:pPr>
    </w:p>
    <w:p w14:paraId="58D4A4C5" w14:textId="77777777" w:rsidR="00951F81" w:rsidRDefault="00951F81" w:rsidP="00951F81">
      <w:pPr>
        <w:jc w:val="center"/>
      </w:pPr>
    </w:p>
    <w:p w14:paraId="70C203D0" w14:textId="77777777" w:rsidR="00951F81" w:rsidRDefault="00951F81" w:rsidP="00951F81">
      <w:pPr>
        <w:jc w:val="center"/>
      </w:pPr>
    </w:p>
    <w:p w14:paraId="5E193221" w14:textId="77777777" w:rsidR="00951F81" w:rsidRDefault="00951F81" w:rsidP="00951F81">
      <w:pPr>
        <w:jc w:val="center"/>
      </w:pPr>
    </w:p>
    <w:p w14:paraId="07A507AA" w14:textId="77777777" w:rsidR="00951F81" w:rsidRDefault="00951F81" w:rsidP="00951F81">
      <w:pPr>
        <w:jc w:val="center"/>
      </w:pPr>
    </w:p>
    <w:p w14:paraId="6123B8E8" w14:textId="77777777" w:rsidR="00951F81" w:rsidRDefault="00951F81" w:rsidP="00951F81">
      <w:pPr>
        <w:jc w:val="center"/>
      </w:pPr>
    </w:p>
    <w:p w14:paraId="3279864E" w14:textId="77777777" w:rsidR="00951F81" w:rsidRDefault="00951F81" w:rsidP="00951F81">
      <w:pPr>
        <w:jc w:val="center"/>
      </w:pPr>
    </w:p>
    <w:p w14:paraId="7B2238FF" w14:textId="77777777" w:rsidR="00951F81" w:rsidRDefault="00951F81" w:rsidP="00951F81">
      <w:pPr>
        <w:jc w:val="center"/>
      </w:pPr>
    </w:p>
    <w:p w14:paraId="6AF18698" w14:textId="77777777" w:rsidR="00951F81" w:rsidRDefault="00951F81" w:rsidP="00951F81">
      <w:pPr>
        <w:jc w:val="center"/>
      </w:pPr>
    </w:p>
    <w:p w14:paraId="4EC56E14" w14:textId="77777777" w:rsidR="00951F81" w:rsidRDefault="00951F81" w:rsidP="00ED57A8">
      <w:pPr>
        <w:pStyle w:val="TitleA"/>
        <w:outlineLvl w:val="0"/>
      </w:pPr>
      <w:r>
        <w:t>B. PAKENDI INFOLEHT</w:t>
      </w:r>
    </w:p>
    <w:p w14:paraId="071CCEA9" w14:textId="77777777" w:rsidR="00951F81" w:rsidRDefault="00951F81" w:rsidP="00951F81">
      <w:pPr>
        <w:tabs>
          <w:tab w:val="clear" w:pos="567"/>
        </w:tabs>
        <w:jc w:val="center"/>
        <w:rPr>
          <w:b/>
          <w:bCs/>
        </w:rPr>
      </w:pPr>
      <w:r>
        <w:br w:type="page"/>
      </w:r>
      <w:r>
        <w:rPr>
          <w:b/>
        </w:rPr>
        <w:t>Pakendi infoleht: teave kasutajale</w:t>
      </w:r>
    </w:p>
    <w:p w14:paraId="7730D141" w14:textId="77777777" w:rsidR="00951F81" w:rsidRDefault="00951F81" w:rsidP="00951F81">
      <w:pPr>
        <w:jc w:val="center"/>
      </w:pPr>
    </w:p>
    <w:p w14:paraId="26D89CBB" w14:textId="4AA41207" w:rsidR="00951F81" w:rsidRDefault="00974204" w:rsidP="00951F81">
      <w:pPr>
        <w:tabs>
          <w:tab w:val="clear" w:pos="567"/>
        </w:tabs>
        <w:jc w:val="center"/>
        <w:rPr>
          <w:b/>
          <w:bCs/>
        </w:rPr>
      </w:pPr>
      <w:r>
        <w:rPr>
          <w:b/>
        </w:rPr>
        <w:t>Kefdensis</w:t>
      </w:r>
      <w:r w:rsidR="00951F81">
        <w:rPr>
          <w:b/>
        </w:rPr>
        <w:t xml:space="preserve"> 60 mg süstelahus süstlis</w:t>
      </w:r>
    </w:p>
    <w:p w14:paraId="5F017DFC" w14:textId="77777777" w:rsidR="00951F81" w:rsidRDefault="00951F81" w:rsidP="00951F81">
      <w:pPr>
        <w:jc w:val="center"/>
      </w:pPr>
      <w:r>
        <w:t>denosumab</w:t>
      </w:r>
    </w:p>
    <w:p w14:paraId="574B1465" w14:textId="0261178F" w:rsidR="00951F81" w:rsidRDefault="00EB5669" w:rsidP="00EB5669">
      <w:pPr>
        <w:rPr>
          <w:rFonts w:eastAsia="Times New Roman"/>
          <w:noProof/>
          <w:szCs w:val="24"/>
        </w:rPr>
      </w:pPr>
      <w:r w:rsidRPr="00EB5669">
        <w:rPr>
          <w:rFonts w:eastAsia="Times New Roman"/>
          <w:noProof/>
          <w:szCs w:val="20"/>
        </w:rPr>
        <w:drawing>
          <wp:inline distT="0" distB="0" distL="0" distR="0" wp14:anchorId="62C7F10D" wp14:editId="693F90BB">
            <wp:extent cx="198120" cy="163830"/>
            <wp:effectExtent l="0" t="0" r="0" b="7620"/>
            <wp:docPr id="1312569154" name="Picture 4"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569154" name="Picture 4" descr="A black background with a black squar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63830"/>
                    </a:xfrm>
                    <a:prstGeom prst="rect">
                      <a:avLst/>
                    </a:prstGeom>
                    <a:noFill/>
                    <a:ln>
                      <a:noFill/>
                    </a:ln>
                  </pic:spPr>
                </pic:pic>
              </a:graphicData>
            </a:graphic>
          </wp:inline>
        </w:drawing>
      </w:r>
      <w:r w:rsidRPr="00EB5669">
        <w:rPr>
          <w:rFonts w:eastAsia="Times New Roman"/>
          <w:szCs w:val="20"/>
        </w:rPr>
        <w:t>Sellele</w:t>
      </w:r>
      <w:r w:rsidRPr="00EB5669">
        <w:rPr>
          <w:rFonts w:eastAsia="Times New Roman"/>
          <w:szCs w:val="24"/>
        </w:rPr>
        <w:t xml:space="preserve"> ravimile kohaldatakse täiendavat järelevalvet</w:t>
      </w:r>
      <w:r w:rsidRPr="00EB5669">
        <w:rPr>
          <w:rFonts w:eastAsia="Times New Roman"/>
          <w:noProof/>
          <w:szCs w:val="24"/>
        </w:rPr>
        <w:t>, mis võimaldab kiiresti tuvastada uut ohutusteavet.</w:t>
      </w:r>
      <w:r w:rsidRPr="00EB5669">
        <w:rPr>
          <w:rFonts w:eastAsia="Times New Roman"/>
          <w:szCs w:val="24"/>
        </w:rPr>
        <w:t xml:space="preserve"> Te saate sellele kaasa aidata,</w:t>
      </w:r>
      <w:r w:rsidRPr="00EB5669">
        <w:rPr>
          <w:rFonts w:eastAsia="Times New Roman"/>
          <w:noProof/>
          <w:szCs w:val="24"/>
        </w:rPr>
        <w:t xml:space="preserve"> teatades ravimi kõigist võimalikest kõrvaltoimetest.</w:t>
      </w:r>
      <w:r w:rsidRPr="00EB5669">
        <w:rPr>
          <w:rFonts w:eastAsia="Times New Roman"/>
          <w:szCs w:val="24"/>
        </w:rPr>
        <w:t xml:space="preserve"> K</w:t>
      </w:r>
      <w:r w:rsidRPr="00EB5669">
        <w:rPr>
          <w:rFonts w:eastAsia="Times New Roman"/>
          <w:noProof/>
          <w:szCs w:val="24"/>
        </w:rPr>
        <w:t>õrvaltoimetest teatamise kohta vt lõik 4.</w:t>
      </w:r>
    </w:p>
    <w:p w14:paraId="0AB735CD" w14:textId="77777777" w:rsidR="00EB5669" w:rsidRDefault="00EB5669" w:rsidP="00B14CE1"/>
    <w:p w14:paraId="765A5D73" w14:textId="77777777" w:rsidR="00951F81" w:rsidRDefault="00951F81" w:rsidP="00951F81">
      <w:pPr>
        <w:keepNext/>
        <w:rPr>
          <w:b/>
          <w:bCs/>
        </w:rPr>
      </w:pPr>
      <w:r>
        <w:rPr>
          <w:b/>
        </w:rPr>
        <w:t>Enne ravimi kasutamist lugege hoolikalt infolehte, sest siin on teile vajalikku teavet.</w:t>
      </w:r>
    </w:p>
    <w:p w14:paraId="03C0012A" w14:textId="77777777" w:rsidR="00951F81" w:rsidRDefault="00951F81" w:rsidP="00951F81">
      <w:pPr>
        <w:numPr>
          <w:ilvl w:val="0"/>
          <w:numId w:val="56"/>
        </w:numPr>
        <w:ind w:left="567" w:hanging="567"/>
      </w:pPr>
      <w:r>
        <w:t>Hoidke infoleht alles, et seda vajadusel uuesti lugeda.</w:t>
      </w:r>
    </w:p>
    <w:p w14:paraId="77F94973" w14:textId="77777777" w:rsidR="00951F81" w:rsidRDefault="00951F81" w:rsidP="00951F81">
      <w:pPr>
        <w:numPr>
          <w:ilvl w:val="0"/>
          <w:numId w:val="56"/>
        </w:numPr>
        <w:ind w:left="567" w:hanging="567"/>
      </w:pPr>
      <w:r>
        <w:t>Kui teil on lisaküsimusi, pidage nõu oma arsti või apteekriga.</w:t>
      </w:r>
    </w:p>
    <w:p w14:paraId="3183AC87" w14:textId="77777777" w:rsidR="00951F81" w:rsidRDefault="00951F81" w:rsidP="00951F81">
      <w:pPr>
        <w:numPr>
          <w:ilvl w:val="0"/>
          <w:numId w:val="56"/>
        </w:numPr>
        <w:ind w:left="567" w:hanging="567"/>
      </w:pPr>
      <w:r>
        <w:t>Ravim on välja kirjutatud üksnes teile. Ärge andke seda kellelegi teisele. Ravim võib olla neile kahjulik, isegi kui haigusnähud on sarnased.</w:t>
      </w:r>
    </w:p>
    <w:p w14:paraId="237E7250" w14:textId="77777777" w:rsidR="00951F81" w:rsidRDefault="00951F81" w:rsidP="00951F81">
      <w:pPr>
        <w:numPr>
          <w:ilvl w:val="0"/>
          <w:numId w:val="56"/>
        </w:numPr>
        <w:ind w:left="567" w:hanging="567"/>
      </w:pPr>
      <w:r>
        <w:t>Kui teil tekib ükskõik milline kõrvaltoime, pidage nõu oma arsti või apteekriga. Kõrvaltoime võib olla ka selline, mida selles infolehes ei ole nimetatud. Vt lõik 4.</w:t>
      </w:r>
    </w:p>
    <w:p w14:paraId="44F4348A" w14:textId="65D10487" w:rsidR="00951F81" w:rsidRDefault="00EB5669" w:rsidP="00951F81">
      <w:pPr>
        <w:numPr>
          <w:ilvl w:val="0"/>
          <w:numId w:val="56"/>
        </w:numPr>
        <w:ind w:left="567" w:hanging="567"/>
      </w:pPr>
      <w:r>
        <w:t xml:space="preserve">Teile antakse </w:t>
      </w:r>
      <w:r w:rsidR="00951F81">
        <w:t xml:space="preserve">patsiendi meelespea, mis sisaldab olulist ohutusteavet, mida peate teadma enne ravi alustamist ja ravi ajal </w:t>
      </w:r>
      <w:r w:rsidR="00974204">
        <w:t>Kefdensis</w:t>
      </w:r>
      <w:r w:rsidR="00951F81">
        <w:t>’</w:t>
      </w:r>
      <w:r>
        <w:t>e</w:t>
      </w:r>
      <w:r w:rsidR="00951F81">
        <w:t>ga.</w:t>
      </w:r>
    </w:p>
    <w:p w14:paraId="679064ED" w14:textId="77777777" w:rsidR="00951F81" w:rsidRDefault="00951F81" w:rsidP="00951F81"/>
    <w:p w14:paraId="297CCD4A" w14:textId="77777777" w:rsidR="00951F81" w:rsidRDefault="00951F81" w:rsidP="00951F81">
      <w:pPr>
        <w:keepNext/>
        <w:rPr>
          <w:b/>
          <w:bCs/>
        </w:rPr>
      </w:pPr>
      <w:r>
        <w:rPr>
          <w:b/>
        </w:rPr>
        <w:t>Infolehe sisukord</w:t>
      </w:r>
    </w:p>
    <w:p w14:paraId="33DC46A8" w14:textId="1EA79EC3" w:rsidR="00951F81" w:rsidRDefault="00951F81" w:rsidP="00951F81">
      <w:pPr>
        <w:numPr>
          <w:ilvl w:val="0"/>
          <w:numId w:val="42"/>
        </w:numPr>
        <w:ind w:left="567" w:hanging="567"/>
      </w:pPr>
      <w:r>
        <w:t xml:space="preserve">Mis ravim on </w:t>
      </w:r>
      <w:r w:rsidR="00974204">
        <w:t>Kefdensis</w:t>
      </w:r>
      <w:r>
        <w:t xml:space="preserve"> ja milleks seda kasutatakse</w:t>
      </w:r>
    </w:p>
    <w:p w14:paraId="248F6C68" w14:textId="1F827203" w:rsidR="00951F81" w:rsidRDefault="00951F81" w:rsidP="00951F81">
      <w:pPr>
        <w:numPr>
          <w:ilvl w:val="0"/>
          <w:numId w:val="42"/>
        </w:numPr>
        <w:ind w:left="567" w:hanging="567"/>
      </w:pPr>
      <w:r>
        <w:t xml:space="preserve">Mida on vaja teada enne </w:t>
      </w:r>
      <w:r w:rsidR="00974204">
        <w:t>Kefdensis</w:t>
      </w:r>
      <w:r w:rsidR="00EB5669">
        <w:t>’e</w:t>
      </w:r>
      <w:r>
        <w:t xml:space="preserve"> kasutamist</w:t>
      </w:r>
    </w:p>
    <w:p w14:paraId="2D3E8F4D" w14:textId="6A5CA864" w:rsidR="00951F81" w:rsidRDefault="00951F81" w:rsidP="00951F81">
      <w:pPr>
        <w:numPr>
          <w:ilvl w:val="0"/>
          <w:numId w:val="42"/>
        </w:numPr>
        <w:ind w:left="567" w:hanging="567"/>
      </w:pPr>
      <w:r>
        <w:t xml:space="preserve">Kuidas </w:t>
      </w:r>
      <w:r w:rsidR="00974204">
        <w:t>Kefdensis</w:t>
      </w:r>
      <w:r>
        <w:t>’t kasutada</w:t>
      </w:r>
    </w:p>
    <w:p w14:paraId="540C3551" w14:textId="77777777" w:rsidR="00951F81" w:rsidRDefault="00951F81" w:rsidP="00951F81">
      <w:pPr>
        <w:numPr>
          <w:ilvl w:val="0"/>
          <w:numId w:val="42"/>
        </w:numPr>
        <w:ind w:left="567" w:hanging="567"/>
      </w:pPr>
      <w:r>
        <w:t>Võimalikud kõrvaltoimed</w:t>
      </w:r>
    </w:p>
    <w:p w14:paraId="7366550A" w14:textId="7FB4F338" w:rsidR="00951F81" w:rsidRDefault="00951F81" w:rsidP="00951F81">
      <w:pPr>
        <w:numPr>
          <w:ilvl w:val="0"/>
          <w:numId w:val="42"/>
        </w:numPr>
        <w:ind w:left="567" w:hanging="567"/>
      </w:pPr>
      <w:r>
        <w:t xml:space="preserve">Kuidas </w:t>
      </w:r>
      <w:r w:rsidR="00974204">
        <w:t>Kefdensis</w:t>
      </w:r>
      <w:r>
        <w:t>’t säilitada</w:t>
      </w:r>
    </w:p>
    <w:p w14:paraId="37D96110" w14:textId="77777777" w:rsidR="00951F81" w:rsidRDefault="00951F81" w:rsidP="00951F81">
      <w:pPr>
        <w:numPr>
          <w:ilvl w:val="0"/>
          <w:numId w:val="42"/>
        </w:numPr>
        <w:ind w:left="567" w:hanging="567"/>
      </w:pPr>
      <w:r>
        <w:t>Pakendi sisu ja muu teave</w:t>
      </w:r>
    </w:p>
    <w:p w14:paraId="296D632D" w14:textId="77777777" w:rsidR="00951F81" w:rsidRDefault="00951F81" w:rsidP="00951F81">
      <w:pPr>
        <w:numPr>
          <w:ilvl w:val="12"/>
          <w:numId w:val="0"/>
        </w:numPr>
      </w:pPr>
    </w:p>
    <w:p w14:paraId="6482904F" w14:textId="77777777" w:rsidR="00951F81" w:rsidRDefault="00951F81" w:rsidP="00951F81">
      <w:pPr>
        <w:numPr>
          <w:ilvl w:val="12"/>
          <w:numId w:val="0"/>
        </w:numPr>
      </w:pPr>
    </w:p>
    <w:p w14:paraId="7FE7142A" w14:textId="5BE3A4F3" w:rsidR="00951F81" w:rsidRDefault="00951F81" w:rsidP="00951F81">
      <w:pPr>
        <w:keepNext/>
        <w:tabs>
          <w:tab w:val="clear" w:pos="567"/>
        </w:tabs>
        <w:ind w:left="567" w:hanging="567"/>
        <w:rPr>
          <w:b/>
        </w:rPr>
      </w:pPr>
      <w:r>
        <w:rPr>
          <w:b/>
        </w:rPr>
        <w:t>1.</w:t>
      </w:r>
      <w:r>
        <w:rPr>
          <w:b/>
        </w:rPr>
        <w:tab/>
        <w:t xml:space="preserve">Mis ravim on </w:t>
      </w:r>
      <w:r w:rsidR="00974204">
        <w:rPr>
          <w:b/>
        </w:rPr>
        <w:t>Kefdensis</w:t>
      </w:r>
      <w:r>
        <w:rPr>
          <w:b/>
        </w:rPr>
        <w:t xml:space="preserve"> ja milleks seda kasutatakse</w:t>
      </w:r>
    </w:p>
    <w:p w14:paraId="5EFD9DEB" w14:textId="77777777" w:rsidR="00951F81" w:rsidRDefault="00951F81" w:rsidP="00951F81">
      <w:pPr>
        <w:keepNext/>
      </w:pPr>
    </w:p>
    <w:p w14:paraId="42A03A94" w14:textId="473BF6FD" w:rsidR="00951F81" w:rsidRDefault="00951F81" w:rsidP="00951F81">
      <w:pPr>
        <w:keepNext/>
        <w:rPr>
          <w:b/>
          <w:bCs/>
        </w:rPr>
      </w:pPr>
      <w:r>
        <w:rPr>
          <w:b/>
        </w:rPr>
        <w:t xml:space="preserve">Mis on </w:t>
      </w:r>
      <w:r w:rsidR="00974204">
        <w:rPr>
          <w:b/>
        </w:rPr>
        <w:t>Kefdensis</w:t>
      </w:r>
      <w:r>
        <w:rPr>
          <w:b/>
        </w:rPr>
        <w:t xml:space="preserve"> ja kuidas see toimib</w:t>
      </w:r>
    </w:p>
    <w:p w14:paraId="17F4236C" w14:textId="77777777" w:rsidR="00951F81" w:rsidRDefault="00951F81" w:rsidP="00951F81">
      <w:pPr>
        <w:keepNext/>
      </w:pPr>
    </w:p>
    <w:p w14:paraId="0BFFB00B" w14:textId="5546FCE8" w:rsidR="00951F81" w:rsidRDefault="00974204" w:rsidP="00951F81">
      <w:pPr>
        <w:tabs>
          <w:tab w:val="clear" w:pos="567"/>
        </w:tabs>
      </w:pPr>
      <w:r>
        <w:t>Kefdensis</w:t>
      </w:r>
      <w:r w:rsidR="00951F81">
        <w:t xml:space="preserve"> sisaldab denosumabi</w:t>
      </w:r>
      <w:r w:rsidR="00020711">
        <w:t>.</w:t>
      </w:r>
      <w:r w:rsidR="00951F81">
        <w:t xml:space="preserve"> </w:t>
      </w:r>
      <w:r w:rsidR="00020711">
        <w:t xml:space="preserve">See on </w:t>
      </w:r>
      <w:r w:rsidR="00951F81">
        <w:t>valk (monoklonaal</w:t>
      </w:r>
      <w:r w:rsidR="00020711">
        <w:t>ne</w:t>
      </w:r>
      <w:r w:rsidR="00951F81">
        <w:t xml:space="preserve"> antikeha), mis mõjutab teise valgu toimet, et ravida luukadu ja osteoporoosi. Ravi </w:t>
      </w:r>
      <w:r>
        <w:t>Kefdensis</w:t>
      </w:r>
      <w:r w:rsidR="00EB5669">
        <w:t>’ega</w:t>
      </w:r>
      <w:r w:rsidR="00951F81">
        <w:t xml:space="preserve"> muudab luud tugevamaks ja vähendab murdude tõenäosust.</w:t>
      </w:r>
    </w:p>
    <w:p w14:paraId="6B11463F" w14:textId="77777777" w:rsidR="00951F81" w:rsidRDefault="00951F81" w:rsidP="00951F81">
      <w:pPr>
        <w:tabs>
          <w:tab w:val="clear" w:pos="567"/>
        </w:tabs>
      </w:pPr>
    </w:p>
    <w:p w14:paraId="10C0DE31" w14:textId="77777777" w:rsidR="00951F81" w:rsidRDefault="00951F81" w:rsidP="00951F81">
      <w:pPr>
        <w:tabs>
          <w:tab w:val="clear" w:pos="567"/>
        </w:tabs>
      </w:pPr>
      <w:r>
        <w:t>Luu on elav kude, mis uueneb kogu aeg. Östrogeenid aitavad luudel püsida tervena. Pärast menopausi östrogeenisisaldus väheneb, mis võib muuta luud õhukeseks ja hapraks. See võib lõpuks viia seisundini, mida nimetatakse osteoporoosiks. Osteoporoos võib tekkida ka meestel mitmel erineval põhjusel, k.a vananemine ja/või meessuguhormoon testosterooni väike sisaldus. See võib tekkida ka glükokortikoide saaval patsiendil. Paljudel osteoporoosiga patsientidel puuduvad sümptomid, kuid neil on oht luumurdude tekkeks, eriti selgroos, puusas ja randmepiirkonnas.</w:t>
      </w:r>
    </w:p>
    <w:p w14:paraId="5218C8A7" w14:textId="77777777" w:rsidR="00951F81" w:rsidRDefault="00951F81" w:rsidP="00951F81">
      <w:pPr>
        <w:tabs>
          <w:tab w:val="clear" w:pos="567"/>
        </w:tabs>
      </w:pPr>
    </w:p>
    <w:p w14:paraId="1BD69A1E" w14:textId="1F6133F0" w:rsidR="00951F81" w:rsidRDefault="00951F81" w:rsidP="00951F81">
      <w:pPr>
        <w:tabs>
          <w:tab w:val="clear" w:pos="567"/>
        </w:tabs>
      </w:pPr>
      <w:r>
        <w:t>Rinnanäärme</w:t>
      </w:r>
      <w:r>
        <w:noBreakHyphen/>
        <w:t xml:space="preserve"> või eesnäärmevähiga patsientide raviks kasutatakse kirurgiat või ravimeid, mis peatavad östrogeeni või testosterooni tootmise ja võivad viia ka luukao tekkele. Luud muutuvad nõrgemaks ja mur</w:t>
      </w:r>
      <w:r w:rsidR="00020711">
        <w:t>rud tekivad</w:t>
      </w:r>
      <w:r>
        <w:t xml:space="preserve"> kergemini.</w:t>
      </w:r>
    </w:p>
    <w:p w14:paraId="12E33683" w14:textId="77777777" w:rsidR="00951F81" w:rsidRDefault="00951F81" w:rsidP="00951F81">
      <w:pPr>
        <w:tabs>
          <w:tab w:val="clear" w:pos="567"/>
        </w:tabs>
      </w:pPr>
    </w:p>
    <w:p w14:paraId="31AEE940" w14:textId="69BE6D37" w:rsidR="00951F81" w:rsidRDefault="00951F81" w:rsidP="00951F81">
      <w:pPr>
        <w:keepNext/>
        <w:tabs>
          <w:tab w:val="clear" w:pos="567"/>
        </w:tabs>
        <w:rPr>
          <w:b/>
          <w:bCs/>
        </w:rPr>
      </w:pPr>
      <w:r>
        <w:rPr>
          <w:b/>
        </w:rPr>
        <w:t xml:space="preserve">Milleks </w:t>
      </w:r>
      <w:r w:rsidR="00974204">
        <w:rPr>
          <w:b/>
        </w:rPr>
        <w:t>Kefdensis</w:t>
      </w:r>
      <w:r>
        <w:rPr>
          <w:b/>
        </w:rPr>
        <w:t>’t kasutatakse</w:t>
      </w:r>
    </w:p>
    <w:p w14:paraId="1E3715CB" w14:textId="77777777" w:rsidR="00951F81" w:rsidRDefault="00951F81" w:rsidP="00951F81">
      <w:pPr>
        <w:keepNext/>
      </w:pPr>
    </w:p>
    <w:p w14:paraId="424BC28B" w14:textId="4970BE3B" w:rsidR="00951F81" w:rsidRDefault="00974204" w:rsidP="00951F81">
      <w:pPr>
        <w:keepNext/>
        <w:tabs>
          <w:tab w:val="clear" w:pos="567"/>
        </w:tabs>
      </w:pPr>
      <w:r>
        <w:t>Kefdensis</w:t>
      </w:r>
      <w:r w:rsidR="00951F81">
        <w:t>’ga ravitakse:</w:t>
      </w:r>
    </w:p>
    <w:p w14:paraId="6F73385E" w14:textId="6F1247FD" w:rsidR="00951F81" w:rsidRDefault="00951F81" w:rsidP="00951F81">
      <w:pPr>
        <w:numPr>
          <w:ilvl w:val="0"/>
          <w:numId w:val="54"/>
        </w:numPr>
        <w:tabs>
          <w:tab w:val="clear" w:pos="567"/>
        </w:tabs>
        <w:ind w:left="567" w:hanging="567"/>
      </w:pPr>
      <w:r>
        <w:t>osteoporoosi naistel pärast menopausi ja meestel, kellel on suurem risk luumurdude tekkeks, et vähendada selgroo</w:t>
      </w:r>
      <w:r>
        <w:noBreakHyphen/>
        <w:t xml:space="preserve">, </w:t>
      </w:r>
      <w:r w:rsidR="00D51863">
        <w:t xml:space="preserve">teiste luustiku ja reieluukaela </w:t>
      </w:r>
      <w:r>
        <w:t>murdude riski;</w:t>
      </w:r>
    </w:p>
    <w:p w14:paraId="3246613D" w14:textId="77777777" w:rsidR="00951F81" w:rsidRDefault="00951F81" w:rsidP="00951F81">
      <w:pPr>
        <w:numPr>
          <w:ilvl w:val="0"/>
          <w:numId w:val="54"/>
        </w:numPr>
        <w:tabs>
          <w:tab w:val="clear" w:pos="567"/>
        </w:tabs>
        <w:ind w:left="567" w:hanging="567"/>
      </w:pPr>
      <w:r>
        <w:t>luukadu tulenevalt hormoonisisalduse (testosterooni) vähenemisest, mille põhjuseks on eesnäärmevähi kirurgiline või medikamentoosne ravi.</w:t>
      </w:r>
    </w:p>
    <w:p w14:paraId="510D3B00" w14:textId="77777777" w:rsidR="00951F81" w:rsidRDefault="00951F81" w:rsidP="00951F81">
      <w:pPr>
        <w:numPr>
          <w:ilvl w:val="0"/>
          <w:numId w:val="54"/>
        </w:numPr>
        <w:tabs>
          <w:tab w:val="clear" w:pos="567"/>
        </w:tabs>
        <w:ind w:left="567" w:hanging="567"/>
      </w:pPr>
      <w:r>
        <w:t>luukadu tulenevalt pikaajalisest glükokortikoidravist patsientidel, kellel on suurenenud luumurdude risk.</w:t>
      </w:r>
    </w:p>
    <w:p w14:paraId="039D40AD" w14:textId="77777777" w:rsidR="00951F81" w:rsidRDefault="00951F81" w:rsidP="00951F81">
      <w:pPr>
        <w:numPr>
          <w:ilvl w:val="12"/>
          <w:numId w:val="0"/>
        </w:numPr>
      </w:pPr>
    </w:p>
    <w:p w14:paraId="42C6DFE0" w14:textId="77777777" w:rsidR="00951F81" w:rsidRDefault="00951F81" w:rsidP="00951F81">
      <w:pPr>
        <w:numPr>
          <w:ilvl w:val="12"/>
          <w:numId w:val="0"/>
        </w:numPr>
      </w:pPr>
    </w:p>
    <w:p w14:paraId="62876299" w14:textId="053EC2D1" w:rsidR="00951F81" w:rsidRDefault="00951F81" w:rsidP="00951F81">
      <w:pPr>
        <w:keepNext/>
        <w:tabs>
          <w:tab w:val="clear" w:pos="567"/>
        </w:tabs>
        <w:ind w:left="567" w:hanging="567"/>
        <w:rPr>
          <w:b/>
        </w:rPr>
      </w:pPr>
      <w:r>
        <w:rPr>
          <w:b/>
        </w:rPr>
        <w:t>2.</w:t>
      </w:r>
      <w:r>
        <w:rPr>
          <w:b/>
        </w:rPr>
        <w:tab/>
        <w:t xml:space="preserve">Mida on vaja teada enne </w:t>
      </w:r>
      <w:r w:rsidR="00974204">
        <w:rPr>
          <w:b/>
        </w:rPr>
        <w:t>Kefdensis</w:t>
      </w:r>
      <w:r>
        <w:rPr>
          <w:b/>
        </w:rPr>
        <w:t xml:space="preserve"> kasutamist</w:t>
      </w:r>
    </w:p>
    <w:p w14:paraId="7EDE79B2" w14:textId="77777777" w:rsidR="00951F81" w:rsidRDefault="00951F81" w:rsidP="00951F81">
      <w:pPr>
        <w:keepNext/>
      </w:pPr>
    </w:p>
    <w:p w14:paraId="37EF9401" w14:textId="53C4762F" w:rsidR="00951F81" w:rsidRDefault="00974204" w:rsidP="00951F81">
      <w:pPr>
        <w:keepNext/>
        <w:tabs>
          <w:tab w:val="clear" w:pos="567"/>
        </w:tabs>
        <w:rPr>
          <w:b/>
          <w:bCs/>
        </w:rPr>
      </w:pPr>
      <w:r>
        <w:rPr>
          <w:b/>
        </w:rPr>
        <w:t>Kefdensis</w:t>
      </w:r>
      <w:r w:rsidR="00951F81">
        <w:rPr>
          <w:b/>
        </w:rPr>
        <w:t>’i ei tohi kasutada</w:t>
      </w:r>
    </w:p>
    <w:p w14:paraId="7D0DCB64" w14:textId="77777777" w:rsidR="00951F81" w:rsidRDefault="00951F81" w:rsidP="00951F81">
      <w:pPr>
        <w:keepNext/>
      </w:pPr>
    </w:p>
    <w:p w14:paraId="1540C426" w14:textId="77777777" w:rsidR="00951F81" w:rsidRDefault="00951F81" w:rsidP="00951F81">
      <w:pPr>
        <w:numPr>
          <w:ilvl w:val="0"/>
          <w:numId w:val="54"/>
        </w:numPr>
        <w:tabs>
          <w:tab w:val="clear" w:pos="567"/>
        </w:tabs>
        <w:ind w:left="567" w:hanging="567"/>
      </w:pPr>
      <w:r>
        <w:t>kui kaltsiumisisaldus teie veres on väike (hüpokaltseemia);</w:t>
      </w:r>
    </w:p>
    <w:p w14:paraId="70B1B35A" w14:textId="379550C5" w:rsidR="00951F81" w:rsidRDefault="00951F81" w:rsidP="00951F81">
      <w:pPr>
        <w:numPr>
          <w:ilvl w:val="0"/>
          <w:numId w:val="54"/>
        </w:numPr>
        <w:tabs>
          <w:tab w:val="clear" w:pos="567"/>
        </w:tabs>
        <w:ind w:left="567" w:hanging="567"/>
      </w:pPr>
      <w:r>
        <w:t>kui olete denosumab</w:t>
      </w:r>
      <w:r w:rsidR="00525020">
        <w:t>i</w:t>
      </w:r>
      <w:r>
        <w:t xml:space="preserve"> või </w:t>
      </w:r>
      <w:r w:rsidR="00525020">
        <w:t xml:space="preserve">selle ravimi </w:t>
      </w:r>
      <w:r>
        <w:t>mis tahes koostisosade (loetletud lõigus 6) suhtes allergiline.</w:t>
      </w:r>
    </w:p>
    <w:p w14:paraId="6C3A83D2" w14:textId="77777777" w:rsidR="00951F81" w:rsidRDefault="00951F81" w:rsidP="00951F81">
      <w:pPr>
        <w:numPr>
          <w:ilvl w:val="12"/>
          <w:numId w:val="0"/>
        </w:numPr>
        <w:ind w:right="-2"/>
      </w:pPr>
    </w:p>
    <w:p w14:paraId="1BE00082" w14:textId="77777777" w:rsidR="00951F81" w:rsidRDefault="00951F81" w:rsidP="00951F81">
      <w:pPr>
        <w:keepNext/>
        <w:tabs>
          <w:tab w:val="clear" w:pos="567"/>
        </w:tabs>
        <w:rPr>
          <w:b/>
          <w:bCs/>
        </w:rPr>
      </w:pPr>
      <w:r>
        <w:rPr>
          <w:b/>
        </w:rPr>
        <w:t>Hoiatused ja ettevaatusabinõud</w:t>
      </w:r>
    </w:p>
    <w:p w14:paraId="7B804062" w14:textId="77777777" w:rsidR="00951F81" w:rsidRDefault="00951F81" w:rsidP="00951F81">
      <w:pPr>
        <w:keepNext/>
      </w:pPr>
    </w:p>
    <w:p w14:paraId="0232E28C" w14:textId="32F6D3FF" w:rsidR="00951F81" w:rsidRDefault="00951F81" w:rsidP="00951F81">
      <w:pPr>
        <w:tabs>
          <w:tab w:val="clear" w:pos="567"/>
        </w:tabs>
      </w:pPr>
      <w:r>
        <w:t xml:space="preserve">Enne </w:t>
      </w:r>
      <w:r w:rsidR="00974204">
        <w:t>Kefdensis</w:t>
      </w:r>
      <w:r>
        <w:t xml:space="preserve"> kasutamist pidage nõu oma arsti või apteekriga.</w:t>
      </w:r>
    </w:p>
    <w:p w14:paraId="7529BA8C" w14:textId="77777777" w:rsidR="00951F81" w:rsidRDefault="00951F81" w:rsidP="00951F81">
      <w:pPr>
        <w:tabs>
          <w:tab w:val="clear" w:pos="567"/>
        </w:tabs>
      </w:pPr>
    </w:p>
    <w:p w14:paraId="5CE674B6" w14:textId="4042A995" w:rsidR="00951F81" w:rsidRDefault="00951F81" w:rsidP="00951F81">
      <w:pPr>
        <w:tabs>
          <w:tab w:val="clear" w:pos="567"/>
        </w:tabs>
      </w:pPr>
      <w:r>
        <w:t xml:space="preserve">Ravi ajal </w:t>
      </w:r>
      <w:r w:rsidR="00974204">
        <w:t>Kefdensis</w:t>
      </w:r>
      <w:r w:rsidR="00EB5669">
        <w:t>’ega</w:t>
      </w:r>
      <w:r>
        <w:t xml:space="preserve"> võib teil tekkida nahainfektsioon, mille sümptomiteks on paistes, punetav nahapiirkond, kõige tavalisemalt jala allosas, mis kuum</w:t>
      </w:r>
      <w:r w:rsidR="00FD6102">
        <w:t>ab</w:t>
      </w:r>
      <w:r>
        <w:t xml:space="preserve"> ja</w:t>
      </w:r>
      <w:r w:rsidR="00FD6102">
        <w:t xml:space="preserve"> on</w:t>
      </w:r>
      <w:r>
        <w:t xml:space="preserve"> valulik (tselluliit) ja millega või</w:t>
      </w:r>
      <w:r w:rsidR="00FD6102">
        <w:t>b</w:t>
      </w:r>
      <w:r>
        <w:t xml:space="preserve"> kaasneda palavik. Öelge viivitamatult oma arstile, kui teil tekib mis tahes eelnimetatud sümptom.</w:t>
      </w:r>
    </w:p>
    <w:p w14:paraId="10185199" w14:textId="77777777" w:rsidR="00951F81" w:rsidRDefault="00951F81" w:rsidP="00951F81">
      <w:pPr>
        <w:tabs>
          <w:tab w:val="clear" w:pos="567"/>
        </w:tabs>
      </w:pPr>
    </w:p>
    <w:p w14:paraId="0FFF0824" w14:textId="2DB565DF" w:rsidR="00951F81" w:rsidRDefault="00951F81" w:rsidP="00951F81">
      <w:pPr>
        <w:tabs>
          <w:tab w:val="clear" w:pos="567"/>
        </w:tabs>
      </w:pPr>
      <w:r>
        <w:t xml:space="preserve">Ravi ajal </w:t>
      </w:r>
      <w:r w:rsidR="00974204">
        <w:t>Kefdensis</w:t>
      </w:r>
      <w:r w:rsidR="00EB5669">
        <w:t>’ega</w:t>
      </w:r>
      <w:r>
        <w:t xml:space="preserve"> peate te samuti võtma täiendavalt kaltsiumi ja D</w:t>
      </w:r>
      <w:r>
        <w:noBreakHyphen/>
        <w:t>vitamiini. Teie arst arutab seda teiega.</w:t>
      </w:r>
    </w:p>
    <w:p w14:paraId="45E81156" w14:textId="77777777" w:rsidR="00951F81" w:rsidRDefault="00951F81" w:rsidP="00951F81">
      <w:pPr>
        <w:tabs>
          <w:tab w:val="clear" w:pos="567"/>
        </w:tabs>
      </w:pPr>
    </w:p>
    <w:p w14:paraId="72EDFC49" w14:textId="58708FBF" w:rsidR="00951F81" w:rsidRDefault="00951F81" w:rsidP="00951F81">
      <w:pPr>
        <w:tabs>
          <w:tab w:val="clear" w:pos="567"/>
        </w:tabs>
      </w:pPr>
      <w:r>
        <w:t xml:space="preserve">Ravi ajal </w:t>
      </w:r>
      <w:r w:rsidR="00974204">
        <w:t>Kefdensis</w:t>
      </w:r>
      <w:r w:rsidR="00EB5669">
        <w:t>’ega</w:t>
      </w:r>
      <w:r>
        <w:t xml:space="preserve"> võib teie vere kaltsiumisisaldus olla väike. Palun teavitage viivitamatult oma arsti, kui teil tekivad järgnevad sümptomid: lihasspasmid, tõmblused või krambid ja/või tuimus või torkimistunne sõrmedes, varvastes või suu ümbruses ja/või </w:t>
      </w:r>
      <w:r w:rsidR="009848EF">
        <w:t xml:space="preserve">epileptilised </w:t>
      </w:r>
      <w:r>
        <w:t>hood, segasusseisund või teadvusekaotus.</w:t>
      </w:r>
    </w:p>
    <w:p w14:paraId="2EF479E0" w14:textId="77777777" w:rsidR="00951F81" w:rsidRDefault="00951F81" w:rsidP="00951F81">
      <w:pPr>
        <w:tabs>
          <w:tab w:val="clear" w:pos="567"/>
        </w:tabs>
      </w:pPr>
    </w:p>
    <w:p w14:paraId="73F45BDE" w14:textId="71476B53" w:rsidR="00951F81" w:rsidRDefault="00951F81" w:rsidP="00951F81">
      <w:pPr>
        <w:tabs>
          <w:tab w:val="clear" w:pos="567"/>
        </w:tabs>
      </w:pPr>
      <w:r>
        <w:t>Harva on teatatud vere väga väikese kaltsiumisisalduse juhtudest, mis vajasid hospitaliseerimist või põhjustasid eluohtlikke kõrvaltoimeid. Seetõttu kontrollitakse teie vere kaltsiumisisaldust (</w:t>
      </w:r>
      <w:r w:rsidR="007550E0">
        <w:t xml:space="preserve">tehakse </w:t>
      </w:r>
      <w:r>
        <w:t>vereanalüüs) enne igat annust ja hüpokaltseemia soodumusega patsientidel kahe nädala jooksul pärast esimest annust.</w:t>
      </w:r>
    </w:p>
    <w:p w14:paraId="2E5F4796" w14:textId="77777777" w:rsidR="005727E1" w:rsidRDefault="005727E1" w:rsidP="00951F81">
      <w:pPr>
        <w:tabs>
          <w:tab w:val="clear" w:pos="567"/>
        </w:tabs>
      </w:pPr>
    </w:p>
    <w:p w14:paraId="00753728" w14:textId="37C861E0" w:rsidR="00951F81" w:rsidRDefault="00951F81" w:rsidP="00951F81">
      <w:pPr>
        <w:tabs>
          <w:tab w:val="clear" w:pos="567"/>
        </w:tabs>
      </w:pPr>
      <w:r>
        <w:t xml:space="preserve">Öelge oma arstile, kui teil on või on olnud tõsiseid probleeme neerudega, neerupuudulikkus või olete vajanud dialüüsravi või </w:t>
      </w:r>
      <w:r w:rsidR="007550E0">
        <w:t>kasutate</w:t>
      </w:r>
      <w:r>
        <w:t xml:space="preserve"> glükokortikoide (nt prednisolooni või deksametasooni), mis võib suurendada ohtu, et teie vere kaltsiumisisaldus väheneb liiga palju, kui te ei võta kaltsiumilisandeid.</w:t>
      </w:r>
    </w:p>
    <w:p w14:paraId="2BD1B567" w14:textId="77777777" w:rsidR="00951F81" w:rsidRDefault="00951F81" w:rsidP="00951F81">
      <w:pPr>
        <w:tabs>
          <w:tab w:val="clear" w:pos="567"/>
        </w:tabs>
      </w:pPr>
    </w:p>
    <w:p w14:paraId="2728E8EB" w14:textId="77777777" w:rsidR="00951F81" w:rsidRDefault="00951F81" w:rsidP="00951F81">
      <w:pPr>
        <w:keepNext/>
        <w:rPr>
          <w:u w:val="single"/>
        </w:rPr>
      </w:pPr>
      <w:r>
        <w:rPr>
          <w:u w:val="single"/>
        </w:rPr>
        <w:t>Probleemid suu, hammaste ja lõualuuga</w:t>
      </w:r>
    </w:p>
    <w:p w14:paraId="677C3CB3" w14:textId="7BC7737D" w:rsidR="00951F81" w:rsidRDefault="00951F81" w:rsidP="00951F81">
      <w:pPr>
        <w:tabs>
          <w:tab w:val="clear" w:pos="567"/>
        </w:tabs>
      </w:pPr>
      <w:r>
        <w:t xml:space="preserve">Patsientidel, kellele manustati </w:t>
      </w:r>
      <w:r w:rsidR="00EB5669">
        <w:t>denosumabi</w:t>
      </w:r>
      <w:r>
        <w:t xml:space="preserve"> osteoporoosi raviks, on harva (võib tekkida kuni 1 inimesel 1000</w:t>
      </w:r>
      <w:r>
        <w:noBreakHyphen/>
        <w:t>st) teatatud kõrvaltoimest, mida nimetatakse lõualuu osteonekroosiks (lõualuu kahjustus). Lõualuu osteonekroosi oht suureneb pikaajalist ravi saavatel patsientidel (võib tekkida kuni 1 inimesel 200</w:t>
      </w:r>
      <w:r>
        <w:noBreakHyphen/>
        <w:t>st, keda ravitakse 10 aastat). Lõualuu osteonekroos võib tekkida ka pärast ravi lõpetamist. On oluline püüda ennetada lõualuu osteonekroosi teket, mis võib olla valulik haigusseisund ja raskesti ravitav. Lõualuu osteonekroosi tekkeohu vähendamiseks rakendage järgmisi ettevaatusabinõusid.</w:t>
      </w:r>
    </w:p>
    <w:p w14:paraId="24317F80" w14:textId="77777777" w:rsidR="00951F81" w:rsidRDefault="00951F81" w:rsidP="00951F81">
      <w:pPr>
        <w:tabs>
          <w:tab w:val="clear" w:pos="567"/>
        </w:tabs>
      </w:pPr>
    </w:p>
    <w:p w14:paraId="19F512D7" w14:textId="77777777" w:rsidR="00951F81" w:rsidRDefault="00951F81" w:rsidP="00951F81">
      <w:pPr>
        <w:keepNext/>
        <w:tabs>
          <w:tab w:val="clear" w:pos="567"/>
        </w:tabs>
      </w:pPr>
      <w:r>
        <w:t>Enne ravi alustamist teavitage oma arsti või meditsiiniõde (tervishoiutöötajat), kui:</w:t>
      </w:r>
    </w:p>
    <w:p w14:paraId="69E08491" w14:textId="77777777" w:rsidR="00951F81" w:rsidRDefault="00951F81" w:rsidP="00951F81">
      <w:pPr>
        <w:keepNext/>
        <w:tabs>
          <w:tab w:val="clear" w:pos="567"/>
        </w:tabs>
      </w:pPr>
    </w:p>
    <w:p w14:paraId="654A8CEF" w14:textId="77777777" w:rsidR="00951F81" w:rsidRDefault="00951F81" w:rsidP="00951F81">
      <w:pPr>
        <w:numPr>
          <w:ilvl w:val="0"/>
          <w:numId w:val="54"/>
        </w:numPr>
        <w:tabs>
          <w:tab w:val="clear" w:pos="567"/>
        </w:tabs>
        <w:ind w:left="567" w:hanging="567"/>
      </w:pPr>
      <w:r>
        <w:t>teil on mis tahes probleemid suu või hammastega, nt hammaste halb tervislik seisund, igemehaigus või on plaanis hamba eemaldamine;</w:t>
      </w:r>
    </w:p>
    <w:p w14:paraId="780D99FE" w14:textId="77777777" w:rsidR="00951F81" w:rsidRDefault="00951F81" w:rsidP="00951F81">
      <w:pPr>
        <w:numPr>
          <w:ilvl w:val="0"/>
          <w:numId w:val="54"/>
        </w:numPr>
        <w:tabs>
          <w:tab w:val="clear" w:pos="567"/>
        </w:tabs>
        <w:ind w:left="567" w:hanging="567"/>
      </w:pPr>
      <w:r>
        <w:t>te ei käi regulaarselt hambaarstil või te ei ole pikka aega käinud hammaste arstlikus kontrollis;</w:t>
      </w:r>
    </w:p>
    <w:p w14:paraId="3CD99810" w14:textId="77777777" w:rsidR="00951F81" w:rsidRDefault="00951F81" w:rsidP="00951F81">
      <w:pPr>
        <w:numPr>
          <w:ilvl w:val="0"/>
          <w:numId w:val="54"/>
        </w:numPr>
        <w:tabs>
          <w:tab w:val="clear" w:pos="567"/>
        </w:tabs>
        <w:ind w:left="567" w:hanging="567"/>
      </w:pPr>
      <w:r>
        <w:t>te suitsetate (see võib suurendada hambaprobleemide tekkeohtu);</w:t>
      </w:r>
    </w:p>
    <w:p w14:paraId="02AB8225" w14:textId="77777777" w:rsidR="00951F81" w:rsidRDefault="00951F81" w:rsidP="00951F81">
      <w:pPr>
        <w:numPr>
          <w:ilvl w:val="0"/>
          <w:numId w:val="54"/>
        </w:numPr>
        <w:tabs>
          <w:tab w:val="clear" w:pos="567"/>
        </w:tabs>
        <w:ind w:left="567" w:hanging="567"/>
      </w:pPr>
      <w:r>
        <w:t>te olete varasemalt saanud ravi bisfosfonaatidega (kasutatakse luukahjustuste ennetamiseks või raviks);</w:t>
      </w:r>
    </w:p>
    <w:p w14:paraId="08AC813D" w14:textId="77777777" w:rsidR="00951F81" w:rsidRDefault="00951F81" w:rsidP="00951F81">
      <w:pPr>
        <w:numPr>
          <w:ilvl w:val="0"/>
          <w:numId w:val="54"/>
        </w:numPr>
        <w:tabs>
          <w:tab w:val="clear" w:pos="567"/>
        </w:tabs>
        <w:ind w:left="567" w:hanging="567"/>
      </w:pPr>
      <w:r>
        <w:t>te võtate ravimeid, mida nimetatakse kortikosteroidideks (nt prednisoloon või deksametasoon);</w:t>
      </w:r>
    </w:p>
    <w:p w14:paraId="5CE6B2B0" w14:textId="77777777" w:rsidR="00951F81" w:rsidRDefault="00951F81" w:rsidP="00951F81">
      <w:pPr>
        <w:numPr>
          <w:ilvl w:val="0"/>
          <w:numId w:val="54"/>
        </w:numPr>
        <w:tabs>
          <w:tab w:val="clear" w:pos="567"/>
        </w:tabs>
        <w:ind w:left="567" w:hanging="567"/>
      </w:pPr>
      <w:r>
        <w:t>teil on kasvaja.</w:t>
      </w:r>
    </w:p>
    <w:p w14:paraId="1961FD3F" w14:textId="77777777" w:rsidR="00951F81" w:rsidRDefault="00951F81" w:rsidP="00951F81">
      <w:pPr>
        <w:tabs>
          <w:tab w:val="clear" w:pos="567"/>
        </w:tabs>
      </w:pPr>
    </w:p>
    <w:p w14:paraId="5F3D12FB" w14:textId="698B8028" w:rsidR="00951F81" w:rsidRDefault="00951F81" w:rsidP="00951F81">
      <w:pPr>
        <w:tabs>
          <w:tab w:val="clear" w:pos="567"/>
        </w:tabs>
      </w:pPr>
      <w:r>
        <w:t xml:space="preserve">Enne ravi alustamist </w:t>
      </w:r>
      <w:r w:rsidR="00974204">
        <w:t>Kefdensis</w:t>
      </w:r>
      <w:r w:rsidR="00EB5669">
        <w:t>’ega</w:t>
      </w:r>
      <w:r>
        <w:t xml:space="preserve"> võib arst soovitada hammaste arstlikku kontrolli.</w:t>
      </w:r>
    </w:p>
    <w:p w14:paraId="450E10C2" w14:textId="77777777" w:rsidR="00951F81" w:rsidRDefault="00951F81" w:rsidP="00951F81">
      <w:pPr>
        <w:tabs>
          <w:tab w:val="clear" w:pos="567"/>
        </w:tabs>
      </w:pPr>
    </w:p>
    <w:p w14:paraId="47A5B9B1" w14:textId="1D5FA60B" w:rsidR="00951F81" w:rsidRDefault="00951F81" w:rsidP="00951F81">
      <w:pPr>
        <w:tabs>
          <w:tab w:val="clear" w:pos="567"/>
        </w:tabs>
      </w:pPr>
      <w:r>
        <w:t>Ravi ajal peate pidevalt hoolitsema hea suuhügieeni eest ja käima regulaarselt hammaste arstlikus kontrollis. Kui te kasutate hambaproteese, veenduge, et need o</w:t>
      </w:r>
      <w:r w:rsidR="00682E7A">
        <w:t>n</w:t>
      </w:r>
      <w:r>
        <w:t xml:space="preserve"> teile sobivad. Kui te saate hambaravi või teile plaanitakse kirurgilist hambaravi (nt hamba väljatõmbamine), teavitage oma arsti ja rääkige oma hambaarstile, et teid ravitakse </w:t>
      </w:r>
      <w:r w:rsidR="00974204">
        <w:t>Kefdensis</w:t>
      </w:r>
      <w:r w:rsidR="00EB5669">
        <w:t>’ega</w:t>
      </w:r>
      <w:r>
        <w:t>.</w:t>
      </w:r>
    </w:p>
    <w:p w14:paraId="3BD1A5A0" w14:textId="77777777" w:rsidR="00951F81" w:rsidRDefault="00951F81" w:rsidP="00951F81">
      <w:pPr>
        <w:tabs>
          <w:tab w:val="clear" w:pos="567"/>
        </w:tabs>
      </w:pPr>
    </w:p>
    <w:p w14:paraId="74CBBB4C" w14:textId="7971BB66" w:rsidR="00951F81" w:rsidRDefault="00951F81" w:rsidP="00951F81">
      <w:pPr>
        <w:tabs>
          <w:tab w:val="clear" w:pos="567"/>
        </w:tabs>
      </w:pPr>
      <w:r>
        <w:t xml:space="preserve">Teavitage viivitamatult oma arsti ja hambaarsti, kui ravi ajal </w:t>
      </w:r>
      <w:r w:rsidR="00974204">
        <w:t>Kefdensis</w:t>
      </w:r>
      <w:r w:rsidR="00EB5669">
        <w:t>’ega</w:t>
      </w:r>
      <w:r>
        <w:t xml:space="preserve"> tekivad teil mis tahes probleemid suu või hammastega, nt hamba välja</w:t>
      </w:r>
      <w:r w:rsidR="00682E7A">
        <w:t>kukkumine</w:t>
      </w:r>
      <w:r>
        <w:t>, valu või turse, või mitteparanevad haavandid või eritis, sest need võivad olla lõualuu osteonekroosi kõrvaltoime ilmingud.</w:t>
      </w:r>
    </w:p>
    <w:p w14:paraId="46DD3A16" w14:textId="77777777" w:rsidR="00951F81" w:rsidRDefault="00951F81" w:rsidP="00951F81">
      <w:pPr>
        <w:tabs>
          <w:tab w:val="clear" w:pos="567"/>
        </w:tabs>
      </w:pPr>
    </w:p>
    <w:p w14:paraId="300A31FD" w14:textId="77777777" w:rsidR="00951F81" w:rsidRDefault="00951F81" w:rsidP="00951F81">
      <w:pPr>
        <w:keepNext/>
        <w:rPr>
          <w:u w:val="single"/>
        </w:rPr>
      </w:pPr>
      <w:r>
        <w:rPr>
          <w:u w:val="single"/>
        </w:rPr>
        <w:t>Ebaharilikud reieluumurrud</w:t>
      </w:r>
    </w:p>
    <w:p w14:paraId="122C8224" w14:textId="22503C3D" w:rsidR="00951F81" w:rsidRDefault="00951F81" w:rsidP="00951F81">
      <w:pPr>
        <w:tabs>
          <w:tab w:val="clear" w:pos="567"/>
        </w:tabs>
      </w:pPr>
      <w:r>
        <w:t xml:space="preserve">Mõnel </w:t>
      </w:r>
      <w:r w:rsidR="00EB5669">
        <w:t>denosumabiga</w:t>
      </w:r>
      <w:r>
        <w:t xml:space="preserve"> ravitaval patsiendil on tekkinud ebaharilik reieluumurd. Kui teil tekib esmakordne või ebaharilik valu puusa, kubeme või reie piirkonnas, võtke ühendust oma arstiga.</w:t>
      </w:r>
    </w:p>
    <w:p w14:paraId="508960A4" w14:textId="77777777" w:rsidR="00951F81" w:rsidRDefault="00951F81" w:rsidP="00951F81">
      <w:pPr>
        <w:tabs>
          <w:tab w:val="clear" w:pos="567"/>
        </w:tabs>
      </w:pPr>
    </w:p>
    <w:p w14:paraId="414D4AF2" w14:textId="77777777" w:rsidR="00951F81" w:rsidRDefault="00951F81" w:rsidP="00951F81">
      <w:pPr>
        <w:keepNext/>
        <w:tabs>
          <w:tab w:val="clear" w:pos="567"/>
        </w:tabs>
        <w:rPr>
          <w:b/>
          <w:bCs/>
        </w:rPr>
      </w:pPr>
      <w:r>
        <w:rPr>
          <w:b/>
        </w:rPr>
        <w:t>Lapsed ja noorukid</w:t>
      </w:r>
    </w:p>
    <w:p w14:paraId="4D40F7CF" w14:textId="77777777" w:rsidR="00951F81" w:rsidRDefault="00951F81" w:rsidP="00951F81">
      <w:pPr>
        <w:keepNext/>
      </w:pPr>
    </w:p>
    <w:p w14:paraId="506FAE7E" w14:textId="7B23BADC" w:rsidR="00951F81" w:rsidRDefault="00974204" w:rsidP="00951F81">
      <w:r>
        <w:t>Kefdensis</w:t>
      </w:r>
      <w:r w:rsidR="00951F81">
        <w:t xml:space="preserve">’t ei tohi kasutada lastel ja noorukitel vanuses alla 18 aasta. </w:t>
      </w:r>
    </w:p>
    <w:p w14:paraId="6785FFFF" w14:textId="77777777" w:rsidR="00951F81" w:rsidRDefault="00951F81" w:rsidP="00951F81"/>
    <w:p w14:paraId="1ABACCE1" w14:textId="24C48DCC" w:rsidR="00951F81" w:rsidRDefault="00951F81" w:rsidP="00951F81">
      <w:pPr>
        <w:keepNext/>
        <w:tabs>
          <w:tab w:val="clear" w:pos="567"/>
        </w:tabs>
        <w:rPr>
          <w:b/>
          <w:bCs/>
        </w:rPr>
      </w:pPr>
      <w:r>
        <w:rPr>
          <w:b/>
        </w:rPr>
        <w:t xml:space="preserve">Muud ravimid ja </w:t>
      </w:r>
      <w:r w:rsidR="00974204">
        <w:rPr>
          <w:b/>
        </w:rPr>
        <w:t>Kefdensis</w:t>
      </w:r>
    </w:p>
    <w:p w14:paraId="0B529527" w14:textId="77777777" w:rsidR="00951F81" w:rsidRDefault="00951F81" w:rsidP="00951F81">
      <w:pPr>
        <w:keepNext/>
      </w:pPr>
    </w:p>
    <w:p w14:paraId="7A30C298" w14:textId="77777777" w:rsidR="00951F81" w:rsidRDefault="00951F81" w:rsidP="00951F81">
      <w:pPr>
        <w:tabs>
          <w:tab w:val="clear" w:pos="567"/>
        </w:tabs>
      </w:pPr>
      <w:r>
        <w:t>Teatage oma arstile või apteekrile, kui te võtate või olete hiljuti võtnud või kavatsete võtta mis tahes muid ravimeid. Eriti oluline on teatada oma arstile, kui saate ravi mõne teise denosumabi sisaldava ravimiga.</w:t>
      </w:r>
    </w:p>
    <w:p w14:paraId="3BA641B9" w14:textId="77777777" w:rsidR="00951F81" w:rsidRDefault="00951F81" w:rsidP="00951F81">
      <w:pPr>
        <w:tabs>
          <w:tab w:val="clear" w:pos="567"/>
        </w:tabs>
      </w:pPr>
    </w:p>
    <w:p w14:paraId="74341D76" w14:textId="238098F6" w:rsidR="00951F81" w:rsidRDefault="00951F81" w:rsidP="00951F81">
      <w:pPr>
        <w:tabs>
          <w:tab w:val="clear" w:pos="567"/>
        </w:tabs>
      </w:pPr>
      <w:r>
        <w:t xml:space="preserve">Te ei tohi kasutada </w:t>
      </w:r>
      <w:r w:rsidR="00974204">
        <w:t>Kefdensis</w:t>
      </w:r>
      <w:r>
        <w:t>’t koos mõne teise denosumabi sisaldava ravimiga.</w:t>
      </w:r>
    </w:p>
    <w:p w14:paraId="0E5B2E1B" w14:textId="77777777" w:rsidR="00951F81" w:rsidRDefault="00951F81" w:rsidP="00951F81">
      <w:pPr>
        <w:tabs>
          <w:tab w:val="clear" w:pos="567"/>
        </w:tabs>
      </w:pPr>
    </w:p>
    <w:p w14:paraId="5B048D8F" w14:textId="77777777" w:rsidR="00951F81" w:rsidRDefault="00951F81" w:rsidP="00951F81">
      <w:pPr>
        <w:keepNext/>
        <w:tabs>
          <w:tab w:val="clear" w:pos="567"/>
        </w:tabs>
        <w:rPr>
          <w:b/>
          <w:bCs/>
        </w:rPr>
      </w:pPr>
      <w:r>
        <w:rPr>
          <w:b/>
        </w:rPr>
        <w:t>Rasedus ja imetamine</w:t>
      </w:r>
    </w:p>
    <w:p w14:paraId="58B7994A" w14:textId="77777777" w:rsidR="00951F81" w:rsidRDefault="00951F81" w:rsidP="00951F81">
      <w:pPr>
        <w:keepNext/>
      </w:pPr>
    </w:p>
    <w:p w14:paraId="16808CC5" w14:textId="71189EA4" w:rsidR="00951F81" w:rsidRDefault="00EB5669" w:rsidP="00951F81">
      <w:pPr>
        <w:tabs>
          <w:tab w:val="clear" w:pos="567"/>
        </w:tabs>
      </w:pPr>
      <w:r>
        <w:t xml:space="preserve">Denosumabi </w:t>
      </w:r>
      <w:r w:rsidR="00951F81">
        <w:t xml:space="preserve">ei ole rasedatel uuritud. On tähtis öelda oma arstile, kui te olete rase, arvate, et võite olla rase või plaanite rasestuda. </w:t>
      </w:r>
      <w:r w:rsidR="00974204">
        <w:t>Kefdensis</w:t>
      </w:r>
      <w:r w:rsidR="00951F81">
        <w:t xml:space="preserve">’t ei ole soovitatav kasutada, kui te olete rase. Viljakas eas naised peavad ravi ajal </w:t>
      </w:r>
      <w:r w:rsidR="00974204">
        <w:t>Kefdensis</w:t>
      </w:r>
      <w:r>
        <w:t>’ega</w:t>
      </w:r>
      <w:r w:rsidR="00951F81">
        <w:t xml:space="preserve"> ja vähemalt 5 kuud pärast ravi lõppu </w:t>
      </w:r>
      <w:r w:rsidR="00974204">
        <w:t>Kefdensis</w:t>
      </w:r>
      <w:r>
        <w:t>’ega</w:t>
      </w:r>
      <w:r w:rsidR="00951F81">
        <w:t xml:space="preserve"> kasutama efektiivset rasestumisvastast vahendit.</w:t>
      </w:r>
    </w:p>
    <w:p w14:paraId="5CA50FB9" w14:textId="77777777" w:rsidR="00951F81" w:rsidRDefault="00951F81" w:rsidP="00951F81">
      <w:pPr>
        <w:tabs>
          <w:tab w:val="clear" w:pos="567"/>
        </w:tabs>
      </w:pPr>
    </w:p>
    <w:p w14:paraId="435901DA" w14:textId="09C31A9A" w:rsidR="00951F81" w:rsidRDefault="00951F81" w:rsidP="00951F81">
      <w:pPr>
        <w:tabs>
          <w:tab w:val="clear" w:pos="567"/>
        </w:tabs>
      </w:pPr>
      <w:r>
        <w:t xml:space="preserve">Palun teavitage oma arsti, kui te rasestute ravi ajal </w:t>
      </w:r>
      <w:r w:rsidR="00974204">
        <w:t>Kefdensis</w:t>
      </w:r>
      <w:r w:rsidR="00EB5669">
        <w:t>’ega</w:t>
      </w:r>
      <w:r>
        <w:t xml:space="preserve"> või kuni 5 kuu jooksul pärast ravi lõppu </w:t>
      </w:r>
      <w:r w:rsidR="00974204">
        <w:t>Kefdensis</w:t>
      </w:r>
      <w:r w:rsidR="00EB5669">
        <w:t>’ega</w:t>
      </w:r>
      <w:r>
        <w:t>.</w:t>
      </w:r>
    </w:p>
    <w:p w14:paraId="48A8D346" w14:textId="77777777" w:rsidR="00951F81" w:rsidRDefault="00951F81" w:rsidP="00951F81">
      <w:pPr>
        <w:tabs>
          <w:tab w:val="clear" w:pos="567"/>
        </w:tabs>
      </w:pPr>
    </w:p>
    <w:p w14:paraId="0FBDFE6C" w14:textId="50240E52" w:rsidR="00951F81" w:rsidRDefault="00951F81" w:rsidP="00951F81">
      <w:pPr>
        <w:tabs>
          <w:tab w:val="clear" w:pos="567"/>
        </w:tabs>
      </w:pPr>
      <w:r>
        <w:t xml:space="preserve">Ei ole teada, kas </w:t>
      </w:r>
      <w:r w:rsidR="00EB5669">
        <w:t>denosumab</w:t>
      </w:r>
      <w:r>
        <w:t xml:space="preserve"> eritub rinnapiima. On tähtis rääkida oma arstile, kui te toidate last rinnaga või plaanite seda teha. Teie arst aitab sel juhul otsustada, kas peaksite loobuma rinnaga toitmisest või </w:t>
      </w:r>
      <w:r w:rsidR="00974204">
        <w:t>Kefdensis</w:t>
      </w:r>
      <w:r w:rsidR="00EB5669">
        <w:t>’e</w:t>
      </w:r>
      <w:r>
        <w:t xml:space="preserve"> kasutamisest, arvestades imetamise kasu lapsele ja </w:t>
      </w:r>
      <w:r w:rsidR="00974204">
        <w:t>Kefdensis</w:t>
      </w:r>
      <w:r w:rsidR="00EE659B">
        <w:t>’e</w:t>
      </w:r>
      <w:r>
        <w:t xml:space="preserve"> kasu emale.</w:t>
      </w:r>
    </w:p>
    <w:p w14:paraId="06D62E7C" w14:textId="77777777" w:rsidR="00951F81" w:rsidRDefault="00951F81" w:rsidP="00951F81">
      <w:pPr>
        <w:tabs>
          <w:tab w:val="clear" w:pos="567"/>
        </w:tabs>
      </w:pPr>
    </w:p>
    <w:p w14:paraId="61C1F5D4" w14:textId="2B6863CD" w:rsidR="00951F81" w:rsidRDefault="00951F81" w:rsidP="00951F81">
      <w:pPr>
        <w:tabs>
          <w:tab w:val="clear" w:pos="567"/>
        </w:tabs>
      </w:pPr>
      <w:r>
        <w:t xml:space="preserve">Palun teavitage oma arsti, kui te imetate ravi ajal </w:t>
      </w:r>
      <w:r w:rsidR="00974204">
        <w:t>Kefdensis</w:t>
      </w:r>
      <w:r w:rsidR="00EB5669">
        <w:t>’ega</w:t>
      </w:r>
      <w:r>
        <w:t>.</w:t>
      </w:r>
    </w:p>
    <w:p w14:paraId="6900BB5A" w14:textId="77777777" w:rsidR="00951F81" w:rsidRDefault="00951F81" w:rsidP="00951F81">
      <w:pPr>
        <w:tabs>
          <w:tab w:val="clear" w:pos="567"/>
        </w:tabs>
      </w:pPr>
    </w:p>
    <w:p w14:paraId="5C2056C4" w14:textId="77777777" w:rsidR="00951F81" w:rsidRDefault="00951F81" w:rsidP="00951F81">
      <w:pPr>
        <w:tabs>
          <w:tab w:val="clear" w:pos="567"/>
        </w:tabs>
      </w:pPr>
      <w:r>
        <w:t>Enne ravimi kasutamist pidage nõu oma arsti või apteekriga.</w:t>
      </w:r>
    </w:p>
    <w:p w14:paraId="5FAD8CB2" w14:textId="77777777" w:rsidR="00951F81" w:rsidRDefault="00951F81" w:rsidP="00951F81">
      <w:pPr>
        <w:tabs>
          <w:tab w:val="clear" w:pos="567"/>
        </w:tabs>
      </w:pPr>
    </w:p>
    <w:p w14:paraId="1FFB6D4C" w14:textId="77777777" w:rsidR="00951F81" w:rsidRDefault="00951F81" w:rsidP="00951F81">
      <w:pPr>
        <w:keepNext/>
        <w:tabs>
          <w:tab w:val="clear" w:pos="567"/>
        </w:tabs>
        <w:rPr>
          <w:b/>
          <w:bCs/>
        </w:rPr>
      </w:pPr>
      <w:r>
        <w:rPr>
          <w:b/>
        </w:rPr>
        <w:t>Autojuhtimine ja masinatega töötamine</w:t>
      </w:r>
    </w:p>
    <w:p w14:paraId="0B9CADEA" w14:textId="77777777" w:rsidR="00951F81" w:rsidRDefault="00951F81" w:rsidP="00951F81">
      <w:pPr>
        <w:keepNext/>
      </w:pPr>
    </w:p>
    <w:p w14:paraId="14C8B16B" w14:textId="673F7FC9" w:rsidR="00951F81" w:rsidRDefault="00EE659B" w:rsidP="00951F81">
      <w:pPr>
        <w:tabs>
          <w:tab w:val="clear" w:pos="567"/>
        </w:tabs>
      </w:pPr>
      <w:r>
        <w:t>Denosumab</w:t>
      </w:r>
      <w:r w:rsidR="00951F81">
        <w:t xml:space="preserve"> </w:t>
      </w:r>
      <w:r w:rsidR="00DF18D5">
        <w:t>ei mõjuta või mõjutab ebaoluliselt</w:t>
      </w:r>
      <w:r w:rsidR="00951F81">
        <w:t xml:space="preserve"> autojuhtimise või masinate käsitsemise võime</w:t>
      </w:r>
      <w:r w:rsidR="00DF18D5">
        <w:t>t</w:t>
      </w:r>
      <w:r w:rsidR="00951F81">
        <w:t>.</w:t>
      </w:r>
    </w:p>
    <w:p w14:paraId="724B0D51" w14:textId="77777777" w:rsidR="00951F81" w:rsidRDefault="00951F81" w:rsidP="00951F81">
      <w:pPr>
        <w:tabs>
          <w:tab w:val="clear" w:pos="567"/>
        </w:tabs>
      </w:pPr>
    </w:p>
    <w:p w14:paraId="7C72BF40" w14:textId="77777777" w:rsidR="00951F81" w:rsidRDefault="00951F81" w:rsidP="00951F81">
      <w:pPr>
        <w:tabs>
          <w:tab w:val="clear" w:pos="567"/>
        </w:tabs>
      </w:pPr>
    </w:p>
    <w:p w14:paraId="591FEE76" w14:textId="165A0DF1" w:rsidR="00951F81" w:rsidRDefault="00951F81" w:rsidP="00951F81">
      <w:pPr>
        <w:keepNext/>
        <w:tabs>
          <w:tab w:val="clear" w:pos="567"/>
        </w:tabs>
        <w:ind w:left="567" w:hanging="567"/>
        <w:rPr>
          <w:b/>
        </w:rPr>
      </w:pPr>
      <w:r>
        <w:rPr>
          <w:b/>
        </w:rPr>
        <w:t>3.</w:t>
      </w:r>
      <w:r>
        <w:rPr>
          <w:b/>
        </w:rPr>
        <w:tab/>
        <w:t xml:space="preserve">Kuidas </w:t>
      </w:r>
      <w:r w:rsidR="00974204">
        <w:rPr>
          <w:b/>
        </w:rPr>
        <w:t>Kefdensis</w:t>
      </w:r>
      <w:r>
        <w:rPr>
          <w:b/>
        </w:rPr>
        <w:t>’t kasutada</w:t>
      </w:r>
    </w:p>
    <w:p w14:paraId="390C1A95" w14:textId="77777777" w:rsidR="00951F81" w:rsidRDefault="00951F81" w:rsidP="00951F81">
      <w:pPr>
        <w:keepNext/>
      </w:pPr>
    </w:p>
    <w:p w14:paraId="20648752" w14:textId="0A1620E2" w:rsidR="00951F81" w:rsidRDefault="00951F81" w:rsidP="00951F81">
      <w:pPr>
        <w:tabs>
          <w:tab w:val="clear" w:pos="567"/>
        </w:tabs>
      </w:pPr>
      <w:r>
        <w:t>Soovitatav annus on üks süstlitäis, 60 mg, manustatuna üks kord iga 6 kuu järel nahaaluse süstina (subkutaanselt). Parimad süstekohad on reite ja kõhu ülaosa. Teie hooldaja võib süstida ka õlavarre välisküljele. Küsige arstilt oma järgmise võimaliku süst</w:t>
      </w:r>
      <w:r w:rsidR="00C059AF">
        <w:t>e</w:t>
      </w:r>
      <w:r>
        <w:t xml:space="preserve"> kuupäeva. </w:t>
      </w:r>
    </w:p>
    <w:p w14:paraId="4BA80950" w14:textId="77777777" w:rsidR="00951F81" w:rsidRDefault="00951F81" w:rsidP="00951F81">
      <w:pPr>
        <w:tabs>
          <w:tab w:val="clear" w:pos="567"/>
        </w:tabs>
      </w:pPr>
    </w:p>
    <w:p w14:paraId="087A2891" w14:textId="6A38A46B" w:rsidR="00951F81" w:rsidRDefault="00951F81" w:rsidP="00951F81">
      <w:pPr>
        <w:tabs>
          <w:tab w:val="clear" w:pos="567"/>
        </w:tabs>
      </w:pPr>
      <w:r>
        <w:t xml:space="preserve">Ravi ajal </w:t>
      </w:r>
      <w:r w:rsidR="00974204">
        <w:t>Kefdensis</w:t>
      </w:r>
      <w:r w:rsidR="00EB5669">
        <w:t>’ega</w:t>
      </w:r>
      <w:r>
        <w:t xml:space="preserve"> peate te samuti võtma täiendavalt kaltsiumi ja D</w:t>
      </w:r>
      <w:r>
        <w:noBreakHyphen/>
        <w:t>vitamiini. Teie arst arutab seda teiega.</w:t>
      </w:r>
    </w:p>
    <w:p w14:paraId="517308BC" w14:textId="77777777" w:rsidR="00951F81" w:rsidRDefault="00951F81" w:rsidP="00951F81">
      <w:pPr>
        <w:tabs>
          <w:tab w:val="clear" w:pos="567"/>
        </w:tabs>
      </w:pPr>
    </w:p>
    <w:p w14:paraId="4522E7C4" w14:textId="076EF11C" w:rsidR="00951F81" w:rsidRDefault="00951F81" w:rsidP="00951F81">
      <w:pPr>
        <w:tabs>
          <w:tab w:val="clear" w:pos="567"/>
        </w:tabs>
      </w:pPr>
      <w:r>
        <w:t xml:space="preserve">Teie arst võib otsustada, et parim on, kui te ise süstite </w:t>
      </w:r>
      <w:r w:rsidR="00974204">
        <w:t>Kefdensis</w:t>
      </w:r>
      <w:r>
        <w:t xml:space="preserve">’t või seda teeb teie hooldaja. Teie arst või tervishoiuteenuse osutaja näitab teile või teie hooldajale, kuidas </w:t>
      </w:r>
      <w:r w:rsidR="00974204">
        <w:t>Kefdensis</w:t>
      </w:r>
      <w:r>
        <w:t xml:space="preserve">’t kasutada. Juhiseid </w:t>
      </w:r>
      <w:r w:rsidR="00974204">
        <w:t>Kefdensis</w:t>
      </w:r>
      <w:r w:rsidR="00EE659B">
        <w:t>’e</w:t>
      </w:r>
      <w:r>
        <w:t xml:space="preserve"> kasutamise kohta lugege käesoleva infolehe lõpust.</w:t>
      </w:r>
    </w:p>
    <w:p w14:paraId="67223161" w14:textId="77777777" w:rsidR="00951F81" w:rsidRDefault="00951F81" w:rsidP="00951F81">
      <w:pPr>
        <w:tabs>
          <w:tab w:val="clear" w:pos="567"/>
        </w:tabs>
      </w:pPr>
    </w:p>
    <w:p w14:paraId="25CD34A6" w14:textId="77777777" w:rsidR="00951F81" w:rsidRDefault="00951F81" w:rsidP="00951F81">
      <w:pPr>
        <w:tabs>
          <w:tab w:val="clear" w:pos="567"/>
        </w:tabs>
      </w:pPr>
      <w:r>
        <w:t>Mitte loksutada.</w:t>
      </w:r>
    </w:p>
    <w:p w14:paraId="4C69990C" w14:textId="77777777" w:rsidR="00951F81" w:rsidRDefault="00951F81" w:rsidP="00951F81">
      <w:pPr>
        <w:tabs>
          <w:tab w:val="clear" w:pos="567"/>
        </w:tabs>
      </w:pPr>
    </w:p>
    <w:p w14:paraId="0A214BE9" w14:textId="4624628A" w:rsidR="00951F81" w:rsidRDefault="00951F81" w:rsidP="00951F81">
      <w:pPr>
        <w:keepNext/>
        <w:tabs>
          <w:tab w:val="clear" w:pos="567"/>
        </w:tabs>
        <w:rPr>
          <w:b/>
          <w:bCs/>
        </w:rPr>
      </w:pPr>
      <w:r>
        <w:rPr>
          <w:b/>
        </w:rPr>
        <w:t xml:space="preserve">Kui te unustate </w:t>
      </w:r>
      <w:r w:rsidR="00974204">
        <w:rPr>
          <w:b/>
        </w:rPr>
        <w:t>Kefdensis</w:t>
      </w:r>
      <w:r>
        <w:rPr>
          <w:b/>
        </w:rPr>
        <w:t>’t kasutada</w:t>
      </w:r>
    </w:p>
    <w:p w14:paraId="3A69E85C" w14:textId="77777777" w:rsidR="00951F81" w:rsidRDefault="00951F81" w:rsidP="00951F81">
      <w:pPr>
        <w:keepNext/>
      </w:pPr>
    </w:p>
    <w:p w14:paraId="0C03EC8A" w14:textId="0DF82FEF" w:rsidR="00951F81" w:rsidRDefault="00951F81" w:rsidP="00951F81">
      <w:pPr>
        <w:tabs>
          <w:tab w:val="clear" w:pos="567"/>
        </w:tabs>
      </w:pPr>
      <w:r>
        <w:t xml:space="preserve">Kui </w:t>
      </w:r>
      <w:r w:rsidR="00974204">
        <w:t>Kefdensis</w:t>
      </w:r>
      <w:r w:rsidR="00EE659B">
        <w:t>’e</w:t>
      </w:r>
      <w:r>
        <w:t xml:space="preserve"> annus jääb vahele, tuleb see manustada niipea kui võimalik. Järgnevad süstid tuleb teha iga 6 kuu järel alates viimase süst</w:t>
      </w:r>
      <w:r w:rsidR="00C059AF">
        <w:t>e</w:t>
      </w:r>
      <w:r>
        <w:t xml:space="preserve"> kuupäevast.</w:t>
      </w:r>
    </w:p>
    <w:p w14:paraId="0D9618D1" w14:textId="77777777" w:rsidR="00951F81" w:rsidRDefault="00951F81" w:rsidP="00951F81">
      <w:pPr>
        <w:tabs>
          <w:tab w:val="clear" w:pos="567"/>
        </w:tabs>
      </w:pPr>
    </w:p>
    <w:p w14:paraId="5242C39F" w14:textId="7BCE30B7" w:rsidR="00951F81" w:rsidRDefault="00951F81" w:rsidP="00951F81">
      <w:pPr>
        <w:keepNext/>
        <w:tabs>
          <w:tab w:val="clear" w:pos="567"/>
        </w:tabs>
        <w:rPr>
          <w:b/>
          <w:bCs/>
        </w:rPr>
      </w:pPr>
      <w:r>
        <w:rPr>
          <w:b/>
        </w:rPr>
        <w:t xml:space="preserve">Kui te lõpetate </w:t>
      </w:r>
      <w:r w:rsidR="00974204">
        <w:rPr>
          <w:b/>
        </w:rPr>
        <w:t>Kefdensis</w:t>
      </w:r>
      <w:r w:rsidR="00EB5669">
        <w:rPr>
          <w:b/>
        </w:rPr>
        <w:t>’e</w:t>
      </w:r>
      <w:r>
        <w:rPr>
          <w:b/>
        </w:rPr>
        <w:t xml:space="preserve"> kasutamise</w:t>
      </w:r>
    </w:p>
    <w:p w14:paraId="66577F5B" w14:textId="77777777" w:rsidR="00951F81" w:rsidRDefault="00951F81" w:rsidP="00951F81">
      <w:pPr>
        <w:keepNext/>
      </w:pPr>
    </w:p>
    <w:p w14:paraId="45BDA2AC" w14:textId="05538F49" w:rsidR="00951F81" w:rsidRDefault="00951F81" w:rsidP="00951F81">
      <w:pPr>
        <w:tabs>
          <w:tab w:val="clear" w:pos="567"/>
        </w:tabs>
      </w:pPr>
      <w:r>
        <w:t>Suurima kasu saamiseks ravist luumurru</w:t>
      </w:r>
      <w:r w:rsidR="00C059AF">
        <w:t>riski</w:t>
      </w:r>
      <w:r>
        <w:t xml:space="preserve"> vähendamiseks on tähtis kasutada </w:t>
      </w:r>
      <w:r w:rsidR="00974204">
        <w:t>Kefdensis</w:t>
      </w:r>
      <w:r>
        <w:t>’t niikaua, kui arst on määranud. Ärge lõpetage ravi ilma arstiga nõu pidamata.</w:t>
      </w:r>
    </w:p>
    <w:p w14:paraId="17166772" w14:textId="77777777" w:rsidR="00951F81" w:rsidRDefault="00951F81" w:rsidP="00951F81">
      <w:pPr>
        <w:tabs>
          <w:tab w:val="clear" w:pos="567"/>
        </w:tabs>
      </w:pPr>
    </w:p>
    <w:p w14:paraId="518B346A" w14:textId="77777777" w:rsidR="00951F81" w:rsidRDefault="00951F81" w:rsidP="00951F81">
      <w:pPr>
        <w:tabs>
          <w:tab w:val="clear" w:pos="567"/>
        </w:tabs>
      </w:pPr>
    </w:p>
    <w:p w14:paraId="6466A298" w14:textId="77777777" w:rsidR="00951F81" w:rsidRDefault="00951F81" w:rsidP="00951F81">
      <w:pPr>
        <w:keepNext/>
        <w:tabs>
          <w:tab w:val="clear" w:pos="567"/>
        </w:tabs>
        <w:ind w:left="567" w:hanging="567"/>
        <w:rPr>
          <w:b/>
        </w:rPr>
      </w:pPr>
      <w:r>
        <w:rPr>
          <w:b/>
        </w:rPr>
        <w:t>4.</w:t>
      </w:r>
      <w:r>
        <w:rPr>
          <w:b/>
        </w:rPr>
        <w:tab/>
        <w:t>Võimalikud kõrvaltoimed</w:t>
      </w:r>
    </w:p>
    <w:p w14:paraId="50788420" w14:textId="77777777" w:rsidR="00951F81" w:rsidRDefault="00951F81" w:rsidP="00951F81">
      <w:pPr>
        <w:keepNext/>
      </w:pPr>
    </w:p>
    <w:p w14:paraId="3A719079" w14:textId="77777777" w:rsidR="00951F81" w:rsidRDefault="00951F81" w:rsidP="00951F81">
      <w:pPr>
        <w:tabs>
          <w:tab w:val="clear" w:pos="567"/>
        </w:tabs>
      </w:pPr>
      <w:r>
        <w:t>Nagu kõik ravimid, võib ka see ravim põhjustada kõrvaltoimeid, kuigi kõigil neid ei teki.</w:t>
      </w:r>
    </w:p>
    <w:p w14:paraId="31C04B6C" w14:textId="77777777" w:rsidR="00951F81" w:rsidRDefault="00951F81" w:rsidP="00951F81">
      <w:pPr>
        <w:tabs>
          <w:tab w:val="clear" w:pos="567"/>
        </w:tabs>
      </w:pPr>
    </w:p>
    <w:p w14:paraId="391A436E" w14:textId="2E94D28F" w:rsidR="00951F81" w:rsidRDefault="00EE659B" w:rsidP="00951F81">
      <w:pPr>
        <w:tabs>
          <w:tab w:val="clear" w:pos="567"/>
        </w:tabs>
      </w:pPr>
      <w:r>
        <w:t xml:space="preserve">Denosumabiga </w:t>
      </w:r>
      <w:r w:rsidR="00951F81">
        <w:t xml:space="preserve">ravitavatel patsientidel võib harva tekkida nahainfektsioon (valdavalt tselluliit). </w:t>
      </w:r>
      <w:r w:rsidR="00951F81">
        <w:rPr>
          <w:b/>
        </w:rPr>
        <w:t>Öelge oma arstile otsekohe</w:t>
      </w:r>
      <w:r w:rsidR="00951F81">
        <w:t xml:space="preserve">, kui teil ravi ajal </w:t>
      </w:r>
      <w:r w:rsidR="00974204">
        <w:t>Kefdensis</w:t>
      </w:r>
      <w:r w:rsidR="00EB5669">
        <w:t>’ega</w:t>
      </w:r>
      <w:r w:rsidR="00951F81">
        <w:t xml:space="preserve"> tekib mistahes järgnevalt loetletud sümptomitest: paistes, punetav nahapiirkond tavaliselt jala allosas, mis kuum</w:t>
      </w:r>
      <w:r w:rsidR="00E02A61">
        <w:t>ab</w:t>
      </w:r>
      <w:r w:rsidR="00951F81">
        <w:t xml:space="preserve"> ja </w:t>
      </w:r>
      <w:r w:rsidR="00E02A61">
        <w:t xml:space="preserve">on </w:t>
      </w:r>
      <w:r w:rsidR="00951F81">
        <w:t>valulik, millega või</w:t>
      </w:r>
      <w:r w:rsidR="00E02A61">
        <w:t>b</w:t>
      </w:r>
      <w:r w:rsidR="00951F81">
        <w:t xml:space="preserve"> kaasneda palavik.</w:t>
      </w:r>
    </w:p>
    <w:p w14:paraId="3F999A98" w14:textId="77777777" w:rsidR="00951F81" w:rsidRDefault="00951F81" w:rsidP="00951F81">
      <w:pPr>
        <w:tabs>
          <w:tab w:val="clear" w:pos="567"/>
        </w:tabs>
      </w:pPr>
    </w:p>
    <w:p w14:paraId="02CC8593" w14:textId="1B7FF2F1" w:rsidR="00951F81" w:rsidRDefault="00EE659B" w:rsidP="00951F81">
      <w:pPr>
        <w:tabs>
          <w:tab w:val="clear" w:pos="567"/>
        </w:tabs>
      </w:pPr>
      <w:r>
        <w:t>Denosumabiga</w:t>
      </w:r>
      <w:r w:rsidR="00951F81">
        <w:t xml:space="preserve"> ravitavatel patsientidel võib harva tekkida valu suus ja/või lõualuus, turse või mitteparanevad haavandid suus või lõualuus, eritis, tuimus või raskustunne lõualuus või hamba väljalangemine. Need võivad olla lõualuu kahjustuse nähud. </w:t>
      </w:r>
      <w:r w:rsidR="00951F81">
        <w:rPr>
          <w:b/>
        </w:rPr>
        <w:t>Teavitage viivitamatult oma arsti ja hambaarsti</w:t>
      </w:r>
      <w:r w:rsidR="00951F81">
        <w:t xml:space="preserve">, kui teil tekivad sellised sümptomid ravi ajal </w:t>
      </w:r>
      <w:r w:rsidR="00974204">
        <w:t>Kefdensis</w:t>
      </w:r>
      <w:r w:rsidR="00EB5669">
        <w:t>’ega</w:t>
      </w:r>
      <w:r w:rsidR="00951F81">
        <w:t xml:space="preserve"> või pärast ravi lõpetamist.</w:t>
      </w:r>
    </w:p>
    <w:p w14:paraId="7B2D0F65" w14:textId="77777777" w:rsidR="00951F81" w:rsidRDefault="00951F81" w:rsidP="00951F81">
      <w:pPr>
        <w:tabs>
          <w:tab w:val="clear" w:pos="567"/>
        </w:tabs>
      </w:pPr>
    </w:p>
    <w:p w14:paraId="0AB4A256" w14:textId="584D51ED" w:rsidR="00951F81" w:rsidRDefault="00EE659B" w:rsidP="00951F81">
      <w:pPr>
        <w:tabs>
          <w:tab w:val="clear" w:pos="567"/>
        </w:tabs>
      </w:pPr>
      <w:r>
        <w:t>Denosumabiga</w:t>
      </w:r>
      <w:r w:rsidR="00951F81">
        <w:t xml:space="preserve"> ravitavatel patsientidel võib vere kaltsiumisisaldus harva olla väike (hüpokaltseemia); vere väga väike kaltsiumisisaldus võib vajada hospitaliseerimist ja olla isegi eluohtlik. Sümptomiteks on spasmid, tõmblused või krambid lihastes ja/või tundetus või torkimistunne sõrmedes, varvastes või suu ümbruses ja/või krambihood, segasusseisund või teadvusekaotus. Kui eelnev kehtib teie kohta, </w:t>
      </w:r>
      <w:r w:rsidR="00951F81">
        <w:rPr>
          <w:b/>
        </w:rPr>
        <w:t>teavitage viivitamatult oma arsti</w:t>
      </w:r>
      <w:r w:rsidR="00951F81">
        <w:t>. Väike kaltsiumisisaldus veres võib põhjustada muutusi südametöös, mida nimetatakse QT</w:t>
      </w:r>
      <w:r w:rsidR="00951F81">
        <w:noBreakHyphen/>
        <w:t>intervalli pikenemiseks ja see on nähtav elektrokardiogrammil (EKG).</w:t>
      </w:r>
    </w:p>
    <w:p w14:paraId="4EC48566" w14:textId="77777777" w:rsidR="00951F81" w:rsidRDefault="00951F81" w:rsidP="00951F81">
      <w:pPr>
        <w:tabs>
          <w:tab w:val="clear" w:pos="567"/>
        </w:tabs>
      </w:pPr>
    </w:p>
    <w:p w14:paraId="643E70D2" w14:textId="03EC7586" w:rsidR="00951F81" w:rsidRDefault="00EE659B" w:rsidP="00951F81">
      <w:pPr>
        <w:tabs>
          <w:tab w:val="clear" w:pos="567"/>
        </w:tabs>
      </w:pPr>
      <w:r>
        <w:t>Denosumabiga</w:t>
      </w:r>
      <w:r w:rsidR="00951F81">
        <w:t xml:space="preserve"> ravitavatel patsientidel võivad harva tekkida ebaharilikud reieluumurrud. </w:t>
      </w:r>
      <w:r w:rsidR="00951F81">
        <w:rPr>
          <w:b/>
        </w:rPr>
        <w:t>Võtke ühendust oma arstiga</w:t>
      </w:r>
      <w:r w:rsidR="00951F81">
        <w:t>, kui teil tekib esmakordne või ebaharilik valu puusa, kubeme või reie piirkonnas, sest see võib olla reieluumurru varajane ilming.</w:t>
      </w:r>
    </w:p>
    <w:p w14:paraId="4A7B0F2A" w14:textId="77777777" w:rsidR="00951F81" w:rsidRDefault="00951F81" w:rsidP="00951F81">
      <w:pPr>
        <w:tabs>
          <w:tab w:val="clear" w:pos="567"/>
        </w:tabs>
      </w:pPr>
    </w:p>
    <w:p w14:paraId="6E01A728" w14:textId="078534C2" w:rsidR="00951F81" w:rsidRDefault="00EE659B" w:rsidP="00951F81">
      <w:pPr>
        <w:tabs>
          <w:tab w:val="clear" w:pos="567"/>
        </w:tabs>
      </w:pPr>
      <w:r>
        <w:t>Denosumabiga</w:t>
      </w:r>
      <w:r w:rsidR="00951F81">
        <w:t xml:space="preserve"> ravitavatel patsientidel võivad harva tekkida allergilised reaktsioonid. Sümptomid on muuhulgas näo, huulte, keele, kõri või teiste kehapiirkondade turse; lööve, sügelus või nõgestõbi nahal; hingeldus või vilistav hingamine. </w:t>
      </w:r>
      <w:r w:rsidR="00951F81">
        <w:rPr>
          <w:b/>
        </w:rPr>
        <w:t>Palun teavitage oma arsti</w:t>
      </w:r>
      <w:r w:rsidR="00951F81">
        <w:t xml:space="preserve">, kui teil tekib mõni nendest sümptomitest ravi ajal </w:t>
      </w:r>
      <w:r w:rsidR="00974204">
        <w:t>Kefdensis</w:t>
      </w:r>
      <w:r w:rsidR="00EB5669">
        <w:t>’ega</w:t>
      </w:r>
      <w:r w:rsidR="00951F81">
        <w:t>.</w:t>
      </w:r>
    </w:p>
    <w:p w14:paraId="50768EC2" w14:textId="77777777" w:rsidR="00951F81" w:rsidRDefault="00951F81" w:rsidP="00951F81">
      <w:pPr>
        <w:tabs>
          <w:tab w:val="clear" w:pos="567"/>
        </w:tabs>
      </w:pPr>
    </w:p>
    <w:p w14:paraId="6F4F9199" w14:textId="1E5E8AD3" w:rsidR="00951F81" w:rsidRDefault="00951F81" w:rsidP="00951F81">
      <w:pPr>
        <w:keepNext/>
      </w:pPr>
      <w:r>
        <w:rPr>
          <w:b/>
        </w:rPr>
        <w:t>Väga sage</w:t>
      </w:r>
      <w:r w:rsidR="00AE589A">
        <w:rPr>
          <w:b/>
        </w:rPr>
        <w:t>li esinevad</w:t>
      </w:r>
      <w:r>
        <w:rPr>
          <w:b/>
        </w:rPr>
        <w:t xml:space="preserve"> kõrvaltoimed</w:t>
      </w:r>
      <w:r>
        <w:t xml:space="preserve"> (võivad tekkida rohkem kui 1 inimesel 10</w:t>
      </w:r>
      <w:r>
        <w:noBreakHyphen/>
        <w:t>st):</w:t>
      </w:r>
    </w:p>
    <w:p w14:paraId="5A9194B7" w14:textId="77777777" w:rsidR="00951F81" w:rsidRDefault="00951F81" w:rsidP="00951F81">
      <w:pPr>
        <w:keepNext/>
      </w:pPr>
    </w:p>
    <w:p w14:paraId="1E030D52" w14:textId="2C007015" w:rsidR="00951F81" w:rsidRDefault="00951F81" w:rsidP="00951F81">
      <w:pPr>
        <w:numPr>
          <w:ilvl w:val="0"/>
          <w:numId w:val="54"/>
        </w:numPr>
        <w:tabs>
          <w:tab w:val="clear" w:pos="567"/>
        </w:tabs>
        <w:ind w:left="567" w:hanging="567"/>
      </w:pPr>
      <w:r>
        <w:t>luu</w:t>
      </w:r>
      <w:r>
        <w:noBreakHyphen/>
        <w:t>, liiges</w:t>
      </w:r>
      <w:r w:rsidR="00F85BE8">
        <w:t>e</w:t>
      </w:r>
      <w:r>
        <w:noBreakHyphen/>
        <w:t xml:space="preserve"> ja/või lihas</w:t>
      </w:r>
      <w:r w:rsidR="00F85BE8">
        <w:t>e</w:t>
      </w:r>
      <w:r>
        <w:t>valu, mis on mõnikord tugev</w:t>
      </w:r>
      <w:r w:rsidR="00F85BE8">
        <w:t>;</w:t>
      </w:r>
    </w:p>
    <w:p w14:paraId="7622B849" w14:textId="77777777" w:rsidR="00951F81" w:rsidRDefault="00951F81" w:rsidP="00951F81">
      <w:pPr>
        <w:numPr>
          <w:ilvl w:val="0"/>
          <w:numId w:val="54"/>
        </w:numPr>
        <w:tabs>
          <w:tab w:val="clear" w:pos="567"/>
        </w:tabs>
        <w:ind w:left="567" w:hanging="567"/>
      </w:pPr>
      <w:r>
        <w:t>käe</w:t>
      </w:r>
      <w:r>
        <w:noBreakHyphen/>
        <w:t xml:space="preserve"> või jalavalu (valu jäsemetes).</w:t>
      </w:r>
    </w:p>
    <w:p w14:paraId="2D04BCE2" w14:textId="77777777" w:rsidR="00951F81" w:rsidRDefault="00951F81" w:rsidP="00951F81">
      <w:pPr>
        <w:numPr>
          <w:ilvl w:val="12"/>
          <w:numId w:val="0"/>
        </w:numPr>
        <w:ind w:right="-2"/>
      </w:pPr>
    </w:p>
    <w:p w14:paraId="29CF0764" w14:textId="27D8AEA5" w:rsidR="00951F81" w:rsidRDefault="00951F81" w:rsidP="00951F81">
      <w:pPr>
        <w:keepNext/>
      </w:pPr>
      <w:r>
        <w:rPr>
          <w:b/>
        </w:rPr>
        <w:t>Sage</w:t>
      </w:r>
      <w:r w:rsidR="00AE589A">
        <w:rPr>
          <w:b/>
        </w:rPr>
        <w:t>li esinevad</w:t>
      </w:r>
      <w:r>
        <w:rPr>
          <w:b/>
        </w:rPr>
        <w:t xml:space="preserve"> kõrvaltoimed</w:t>
      </w:r>
      <w:r>
        <w:t xml:space="preserve"> (võivad tekkida kuni 1 inimesel 10</w:t>
      </w:r>
      <w:r>
        <w:noBreakHyphen/>
        <w:t>st):</w:t>
      </w:r>
    </w:p>
    <w:p w14:paraId="065B4047" w14:textId="77777777" w:rsidR="00951F81" w:rsidRDefault="00951F81" w:rsidP="00951F81">
      <w:pPr>
        <w:keepNext/>
      </w:pPr>
    </w:p>
    <w:p w14:paraId="75BD9910" w14:textId="3EB0C1B0" w:rsidR="00951F81" w:rsidRDefault="00951F81" w:rsidP="00951F81">
      <w:pPr>
        <w:numPr>
          <w:ilvl w:val="0"/>
          <w:numId w:val="54"/>
        </w:numPr>
        <w:tabs>
          <w:tab w:val="clear" w:pos="567"/>
        </w:tabs>
        <w:ind w:left="567" w:hanging="567"/>
      </w:pPr>
      <w:r>
        <w:t>valulik urineerimine, sagedane urineerimine, veri uriinis, võimetus urineerimist tagasi hoida</w:t>
      </w:r>
      <w:r w:rsidR="00F85BE8">
        <w:t>;</w:t>
      </w:r>
    </w:p>
    <w:p w14:paraId="05A600A3" w14:textId="1E035D4C" w:rsidR="00951F81" w:rsidRDefault="00951F81" w:rsidP="00951F81">
      <w:pPr>
        <w:numPr>
          <w:ilvl w:val="0"/>
          <w:numId w:val="54"/>
        </w:numPr>
        <w:tabs>
          <w:tab w:val="clear" w:pos="567"/>
        </w:tabs>
        <w:ind w:left="567" w:hanging="567"/>
      </w:pPr>
      <w:r>
        <w:t>ülemiste hingamisteede infektsioon</w:t>
      </w:r>
      <w:r w:rsidR="00F85BE8">
        <w:t>;</w:t>
      </w:r>
    </w:p>
    <w:p w14:paraId="4C733093" w14:textId="021EF6B8" w:rsidR="00951F81" w:rsidRDefault="00951F81" w:rsidP="00951F81">
      <w:pPr>
        <w:numPr>
          <w:ilvl w:val="0"/>
          <w:numId w:val="54"/>
        </w:numPr>
        <w:tabs>
          <w:tab w:val="clear" w:pos="567"/>
        </w:tabs>
        <w:ind w:left="567" w:hanging="567"/>
      </w:pPr>
      <w:r>
        <w:t>valu, surina- või tuimustunne, mis kandub mööda jalga allapoole (ishias)</w:t>
      </w:r>
      <w:r w:rsidR="00F85BE8">
        <w:t>;</w:t>
      </w:r>
    </w:p>
    <w:p w14:paraId="7A1B5C8D" w14:textId="78EB969B" w:rsidR="00951F81" w:rsidRDefault="00951F81" w:rsidP="00951F81">
      <w:pPr>
        <w:numPr>
          <w:ilvl w:val="0"/>
          <w:numId w:val="54"/>
        </w:numPr>
        <w:tabs>
          <w:tab w:val="clear" w:pos="567"/>
        </w:tabs>
        <w:ind w:left="567" w:hanging="567"/>
      </w:pPr>
      <w:r>
        <w:t>kõhukinnisus</w:t>
      </w:r>
      <w:r w:rsidR="00F85BE8">
        <w:t>;</w:t>
      </w:r>
    </w:p>
    <w:p w14:paraId="06BA95AC" w14:textId="00FDA722" w:rsidR="00951F81" w:rsidRDefault="00951F81" w:rsidP="00951F81">
      <w:pPr>
        <w:numPr>
          <w:ilvl w:val="0"/>
          <w:numId w:val="54"/>
        </w:numPr>
        <w:tabs>
          <w:tab w:val="clear" w:pos="567"/>
        </w:tabs>
        <w:ind w:left="567" w:hanging="567"/>
      </w:pPr>
      <w:r>
        <w:t>ebamugavustunne kõhus</w:t>
      </w:r>
      <w:r w:rsidR="00F85BE8">
        <w:t>;</w:t>
      </w:r>
    </w:p>
    <w:p w14:paraId="3F0C921E" w14:textId="1E018045" w:rsidR="00951F81" w:rsidRDefault="00951F81" w:rsidP="00951F81">
      <w:pPr>
        <w:numPr>
          <w:ilvl w:val="0"/>
          <w:numId w:val="54"/>
        </w:numPr>
        <w:tabs>
          <w:tab w:val="clear" w:pos="567"/>
        </w:tabs>
        <w:ind w:left="567" w:hanging="567"/>
      </w:pPr>
      <w:r>
        <w:t>lööve</w:t>
      </w:r>
      <w:r w:rsidR="00F85BE8">
        <w:t>;</w:t>
      </w:r>
    </w:p>
    <w:p w14:paraId="604E704C" w14:textId="3AA2A465" w:rsidR="00951F81" w:rsidRDefault="00951F81" w:rsidP="00951F81">
      <w:pPr>
        <w:numPr>
          <w:ilvl w:val="0"/>
          <w:numId w:val="54"/>
        </w:numPr>
        <w:tabs>
          <w:tab w:val="clear" w:pos="567"/>
        </w:tabs>
        <w:ind w:left="567" w:hanging="567"/>
      </w:pPr>
      <w:r>
        <w:t>nahasügelus, punetus ja/või kuivus (ekseem)</w:t>
      </w:r>
      <w:r w:rsidR="00F85BE8">
        <w:t>;</w:t>
      </w:r>
    </w:p>
    <w:p w14:paraId="3C3706ED" w14:textId="2FBDFCC5" w:rsidR="00951F81" w:rsidRDefault="00951F81" w:rsidP="00951F81">
      <w:pPr>
        <w:numPr>
          <w:ilvl w:val="0"/>
          <w:numId w:val="54"/>
        </w:numPr>
        <w:tabs>
          <w:tab w:val="clear" w:pos="567"/>
        </w:tabs>
        <w:ind w:left="567" w:hanging="567"/>
      </w:pPr>
      <w:r>
        <w:t>juuste väljalangemine (alopeetsia)</w:t>
      </w:r>
      <w:r w:rsidR="00F85BE8">
        <w:t>.</w:t>
      </w:r>
    </w:p>
    <w:p w14:paraId="26117A7B" w14:textId="77777777" w:rsidR="00951F81" w:rsidRDefault="00951F81" w:rsidP="00951F81">
      <w:pPr>
        <w:pStyle w:val="lbltxt"/>
        <w:rPr>
          <w:b/>
          <w:noProof w:val="0"/>
          <w:szCs w:val="22"/>
        </w:rPr>
      </w:pPr>
    </w:p>
    <w:p w14:paraId="079485FF" w14:textId="77777777" w:rsidR="00951F81" w:rsidRDefault="00951F81" w:rsidP="00951F81">
      <w:pPr>
        <w:keepNext/>
      </w:pPr>
      <w:r>
        <w:rPr>
          <w:b/>
        </w:rPr>
        <w:t xml:space="preserve">Aeg-ajalt esinevad kõrvaltoimed </w:t>
      </w:r>
      <w:r>
        <w:t>(võivad tekkida kuni 1 inimesel 100</w:t>
      </w:r>
      <w:r>
        <w:noBreakHyphen/>
        <w:t>st):</w:t>
      </w:r>
    </w:p>
    <w:p w14:paraId="67E53BC9" w14:textId="77777777" w:rsidR="00951F81" w:rsidRDefault="00951F81" w:rsidP="00951F81">
      <w:pPr>
        <w:keepNext/>
      </w:pPr>
    </w:p>
    <w:p w14:paraId="6033780B" w14:textId="0C89870E" w:rsidR="00951F81" w:rsidRDefault="00951F81" w:rsidP="00951F81">
      <w:pPr>
        <w:numPr>
          <w:ilvl w:val="0"/>
          <w:numId w:val="54"/>
        </w:numPr>
        <w:tabs>
          <w:tab w:val="clear" w:pos="567"/>
        </w:tabs>
        <w:ind w:left="567" w:hanging="567"/>
      </w:pPr>
      <w:r>
        <w:t>palavik, oksendamine, valu või ebamugavustunne kõhus (divertikuliit)</w:t>
      </w:r>
      <w:r w:rsidR="00F85BE8">
        <w:t>;</w:t>
      </w:r>
    </w:p>
    <w:p w14:paraId="319118A9" w14:textId="130EE37A" w:rsidR="00951F81" w:rsidRDefault="00951F81" w:rsidP="00951F81">
      <w:pPr>
        <w:numPr>
          <w:ilvl w:val="0"/>
          <w:numId w:val="54"/>
        </w:numPr>
        <w:tabs>
          <w:tab w:val="clear" w:pos="567"/>
        </w:tabs>
        <w:ind w:left="567" w:hanging="567"/>
      </w:pPr>
      <w:r>
        <w:t>kõrvainfektsioon</w:t>
      </w:r>
      <w:r w:rsidR="00F85BE8">
        <w:t>;</w:t>
      </w:r>
    </w:p>
    <w:p w14:paraId="266BDCFE" w14:textId="77777777" w:rsidR="00951F81" w:rsidRDefault="00951F81" w:rsidP="00951F81">
      <w:pPr>
        <w:numPr>
          <w:ilvl w:val="0"/>
          <w:numId w:val="54"/>
        </w:numPr>
        <w:tabs>
          <w:tab w:val="clear" w:pos="567"/>
        </w:tabs>
        <w:ind w:left="567" w:hanging="567"/>
      </w:pPr>
      <w:r>
        <w:t>lööve, mis võib esineda nahal, või villid suus (lihhenoidne ravimlööve).</w:t>
      </w:r>
    </w:p>
    <w:p w14:paraId="1309CEB3" w14:textId="77777777" w:rsidR="00951F81" w:rsidRDefault="00951F81" w:rsidP="00951F81"/>
    <w:p w14:paraId="7A4B5502" w14:textId="77777777" w:rsidR="00951F81" w:rsidRDefault="00951F81" w:rsidP="00951F81">
      <w:pPr>
        <w:keepNext/>
      </w:pPr>
      <w:r>
        <w:rPr>
          <w:b/>
        </w:rPr>
        <w:t>Väga harva esinevad kõrvaltoimed</w:t>
      </w:r>
      <w:r>
        <w:t xml:space="preserve"> (võivad tekkida kuni 1 inimesel 10 000</w:t>
      </w:r>
      <w:r>
        <w:noBreakHyphen/>
        <w:t>st):</w:t>
      </w:r>
    </w:p>
    <w:p w14:paraId="37091F78" w14:textId="77777777" w:rsidR="00951F81" w:rsidRDefault="00951F81" w:rsidP="00951F81">
      <w:pPr>
        <w:keepNext/>
      </w:pPr>
    </w:p>
    <w:p w14:paraId="74090E3D" w14:textId="77777777" w:rsidR="00951F81" w:rsidRDefault="00951F81" w:rsidP="00951F81">
      <w:pPr>
        <w:numPr>
          <w:ilvl w:val="0"/>
          <w:numId w:val="54"/>
        </w:numPr>
        <w:tabs>
          <w:tab w:val="clear" w:pos="567"/>
        </w:tabs>
        <w:ind w:left="567" w:hanging="567"/>
      </w:pPr>
      <w:r>
        <w:t>allergiline reaktsioon, mis võib kahjustada peamiselt naha veresooni (nt lillad või punakaspruunid laigud, nõgestõbi või nahahaavandid) (allergiline vaskuliit).</w:t>
      </w:r>
    </w:p>
    <w:p w14:paraId="1A743D96" w14:textId="77777777" w:rsidR="00951F81" w:rsidRDefault="00951F81" w:rsidP="00951F81"/>
    <w:p w14:paraId="786B6E0B" w14:textId="77777777" w:rsidR="00951F81" w:rsidRDefault="00951F81" w:rsidP="00951F81">
      <w:pPr>
        <w:keepNext/>
      </w:pPr>
      <w:r>
        <w:rPr>
          <w:b/>
        </w:rPr>
        <w:t>Teadmata</w:t>
      </w:r>
      <w:r>
        <w:t xml:space="preserve"> (sagedust ei saa hinnata olemasolevate andmete alusel):</w:t>
      </w:r>
    </w:p>
    <w:p w14:paraId="4C6991EF" w14:textId="77777777" w:rsidR="00951F81" w:rsidRDefault="00951F81" w:rsidP="00951F81">
      <w:pPr>
        <w:keepNext/>
      </w:pPr>
    </w:p>
    <w:p w14:paraId="09105412" w14:textId="77777777" w:rsidR="00951F81" w:rsidRDefault="00951F81" w:rsidP="00951F81">
      <w:pPr>
        <w:numPr>
          <w:ilvl w:val="0"/>
          <w:numId w:val="54"/>
        </w:numPr>
        <w:tabs>
          <w:tab w:val="clear" w:pos="567"/>
        </w:tabs>
        <w:ind w:left="567" w:hanging="567"/>
      </w:pPr>
      <w:r>
        <w:t>öelge oma arstile, kui teil on kõrvavalu, eritis kõrvast ja/või kõrvainfektsioon. Need võivad olla luukahjustuse sümptomid kõrvas.</w:t>
      </w:r>
    </w:p>
    <w:p w14:paraId="5275ECA3" w14:textId="77777777" w:rsidR="00951F81" w:rsidRDefault="00951F81" w:rsidP="00951F81"/>
    <w:p w14:paraId="1104089A" w14:textId="77777777" w:rsidR="00951F81" w:rsidRDefault="00951F81" w:rsidP="00951F81">
      <w:pPr>
        <w:keepNext/>
        <w:tabs>
          <w:tab w:val="clear" w:pos="567"/>
        </w:tabs>
        <w:rPr>
          <w:b/>
          <w:bCs/>
        </w:rPr>
      </w:pPr>
      <w:r>
        <w:rPr>
          <w:b/>
        </w:rPr>
        <w:t>Kõrvaltoimetest teatamine</w:t>
      </w:r>
    </w:p>
    <w:p w14:paraId="62CAB830" w14:textId="77777777" w:rsidR="00951F81" w:rsidRDefault="00951F81" w:rsidP="00951F81">
      <w:pPr>
        <w:keepNext/>
      </w:pPr>
    </w:p>
    <w:p w14:paraId="1608E4C7" w14:textId="1C45B32C" w:rsidR="00951F81" w:rsidRDefault="00951F81" w:rsidP="00951F81">
      <w:pPr>
        <w:tabs>
          <w:tab w:val="clear" w:pos="567"/>
        </w:tabs>
      </w:pPr>
      <w:r>
        <w:t>Kui teil tekib ükskõik milline kõrvaltoime, pidage nõu oma arsti</w:t>
      </w:r>
      <w:r w:rsidR="00EE659B">
        <w:t>,</w:t>
      </w:r>
      <w:r>
        <w:t xml:space="preserve"> apteekriga</w:t>
      </w:r>
      <w:r w:rsidR="00EE659B">
        <w:t xml:space="preserve"> või meditsiiniõega</w:t>
      </w:r>
      <w:r>
        <w:t xml:space="preserve">. Kõrvaltoime võib olla ka selline, mida selles infolehes ei ole nimetatud. Kõrvaltoimetest võite ka ise teatada </w:t>
      </w:r>
      <w:r>
        <w:rPr>
          <w:highlight w:val="lightGray"/>
        </w:rPr>
        <w:t xml:space="preserve">riikliku teavitussüsteemi (vt </w:t>
      </w:r>
      <w:hyperlink r:id="rId17" w:history="1">
        <w:r>
          <w:rPr>
            <w:rStyle w:val="Hyperlink"/>
            <w:highlight w:val="lightGray"/>
          </w:rPr>
          <w:t>V lisa</w:t>
        </w:r>
      </w:hyperlink>
      <w:r>
        <w:rPr>
          <w:highlight w:val="lightGray"/>
        </w:rPr>
        <w:t>)</w:t>
      </w:r>
      <w:r>
        <w:t xml:space="preserve"> kaudu. Teatades aitate saada rohkem infot ravimi ohutusest.</w:t>
      </w:r>
    </w:p>
    <w:p w14:paraId="6E3D69E0" w14:textId="77777777" w:rsidR="00951F81" w:rsidRDefault="00951F81" w:rsidP="00951F81">
      <w:pPr>
        <w:tabs>
          <w:tab w:val="clear" w:pos="567"/>
        </w:tabs>
      </w:pPr>
    </w:p>
    <w:p w14:paraId="4513B06F" w14:textId="77777777" w:rsidR="00951F81" w:rsidRDefault="00951F81" w:rsidP="00951F81">
      <w:pPr>
        <w:tabs>
          <w:tab w:val="clear" w:pos="567"/>
        </w:tabs>
      </w:pPr>
    </w:p>
    <w:p w14:paraId="1F64681F" w14:textId="38F75768" w:rsidR="00951F81" w:rsidRDefault="00951F81" w:rsidP="00951F81">
      <w:pPr>
        <w:keepNext/>
        <w:tabs>
          <w:tab w:val="clear" w:pos="567"/>
        </w:tabs>
        <w:ind w:left="567" w:hanging="567"/>
        <w:rPr>
          <w:b/>
        </w:rPr>
      </w:pPr>
      <w:r>
        <w:rPr>
          <w:b/>
        </w:rPr>
        <w:t>5.</w:t>
      </w:r>
      <w:r>
        <w:rPr>
          <w:b/>
        </w:rPr>
        <w:tab/>
        <w:t xml:space="preserve">Kuidas </w:t>
      </w:r>
      <w:r w:rsidR="00974204">
        <w:rPr>
          <w:b/>
        </w:rPr>
        <w:t>Kefdensis</w:t>
      </w:r>
      <w:r>
        <w:rPr>
          <w:b/>
        </w:rPr>
        <w:t>’t säilitada</w:t>
      </w:r>
    </w:p>
    <w:p w14:paraId="69FB1FE9" w14:textId="77777777" w:rsidR="00951F81" w:rsidRDefault="00951F81" w:rsidP="00951F81">
      <w:pPr>
        <w:keepNext/>
      </w:pPr>
    </w:p>
    <w:p w14:paraId="620425C1" w14:textId="77777777" w:rsidR="00951F81" w:rsidRDefault="00951F81" w:rsidP="00951F81">
      <w:pPr>
        <w:tabs>
          <w:tab w:val="clear" w:pos="567"/>
        </w:tabs>
      </w:pPr>
      <w:r>
        <w:t>Hoidke seda ravimit laste eest varjatud ja kättesaamatus kohas.</w:t>
      </w:r>
    </w:p>
    <w:p w14:paraId="54293D78" w14:textId="77777777" w:rsidR="00951F81" w:rsidRDefault="00951F81" w:rsidP="00951F81">
      <w:pPr>
        <w:tabs>
          <w:tab w:val="clear" w:pos="567"/>
        </w:tabs>
      </w:pPr>
    </w:p>
    <w:p w14:paraId="4D281510" w14:textId="3D398C6C" w:rsidR="00951F81" w:rsidRDefault="00951F81" w:rsidP="00951F81">
      <w:pPr>
        <w:tabs>
          <w:tab w:val="clear" w:pos="567"/>
        </w:tabs>
      </w:pPr>
      <w:r>
        <w:t>Ärge kasutage seda ravimit pärast kõlblikkusaega, mis on märgitud karbil ja etiketil pärast „EXP“. Kõlblikkusaeg viitab selle kuu viimasele päevale.</w:t>
      </w:r>
    </w:p>
    <w:p w14:paraId="15BCD2F1" w14:textId="77777777" w:rsidR="00951F81" w:rsidRDefault="00951F81" w:rsidP="00951F81">
      <w:pPr>
        <w:tabs>
          <w:tab w:val="clear" w:pos="567"/>
        </w:tabs>
      </w:pPr>
    </w:p>
    <w:p w14:paraId="07F53003" w14:textId="77777777" w:rsidR="00951F81" w:rsidRDefault="00951F81" w:rsidP="00951F81">
      <w:pPr>
        <w:tabs>
          <w:tab w:val="clear" w:pos="567"/>
        </w:tabs>
      </w:pPr>
      <w:r>
        <w:t>Hoida külmkapis (2 °C...8 °C).</w:t>
      </w:r>
    </w:p>
    <w:p w14:paraId="643F8900" w14:textId="77777777" w:rsidR="00951F81" w:rsidRDefault="00951F81" w:rsidP="00951F81">
      <w:pPr>
        <w:tabs>
          <w:tab w:val="clear" w:pos="567"/>
        </w:tabs>
      </w:pPr>
      <w:r>
        <w:t>Mitte lasta külmuda.</w:t>
      </w:r>
    </w:p>
    <w:p w14:paraId="7477C1C1" w14:textId="7F4EC10C" w:rsidR="00951F81" w:rsidRDefault="00951F81" w:rsidP="00951F81">
      <w:pPr>
        <w:tabs>
          <w:tab w:val="clear" w:pos="567"/>
        </w:tabs>
      </w:pPr>
      <w:r>
        <w:t>Hoida süstel välispakendis valguse eest kaitstult.</w:t>
      </w:r>
    </w:p>
    <w:p w14:paraId="3150F383" w14:textId="77777777" w:rsidR="00951F81" w:rsidRDefault="00951F81" w:rsidP="00951F81">
      <w:pPr>
        <w:tabs>
          <w:tab w:val="clear" w:pos="567"/>
        </w:tabs>
      </w:pPr>
    </w:p>
    <w:p w14:paraId="099ABFBC" w14:textId="77777777" w:rsidR="00951F81" w:rsidRDefault="00951F81" w:rsidP="00951F81">
      <w:pPr>
        <w:tabs>
          <w:tab w:val="clear" w:pos="567"/>
        </w:tabs>
      </w:pPr>
      <w:r>
        <w:t>Teie süstli võib jätta külmkapist välja soojenemiseks toatemperatuurini (25 °C) enne süstimist. See teeb süstimise mugavamaks. Kui süstal on väljavõetuna soojenenud toatemperatuurini (25 °C), tuleb see 30 päeva jooksul ära kasutada.</w:t>
      </w:r>
    </w:p>
    <w:p w14:paraId="10BA4C4B" w14:textId="77777777" w:rsidR="00951F81" w:rsidRDefault="00951F81" w:rsidP="00951F81">
      <w:pPr>
        <w:tabs>
          <w:tab w:val="clear" w:pos="567"/>
        </w:tabs>
      </w:pPr>
    </w:p>
    <w:p w14:paraId="560D872D" w14:textId="77777777" w:rsidR="00951F81" w:rsidRDefault="00951F81" w:rsidP="00951F81">
      <w:pPr>
        <w:tabs>
          <w:tab w:val="clear" w:pos="567"/>
        </w:tabs>
      </w:pPr>
      <w:r>
        <w:t>Ärge visake ravimeid kanalisatsiooni ega olmejäätmete hulka. Küsige oma apteekrilt, kuidas hävitada ravimeid, mida te enam ei kasuta. Need meetmed aitavad kaitsta keskkonda.</w:t>
      </w:r>
    </w:p>
    <w:p w14:paraId="6007B073" w14:textId="77777777" w:rsidR="00951F81" w:rsidRDefault="00951F81" w:rsidP="00951F81">
      <w:pPr>
        <w:tabs>
          <w:tab w:val="clear" w:pos="567"/>
        </w:tabs>
      </w:pPr>
    </w:p>
    <w:p w14:paraId="22090339" w14:textId="77777777" w:rsidR="00951F81" w:rsidRDefault="00951F81" w:rsidP="00951F81">
      <w:pPr>
        <w:tabs>
          <w:tab w:val="clear" w:pos="567"/>
        </w:tabs>
      </w:pPr>
    </w:p>
    <w:p w14:paraId="4ECD5435" w14:textId="77777777" w:rsidR="00951F81" w:rsidRDefault="00951F81" w:rsidP="00951F81">
      <w:pPr>
        <w:keepNext/>
        <w:tabs>
          <w:tab w:val="clear" w:pos="567"/>
        </w:tabs>
        <w:ind w:left="567" w:hanging="567"/>
        <w:rPr>
          <w:b/>
        </w:rPr>
      </w:pPr>
      <w:r>
        <w:rPr>
          <w:b/>
        </w:rPr>
        <w:t>6.</w:t>
      </w:r>
      <w:r>
        <w:rPr>
          <w:b/>
        </w:rPr>
        <w:tab/>
        <w:t>Pakendi sisu ja muu teave</w:t>
      </w:r>
    </w:p>
    <w:p w14:paraId="36245F6E" w14:textId="77777777" w:rsidR="00951F81" w:rsidRDefault="00951F81" w:rsidP="00951F81">
      <w:pPr>
        <w:keepNext/>
      </w:pPr>
    </w:p>
    <w:p w14:paraId="2C6DC133" w14:textId="03E10202" w:rsidR="00951F81" w:rsidRDefault="00951F81" w:rsidP="00951F81">
      <w:pPr>
        <w:keepNext/>
        <w:tabs>
          <w:tab w:val="clear" w:pos="567"/>
        </w:tabs>
        <w:rPr>
          <w:b/>
          <w:bCs/>
        </w:rPr>
      </w:pPr>
      <w:r>
        <w:rPr>
          <w:b/>
        </w:rPr>
        <w:t xml:space="preserve">Mida </w:t>
      </w:r>
      <w:r w:rsidR="00974204">
        <w:rPr>
          <w:b/>
        </w:rPr>
        <w:t>Kefdensis</w:t>
      </w:r>
      <w:r>
        <w:rPr>
          <w:b/>
        </w:rPr>
        <w:t xml:space="preserve"> sisaldab</w:t>
      </w:r>
    </w:p>
    <w:p w14:paraId="09998AE3" w14:textId="77777777" w:rsidR="00951F81" w:rsidRDefault="00951F81" w:rsidP="00951F81">
      <w:pPr>
        <w:keepNext/>
      </w:pPr>
    </w:p>
    <w:p w14:paraId="6271D345" w14:textId="77777777" w:rsidR="00951F81" w:rsidRDefault="00951F81" w:rsidP="00951F81">
      <w:pPr>
        <w:numPr>
          <w:ilvl w:val="0"/>
          <w:numId w:val="56"/>
        </w:numPr>
        <w:ind w:left="567" w:hanging="567"/>
      </w:pPr>
      <w:r>
        <w:t>Toimeaine on denosumab. Iga 1</w:t>
      </w:r>
      <w:r>
        <w:noBreakHyphen/>
        <w:t>milliliitrine süstel sisaldab 60 milligrammi denosumabi (60 mg/ml).</w:t>
      </w:r>
    </w:p>
    <w:p w14:paraId="43C2EFBC" w14:textId="45F5C1A7" w:rsidR="00951F81" w:rsidRDefault="00951F81" w:rsidP="00EE659B">
      <w:pPr>
        <w:numPr>
          <w:ilvl w:val="0"/>
          <w:numId w:val="56"/>
        </w:numPr>
        <w:ind w:left="567" w:hanging="567"/>
      </w:pPr>
      <w:r>
        <w:t xml:space="preserve">Abiained on </w:t>
      </w:r>
      <w:r w:rsidR="00EE659B" w:rsidRPr="00EE659B">
        <w:t>histidiin, histidiinmonovesinikkloriidi monohüdraat, sahharoos, poloksameer 188</w:t>
      </w:r>
      <w:r w:rsidR="00EE659B">
        <w:t xml:space="preserve"> </w:t>
      </w:r>
      <w:r>
        <w:t>ja süstevesi.</w:t>
      </w:r>
    </w:p>
    <w:p w14:paraId="2873C7D4" w14:textId="77777777" w:rsidR="00951F81" w:rsidRDefault="00951F81" w:rsidP="00951F81">
      <w:pPr>
        <w:ind w:right="-2"/>
      </w:pPr>
    </w:p>
    <w:p w14:paraId="7CC5E342" w14:textId="73A3A162" w:rsidR="00951F81" w:rsidRDefault="00951F81" w:rsidP="00951F81">
      <w:pPr>
        <w:keepNext/>
        <w:tabs>
          <w:tab w:val="clear" w:pos="567"/>
        </w:tabs>
        <w:rPr>
          <w:b/>
          <w:bCs/>
        </w:rPr>
      </w:pPr>
      <w:r>
        <w:rPr>
          <w:b/>
        </w:rPr>
        <w:t xml:space="preserve">Kuidas </w:t>
      </w:r>
      <w:r w:rsidR="00974204">
        <w:rPr>
          <w:b/>
        </w:rPr>
        <w:t>Kefdensis</w:t>
      </w:r>
      <w:r>
        <w:rPr>
          <w:b/>
        </w:rPr>
        <w:t xml:space="preserve"> välja näeb ja pakendi sisu</w:t>
      </w:r>
    </w:p>
    <w:p w14:paraId="4EAC539C" w14:textId="77777777" w:rsidR="00951F81" w:rsidRDefault="00951F81" w:rsidP="00951F81">
      <w:pPr>
        <w:keepNext/>
      </w:pPr>
    </w:p>
    <w:p w14:paraId="44107298" w14:textId="67733412" w:rsidR="00951F81" w:rsidRDefault="00974204" w:rsidP="00951F81">
      <w:pPr>
        <w:tabs>
          <w:tab w:val="clear" w:pos="567"/>
        </w:tabs>
      </w:pPr>
      <w:r>
        <w:t>Kefdensis</w:t>
      </w:r>
      <w:r w:rsidR="00951F81">
        <w:t xml:space="preserve"> on selge, värvitu või kergelt kollakas süstelahus kasutusvalmis süstlis.</w:t>
      </w:r>
    </w:p>
    <w:p w14:paraId="460912C6" w14:textId="77777777" w:rsidR="00951F81" w:rsidRDefault="00951F81" w:rsidP="00951F81">
      <w:pPr>
        <w:tabs>
          <w:tab w:val="clear" w:pos="567"/>
        </w:tabs>
      </w:pPr>
    </w:p>
    <w:p w14:paraId="652222CC" w14:textId="60470150" w:rsidR="00951F81" w:rsidRDefault="00951F81" w:rsidP="00951F81">
      <w:pPr>
        <w:keepNext/>
        <w:tabs>
          <w:tab w:val="clear" w:pos="567"/>
        </w:tabs>
      </w:pPr>
      <w:r>
        <w:t>Iga pakend sisaldab ühte süstlit nõelakaits</w:t>
      </w:r>
      <w:r w:rsidR="008730CD">
        <w:t>m</w:t>
      </w:r>
      <w:r>
        <w:t>ega.</w:t>
      </w:r>
    </w:p>
    <w:p w14:paraId="4C312141" w14:textId="77777777" w:rsidR="00951F81" w:rsidRDefault="00951F81" w:rsidP="00951F81">
      <w:pPr>
        <w:tabs>
          <w:tab w:val="clear" w:pos="567"/>
        </w:tabs>
      </w:pPr>
    </w:p>
    <w:p w14:paraId="13D59CB3" w14:textId="77777777" w:rsidR="00951F81" w:rsidRDefault="00951F81" w:rsidP="00951F81">
      <w:pPr>
        <w:keepNext/>
        <w:tabs>
          <w:tab w:val="clear" w:pos="567"/>
        </w:tabs>
        <w:rPr>
          <w:b/>
          <w:bCs/>
        </w:rPr>
      </w:pPr>
      <w:r>
        <w:rPr>
          <w:b/>
        </w:rPr>
        <w:t>Müügiloa hoidja ja tootja</w:t>
      </w:r>
    </w:p>
    <w:p w14:paraId="09EA13D9" w14:textId="77777777" w:rsidR="00951F81" w:rsidRDefault="00951F81" w:rsidP="00951F81">
      <w:pPr>
        <w:tabs>
          <w:tab w:val="clear" w:pos="567"/>
        </w:tabs>
      </w:pPr>
    </w:p>
    <w:p w14:paraId="74082C58" w14:textId="77777777" w:rsidR="00951F81" w:rsidRDefault="00951F81" w:rsidP="00951F81">
      <w:pPr>
        <w:keepNext/>
        <w:autoSpaceDE w:val="0"/>
        <w:autoSpaceDN w:val="0"/>
        <w:adjustRightInd w:val="0"/>
        <w:rPr>
          <w:b/>
          <w:bCs/>
          <w:highlight w:val="lightGray"/>
        </w:rPr>
      </w:pPr>
      <w:r>
        <w:rPr>
          <w:b/>
          <w:highlight w:val="lightGray"/>
        </w:rPr>
        <w:t>Müügiloa hoidja</w:t>
      </w:r>
    </w:p>
    <w:p w14:paraId="399BDFBC" w14:textId="77777777" w:rsidR="00AA3908" w:rsidRPr="00442125" w:rsidRDefault="00AA3908" w:rsidP="00AA3908">
      <w:r w:rsidRPr="00442125">
        <w:t>STADA Arzneimittel AG</w:t>
      </w:r>
    </w:p>
    <w:p w14:paraId="2BE2FF66" w14:textId="77777777" w:rsidR="00AA3908" w:rsidRPr="00442125" w:rsidRDefault="00AA3908" w:rsidP="00AA3908">
      <w:r w:rsidRPr="00442125">
        <w:t>Stadastrasse 2–18</w:t>
      </w:r>
    </w:p>
    <w:p w14:paraId="3E6CA633" w14:textId="77777777" w:rsidR="00AA3908" w:rsidRPr="00442125" w:rsidRDefault="00AA3908" w:rsidP="00AA3908">
      <w:r w:rsidRPr="00442125">
        <w:t>61118 Bad Vilbel</w:t>
      </w:r>
    </w:p>
    <w:p w14:paraId="6930CA91" w14:textId="5188CDD8" w:rsidR="00AA3908" w:rsidRPr="00442125" w:rsidRDefault="00AA3908" w:rsidP="00AA3908">
      <w:r>
        <w:t>Saksamaa</w:t>
      </w:r>
    </w:p>
    <w:p w14:paraId="3A58D8C1" w14:textId="77777777" w:rsidR="00951F81" w:rsidRDefault="00951F81" w:rsidP="00951F81">
      <w:pPr>
        <w:tabs>
          <w:tab w:val="clear" w:pos="567"/>
        </w:tabs>
      </w:pPr>
    </w:p>
    <w:p w14:paraId="7D803209" w14:textId="77777777" w:rsidR="00951F81" w:rsidRDefault="00951F81" w:rsidP="00951F81">
      <w:pPr>
        <w:keepNext/>
        <w:autoSpaceDE w:val="0"/>
        <w:autoSpaceDN w:val="0"/>
        <w:adjustRightInd w:val="0"/>
        <w:rPr>
          <w:b/>
          <w:bCs/>
          <w:highlight w:val="lightGray"/>
        </w:rPr>
      </w:pPr>
      <w:r>
        <w:rPr>
          <w:b/>
          <w:highlight w:val="lightGray"/>
        </w:rPr>
        <w:t>Tootja</w:t>
      </w:r>
    </w:p>
    <w:p w14:paraId="477829B4" w14:textId="77777777" w:rsidR="00AA3908" w:rsidRPr="00442125" w:rsidRDefault="00AA3908" w:rsidP="00AA3908">
      <w:r w:rsidRPr="00442125">
        <w:t>Alvotech hf</w:t>
      </w:r>
    </w:p>
    <w:p w14:paraId="67E4A7D1" w14:textId="77777777" w:rsidR="00AA3908" w:rsidRPr="00442125" w:rsidRDefault="00AA3908" w:rsidP="00AA3908">
      <w:r w:rsidRPr="00442125">
        <w:t>Sæmundargata 15-19</w:t>
      </w:r>
    </w:p>
    <w:p w14:paraId="4A06FD6D" w14:textId="77777777" w:rsidR="00AA3908" w:rsidRPr="00442125" w:rsidRDefault="00AA3908" w:rsidP="00AA3908">
      <w:r w:rsidRPr="00442125">
        <w:t>102 Reykjavik</w:t>
      </w:r>
    </w:p>
    <w:p w14:paraId="09352C26" w14:textId="4368EABA" w:rsidR="00AA3908" w:rsidRPr="00442125" w:rsidRDefault="00AA3908" w:rsidP="00AA3908">
      <w:r>
        <w:t>Island</w:t>
      </w:r>
    </w:p>
    <w:p w14:paraId="35207DD6" w14:textId="77777777" w:rsidR="00951F81" w:rsidRDefault="00951F81" w:rsidP="00951F81">
      <w:pPr>
        <w:tabs>
          <w:tab w:val="clear" w:pos="567"/>
        </w:tabs>
        <w:rPr>
          <w:ins w:id="12" w:author="Author" w:date="2026-02-17T11:07:00Z" w16du:dateUtc="2026-02-17T10:07:00Z"/>
        </w:rPr>
      </w:pPr>
    </w:p>
    <w:p w14:paraId="56AFE21D" w14:textId="77777777" w:rsidR="00622D93" w:rsidRPr="00E54BEC" w:rsidRDefault="00622D93" w:rsidP="00622D93">
      <w:pPr>
        <w:widowControl w:val="0"/>
        <w:rPr>
          <w:ins w:id="13" w:author="Author" w:date="2026-02-17T11:07:00Z" w16du:dateUtc="2026-02-17T10:07:00Z"/>
          <w:highlight w:val="lightGray"/>
          <w:lang w:val="de-DE"/>
        </w:rPr>
      </w:pPr>
      <w:ins w:id="14" w:author="Author" w:date="2026-02-17T11:07:00Z" w16du:dateUtc="2026-02-17T10:07:00Z">
        <w:r w:rsidRPr="00E54BEC">
          <w:rPr>
            <w:highlight w:val="lightGray"/>
            <w:lang w:val="de-DE"/>
          </w:rPr>
          <w:t>STADA Arzneimittel AG</w:t>
        </w:r>
      </w:ins>
    </w:p>
    <w:p w14:paraId="34825A3D" w14:textId="77777777" w:rsidR="00622D93" w:rsidRPr="00E54BEC" w:rsidRDefault="00622D93" w:rsidP="00622D93">
      <w:pPr>
        <w:widowControl w:val="0"/>
        <w:rPr>
          <w:ins w:id="15" w:author="Author" w:date="2026-02-17T11:07:00Z" w16du:dateUtc="2026-02-17T10:07:00Z"/>
          <w:highlight w:val="lightGray"/>
          <w:lang w:val="de-DE"/>
        </w:rPr>
      </w:pPr>
      <w:ins w:id="16" w:author="Author" w:date="2026-02-17T11:07:00Z" w16du:dateUtc="2026-02-17T10:07:00Z">
        <w:r w:rsidRPr="00E54BEC">
          <w:rPr>
            <w:highlight w:val="lightGray"/>
            <w:lang w:val="de-DE"/>
          </w:rPr>
          <w:t>Stadastrasse 2–18</w:t>
        </w:r>
      </w:ins>
    </w:p>
    <w:p w14:paraId="07CC98A0" w14:textId="77777777" w:rsidR="00622D93" w:rsidRPr="00E54BEC" w:rsidRDefault="00622D93" w:rsidP="00622D93">
      <w:pPr>
        <w:widowControl w:val="0"/>
        <w:rPr>
          <w:ins w:id="17" w:author="Author" w:date="2026-02-17T11:07:00Z" w16du:dateUtc="2026-02-17T10:07:00Z"/>
          <w:highlight w:val="lightGray"/>
          <w:lang w:val="de-DE"/>
        </w:rPr>
      </w:pPr>
      <w:ins w:id="18" w:author="Author" w:date="2026-02-17T11:07:00Z" w16du:dateUtc="2026-02-17T10:07:00Z">
        <w:r w:rsidRPr="00E54BEC">
          <w:rPr>
            <w:highlight w:val="lightGray"/>
            <w:lang w:val="de-DE"/>
          </w:rPr>
          <w:t>61118 Bad Vilbel</w:t>
        </w:r>
      </w:ins>
    </w:p>
    <w:p w14:paraId="4F07EA05" w14:textId="77777777" w:rsidR="00622D93" w:rsidRPr="00742F48" w:rsidRDefault="00622D93" w:rsidP="00622D93">
      <w:pPr>
        <w:widowControl w:val="0"/>
        <w:rPr>
          <w:ins w:id="19" w:author="Author" w:date="2026-02-17T11:07:00Z" w16du:dateUtc="2026-02-17T10:07:00Z"/>
        </w:rPr>
      </w:pPr>
      <w:ins w:id="20" w:author="Author" w:date="2026-02-17T11:07:00Z" w16du:dateUtc="2026-02-17T10:07:00Z">
        <w:r w:rsidRPr="00E54BEC">
          <w:rPr>
            <w:highlight w:val="lightGray"/>
          </w:rPr>
          <w:t>Saksamaa</w:t>
        </w:r>
      </w:ins>
    </w:p>
    <w:p w14:paraId="50E9570A" w14:textId="77777777" w:rsidR="00622D93" w:rsidRDefault="00622D93" w:rsidP="00951F81">
      <w:pPr>
        <w:tabs>
          <w:tab w:val="clear" w:pos="567"/>
        </w:tabs>
      </w:pPr>
    </w:p>
    <w:p w14:paraId="3A8857F4" w14:textId="77777777" w:rsidR="00951F81" w:rsidRDefault="00951F81" w:rsidP="00951F81">
      <w:pPr>
        <w:keepNext/>
        <w:tabs>
          <w:tab w:val="clear" w:pos="567"/>
        </w:tabs>
      </w:pPr>
      <w:r>
        <w:t>Lisaküsimuste tekkimisel selle ravimi kohta pöörduge palun müügiloa hoidja kohaliku esindaja poole:</w:t>
      </w:r>
    </w:p>
    <w:p w14:paraId="4331D4AB" w14:textId="77777777" w:rsidR="00AA3908" w:rsidRDefault="00AA3908" w:rsidP="00951F81">
      <w:pPr>
        <w:keepNext/>
        <w:tabs>
          <w:tab w:val="clear" w:pos="567"/>
        </w:tabs>
      </w:pPr>
    </w:p>
    <w:tbl>
      <w:tblPr>
        <w:tblW w:w="9406" w:type="dxa"/>
        <w:tblInd w:w="8" w:type="dxa"/>
        <w:tblCellMar>
          <w:left w:w="0" w:type="dxa"/>
          <w:right w:w="0" w:type="dxa"/>
        </w:tblCellMar>
        <w:tblLook w:val="04A0" w:firstRow="1" w:lastRow="0" w:firstColumn="1" w:lastColumn="0" w:noHBand="0" w:noVBand="1"/>
      </w:tblPr>
      <w:tblGrid>
        <w:gridCol w:w="4659"/>
        <w:gridCol w:w="4747"/>
      </w:tblGrid>
      <w:tr w:rsidR="00AA3908" w:rsidRPr="00AA3908" w14:paraId="0741F1D0" w14:textId="77777777" w:rsidTr="00196861">
        <w:trPr>
          <w:cantSplit/>
        </w:trPr>
        <w:tc>
          <w:tcPr>
            <w:tcW w:w="4659" w:type="dxa"/>
            <w:hideMark/>
          </w:tcPr>
          <w:p w14:paraId="22860C9F" w14:textId="77777777" w:rsidR="00AA3908" w:rsidRPr="00AA3908" w:rsidRDefault="00AA3908" w:rsidP="00AA3908">
            <w:pPr>
              <w:tabs>
                <w:tab w:val="clear" w:pos="567"/>
              </w:tabs>
              <w:rPr>
                <w:rFonts w:eastAsia="Calibri" w:cs="Arial"/>
                <w:color w:val="000000"/>
                <w:lang w:val="de-DE"/>
              </w:rPr>
            </w:pPr>
            <w:r w:rsidRPr="00AA3908">
              <w:rPr>
                <w:rFonts w:eastAsia="Calibri" w:cs="Arial"/>
                <w:b/>
                <w:color w:val="000000"/>
                <w:lang w:val="de-DE"/>
              </w:rPr>
              <w:t>België/Belgique/Belgien</w:t>
            </w:r>
          </w:p>
          <w:p w14:paraId="0B9EF0BA" w14:textId="77777777" w:rsidR="00AA3908" w:rsidRPr="00AA3908" w:rsidRDefault="00AA3908" w:rsidP="00AA3908">
            <w:pPr>
              <w:tabs>
                <w:tab w:val="clear" w:pos="567"/>
              </w:tabs>
              <w:rPr>
                <w:rFonts w:eastAsia="Times New Roman"/>
                <w:color w:val="000000"/>
                <w:szCs w:val="20"/>
                <w:lang w:val="de-DE"/>
              </w:rPr>
            </w:pPr>
            <w:r w:rsidRPr="00AA3908">
              <w:rPr>
                <w:rFonts w:eastAsia="Times New Roman"/>
                <w:color w:val="000000"/>
                <w:szCs w:val="20"/>
                <w:lang w:val="de-DE"/>
              </w:rPr>
              <w:t xml:space="preserve">EG </w:t>
            </w:r>
            <w:r w:rsidRPr="00AA3908">
              <w:rPr>
                <w:rFonts w:eastAsia="Times New Roman"/>
                <w:szCs w:val="20"/>
                <w:lang w:val="de-DE" w:eastAsia="hu-HU"/>
              </w:rPr>
              <w:t>(Eurogenerics) NV</w:t>
            </w:r>
          </w:p>
          <w:p w14:paraId="6B85D58D" w14:textId="77777777" w:rsidR="00AA3908" w:rsidRPr="00AA3908" w:rsidRDefault="00AA3908" w:rsidP="00AA3908">
            <w:pPr>
              <w:tabs>
                <w:tab w:val="clear" w:pos="567"/>
              </w:tabs>
              <w:rPr>
                <w:rFonts w:eastAsia="Calibri" w:cs="Arial"/>
                <w:color w:val="000000"/>
                <w:lang w:val="de-DE"/>
              </w:rPr>
            </w:pPr>
            <w:r w:rsidRPr="00AA3908">
              <w:rPr>
                <w:rFonts w:eastAsia="Calibri" w:cs="Arial"/>
                <w:color w:val="000000"/>
                <w:lang w:val="de-DE"/>
              </w:rPr>
              <w:t xml:space="preserve">Tél/Tel: +32 </w:t>
            </w:r>
            <w:r w:rsidRPr="00AA3908">
              <w:rPr>
                <w:rFonts w:eastAsia="Times New Roman"/>
                <w:color w:val="000000"/>
                <w:szCs w:val="20"/>
                <w:lang w:val="de-DE"/>
              </w:rPr>
              <w:t>24797878</w:t>
            </w:r>
          </w:p>
          <w:p w14:paraId="085E7517" w14:textId="77777777" w:rsidR="00AA3908" w:rsidRPr="00AA3908" w:rsidRDefault="00AA3908" w:rsidP="00AA3908">
            <w:pPr>
              <w:tabs>
                <w:tab w:val="clear" w:pos="567"/>
              </w:tabs>
              <w:rPr>
                <w:rFonts w:eastAsia="Times New Roman"/>
                <w:lang w:val="de-DE"/>
              </w:rPr>
            </w:pPr>
          </w:p>
        </w:tc>
        <w:tc>
          <w:tcPr>
            <w:tcW w:w="4747" w:type="dxa"/>
            <w:hideMark/>
          </w:tcPr>
          <w:p w14:paraId="2ABEB85E" w14:textId="77777777" w:rsidR="00AA3908" w:rsidRPr="00AA3908" w:rsidRDefault="00AA3908" w:rsidP="00AA3908">
            <w:pPr>
              <w:tabs>
                <w:tab w:val="clear" w:pos="567"/>
              </w:tabs>
              <w:autoSpaceDE w:val="0"/>
              <w:autoSpaceDN w:val="0"/>
              <w:adjustRightInd w:val="0"/>
              <w:rPr>
                <w:rFonts w:eastAsia="Calibri" w:cs="Arial"/>
                <w:color w:val="000000"/>
                <w:lang w:val="en-GB"/>
              </w:rPr>
            </w:pPr>
            <w:r w:rsidRPr="00AA3908">
              <w:rPr>
                <w:rFonts w:eastAsia="Calibri" w:cs="Arial"/>
                <w:b/>
                <w:color w:val="000000"/>
                <w:lang w:val="en-GB"/>
              </w:rPr>
              <w:t>Lietuva</w:t>
            </w:r>
          </w:p>
          <w:p w14:paraId="71B3ACC9" w14:textId="77777777" w:rsidR="00AA3908" w:rsidRPr="00AA3908" w:rsidRDefault="00AA3908" w:rsidP="00AA3908">
            <w:pPr>
              <w:tabs>
                <w:tab w:val="clear" w:pos="567"/>
              </w:tabs>
              <w:autoSpaceDE w:val="0"/>
              <w:autoSpaceDN w:val="0"/>
              <w:adjustRightInd w:val="0"/>
              <w:rPr>
                <w:rFonts w:eastAsia="Times New Roman"/>
                <w:color w:val="000000"/>
                <w:szCs w:val="20"/>
                <w:lang w:val="en-GB"/>
              </w:rPr>
            </w:pPr>
            <w:r w:rsidRPr="00AA3908">
              <w:rPr>
                <w:rFonts w:eastAsia="Times New Roman"/>
                <w:color w:val="000000"/>
                <w:szCs w:val="20"/>
                <w:lang w:val="en-GB"/>
              </w:rPr>
              <w:t>UAB „STADA Baltics“</w:t>
            </w:r>
          </w:p>
          <w:p w14:paraId="14F89588" w14:textId="77777777" w:rsidR="00AA3908" w:rsidRPr="00AA3908" w:rsidRDefault="00AA3908" w:rsidP="00AA3908">
            <w:pPr>
              <w:tabs>
                <w:tab w:val="clear" w:pos="567"/>
              </w:tabs>
              <w:autoSpaceDE w:val="0"/>
              <w:autoSpaceDN w:val="0"/>
              <w:adjustRightInd w:val="0"/>
              <w:rPr>
                <w:rFonts w:eastAsia="Calibri" w:cs="Arial"/>
                <w:color w:val="000000"/>
                <w:lang w:val="en-GB"/>
              </w:rPr>
            </w:pPr>
            <w:r w:rsidRPr="00AA3908">
              <w:rPr>
                <w:rFonts w:eastAsia="Calibri" w:cs="Arial"/>
                <w:color w:val="000000"/>
                <w:lang w:val="en-GB"/>
              </w:rPr>
              <w:t xml:space="preserve">Tel: +370 </w:t>
            </w:r>
            <w:r w:rsidRPr="00AA3908">
              <w:rPr>
                <w:rFonts w:eastAsia="Times New Roman"/>
                <w:color w:val="000000"/>
                <w:szCs w:val="20"/>
                <w:lang w:val="en-GB"/>
              </w:rPr>
              <w:t>52603926</w:t>
            </w:r>
          </w:p>
          <w:p w14:paraId="1F8D3549" w14:textId="77777777" w:rsidR="00AA3908" w:rsidRPr="00AA3908" w:rsidRDefault="00AA3908" w:rsidP="00AA3908">
            <w:pPr>
              <w:tabs>
                <w:tab w:val="clear" w:pos="567"/>
              </w:tabs>
              <w:rPr>
                <w:rFonts w:eastAsia="Times New Roman"/>
                <w:lang w:val="en-GB"/>
              </w:rPr>
            </w:pPr>
          </w:p>
        </w:tc>
      </w:tr>
      <w:tr w:rsidR="00AA3908" w:rsidRPr="00AA3908" w14:paraId="2A49227C" w14:textId="77777777" w:rsidTr="00196861">
        <w:trPr>
          <w:cantSplit/>
        </w:trPr>
        <w:tc>
          <w:tcPr>
            <w:tcW w:w="4659" w:type="dxa"/>
            <w:hideMark/>
          </w:tcPr>
          <w:p w14:paraId="07E66633" w14:textId="77777777" w:rsidR="00AA3908" w:rsidRPr="00AA3908" w:rsidRDefault="00AA3908" w:rsidP="00AA3908">
            <w:pPr>
              <w:tabs>
                <w:tab w:val="clear" w:pos="567"/>
              </w:tabs>
              <w:autoSpaceDE w:val="0"/>
              <w:autoSpaceDN w:val="0"/>
              <w:adjustRightInd w:val="0"/>
              <w:rPr>
                <w:rFonts w:eastAsia="Calibri" w:cs="Arial"/>
                <w:b/>
                <w:color w:val="000000"/>
                <w:lang w:val="es-ES"/>
              </w:rPr>
            </w:pPr>
            <w:r w:rsidRPr="00AA3908">
              <w:rPr>
                <w:rFonts w:eastAsia="Calibri" w:cs="Arial"/>
                <w:b/>
                <w:color w:val="000000"/>
                <w:lang w:val="en-GB"/>
              </w:rPr>
              <w:t>България</w:t>
            </w:r>
          </w:p>
          <w:p w14:paraId="2CEB5765" w14:textId="77777777" w:rsidR="00AA3908" w:rsidRPr="00AA3908" w:rsidRDefault="00AA3908" w:rsidP="00AA3908">
            <w:pPr>
              <w:tabs>
                <w:tab w:val="clear" w:pos="567"/>
              </w:tabs>
              <w:autoSpaceDE w:val="0"/>
              <w:autoSpaceDN w:val="0"/>
              <w:adjustRightInd w:val="0"/>
              <w:rPr>
                <w:rFonts w:eastAsia="Times New Roman"/>
                <w:color w:val="000000"/>
                <w:szCs w:val="20"/>
                <w:lang w:val="es-ES"/>
              </w:rPr>
            </w:pPr>
            <w:r w:rsidRPr="00AA3908">
              <w:rPr>
                <w:rFonts w:eastAsia="Times New Roman"/>
                <w:color w:val="000000"/>
                <w:szCs w:val="20"/>
                <w:lang w:val="es-ES"/>
              </w:rPr>
              <w:t>STADA Bulgaria EOOD</w:t>
            </w:r>
          </w:p>
          <w:p w14:paraId="5B847F41" w14:textId="77777777" w:rsidR="00AA3908" w:rsidRPr="00AA3908" w:rsidRDefault="00AA3908" w:rsidP="00AA3908">
            <w:pPr>
              <w:tabs>
                <w:tab w:val="clear" w:pos="567"/>
              </w:tabs>
              <w:autoSpaceDE w:val="0"/>
              <w:autoSpaceDN w:val="0"/>
              <w:adjustRightInd w:val="0"/>
              <w:rPr>
                <w:rFonts w:eastAsia="Calibri" w:cs="Arial"/>
                <w:color w:val="000000"/>
                <w:lang w:val="es-ES"/>
              </w:rPr>
            </w:pPr>
            <w:r w:rsidRPr="00AA3908">
              <w:rPr>
                <w:rFonts w:eastAsia="Times New Roman"/>
                <w:color w:val="000000"/>
                <w:szCs w:val="20"/>
                <w:lang w:val="es-ES"/>
              </w:rPr>
              <w:t>Te</w:t>
            </w:r>
            <w:r w:rsidRPr="00AA3908">
              <w:rPr>
                <w:rFonts w:eastAsia="Times New Roman"/>
                <w:color w:val="000000"/>
                <w:szCs w:val="20"/>
                <w:lang w:val="en-GB"/>
              </w:rPr>
              <w:t>л</w:t>
            </w:r>
            <w:r w:rsidRPr="00AA3908">
              <w:rPr>
                <w:rFonts w:eastAsia="Calibri" w:cs="Arial"/>
                <w:color w:val="000000"/>
                <w:lang w:val="es-ES"/>
              </w:rPr>
              <w:t xml:space="preserve">.: +359 </w:t>
            </w:r>
            <w:r w:rsidRPr="00AA3908">
              <w:rPr>
                <w:rFonts w:eastAsia="Times New Roman"/>
                <w:color w:val="000000"/>
                <w:szCs w:val="20"/>
                <w:lang w:val="es-ES"/>
              </w:rPr>
              <w:t>29624626</w:t>
            </w:r>
          </w:p>
          <w:p w14:paraId="0512B7FC" w14:textId="77777777" w:rsidR="00AA3908" w:rsidRPr="00AA3908" w:rsidRDefault="00AA3908" w:rsidP="00AA3908">
            <w:pPr>
              <w:tabs>
                <w:tab w:val="clear" w:pos="567"/>
              </w:tabs>
              <w:rPr>
                <w:rFonts w:eastAsia="Calibri" w:cs="Arial"/>
                <w:lang w:val="es-ES"/>
              </w:rPr>
            </w:pPr>
          </w:p>
        </w:tc>
        <w:tc>
          <w:tcPr>
            <w:tcW w:w="4747" w:type="dxa"/>
            <w:hideMark/>
          </w:tcPr>
          <w:p w14:paraId="3A28EA15" w14:textId="77777777" w:rsidR="00AA3908" w:rsidRPr="00AA3908" w:rsidRDefault="00AA3908" w:rsidP="00AA3908">
            <w:pPr>
              <w:tabs>
                <w:tab w:val="clear" w:pos="567"/>
              </w:tabs>
              <w:suppressAutoHyphens/>
              <w:rPr>
                <w:rFonts w:eastAsia="Calibri" w:cs="Arial"/>
                <w:color w:val="000000"/>
                <w:lang w:val="de-DE"/>
              </w:rPr>
            </w:pPr>
            <w:r w:rsidRPr="00AA3908">
              <w:rPr>
                <w:rFonts w:eastAsia="Calibri" w:cs="Arial"/>
                <w:b/>
                <w:color w:val="000000"/>
                <w:lang w:val="de-DE"/>
              </w:rPr>
              <w:t>Luxembourg/Luxemburg</w:t>
            </w:r>
          </w:p>
          <w:p w14:paraId="4EA8EF8F" w14:textId="77777777" w:rsidR="00AA3908" w:rsidRPr="00AA3908" w:rsidRDefault="00AA3908" w:rsidP="00AA3908">
            <w:pPr>
              <w:tabs>
                <w:tab w:val="clear" w:pos="567"/>
              </w:tabs>
              <w:suppressAutoHyphens/>
              <w:rPr>
                <w:rFonts w:eastAsia="Times New Roman"/>
                <w:color w:val="000000"/>
                <w:szCs w:val="20"/>
                <w:lang w:val="de-DE"/>
              </w:rPr>
            </w:pPr>
            <w:r w:rsidRPr="00AA3908">
              <w:rPr>
                <w:rFonts w:eastAsia="Times New Roman"/>
                <w:color w:val="000000"/>
                <w:szCs w:val="20"/>
                <w:lang w:val="de-DE"/>
              </w:rPr>
              <w:t>EG (Eurogenerics) NV</w:t>
            </w:r>
          </w:p>
          <w:p w14:paraId="41FB292D" w14:textId="77777777" w:rsidR="00AA3908" w:rsidRPr="00AA3908" w:rsidRDefault="00AA3908" w:rsidP="00AA3908">
            <w:pPr>
              <w:tabs>
                <w:tab w:val="clear" w:pos="567"/>
              </w:tabs>
              <w:suppressAutoHyphens/>
              <w:rPr>
                <w:rFonts w:eastAsia="Calibri" w:cs="Arial"/>
                <w:color w:val="000000"/>
                <w:lang w:val="de-DE"/>
              </w:rPr>
            </w:pPr>
            <w:r w:rsidRPr="00AA3908">
              <w:rPr>
                <w:rFonts w:eastAsia="Calibri" w:cs="Arial"/>
                <w:color w:val="000000"/>
                <w:lang w:val="de-DE"/>
              </w:rPr>
              <w:t xml:space="preserve">Tél/Tel: +32 </w:t>
            </w:r>
            <w:r w:rsidRPr="00AA3908">
              <w:rPr>
                <w:rFonts w:eastAsia="Times New Roman"/>
                <w:color w:val="000000"/>
                <w:szCs w:val="20"/>
                <w:lang w:val="de-DE"/>
              </w:rPr>
              <w:t>24797878</w:t>
            </w:r>
          </w:p>
          <w:p w14:paraId="5B677039" w14:textId="77777777" w:rsidR="00AA3908" w:rsidRPr="00AA3908" w:rsidRDefault="00AA3908" w:rsidP="00AA3908">
            <w:pPr>
              <w:tabs>
                <w:tab w:val="clear" w:pos="567"/>
              </w:tabs>
              <w:rPr>
                <w:rFonts w:eastAsia="Calibri" w:cs="Arial"/>
                <w:lang w:val="de-DE"/>
              </w:rPr>
            </w:pPr>
          </w:p>
        </w:tc>
      </w:tr>
      <w:tr w:rsidR="00AA3908" w:rsidRPr="00AA3908" w14:paraId="3CB70D76" w14:textId="77777777" w:rsidTr="00196861">
        <w:trPr>
          <w:cantSplit/>
        </w:trPr>
        <w:tc>
          <w:tcPr>
            <w:tcW w:w="4659" w:type="dxa"/>
            <w:hideMark/>
          </w:tcPr>
          <w:p w14:paraId="52BCB87A" w14:textId="77777777" w:rsidR="00AA3908" w:rsidRPr="00AA3908" w:rsidRDefault="00AA3908" w:rsidP="00AA3908">
            <w:pPr>
              <w:tabs>
                <w:tab w:val="clear" w:pos="567"/>
              </w:tabs>
              <w:suppressAutoHyphens/>
              <w:rPr>
                <w:rFonts w:eastAsia="Calibri" w:cs="Arial"/>
                <w:color w:val="000000"/>
                <w:lang w:val="pl-PL"/>
              </w:rPr>
            </w:pPr>
            <w:r w:rsidRPr="00AA3908">
              <w:rPr>
                <w:rFonts w:eastAsia="Calibri" w:cs="Arial"/>
                <w:b/>
                <w:color w:val="000000"/>
                <w:lang w:val="pl-PL"/>
              </w:rPr>
              <w:t>Česká republika</w:t>
            </w:r>
          </w:p>
          <w:p w14:paraId="2CFDFA76" w14:textId="77777777" w:rsidR="00AA3908" w:rsidRPr="00AA3908" w:rsidRDefault="00AA3908" w:rsidP="00AA3908">
            <w:pPr>
              <w:tabs>
                <w:tab w:val="clear" w:pos="567"/>
              </w:tabs>
              <w:suppressAutoHyphens/>
              <w:rPr>
                <w:rFonts w:eastAsia="Calibri" w:cs="Arial"/>
                <w:color w:val="000000"/>
                <w:lang w:val="pl-PL"/>
              </w:rPr>
            </w:pPr>
            <w:r w:rsidRPr="00AA3908">
              <w:rPr>
                <w:rFonts w:eastAsia="Times New Roman"/>
                <w:color w:val="000000"/>
                <w:szCs w:val="20"/>
                <w:lang w:val="pl-PL"/>
              </w:rPr>
              <w:t>STADA PHARMA CZ</w:t>
            </w:r>
            <w:r w:rsidRPr="00AA3908">
              <w:rPr>
                <w:rFonts w:eastAsia="Calibri" w:cs="Arial"/>
                <w:color w:val="000000"/>
                <w:lang w:val="pl-PL"/>
              </w:rPr>
              <w:t xml:space="preserve"> s.r.o.</w:t>
            </w:r>
          </w:p>
          <w:p w14:paraId="267E480D" w14:textId="77777777" w:rsidR="00AA3908" w:rsidRPr="00AA3908" w:rsidRDefault="00AA3908" w:rsidP="00AA3908">
            <w:pPr>
              <w:tabs>
                <w:tab w:val="clear" w:pos="567"/>
              </w:tabs>
              <w:rPr>
                <w:rFonts w:eastAsia="Calibri" w:cs="Arial"/>
                <w:color w:val="000000"/>
                <w:lang w:val="en-GB"/>
              </w:rPr>
            </w:pPr>
            <w:r w:rsidRPr="00AA3908">
              <w:rPr>
                <w:rFonts w:eastAsia="Calibri" w:cs="Arial"/>
                <w:color w:val="000000"/>
                <w:lang w:val="en-GB"/>
              </w:rPr>
              <w:t xml:space="preserve">Tel: +420 </w:t>
            </w:r>
            <w:r w:rsidRPr="00AA3908">
              <w:rPr>
                <w:rFonts w:eastAsia="Times New Roman"/>
                <w:color w:val="000000"/>
                <w:szCs w:val="20"/>
                <w:lang w:val="en-GB" w:eastAsia="cs-CZ"/>
              </w:rPr>
              <w:t>257888111</w:t>
            </w:r>
          </w:p>
          <w:p w14:paraId="559EE3A0" w14:textId="77777777" w:rsidR="00AA3908" w:rsidRPr="00AA3908" w:rsidRDefault="00AA3908" w:rsidP="00AA3908">
            <w:pPr>
              <w:tabs>
                <w:tab w:val="clear" w:pos="567"/>
              </w:tabs>
              <w:rPr>
                <w:rFonts w:eastAsia="Calibri" w:cs="Arial"/>
                <w:lang w:val="en-GB"/>
              </w:rPr>
            </w:pPr>
          </w:p>
        </w:tc>
        <w:tc>
          <w:tcPr>
            <w:tcW w:w="4747" w:type="dxa"/>
            <w:hideMark/>
          </w:tcPr>
          <w:p w14:paraId="4B8F6736" w14:textId="77777777" w:rsidR="00AA3908" w:rsidRPr="00AA3908" w:rsidRDefault="00AA3908" w:rsidP="00AA3908">
            <w:pPr>
              <w:tabs>
                <w:tab w:val="clear" w:pos="567"/>
              </w:tabs>
              <w:rPr>
                <w:rFonts w:eastAsia="Calibri" w:cs="Arial"/>
                <w:b/>
                <w:color w:val="000000"/>
                <w:lang w:val="en-GB"/>
              </w:rPr>
            </w:pPr>
            <w:r w:rsidRPr="00AA3908">
              <w:rPr>
                <w:rFonts w:eastAsia="Calibri" w:cs="Arial"/>
                <w:b/>
                <w:color w:val="000000"/>
                <w:lang w:val="en-GB"/>
              </w:rPr>
              <w:t>Magyarország</w:t>
            </w:r>
          </w:p>
          <w:p w14:paraId="577766A5" w14:textId="77777777" w:rsidR="00AA3908" w:rsidRPr="00AA3908" w:rsidRDefault="00AA3908" w:rsidP="00AA3908">
            <w:pPr>
              <w:tabs>
                <w:tab w:val="clear" w:pos="567"/>
              </w:tabs>
              <w:rPr>
                <w:rFonts w:eastAsia="Calibri" w:cs="Arial"/>
                <w:color w:val="000000"/>
                <w:lang w:val="en-GB"/>
              </w:rPr>
            </w:pPr>
            <w:r w:rsidRPr="00AA3908">
              <w:rPr>
                <w:rFonts w:eastAsia="Times New Roman"/>
                <w:color w:val="000000"/>
                <w:szCs w:val="20"/>
                <w:lang w:val="en-GB"/>
              </w:rPr>
              <w:t>STADA Hungary</w:t>
            </w:r>
            <w:r w:rsidRPr="00AA3908">
              <w:rPr>
                <w:rFonts w:eastAsia="Calibri" w:cs="Arial"/>
                <w:color w:val="000000"/>
                <w:lang w:val="en-GB"/>
              </w:rPr>
              <w:t xml:space="preserve"> Kft</w:t>
            </w:r>
          </w:p>
          <w:p w14:paraId="1AA9B497" w14:textId="77777777" w:rsidR="00AA3908" w:rsidRPr="00AA3908" w:rsidRDefault="00AA3908" w:rsidP="00AA3908">
            <w:pPr>
              <w:tabs>
                <w:tab w:val="clear" w:pos="567"/>
              </w:tabs>
              <w:rPr>
                <w:rFonts w:eastAsia="Calibri" w:cs="Arial"/>
                <w:color w:val="000000"/>
                <w:lang w:val="en-GB"/>
              </w:rPr>
            </w:pPr>
            <w:r w:rsidRPr="00AA3908">
              <w:rPr>
                <w:rFonts w:eastAsia="Calibri" w:cs="Arial"/>
                <w:color w:val="000000"/>
                <w:lang w:val="en-GB"/>
              </w:rPr>
              <w:t xml:space="preserve">Tel.: +36 </w:t>
            </w:r>
            <w:r w:rsidRPr="00AA3908">
              <w:rPr>
                <w:rFonts w:eastAsia="Times New Roman"/>
                <w:color w:val="000000"/>
                <w:szCs w:val="20"/>
                <w:lang w:val="en-GB"/>
              </w:rPr>
              <w:t>18009747</w:t>
            </w:r>
          </w:p>
          <w:p w14:paraId="7B81C6DD" w14:textId="77777777" w:rsidR="00AA3908" w:rsidRPr="00AA3908" w:rsidRDefault="00AA3908" w:rsidP="00AA3908">
            <w:pPr>
              <w:tabs>
                <w:tab w:val="clear" w:pos="567"/>
              </w:tabs>
              <w:rPr>
                <w:rFonts w:eastAsia="Times New Roman"/>
                <w:lang w:val="en-GB"/>
              </w:rPr>
            </w:pPr>
          </w:p>
        </w:tc>
      </w:tr>
      <w:tr w:rsidR="00AA3908" w:rsidRPr="00AA3908" w14:paraId="0752BF5A" w14:textId="77777777" w:rsidTr="00196861">
        <w:trPr>
          <w:cantSplit/>
        </w:trPr>
        <w:tc>
          <w:tcPr>
            <w:tcW w:w="4659" w:type="dxa"/>
            <w:hideMark/>
          </w:tcPr>
          <w:p w14:paraId="558C4766" w14:textId="77777777" w:rsidR="00AA3908" w:rsidRPr="00AA3908" w:rsidRDefault="00AA3908" w:rsidP="00AA3908">
            <w:pPr>
              <w:tabs>
                <w:tab w:val="clear" w:pos="567"/>
              </w:tabs>
              <w:rPr>
                <w:rFonts w:eastAsia="Calibri" w:cs="Arial"/>
                <w:color w:val="000000"/>
                <w:lang w:val="en-GB"/>
              </w:rPr>
            </w:pPr>
            <w:r w:rsidRPr="00AA3908">
              <w:rPr>
                <w:rFonts w:eastAsia="Calibri" w:cs="Arial"/>
                <w:b/>
                <w:color w:val="000000"/>
                <w:lang w:val="en-GB"/>
              </w:rPr>
              <w:t>Danmark</w:t>
            </w:r>
          </w:p>
          <w:p w14:paraId="019C049A" w14:textId="77777777" w:rsidR="00AA3908" w:rsidRPr="00AA3908" w:rsidRDefault="00AA3908" w:rsidP="00AA3908">
            <w:pPr>
              <w:tabs>
                <w:tab w:val="clear" w:pos="567"/>
              </w:tabs>
              <w:rPr>
                <w:rFonts w:eastAsia="Times New Roman"/>
                <w:color w:val="000000"/>
                <w:szCs w:val="20"/>
                <w:lang w:val="en-GB"/>
              </w:rPr>
            </w:pPr>
            <w:r w:rsidRPr="00AA3908">
              <w:rPr>
                <w:rFonts w:eastAsia="Times New Roman"/>
                <w:color w:val="000000"/>
                <w:szCs w:val="20"/>
                <w:lang w:val="en-GB"/>
              </w:rPr>
              <w:t>STADA Nordic ApS</w:t>
            </w:r>
          </w:p>
          <w:p w14:paraId="596934AD" w14:textId="77777777" w:rsidR="00AA3908" w:rsidRPr="00AA3908" w:rsidRDefault="00AA3908" w:rsidP="00AA3908">
            <w:pPr>
              <w:tabs>
                <w:tab w:val="clear" w:pos="567"/>
              </w:tabs>
              <w:rPr>
                <w:rFonts w:eastAsia="Calibri" w:cs="Arial"/>
                <w:color w:val="000000"/>
                <w:lang w:val="en-GB"/>
              </w:rPr>
            </w:pPr>
            <w:r w:rsidRPr="00AA3908">
              <w:rPr>
                <w:rFonts w:eastAsia="Calibri" w:cs="Arial"/>
                <w:color w:val="000000"/>
                <w:lang w:val="en-GB"/>
              </w:rPr>
              <w:t xml:space="preserve">Tlf: +45 </w:t>
            </w:r>
            <w:r w:rsidRPr="00AA3908">
              <w:rPr>
                <w:rFonts w:eastAsia="Times New Roman"/>
                <w:color w:val="000000"/>
                <w:szCs w:val="20"/>
                <w:lang w:val="en-GB"/>
              </w:rPr>
              <w:t>44859999</w:t>
            </w:r>
          </w:p>
          <w:p w14:paraId="3416BB8C" w14:textId="77777777" w:rsidR="00AA3908" w:rsidRPr="00AA3908" w:rsidRDefault="00AA3908" w:rsidP="00AA3908">
            <w:pPr>
              <w:tabs>
                <w:tab w:val="clear" w:pos="567"/>
              </w:tabs>
              <w:rPr>
                <w:rFonts w:eastAsia="Times New Roman"/>
                <w:lang w:val="en-GB"/>
              </w:rPr>
            </w:pPr>
          </w:p>
        </w:tc>
        <w:tc>
          <w:tcPr>
            <w:tcW w:w="4747" w:type="dxa"/>
            <w:hideMark/>
          </w:tcPr>
          <w:p w14:paraId="6725C1F9" w14:textId="77777777" w:rsidR="00AA3908" w:rsidRPr="003F3BC7" w:rsidRDefault="00AA3908" w:rsidP="00AA3908">
            <w:pPr>
              <w:tabs>
                <w:tab w:val="clear" w:pos="567"/>
              </w:tabs>
              <w:rPr>
                <w:rFonts w:eastAsia="Calibri" w:cs="Arial"/>
                <w:b/>
                <w:color w:val="000000"/>
                <w:lang w:val="en-GB"/>
              </w:rPr>
            </w:pPr>
            <w:r w:rsidRPr="003F3BC7">
              <w:rPr>
                <w:rFonts w:eastAsia="Calibri" w:cs="Arial"/>
                <w:b/>
                <w:color w:val="000000"/>
                <w:lang w:val="en-GB"/>
              </w:rPr>
              <w:t>Malta</w:t>
            </w:r>
          </w:p>
          <w:p w14:paraId="63015937" w14:textId="77777777" w:rsidR="00196861" w:rsidRPr="003F3BC7" w:rsidRDefault="00196861" w:rsidP="00196861">
            <w:pPr>
              <w:rPr>
                <w:rFonts w:eastAsia="Times New Roman"/>
                <w:color w:val="000000"/>
                <w:szCs w:val="20"/>
                <w:lang w:val="en-GB"/>
              </w:rPr>
            </w:pPr>
            <w:r w:rsidRPr="003F3BC7">
              <w:rPr>
                <w:rFonts w:eastAsia="Times New Roman"/>
                <w:color w:val="000000"/>
                <w:szCs w:val="20"/>
                <w:lang w:val="en-GB"/>
              </w:rPr>
              <w:t>Pharma.MT Ltd.</w:t>
            </w:r>
          </w:p>
          <w:p w14:paraId="4D2FD7EE" w14:textId="45C88BC4" w:rsidR="00AA3908" w:rsidRPr="003F3BC7" w:rsidRDefault="00196861" w:rsidP="00196861">
            <w:pPr>
              <w:tabs>
                <w:tab w:val="clear" w:pos="567"/>
              </w:tabs>
              <w:suppressAutoHyphens/>
              <w:rPr>
                <w:rFonts w:eastAsia="Calibri" w:cs="Arial"/>
                <w:color w:val="000000"/>
                <w:lang w:val="en-GB"/>
              </w:rPr>
            </w:pPr>
            <w:r w:rsidRPr="003F3BC7">
              <w:rPr>
                <w:rFonts w:eastAsia="Times New Roman"/>
                <w:color w:val="000000"/>
                <w:szCs w:val="20"/>
                <w:lang w:val="en-GB"/>
              </w:rPr>
              <w:t>Tel: + 356 21337008</w:t>
            </w:r>
          </w:p>
          <w:p w14:paraId="3F7BB16F" w14:textId="77777777" w:rsidR="00AA3908" w:rsidRPr="003F3BC7" w:rsidRDefault="00AA3908" w:rsidP="00AA3908">
            <w:pPr>
              <w:tabs>
                <w:tab w:val="clear" w:pos="567"/>
              </w:tabs>
              <w:rPr>
                <w:rFonts w:eastAsia="Calibri" w:cs="Arial"/>
                <w:lang w:val="en-GB"/>
              </w:rPr>
            </w:pPr>
          </w:p>
        </w:tc>
      </w:tr>
      <w:tr w:rsidR="00AA3908" w:rsidRPr="00AA3908" w14:paraId="6DCFDBE7" w14:textId="77777777" w:rsidTr="00196861">
        <w:trPr>
          <w:cantSplit/>
        </w:trPr>
        <w:tc>
          <w:tcPr>
            <w:tcW w:w="4659" w:type="dxa"/>
            <w:hideMark/>
          </w:tcPr>
          <w:p w14:paraId="0C8392E0" w14:textId="77777777" w:rsidR="00AA3908" w:rsidRPr="00AA3908" w:rsidRDefault="00AA3908" w:rsidP="00AA3908">
            <w:pPr>
              <w:tabs>
                <w:tab w:val="clear" w:pos="567"/>
              </w:tabs>
              <w:rPr>
                <w:rFonts w:eastAsia="Calibri" w:cs="Arial"/>
                <w:color w:val="000000"/>
                <w:lang w:val="en-GB"/>
              </w:rPr>
            </w:pPr>
            <w:r w:rsidRPr="00AA3908">
              <w:rPr>
                <w:rFonts w:eastAsia="Calibri" w:cs="Arial"/>
                <w:b/>
                <w:color w:val="000000"/>
                <w:lang w:val="en-GB"/>
              </w:rPr>
              <w:t>Deutschland</w:t>
            </w:r>
          </w:p>
          <w:p w14:paraId="2EA6512D" w14:textId="77777777" w:rsidR="00AA3908" w:rsidRPr="00AA3908" w:rsidRDefault="00AA3908" w:rsidP="00AA3908">
            <w:pPr>
              <w:tabs>
                <w:tab w:val="clear" w:pos="567"/>
              </w:tabs>
              <w:rPr>
                <w:rFonts w:eastAsia="Calibri" w:cs="Arial"/>
                <w:color w:val="000000"/>
                <w:lang w:val="en-GB"/>
              </w:rPr>
            </w:pPr>
            <w:r w:rsidRPr="00AA3908">
              <w:rPr>
                <w:rFonts w:eastAsia="Times New Roman"/>
                <w:color w:val="000000"/>
                <w:szCs w:val="20"/>
                <w:lang w:val="en-GB"/>
              </w:rPr>
              <w:t>STADAPHARM</w:t>
            </w:r>
            <w:r w:rsidRPr="00AA3908">
              <w:rPr>
                <w:rFonts w:eastAsia="Calibri" w:cs="Arial"/>
                <w:color w:val="000000"/>
                <w:lang w:val="en-GB"/>
              </w:rPr>
              <w:t xml:space="preserve"> GmbH</w:t>
            </w:r>
          </w:p>
          <w:p w14:paraId="3D84EEDC" w14:textId="77777777" w:rsidR="00AA3908" w:rsidRPr="00AA3908" w:rsidRDefault="00AA3908" w:rsidP="00AA3908">
            <w:pPr>
              <w:tabs>
                <w:tab w:val="clear" w:pos="567"/>
              </w:tabs>
              <w:rPr>
                <w:rFonts w:eastAsia="Calibri" w:cs="Arial"/>
                <w:color w:val="000000"/>
                <w:lang w:val="en-GB"/>
              </w:rPr>
            </w:pPr>
            <w:r w:rsidRPr="00AA3908">
              <w:rPr>
                <w:rFonts w:eastAsia="Calibri" w:cs="Arial"/>
                <w:color w:val="000000"/>
                <w:lang w:val="en-GB"/>
              </w:rPr>
              <w:t>Tel</w:t>
            </w:r>
            <w:r w:rsidRPr="00AA3908">
              <w:rPr>
                <w:rFonts w:eastAsia="Times New Roman"/>
                <w:color w:val="000000"/>
                <w:szCs w:val="20"/>
                <w:lang w:val="en-GB"/>
              </w:rPr>
              <w:t>:</w:t>
            </w:r>
            <w:r w:rsidRPr="00AA3908">
              <w:rPr>
                <w:rFonts w:eastAsia="Calibri" w:cs="Arial"/>
                <w:color w:val="000000"/>
                <w:lang w:val="en-GB"/>
              </w:rPr>
              <w:t xml:space="preserve"> +49 </w:t>
            </w:r>
            <w:r w:rsidRPr="00AA3908">
              <w:rPr>
                <w:rFonts w:eastAsia="Times New Roman"/>
                <w:color w:val="000000"/>
                <w:szCs w:val="20"/>
                <w:lang w:val="en-GB"/>
              </w:rPr>
              <w:t>61016030</w:t>
            </w:r>
          </w:p>
          <w:p w14:paraId="2FCC3AA6" w14:textId="77777777" w:rsidR="00AA3908" w:rsidRPr="00AA3908" w:rsidRDefault="00AA3908" w:rsidP="00AA3908">
            <w:pPr>
              <w:tabs>
                <w:tab w:val="clear" w:pos="567"/>
              </w:tabs>
              <w:rPr>
                <w:rFonts w:eastAsia="Calibri" w:cs="Arial"/>
                <w:lang w:val="en-GB"/>
              </w:rPr>
            </w:pPr>
          </w:p>
        </w:tc>
        <w:tc>
          <w:tcPr>
            <w:tcW w:w="4747" w:type="dxa"/>
            <w:hideMark/>
          </w:tcPr>
          <w:p w14:paraId="48F2CC25" w14:textId="77777777" w:rsidR="00AA3908" w:rsidRPr="00AA3908" w:rsidRDefault="00AA3908" w:rsidP="00AA3908">
            <w:pPr>
              <w:tabs>
                <w:tab w:val="clear" w:pos="567"/>
              </w:tabs>
              <w:suppressAutoHyphens/>
              <w:rPr>
                <w:rFonts w:eastAsia="Calibri" w:cs="Arial"/>
                <w:color w:val="000000"/>
                <w:lang w:val="en-GB"/>
              </w:rPr>
            </w:pPr>
            <w:r w:rsidRPr="00AA3908">
              <w:rPr>
                <w:rFonts w:eastAsia="Calibri" w:cs="Arial"/>
                <w:b/>
                <w:color w:val="000000"/>
                <w:lang w:val="en-GB"/>
              </w:rPr>
              <w:t>Nederland</w:t>
            </w:r>
          </w:p>
          <w:p w14:paraId="258E791D" w14:textId="77777777" w:rsidR="00AA3908" w:rsidRPr="00AA3908" w:rsidRDefault="00AA3908" w:rsidP="00AA3908">
            <w:pPr>
              <w:tabs>
                <w:tab w:val="clear" w:pos="567"/>
              </w:tabs>
              <w:rPr>
                <w:rFonts w:eastAsia="Calibri" w:cs="Arial"/>
                <w:color w:val="000000"/>
                <w:lang w:val="en-GB"/>
              </w:rPr>
            </w:pPr>
            <w:r w:rsidRPr="00AA3908">
              <w:rPr>
                <w:rFonts w:eastAsia="Times New Roman"/>
                <w:color w:val="000000"/>
                <w:szCs w:val="20"/>
                <w:lang w:val="en-GB"/>
              </w:rPr>
              <w:t>Centrafarm</w:t>
            </w:r>
            <w:r w:rsidRPr="00AA3908">
              <w:rPr>
                <w:rFonts w:eastAsia="Calibri" w:cs="Arial"/>
                <w:color w:val="000000"/>
                <w:lang w:val="en-GB"/>
              </w:rPr>
              <w:t xml:space="preserve"> B.V.</w:t>
            </w:r>
          </w:p>
          <w:p w14:paraId="65C926EC" w14:textId="77777777" w:rsidR="00AA3908" w:rsidRPr="00AA3908" w:rsidRDefault="00AA3908" w:rsidP="00AA3908">
            <w:pPr>
              <w:tabs>
                <w:tab w:val="clear" w:pos="567"/>
              </w:tabs>
              <w:suppressAutoHyphens/>
              <w:rPr>
                <w:rFonts w:eastAsia="Calibri" w:cs="Arial"/>
                <w:color w:val="000000"/>
                <w:lang w:val="en-GB"/>
              </w:rPr>
            </w:pPr>
            <w:r w:rsidRPr="00AA3908">
              <w:rPr>
                <w:rFonts w:eastAsia="Calibri" w:cs="Arial"/>
                <w:color w:val="000000"/>
                <w:lang w:val="en-GB"/>
              </w:rPr>
              <w:t>Tel</w:t>
            </w:r>
            <w:r w:rsidRPr="00AA3908">
              <w:rPr>
                <w:rFonts w:eastAsia="Times New Roman"/>
                <w:color w:val="000000"/>
                <w:szCs w:val="20"/>
                <w:lang w:val="en-GB"/>
              </w:rPr>
              <w:t>.:</w:t>
            </w:r>
            <w:r w:rsidRPr="00AA3908">
              <w:rPr>
                <w:rFonts w:eastAsia="Calibri" w:cs="Arial"/>
                <w:color w:val="000000"/>
                <w:lang w:val="en-GB"/>
              </w:rPr>
              <w:t xml:space="preserve"> +31 </w:t>
            </w:r>
            <w:r w:rsidRPr="00AA3908">
              <w:rPr>
                <w:rFonts w:eastAsia="Times New Roman"/>
                <w:color w:val="000000"/>
                <w:szCs w:val="20"/>
                <w:lang w:val="en-GB"/>
              </w:rPr>
              <w:t>765081000</w:t>
            </w:r>
          </w:p>
          <w:p w14:paraId="70E72052" w14:textId="77777777" w:rsidR="00AA3908" w:rsidRPr="00AA3908" w:rsidRDefault="00AA3908" w:rsidP="00AA3908">
            <w:pPr>
              <w:tabs>
                <w:tab w:val="clear" w:pos="567"/>
              </w:tabs>
              <w:rPr>
                <w:rFonts w:eastAsia="Calibri" w:cs="Arial"/>
                <w:lang w:val="en-GB"/>
              </w:rPr>
            </w:pPr>
          </w:p>
        </w:tc>
      </w:tr>
      <w:tr w:rsidR="00AA3908" w:rsidRPr="00AA3908" w14:paraId="67FECF0A" w14:textId="77777777" w:rsidTr="00196861">
        <w:trPr>
          <w:cantSplit/>
        </w:trPr>
        <w:tc>
          <w:tcPr>
            <w:tcW w:w="4659" w:type="dxa"/>
            <w:hideMark/>
          </w:tcPr>
          <w:p w14:paraId="5A341F55" w14:textId="77777777" w:rsidR="00AA3908" w:rsidRPr="00AA3908" w:rsidRDefault="00AA3908" w:rsidP="00AA3908">
            <w:pPr>
              <w:tabs>
                <w:tab w:val="clear" w:pos="567"/>
              </w:tabs>
              <w:suppressAutoHyphens/>
              <w:rPr>
                <w:rFonts w:eastAsia="Calibri" w:cs="Arial"/>
                <w:b/>
                <w:color w:val="000000"/>
                <w:lang w:val="en-GB"/>
              </w:rPr>
            </w:pPr>
            <w:r w:rsidRPr="00AA3908">
              <w:rPr>
                <w:rFonts w:eastAsia="Calibri" w:cs="Arial"/>
                <w:b/>
                <w:color w:val="000000"/>
                <w:lang w:val="en-GB"/>
              </w:rPr>
              <w:t>Eesti</w:t>
            </w:r>
          </w:p>
          <w:p w14:paraId="1CA2E7CF" w14:textId="77777777" w:rsidR="00AA3908" w:rsidRPr="00AA3908" w:rsidRDefault="00AA3908" w:rsidP="00AA3908">
            <w:pPr>
              <w:tabs>
                <w:tab w:val="clear" w:pos="567"/>
              </w:tabs>
              <w:autoSpaceDE w:val="0"/>
              <w:autoSpaceDN w:val="0"/>
              <w:adjustRightInd w:val="0"/>
              <w:rPr>
                <w:rFonts w:eastAsia="Times New Roman"/>
                <w:color w:val="000000"/>
                <w:szCs w:val="20"/>
                <w:lang w:val="en-GB"/>
              </w:rPr>
            </w:pPr>
            <w:r w:rsidRPr="00AA3908">
              <w:rPr>
                <w:rFonts w:eastAsia="Times New Roman"/>
                <w:color w:val="000000"/>
                <w:szCs w:val="20"/>
                <w:lang w:val="en-GB"/>
              </w:rPr>
              <w:t>UAB „STADA Baltics“</w:t>
            </w:r>
          </w:p>
          <w:p w14:paraId="30A3A134" w14:textId="77777777" w:rsidR="00AA3908" w:rsidRPr="00AA3908" w:rsidRDefault="00AA3908" w:rsidP="00AA3908">
            <w:pPr>
              <w:tabs>
                <w:tab w:val="clear" w:pos="567"/>
              </w:tabs>
              <w:autoSpaceDE w:val="0"/>
              <w:autoSpaceDN w:val="0"/>
              <w:adjustRightInd w:val="0"/>
              <w:rPr>
                <w:rFonts w:eastAsia="Calibri" w:cs="Arial"/>
                <w:color w:val="000000"/>
                <w:lang w:val="en-GB"/>
              </w:rPr>
            </w:pPr>
            <w:r w:rsidRPr="00AA3908">
              <w:rPr>
                <w:rFonts w:eastAsia="Calibri" w:cs="Arial"/>
                <w:color w:val="000000"/>
                <w:lang w:val="en-GB"/>
              </w:rPr>
              <w:t xml:space="preserve">Tel: +372 </w:t>
            </w:r>
            <w:r w:rsidRPr="00AA3908">
              <w:rPr>
                <w:rFonts w:eastAsia="Times New Roman"/>
                <w:color w:val="000000"/>
                <w:szCs w:val="20"/>
                <w:lang w:val="en-GB"/>
              </w:rPr>
              <w:t>53072153</w:t>
            </w:r>
          </w:p>
          <w:p w14:paraId="106C19CA" w14:textId="77777777" w:rsidR="00AA3908" w:rsidRPr="00AA3908" w:rsidRDefault="00AA3908" w:rsidP="00AA3908">
            <w:pPr>
              <w:tabs>
                <w:tab w:val="clear" w:pos="567"/>
              </w:tabs>
              <w:rPr>
                <w:rFonts w:eastAsia="Calibri" w:cs="Arial"/>
                <w:lang w:val="en-GB"/>
              </w:rPr>
            </w:pPr>
          </w:p>
        </w:tc>
        <w:tc>
          <w:tcPr>
            <w:tcW w:w="4747" w:type="dxa"/>
            <w:hideMark/>
          </w:tcPr>
          <w:p w14:paraId="1E262251" w14:textId="77777777" w:rsidR="00AA3908" w:rsidRPr="00AA3908" w:rsidRDefault="00AA3908" w:rsidP="00AA3908">
            <w:pPr>
              <w:tabs>
                <w:tab w:val="clear" w:pos="567"/>
              </w:tabs>
              <w:rPr>
                <w:rFonts w:eastAsia="Calibri" w:cs="Arial"/>
                <w:color w:val="000000"/>
                <w:lang w:val="en-GB"/>
              </w:rPr>
            </w:pPr>
            <w:r w:rsidRPr="00AA3908">
              <w:rPr>
                <w:rFonts w:eastAsia="Calibri" w:cs="Arial"/>
                <w:b/>
                <w:color w:val="000000"/>
                <w:lang w:val="en-GB"/>
              </w:rPr>
              <w:t>Norge</w:t>
            </w:r>
          </w:p>
          <w:p w14:paraId="37FF3F4A" w14:textId="77777777" w:rsidR="00AA3908" w:rsidRPr="00AA3908" w:rsidRDefault="00AA3908" w:rsidP="00AA3908">
            <w:pPr>
              <w:tabs>
                <w:tab w:val="clear" w:pos="567"/>
              </w:tabs>
              <w:rPr>
                <w:rFonts w:eastAsia="Times New Roman"/>
                <w:color w:val="000000"/>
                <w:szCs w:val="20"/>
                <w:lang w:val="en-GB"/>
              </w:rPr>
            </w:pPr>
            <w:r w:rsidRPr="00AA3908">
              <w:rPr>
                <w:rFonts w:eastAsia="Times New Roman"/>
                <w:color w:val="000000"/>
                <w:szCs w:val="20"/>
                <w:lang w:val="en-GB"/>
              </w:rPr>
              <w:t>STADA Nordic ApS</w:t>
            </w:r>
          </w:p>
          <w:p w14:paraId="562BC6C2" w14:textId="77777777" w:rsidR="00AA3908" w:rsidRPr="00AA3908" w:rsidRDefault="00AA3908" w:rsidP="00AA3908">
            <w:pPr>
              <w:tabs>
                <w:tab w:val="clear" w:pos="567"/>
              </w:tabs>
              <w:rPr>
                <w:rFonts w:eastAsia="Calibri" w:cs="Arial"/>
                <w:color w:val="000000"/>
                <w:lang w:val="en-GB"/>
              </w:rPr>
            </w:pPr>
            <w:r w:rsidRPr="00AA3908">
              <w:rPr>
                <w:rFonts w:eastAsia="Calibri" w:cs="Arial"/>
                <w:color w:val="000000"/>
                <w:lang w:val="en-GB"/>
              </w:rPr>
              <w:t>Tlf: +</w:t>
            </w:r>
            <w:r w:rsidRPr="00AA3908">
              <w:rPr>
                <w:rFonts w:eastAsia="Times New Roman"/>
                <w:color w:val="000000"/>
                <w:szCs w:val="20"/>
                <w:lang w:val="en-GB"/>
              </w:rPr>
              <w:t>45 44859999</w:t>
            </w:r>
          </w:p>
          <w:p w14:paraId="6874E840" w14:textId="77777777" w:rsidR="00AA3908" w:rsidRPr="00AA3908" w:rsidRDefault="00AA3908" w:rsidP="00AA3908">
            <w:pPr>
              <w:tabs>
                <w:tab w:val="clear" w:pos="567"/>
              </w:tabs>
              <w:rPr>
                <w:rFonts w:eastAsia="Times New Roman"/>
                <w:lang w:val="en-GB"/>
              </w:rPr>
            </w:pPr>
          </w:p>
        </w:tc>
      </w:tr>
      <w:tr w:rsidR="00AA3908" w:rsidRPr="00AA3908" w14:paraId="257EB468" w14:textId="77777777" w:rsidTr="00196861">
        <w:trPr>
          <w:cantSplit/>
        </w:trPr>
        <w:tc>
          <w:tcPr>
            <w:tcW w:w="4659" w:type="dxa"/>
            <w:hideMark/>
          </w:tcPr>
          <w:p w14:paraId="3559B323" w14:textId="77777777" w:rsidR="00AA3908" w:rsidRPr="00AA3908" w:rsidRDefault="00AA3908" w:rsidP="00AA3908">
            <w:pPr>
              <w:tabs>
                <w:tab w:val="clear" w:pos="567"/>
              </w:tabs>
              <w:rPr>
                <w:rFonts w:eastAsia="Calibri" w:cs="Arial"/>
                <w:color w:val="000000"/>
                <w:lang w:val="de-DE"/>
              </w:rPr>
            </w:pPr>
            <w:r w:rsidRPr="00AA3908">
              <w:rPr>
                <w:rFonts w:eastAsia="Calibri" w:cs="Arial"/>
                <w:b/>
                <w:color w:val="000000"/>
                <w:lang w:val="en-GB"/>
              </w:rPr>
              <w:t>Ελλάδα</w:t>
            </w:r>
          </w:p>
          <w:p w14:paraId="4D3A0CE5" w14:textId="77777777" w:rsidR="00AA3908" w:rsidRPr="00AA3908" w:rsidRDefault="00AA3908" w:rsidP="00AA3908">
            <w:pPr>
              <w:tabs>
                <w:tab w:val="clear" w:pos="567"/>
              </w:tabs>
              <w:rPr>
                <w:rFonts w:eastAsia="Times New Roman"/>
                <w:color w:val="000000"/>
                <w:szCs w:val="20"/>
                <w:lang w:val="de-DE"/>
              </w:rPr>
            </w:pPr>
            <w:r w:rsidRPr="00AA3908">
              <w:rPr>
                <w:rFonts w:eastAsia="Times New Roman"/>
                <w:color w:val="000000"/>
                <w:szCs w:val="20"/>
                <w:lang w:val="de-DE"/>
              </w:rPr>
              <w:t>STADA Arzneimittel AG</w:t>
            </w:r>
          </w:p>
          <w:p w14:paraId="470D9C76" w14:textId="1E466749" w:rsidR="00AA3908" w:rsidRPr="00AA3908" w:rsidDel="00622D93" w:rsidRDefault="00AA3908" w:rsidP="00622D93">
            <w:pPr>
              <w:tabs>
                <w:tab w:val="clear" w:pos="567"/>
              </w:tabs>
              <w:suppressAutoHyphens/>
              <w:rPr>
                <w:del w:id="21" w:author="Author" w:date="2026-02-17T11:08:00Z" w16du:dateUtc="2026-02-17T10:08:00Z"/>
                <w:rFonts w:eastAsia="Calibri" w:cs="Arial"/>
                <w:color w:val="000000"/>
                <w:lang w:val="de-DE"/>
              </w:rPr>
            </w:pPr>
            <w:r w:rsidRPr="00AA3908">
              <w:rPr>
                <w:rFonts w:eastAsia="Times New Roman"/>
                <w:color w:val="000000"/>
                <w:szCs w:val="20"/>
                <w:lang w:val="de-DE"/>
              </w:rPr>
              <w:t>Tel</w:t>
            </w:r>
            <w:r w:rsidRPr="00AA3908">
              <w:rPr>
                <w:rFonts w:eastAsia="Calibri" w:cs="Arial"/>
                <w:color w:val="000000"/>
                <w:lang w:val="de-DE"/>
              </w:rPr>
              <w:t xml:space="preserve">: +30 </w:t>
            </w:r>
            <w:r w:rsidRPr="00AA3908">
              <w:rPr>
                <w:rFonts w:eastAsia="Times New Roman"/>
                <w:color w:val="000000"/>
                <w:szCs w:val="20"/>
                <w:lang w:val="de-DE"/>
              </w:rPr>
              <w:t>2106664667</w:t>
            </w:r>
          </w:p>
          <w:p w14:paraId="70382A97" w14:textId="77777777" w:rsidR="00AA3908" w:rsidRPr="00AA3908" w:rsidRDefault="00AA3908" w:rsidP="00AA3908">
            <w:pPr>
              <w:tabs>
                <w:tab w:val="clear" w:pos="567"/>
              </w:tabs>
              <w:rPr>
                <w:rFonts w:eastAsia="Calibri" w:cs="Arial"/>
                <w:lang w:val="de-DE"/>
              </w:rPr>
            </w:pPr>
            <w:r w:rsidRPr="00AA3908">
              <w:rPr>
                <w:rFonts w:eastAsia="Times New Roman"/>
                <w:color w:val="000000"/>
                <w:szCs w:val="20"/>
                <w:lang w:val="de-DE"/>
              </w:rPr>
              <w:t xml:space="preserve"> </w:t>
            </w:r>
          </w:p>
        </w:tc>
        <w:tc>
          <w:tcPr>
            <w:tcW w:w="4747" w:type="dxa"/>
            <w:hideMark/>
          </w:tcPr>
          <w:p w14:paraId="35C6C6E3" w14:textId="77777777" w:rsidR="00AA3908" w:rsidRPr="00AA3908" w:rsidRDefault="00AA3908" w:rsidP="00AA3908">
            <w:pPr>
              <w:tabs>
                <w:tab w:val="clear" w:pos="567"/>
              </w:tabs>
              <w:suppressAutoHyphens/>
              <w:rPr>
                <w:rFonts w:eastAsia="Calibri" w:cs="Arial"/>
                <w:color w:val="000000"/>
                <w:lang w:val="de-DE"/>
              </w:rPr>
            </w:pPr>
            <w:r w:rsidRPr="00AA3908">
              <w:rPr>
                <w:rFonts w:eastAsia="Calibri" w:cs="Arial"/>
                <w:b/>
                <w:color w:val="000000"/>
                <w:lang w:val="de-DE"/>
              </w:rPr>
              <w:t>Österreich</w:t>
            </w:r>
          </w:p>
          <w:p w14:paraId="25C8B8D3" w14:textId="77777777" w:rsidR="00AA3908" w:rsidRPr="00AA3908" w:rsidRDefault="00AA3908" w:rsidP="00AA3908">
            <w:pPr>
              <w:tabs>
                <w:tab w:val="clear" w:pos="567"/>
              </w:tabs>
              <w:suppressAutoHyphens/>
              <w:rPr>
                <w:rFonts w:eastAsia="Calibri" w:cs="Arial"/>
                <w:i/>
                <w:color w:val="000000"/>
                <w:lang w:val="de-DE"/>
              </w:rPr>
            </w:pPr>
            <w:r w:rsidRPr="00AA3908">
              <w:rPr>
                <w:rFonts w:eastAsia="Times New Roman"/>
                <w:color w:val="000000"/>
                <w:szCs w:val="20"/>
                <w:lang w:val="de-DE"/>
              </w:rPr>
              <w:t>STADA Arzneimittel</w:t>
            </w:r>
            <w:r w:rsidRPr="00AA3908">
              <w:rPr>
                <w:rFonts w:eastAsia="Calibri" w:cs="Arial"/>
                <w:color w:val="000000"/>
                <w:lang w:val="de-DE"/>
              </w:rPr>
              <w:t xml:space="preserve"> GmbH</w:t>
            </w:r>
          </w:p>
          <w:p w14:paraId="20673FA2" w14:textId="182F63EB" w:rsidR="00AA3908" w:rsidRPr="00AA3908" w:rsidDel="00622D93" w:rsidRDefault="00AA3908" w:rsidP="00622D93">
            <w:pPr>
              <w:tabs>
                <w:tab w:val="clear" w:pos="567"/>
              </w:tabs>
              <w:suppressAutoHyphens/>
              <w:rPr>
                <w:del w:id="22" w:author="Author" w:date="2026-02-17T11:08:00Z" w16du:dateUtc="2026-02-17T10:08:00Z"/>
                <w:rFonts w:eastAsia="Calibri" w:cs="Arial"/>
                <w:color w:val="000000"/>
                <w:lang w:val="de-DE"/>
              </w:rPr>
            </w:pPr>
            <w:r w:rsidRPr="00AA3908">
              <w:rPr>
                <w:rFonts w:eastAsia="Calibri" w:cs="Arial"/>
                <w:color w:val="000000"/>
                <w:lang w:val="de-DE"/>
              </w:rPr>
              <w:t xml:space="preserve">Tel: +43 </w:t>
            </w:r>
            <w:r w:rsidRPr="00AA3908">
              <w:rPr>
                <w:rFonts w:eastAsia="Times New Roman"/>
                <w:color w:val="000000"/>
                <w:szCs w:val="20"/>
                <w:lang w:val="de-DE"/>
              </w:rPr>
              <w:t>136785850</w:t>
            </w:r>
          </w:p>
          <w:p w14:paraId="3401008B" w14:textId="77777777" w:rsidR="00AA3908" w:rsidRPr="00AA3908" w:rsidRDefault="00AA3908" w:rsidP="00AA3908">
            <w:pPr>
              <w:tabs>
                <w:tab w:val="clear" w:pos="567"/>
              </w:tabs>
              <w:rPr>
                <w:rFonts w:eastAsia="Calibri" w:cs="Arial"/>
                <w:lang w:val="de-DE"/>
              </w:rPr>
            </w:pPr>
          </w:p>
        </w:tc>
      </w:tr>
      <w:tr w:rsidR="00AA3908" w:rsidRPr="00AA3908" w14:paraId="39A07A15" w14:textId="77777777" w:rsidTr="00196861">
        <w:trPr>
          <w:cantSplit/>
        </w:trPr>
        <w:tc>
          <w:tcPr>
            <w:tcW w:w="4659" w:type="dxa"/>
            <w:hideMark/>
          </w:tcPr>
          <w:p w14:paraId="08DBC071" w14:textId="77777777" w:rsidR="00AA3908" w:rsidRPr="00AA3908" w:rsidRDefault="00AA3908" w:rsidP="00AA3908">
            <w:pPr>
              <w:tabs>
                <w:tab w:val="clear" w:pos="567"/>
              </w:tabs>
              <w:suppressAutoHyphens/>
              <w:rPr>
                <w:rFonts w:eastAsia="Calibri" w:cs="Arial"/>
                <w:b/>
                <w:color w:val="000000"/>
                <w:lang w:val="es-ES"/>
              </w:rPr>
            </w:pPr>
            <w:r w:rsidRPr="00AA3908">
              <w:rPr>
                <w:rFonts w:eastAsia="Calibri" w:cs="Arial"/>
                <w:b/>
                <w:color w:val="000000"/>
                <w:lang w:val="es-ES"/>
              </w:rPr>
              <w:t>España</w:t>
            </w:r>
          </w:p>
          <w:p w14:paraId="71726D8A" w14:textId="77777777" w:rsidR="00AA3908" w:rsidRPr="00AA3908" w:rsidRDefault="00AA3908" w:rsidP="00AA3908">
            <w:pPr>
              <w:tabs>
                <w:tab w:val="clear" w:pos="567"/>
              </w:tabs>
              <w:suppressAutoHyphens/>
              <w:rPr>
                <w:rFonts w:eastAsia="Calibri" w:cs="Arial"/>
                <w:color w:val="000000"/>
                <w:lang w:val="es-ES"/>
              </w:rPr>
            </w:pPr>
            <w:r w:rsidRPr="00AA3908">
              <w:rPr>
                <w:rFonts w:eastAsia="Times New Roman"/>
                <w:color w:val="000000"/>
                <w:szCs w:val="20"/>
                <w:lang w:val="es-ES"/>
              </w:rPr>
              <w:t>Laboratorio STADA,</w:t>
            </w:r>
            <w:r w:rsidRPr="00AA3908">
              <w:rPr>
                <w:rFonts w:eastAsia="Calibri" w:cs="Arial"/>
                <w:color w:val="000000"/>
                <w:lang w:val="es-ES"/>
              </w:rPr>
              <w:t xml:space="preserve"> S.</w:t>
            </w:r>
            <w:r w:rsidRPr="00AA3908">
              <w:rPr>
                <w:rFonts w:eastAsia="Times New Roman"/>
                <w:color w:val="000000"/>
                <w:szCs w:val="20"/>
                <w:lang w:val="es-ES"/>
              </w:rPr>
              <w:t>L</w:t>
            </w:r>
            <w:r w:rsidRPr="00AA3908">
              <w:rPr>
                <w:rFonts w:eastAsia="Calibri" w:cs="Arial"/>
                <w:color w:val="000000"/>
                <w:lang w:val="es-ES"/>
              </w:rPr>
              <w:t>.</w:t>
            </w:r>
          </w:p>
          <w:p w14:paraId="4DE133B4" w14:textId="77777777" w:rsidR="00AA3908" w:rsidRPr="00AA3908" w:rsidRDefault="00AA3908" w:rsidP="00AA3908">
            <w:pPr>
              <w:tabs>
                <w:tab w:val="clear" w:pos="567"/>
              </w:tabs>
              <w:rPr>
                <w:rFonts w:eastAsia="Calibri" w:cs="Arial"/>
                <w:color w:val="000000"/>
                <w:lang w:val="it-IT"/>
              </w:rPr>
            </w:pPr>
            <w:r w:rsidRPr="00AA3908">
              <w:rPr>
                <w:rFonts w:eastAsia="Calibri" w:cs="Arial"/>
                <w:color w:val="000000"/>
                <w:lang w:val="it-IT"/>
              </w:rPr>
              <w:t xml:space="preserve">Tel: +34 </w:t>
            </w:r>
            <w:r w:rsidRPr="00AA3908">
              <w:rPr>
                <w:rFonts w:eastAsia="Times New Roman"/>
                <w:color w:val="000000"/>
                <w:szCs w:val="20"/>
                <w:lang w:val="it-IT"/>
              </w:rPr>
              <w:t>934738889</w:t>
            </w:r>
          </w:p>
          <w:p w14:paraId="538961DF" w14:textId="77777777" w:rsidR="00AA3908" w:rsidRPr="00AA3908" w:rsidRDefault="00AA3908" w:rsidP="00AA3908">
            <w:pPr>
              <w:tabs>
                <w:tab w:val="clear" w:pos="567"/>
              </w:tabs>
              <w:rPr>
                <w:rFonts w:eastAsia="Calibri" w:cs="Arial"/>
                <w:lang w:val="it-IT"/>
              </w:rPr>
            </w:pPr>
          </w:p>
        </w:tc>
        <w:tc>
          <w:tcPr>
            <w:tcW w:w="4747" w:type="dxa"/>
            <w:hideMark/>
          </w:tcPr>
          <w:p w14:paraId="587C8DEA" w14:textId="77777777" w:rsidR="00AA3908" w:rsidRPr="00AA3908" w:rsidRDefault="00AA3908" w:rsidP="00AA3908">
            <w:pPr>
              <w:tabs>
                <w:tab w:val="clear" w:pos="567"/>
              </w:tabs>
              <w:suppressAutoHyphens/>
              <w:rPr>
                <w:rFonts w:eastAsia="Calibri" w:cs="Arial"/>
                <w:b/>
                <w:i/>
                <w:color w:val="000000"/>
                <w:lang w:val="pl-PL"/>
              </w:rPr>
            </w:pPr>
            <w:r w:rsidRPr="00AA3908">
              <w:rPr>
                <w:rFonts w:eastAsia="Calibri" w:cs="Arial"/>
                <w:b/>
                <w:color w:val="000000"/>
                <w:lang w:val="pl-PL"/>
              </w:rPr>
              <w:t>Polska</w:t>
            </w:r>
          </w:p>
          <w:p w14:paraId="3D5D250C" w14:textId="0490CBA6" w:rsidR="00AA3908" w:rsidRPr="00AA3908" w:rsidRDefault="00AA3908" w:rsidP="00AA3908">
            <w:pPr>
              <w:tabs>
                <w:tab w:val="clear" w:pos="567"/>
              </w:tabs>
              <w:suppressAutoHyphens/>
              <w:rPr>
                <w:rFonts w:eastAsia="Calibri" w:cs="Arial"/>
                <w:color w:val="000000"/>
                <w:lang w:val="pl-PL"/>
              </w:rPr>
            </w:pPr>
            <w:r w:rsidRPr="00AA3908">
              <w:rPr>
                <w:rFonts w:eastAsia="Times New Roman"/>
                <w:color w:val="000000"/>
                <w:szCs w:val="20"/>
                <w:lang w:val="pl-PL" w:eastAsia="en-CA"/>
              </w:rPr>
              <w:t>STADA Poland</w:t>
            </w:r>
            <w:r w:rsidRPr="00AA3908">
              <w:rPr>
                <w:rFonts w:eastAsia="Calibri" w:cs="Arial"/>
                <w:color w:val="000000"/>
                <w:lang w:val="pl-PL"/>
              </w:rPr>
              <w:t xml:space="preserve"> Sp. z</w:t>
            </w:r>
            <w:ins w:id="23" w:author="Author" w:date="2026-02-17T11:08:00Z" w16du:dateUtc="2026-02-17T10:08:00Z">
              <w:r w:rsidR="00622D93">
                <w:rPr>
                  <w:rFonts w:eastAsia="Times New Roman"/>
                  <w:color w:val="000000"/>
                  <w:szCs w:val="20"/>
                  <w:lang w:val="pl-PL" w:eastAsia="en-CA"/>
                </w:rPr>
                <w:t xml:space="preserve"> </w:t>
              </w:r>
            </w:ins>
            <w:del w:id="24" w:author="Author" w:date="2026-02-17T11:08:00Z" w16du:dateUtc="2026-02-17T10:08:00Z">
              <w:r w:rsidRPr="00AA3908" w:rsidDel="00622D93">
                <w:rPr>
                  <w:rFonts w:eastAsia="Times New Roman"/>
                  <w:color w:val="000000"/>
                  <w:szCs w:val="20"/>
                  <w:lang w:val="pl-PL" w:eastAsia="en-CA"/>
                </w:rPr>
                <w:delText>.</w:delText>
              </w:r>
            </w:del>
            <w:r w:rsidRPr="00AA3908">
              <w:rPr>
                <w:rFonts w:eastAsia="Calibri" w:cs="Arial"/>
                <w:color w:val="000000"/>
                <w:lang w:val="pl-PL"/>
              </w:rPr>
              <w:t>o</w:t>
            </w:r>
            <w:ins w:id="25" w:author="Author" w:date="2026-02-17T11:08:00Z" w16du:dateUtc="2026-02-17T10:08:00Z">
              <w:r w:rsidR="00622D93">
                <w:rPr>
                  <w:rFonts w:eastAsia="Calibri" w:cs="Arial"/>
                  <w:color w:val="000000"/>
                  <w:lang w:val="pl-PL"/>
                </w:rPr>
                <w:t>.</w:t>
              </w:r>
            </w:ins>
            <w:del w:id="26" w:author="Author" w:date="2026-02-17T11:08:00Z" w16du:dateUtc="2026-02-17T10:08:00Z">
              <w:r w:rsidRPr="00AA3908" w:rsidDel="00622D93">
                <w:rPr>
                  <w:rFonts w:eastAsia="Times New Roman"/>
                  <w:color w:val="000000"/>
                  <w:szCs w:val="20"/>
                  <w:lang w:val="pl-PL" w:eastAsia="en-CA"/>
                </w:rPr>
                <w:delText xml:space="preserve"> </w:delText>
              </w:r>
            </w:del>
            <w:r w:rsidRPr="00AA3908">
              <w:rPr>
                <w:rFonts w:eastAsia="Calibri" w:cs="Arial"/>
                <w:color w:val="000000"/>
                <w:lang w:val="pl-PL"/>
              </w:rPr>
              <w:t>o.</w:t>
            </w:r>
          </w:p>
          <w:p w14:paraId="39630B6F" w14:textId="77777777" w:rsidR="00AA3908" w:rsidRPr="00AA3908" w:rsidRDefault="00AA3908" w:rsidP="00AA3908">
            <w:pPr>
              <w:tabs>
                <w:tab w:val="clear" w:pos="567"/>
              </w:tabs>
              <w:suppressAutoHyphens/>
              <w:rPr>
                <w:rFonts w:eastAsia="Calibri" w:cs="Arial"/>
                <w:color w:val="000000"/>
                <w:lang w:val="en-GB"/>
              </w:rPr>
            </w:pPr>
            <w:r w:rsidRPr="00AA3908">
              <w:rPr>
                <w:rFonts w:eastAsia="Calibri" w:cs="Arial"/>
                <w:color w:val="000000"/>
                <w:lang w:val="en-GB"/>
              </w:rPr>
              <w:t>Tel</w:t>
            </w:r>
            <w:r w:rsidRPr="00AA3908">
              <w:rPr>
                <w:rFonts w:eastAsia="Times New Roman"/>
                <w:color w:val="000000"/>
                <w:szCs w:val="20"/>
                <w:lang w:val="en-GB" w:eastAsia="en-CA"/>
              </w:rPr>
              <w:t>:</w:t>
            </w:r>
            <w:r w:rsidRPr="00AA3908">
              <w:rPr>
                <w:rFonts w:eastAsia="Calibri" w:cs="Arial"/>
                <w:color w:val="000000"/>
                <w:lang w:val="en-GB"/>
              </w:rPr>
              <w:t xml:space="preserve"> +48 </w:t>
            </w:r>
            <w:r w:rsidRPr="00AA3908">
              <w:rPr>
                <w:rFonts w:eastAsia="Times New Roman"/>
                <w:color w:val="000000"/>
                <w:szCs w:val="20"/>
                <w:lang w:val="en-GB" w:eastAsia="en-CA"/>
              </w:rPr>
              <w:t>227377920</w:t>
            </w:r>
          </w:p>
          <w:p w14:paraId="27BA8581" w14:textId="77777777" w:rsidR="00AA3908" w:rsidRPr="00AA3908" w:rsidRDefault="00AA3908" w:rsidP="00AA3908">
            <w:pPr>
              <w:tabs>
                <w:tab w:val="clear" w:pos="567"/>
              </w:tabs>
              <w:rPr>
                <w:rFonts w:eastAsia="Times New Roman"/>
                <w:lang w:val="en-GB"/>
              </w:rPr>
            </w:pPr>
          </w:p>
        </w:tc>
      </w:tr>
      <w:tr w:rsidR="00AA3908" w:rsidRPr="00AA3908" w14:paraId="76F8B7DA" w14:textId="77777777" w:rsidTr="00196861">
        <w:trPr>
          <w:cantSplit/>
        </w:trPr>
        <w:tc>
          <w:tcPr>
            <w:tcW w:w="4659" w:type="dxa"/>
            <w:hideMark/>
          </w:tcPr>
          <w:p w14:paraId="5C7857C3" w14:textId="77777777" w:rsidR="00AA3908" w:rsidRPr="00AA3908" w:rsidRDefault="00AA3908" w:rsidP="00AA3908">
            <w:pPr>
              <w:tabs>
                <w:tab w:val="clear" w:pos="567"/>
              </w:tabs>
              <w:suppressAutoHyphens/>
              <w:rPr>
                <w:rFonts w:eastAsia="Calibri" w:cs="Arial"/>
                <w:b/>
                <w:color w:val="000000"/>
                <w:lang w:val="fr-FR"/>
              </w:rPr>
            </w:pPr>
            <w:r w:rsidRPr="00AA3908">
              <w:rPr>
                <w:rFonts w:eastAsia="Calibri" w:cs="Arial"/>
                <w:b/>
                <w:color w:val="000000"/>
                <w:lang w:val="fr-FR"/>
              </w:rPr>
              <w:t>France</w:t>
            </w:r>
          </w:p>
          <w:p w14:paraId="0FCBAF68" w14:textId="77777777" w:rsidR="00AA3908" w:rsidRPr="00AA3908" w:rsidRDefault="00AA3908" w:rsidP="00AA3908">
            <w:pPr>
              <w:tabs>
                <w:tab w:val="clear" w:pos="567"/>
              </w:tabs>
              <w:rPr>
                <w:rFonts w:eastAsia="Times New Roman"/>
                <w:color w:val="000000"/>
                <w:szCs w:val="20"/>
                <w:lang w:val="fr-FR"/>
              </w:rPr>
            </w:pPr>
            <w:r w:rsidRPr="00AA3908">
              <w:rPr>
                <w:rFonts w:eastAsia="Times New Roman"/>
                <w:color w:val="000000"/>
                <w:szCs w:val="20"/>
                <w:lang w:val="fr-FR"/>
              </w:rPr>
              <w:t>EG LABO - Laboratoires EuroGenerics</w:t>
            </w:r>
          </w:p>
          <w:p w14:paraId="1414DAE9" w14:textId="77777777" w:rsidR="00AA3908" w:rsidRPr="00AA3908" w:rsidRDefault="00AA3908" w:rsidP="00AA3908">
            <w:pPr>
              <w:tabs>
                <w:tab w:val="clear" w:pos="567"/>
              </w:tabs>
              <w:rPr>
                <w:rFonts w:eastAsia="Calibri" w:cs="Arial"/>
                <w:color w:val="000000"/>
                <w:lang w:val="fr-FR"/>
              </w:rPr>
            </w:pPr>
            <w:r w:rsidRPr="00AA3908">
              <w:rPr>
                <w:rFonts w:eastAsia="Calibri" w:cs="Arial"/>
                <w:color w:val="000000"/>
                <w:lang w:val="fr-FR"/>
              </w:rPr>
              <w:t xml:space="preserve">Tél: +33 </w:t>
            </w:r>
            <w:r w:rsidRPr="00AA3908">
              <w:rPr>
                <w:rFonts w:eastAsia="Times New Roman"/>
                <w:color w:val="000000"/>
                <w:szCs w:val="20"/>
                <w:lang w:val="fr-FR"/>
              </w:rPr>
              <w:t>146948686</w:t>
            </w:r>
          </w:p>
          <w:p w14:paraId="7F1EE3F9" w14:textId="77777777" w:rsidR="00AA3908" w:rsidRPr="00AA3908" w:rsidRDefault="00AA3908" w:rsidP="00AA3908">
            <w:pPr>
              <w:tabs>
                <w:tab w:val="clear" w:pos="567"/>
              </w:tabs>
              <w:rPr>
                <w:rFonts w:eastAsia="Calibri" w:cs="Arial"/>
                <w:lang w:val="fr-FR"/>
              </w:rPr>
            </w:pPr>
          </w:p>
        </w:tc>
        <w:tc>
          <w:tcPr>
            <w:tcW w:w="4747" w:type="dxa"/>
            <w:hideMark/>
          </w:tcPr>
          <w:p w14:paraId="5F1CC4A9" w14:textId="77777777" w:rsidR="00AA3908" w:rsidRPr="00AA3908" w:rsidRDefault="00AA3908" w:rsidP="00AA3908">
            <w:pPr>
              <w:tabs>
                <w:tab w:val="clear" w:pos="567"/>
              </w:tabs>
              <w:suppressAutoHyphens/>
              <w:rPr>
                <w:rFonts w:eastAsia="Calibri" w:cs="Arial"/>
                <w:color w:val="000000"/>
                <w:lang w:val="en-GB"/>
              </w:rPr>
            </w:pPr>
            <w:r w:rsidRPr="00AA3908">
              <w:rPr>
                <w:rFonts w:eastAsia="Calibri" w:cs="Arial"/>
                <w:b/>
                <w:color w:val="000000"/>
                <w:lang w:val="en-GB"/>
              </w:rPr>
              <w:t>Portugal</w:t>
            </w:r>
          </w:p>
          <w:p w14:paraId="6DB17550" w14:textId="77777777" w:rsidR="00AA3908" w:rsidRPr="00AA3908" w:rsidRDefault="00AA3908" w:rsidP="00AA3908">
            <w:pPr>
              <w:tabs>
                <w:tab w:val="clear" w:pos="567"/>
              </w:tabs>
              <w:suppressAutoHyphens/>
              <w:rPr>
                <w:rFonts w:eastAsia="Calibri" w:cs="Arial"/>
                <w:color w:val="000000"/>
                <w:lang w:val="en-GB"/>
              </w:rPr>
            </w:pPr>
            <w:r w:rsidRPr="00AA3908">
              <w:rPr>
                <w:rFonts w:eastAsia="Times New Roman"/>
                <w:color w:val="000000"/>
                <w:szCs w:val="20"/>
                <w:lang w:val="en-GB"/>
              </w:rPr>
              <w:t>Stada</w:t>
            </w:r>
            <w:r w:rsidRPr="00AA3908">
              <w:rPr>
                <w:rFonts w:eastAsia="Calibri" w:cs="Arial"/>
                <w:color w:val="000000"/>
                <w:lang w:val="en-GB"/>
              </w:rPr>
              <w:t>, Lda.</w:t>
            </w:r>
          </w:p>
          <w:p w14:paraId="4BEE69CF" w14:textId="77777777" w:rsidR="00AA3908" w:rsidRPr="00AA3908" w:rsidRDefault="00AA3908" w:rsidP="00AA3908">
            <w:pPr>
              <w:tabs>
                <w:tab w:val="clear" w:pos="567"/>
              </w:tabs>
              <w:suppressAutoHyphens/>
              <w:rPr>
                <w:rFonts w:eastAsia="Calibri" w:cs="Arial"/>
                <w:color w:val="000000"/>
                <w:lang w:val="en-GB"/>
              </w:rPr>
            </w:pPr>
            <w:r w:rsidRPr="00AA3908">
              <w:rPr>
                <w:rFonts w:eastAsia="Calibri" w:cs="Arial"/>
                <w:color w:val="000000"/>
                <w:lang w:val="en-GB"/>
              </w:rPr>
              <w:t xml:space="preserve">Tel: +351 </w:t>
            </w:r>
            <w:r w:rsidRPr="00AA3908">
              <w:rPr>
                <w:rFonts w:eastAsia="Times New Roman"/>
                <w:color w:val="000000"/>
                <w:szCs w:val="20"/>
                <w:lang w:val="en-GB"/>
              </w:rPr>
              <w:t>211209870</w:t>
            </w:r>
          </w:p>
          <w:p w14:paraId="145E0BD5" w14:textId="77777777" w:rsidR="00AA3908" w:rsidRPr="00AA3908" w:rsidRDefault="00AA3908" w:rsidP="00AA3908">
            <w:pPr>
              <w:tabs>
                <w:tab w:val="clear" w:pos="567"/>
              </w:tabs>
              <w:rPr>
                <w:rFonts w:eastAsia="Calibri" w:cs="Arial"/>
                <w:lang w:val="en-GB"/>
              </w:rPr>
            </w:pPr>
          </w:p>
        </w:tc>
      </w:tr>
      <w:tr w:rsidR="00AA3908" w:rsidRPr="00AA3908" w14:paraId="38E44680" w14:textId="77777777" w:rsidTr="00196861">
        <w:trPr>
          <w:cantSplit/>
        </w:trPr>
        <w:tc>
          <w:tcPr>
            <w:tcW w:w="4659" w:type="dxa"/>
            <w:hideMark/>
          </w:tcPr>
          <w:p w14:paraId="3EB21F5B" w14:textId="77777777" w:rsidR="00AA3908" w:rsidRPr="00F70A44" w:rsidRDefault="00AA3908" w:rsidP="00AA3908">
            <w:pPr>
              <w:tabs>
                <w:tab w:val="clear" w:pos="567"/>
              </w:tabs>
              <w:rPr>
                <w:rFonts w:eastAsia="Calibri" w:cs="Arial"/>
                <w:color w:val="000000"/>
              </w:rPr>
            </w:pPr>
            <w:r w:rsidRPr="00F70A44">
              <w:rPr>
                <w:rFonts w:eastAsia="Calibri" w:cs="Arial"/>
                <w:b/>
                <w:color w:val="000000"/>
              </w:rPr>
              <w:t>Hrvatska</w:t>
            </w:r>
          </w:p>
          <w:p w14:paraId="5269B4F5" w14:textId="77777777" w:rsidR="00AA3908" w:rsidRPr="00F70A44" w:rsidRDefault="00AA3908" w:rsidP="00AA3908">
            <w:pPr>
              <w:tabs>
                <w:tab w:val="clear" w:pos="567"/>
              </w:tabs>
              <w:rPr>
                <w:rFonts w:eastAsia="Calibri" w:cs="Arial"/>
                <w:color w:val="000000"/>
              </w:rPr>
            </w:pPr>
            <w:r w:rsidRPr="00F70A44">
              <w:rPr>
                <w:rFonts w:eastAsia="Times New Roman"/>
                <w:color w:val="000000"/>
                <w:szCs w:val="20"/>
              </w:rPr>
              <w:t>STADA</w:t>
            </w:r>
            <w:r w:rsidRPr="00F70A44">
              <w:rPr>
                <w:rFonts w:eastAsia="Calibri" w:cs="Arial"/>
                <w:color w:val="000000"/>
              </w:rPr>
              <w:t xml:space="preserve"> d.o.o.</w:t>
            </w:r>
          </w:p>
          <w:p w14:paraId="3C4FFF1C" w14:textId="77777777" w:rsidR="00AA3908" w:rsidRPr="00AA3908" w:rsidRDefault="00AA3908" w:rsidP="00AA3908">
            <w:pPr>
              <w:tabs>
                <w:tab w:val="clear" w:pos="567"/>
              </w:tabs>
              <w:rPr>
                <w:rFonts w:eastAsia="Calibri" w:cs="Arial"/>
                <w:color w:val="000000"/>
                <w:lang w:val="pt-PT"/>
              </w:rPr>
            </w:pPr>
            <w:r w:rsidRPr="00AA3908">
              <w:rPr>
                <w:rFonts w:eastAsia="Calibri" w:cs="Arial"/>
                <w:color w:val="000000"/>
                <w:lang w:val="pt-PT"/>
              </w:rPr>
              <w:t xml:space="preserve">Tel: +385 </w:t>
            </w:r>
            <w:r w:rsidRPr="00AA3908">
              <w:rPr>
                <w:rFonts w:eastAsia="Times New Roman"/>
                <w:color w:val="000000"/>
                <w:szCs w:val="20"/>
                <w:lang w:val="pt-PT"/>
              </w:rPr>
              <w:t>13764111</w:t>
            </w:r>
          </w:p>
          <w:p w14:paraId="63FAA26C" w14:textId="77777777" w:rsidR="00AA3908" w:rsidRPr="00AA3908" w:rsidRDefault="00AA3908" w:rsidP="00AA3908">
            <w:pPr>
              <w:tabs>
                <w:tab w:val="clear" w:pos="567"/>
              </w:tabs>
              <w:rPr>
                <w:rFonts w:eastAsia="Times New Roman"/>
                <w:lang w:val="pt-PT"/>
              </w:rPr>
            </w:pPr>
          </w:p>
        </w:tc>
        <w:tc>
          <w:tcPr>
            <w:tcW w:w="4747" w:type="dxa"/>
            <w:hideMark/>
          </w:tcPr>
          <w:p w14:paraId="2135ED7E" w14:textId="77777777" w:rsidR="00AA3908" w:rsidRPr="00AA3908" w:rsidRDefault="00AA3908" w:rsidP="00AA3908">
            <w:pPr>
              <w:tabs>
                <w:tab w:val="clear" w:pos="567"/>
              </w:tabs>
              <w:suppressAutoHyphens/>
              <w:rPr>
                <w:rFonts w:eastAsia="Calibri" w:cs="Arial"/>
                <w:b/>
                <w:color w:val="000000"/>
                <w:lang w:val="pt-PT"/>
              </w:rPr>
            </w:pPr>
            <w:r w:rsidRPr="00AA3908">
              <w:rPr>
                <w:rFonts w:eastAsia="Calibri" w:cs="Arial"/>
                <w:b/>
                <w:color w:val="000000"/>
                <w:lang w:val="pt-PT"/>
              </w:rPr>
              <w:t>România</w:t>
            </w:r>
          </w:p>
          <w:p w14:paraId="2CE4AF99" w14:textId="77777777" w:rsidR="00AA3908" w:rsidRPr="00AA3908" w:rsidRDefault="00AA3908" w:rsidP="00AA3908">
            <w:pPr>
              <w:tabs>
                <w:tab w:val="clear" w:pos="567"/>
              </w:tabs>
              <w:suppressAutoHyphens/>
              <w:rPr>
                <w:rFonts w:eastAsia="Calibri" w:cs="Arial"/>
                <w:color w:val="000000"/>
                <w:lang w:val="pt-PT"/>
              </w:rPr>
            </w:pPr>
            <w:r w:rsidRPr="00AA3908">
              <w:rPr>
                <w:rFonts w:eastAsia="Times New Roman"/>
                <w:color w:val="000000"/>
                <w:szCs w:val="20"/>
                <w:lang w:val="pt-PT"/>
              </w:rPr>
              <w:t>STADA M&amp;D</w:t>
            </w:r>
            <w:r w:rsidRPr="00AA3908">
              <w:rPr>
                <w:rFonts w:eastAsia="Calibri" w:cs="Arial"/>
                <w:color w:val="000000"/>
                <w:lang w:val="pt-PT"/>
              </w:rPr>
              <w:t xml:space="preserve"> SRL</w:t>
            </w:r>
          </w:p>
          <w:p w14:paraId="5C315C98" w14:textId="77777777" w:rsidR="00AA3908" w:rsidRPr="00AA3908" w:rsidRDefault="00AA3908" w:rsidP="00AA3908">
            <w:pPr>
              <w:tabs>
                <w:tab w:val="clear" w:pos="567"/>
              </w:tabs>
              <w:suppressAutoHyphens/>
              <w:rPr>
                <w:rFonts w:eastAsia="Calibri" w:cs="Arial"/>
                <w:color w:val="000000"/>
                <w:lang w:val="pt-PT"/>
              </w:rPr>
            </w:pPr>
            <w:r w:rsidRPr="00AA3908">
              <w:rPr>
                <w:rFonts w:eastAsia="Calibri" w:cs="Arial"/>
                <w:color w:val="000000"/>
                <w:lang w:val="pt-PT"/>
              </w:rPr>
              <w:t>Tel: +</w:t>
            </w:r>
            <w:r w:rsidRPr="00AA3908">
              <w:rPr>
                <w:rFonts w:eastAsia="Times New Roman"/>
                <w:color w:val="000000"/>
                <w:szCs w:val="20"/>
                <w:lang w:val="pt-PT"/>
              </w:rPr>
              <w:t>40 213160640</w:t>
            </w:r>
          </w:p>
          <w:p w14:paraId="6CBA0F27" w14:textId="77777777" w:rsidR="00AA3908" w:rsidRPr="00AA3908" w:rsidRDefault="00AA3908" w:rsidP="00AA3908">
            <w:pPr>
              <w:tabs>
                <w:tab w:val="clear" w:pos="567"/>
              </w:tabs>
              <w:rPr>
                <w:rFonts w:eastAsia="Calibri" w:cs="Arial"/>
                <w:lang w:val="pt-PT"/>
              </w:rPr>
            </w:pPr>
          </w:p>
        </w:tc>
      </w:tr>
      <w:tr w:rsidR="00AA3908" w:rsidRPr="00AA3908" w14:paraId="03976AC3" w14:textId="77777777" w:rsidTr="00196861">
        <w:trPr>
          <w:cantSplit/>
        </w:trPr>
        <w:tc>
          <w:tcPr>
            <w:tcW w:w="4659" w:type="dxa"/>
            <w:hideMark/>
          </w:tcPr>
          <w:p w14:paraId="287175BE" w14:textId="77777777" w:rsidR="00AA3908" w:rsidRPr="00AA3908" w:rsidRDefault="00AA3908" w:rsidP="00AA3908">
            <w:pPr>
              <w:tabs>
                <w:tab w:val="clear" w:pos="567"/>
              </w:tabs>
              <w:rPr>
                <w:rFonts w:eastAsia="Calibri" w:cs="Arial"/>
                <w:color w:val="000000"/>
                <w:lang w:val="en-GB"/>
              </w:rPr>
            </w:pPr>
            <w:r w:rsidRPr="00622D93">
              <w:rPr>
                <w:rFonts w:eastAsia="Times New Roman"/>
                <w:color w:val="000000"/>
                <w:szCs w:val="20"/>
                <w:lang w:val="en-US"/>
              </w:rPr>
              <w:br w:type="page"/>
            </w:r>
            <w:r w:rsidRPr="00AA3908">
              <w:rPr>
                <w:rFonts w:eastAsia="Calibri" w:cs="Arial"/>
                <w:b/>
                <w:color w:val="000000"/>
                <w:lang w:val="en-GB"/>
              </w:rPr>
              <w:t>Ireland</w:t>
            </w:r>
          </w:p>
          <w:p w14:paraId="23BEBA50" w14:textId="77777777" w:rsidR="00AA3908" w:rsidRPr="00AA3908" w:rsidRDefault="00AA3908" w:rsidP="00AA3908">
            <w:pPr>
              <w:tabs>
                <w:tab w:val="clear" w:pos="567"/>
              </w:tabs>
              <w:rPr>
                <w:rFonts w:eastAsia="Times New Roman"/>
                <w:color w:val="000000"/>
                <w:szCs w:val="20"/>
                <w:lang w:val="en-GB"/>
              </w:rPr>
            </w:pPr>
            <w:r w:rsidRPr="00AA3908">
              <w:rPr>
                <w:rFonts w:eastAsia="Times New Roman"/>
                <w:color w:val="000000"/>
                <w:szCs w:val="20"/>
                <w:lang w:val="en-GB"/>
              </w:rPr>
              <w:t>Clonmel Healthcare Ltd.</w:t>
            </w:r>
          </w:p>
          <w:p w14:paraId="66FE630E" w14:textId="77777777" w:rsidR="00AA3908" w:rsidRPr="00AA3908" w:rsidRDefault="00AA3908" w:rsidP="00AA3908">
            <w:pPr>
              <w:tabs>
                <w:tab w:val="clear" w:pos="567"/>
              </w:tabs>
              <w:rPr>
                <w:rFonts w:eastAsia="Calibri" w:cs="Arial"/>
                <w:color w:val="000000"/>
                <w:lang w:val="en-GB"/>
              </w:rPr>
            </w:pPr>
            <w:r w:rsidRPr="00AA3908">
              <w:rPr>
                <w:rFonts w:eastAsia="Calibri" w:cs="Arial"/>
                <w:color w:val="000000"/>
                <w:lang w:val="en-GB"/>
              </w:rPr>
              <w:t xml:space="preserve">Tel: +353 </w:t>
            </w:r>
            <w:r w:rsidRPr="00AA3908">
              <w:rPr>
                <w:rFonts w:eastAsia="Times New Roman"/>
                <w:color w:val="000000"/>
                <w:szCs w:val="20"/>
                <w:lang w:val="en-GB"/>
              </w:rPr>
              <w:t>526177777</w:t>
            </w:r>
          </w:p>
          <w:p w14:paraId="482B01AD" w14:textId="77777777" w:rsidR="00AA3908" w:rsidRPr="00AA3908" w:rsidRDefault="00AA3908" w:rsidP="00AA3908">
            <w:pPr>
              <w:tabs>
                <w:tab w:val="clear" w:pos="567"/>
              </w:tabs>
              <w:rPr>
                <w:rFonts w:eastAsia="Times New Roman"/>
                <w:lang w:val="en-GB"/>
              </w:rPr>
            </w:pPr>
          </w:p>
        </w:tc>
        <w:tc>
          <w:tcPr>
            <w:tcW w:w="4747" w:type="dxa"/>
            <w:hideMark/>
          </w:tcPr>
          <w:p w14:paraId="34EC31C6" w14:textId="77777777" w:rsidR="00AA3908" w:rsidRPr="00AA3908" w:rsidRDefault="00AA3908" w:rsidP="00AA3908">
            <w:pPr>
              <w:tabs>
                <w:tab w:val="clear" w:pos="567"/>
              </w:tabs>
              <w:rPr>
                <w:rFonts w:eastAsia="Calibri" w:cs="Arial"/>
                <w:color w:val="000000"/>
                <w:lang w:val="it-IT"/>
              </w:rPr>
            </w:pPr>
            <w:r w:rsidRPr="00AA3908">
              <w:rPr>
                <w:rFonts w:eastAsia="Calibri" w:cs="Arial"/>
                <w:b/>
                <w:color w:val="000000"/>
                <w:lang w:val="it-IT"/>
              </w:rPr>
              <w:t>Slovenija</w:t>
            </w:r>
          </w:p>
          <w:p w14:paraId="643E504B" w14:textId="77777777" w:rsidR="00AA3908" w:rsidRPr="00AA3908" w:rsidRDefault="00AA3908" w:rsidP="00AA3908">
            <w:pPr>
              <w:tabs>
                <w:tab w:val="clear" w:pos="567"/>
              </w:tabs>
              <w:rPr>
                <w:rFonts w:eastAsia="Calibri" w:cs="Arial"/>
                <w:color w:val="000000"/>
                <w:lang w:val="it-IT"/>
              </w:rPr>
            </w:pPr>
            <w:r w:rsidRPr="00AA3908">
              <w:rPr>
                <w:rFonts w:eastAsia="Times New Roman"/>
                <w:color w:val="000000"/>
                <w:szCs w:val="20"/>
                <w:lang w:val="it-IT"/>
              </w:rPr>
              <w:t>Stada</w:t>
            </w:r>
            <w:r w:rsidRPr="00AA3908">
              <w:rPr>
                <w:rFonts w:eastAsia="Calibri" w:cs="Arial"/>
                <w:color w:val="000000"/>
                <w:lang w:val="it-IT"/>
              </w:rPr>
              <w:t xml:space="preserve"> d.o.o.</w:t>
            </w:r>
          </w:p>
          <w:p w14:paraId="459B4582" w14:textId="77777777" w:rsidR="00AA3908" w:rsidRPr="00AA3908" w:rsidRDefault="00AA3908" w:rsidP="00AA3908">
            <w:pPr>
              <w:tabs>
                <w:tab w:val="clear" w:pos="567"/>
              </w:tabs>
              <w:rPr>
                <w:rFonts w:eastAsia="Calibri" w:cs="Arial"/>
                <w:color w:val="000000"/>
                <w:lang w:val="pt-PT"/>
              </w:rPr>
            </w:pPr>
            <w:r w:rsidRPr="00AA3908">
              <w:rPr>
                <w:rFonts w:eastAsia="Calibri" w:cs="Arial"/>
                <w:color w:val="000000"/>
                <w:lang w:val="pt-PT"/>
              </w:rPr>
              <w:t xml:space="preserve">Tel: +386 </w:t>
            </w:r>
            <w:r w:rsidRPr="00AA3908">
              <w:rPr>
                <w:rFonts w:eastAsia="Times New Roman"/>
                <w:color w:val="000000"/>
                <w:szCs w:val="20"/>
                <w:lang w:val="pt-PT"/>
              </w:rPr>
              <w:t>15896710</w:t>
            </w:r>
          </w:p>
          <w:p w14:paraId="70C65428" w14:textId="77777777" w:rsidR="00AA3908" w:rsidRPr="00AA3908" w:rsidRDefault="00AA3908" w:rsidP="00AA3908">
            <w:pPr>
              <w:tabs>
                <w:tab w:val="clear" w:pos="567"/>
              </w:tabs>
              <w:rPr>
                <w:rFonts w:eastAsia="Times New Roman"/>
                <w:lang w:val="pt-PT"/>
              </w:rPr>
            </w:pPr>
          </w:p>
        </w:tc>
      </w:tr>
      <w:tr w:rsidR="00AA3908" w:rsidRPr="00AA3908" w14:paraId="316A1824" w14:textId="77777777" w:rsidTr="00196861">
        <w:trPr>
          <w:cantSplit/>
        </w:trPr>
        <w:tc>
          <w:tcPr>
            <w:tcW w:w="4659" w:type="dxa"/>
            <w:hideMark/>
          </w:tcPr>
          <w:p w14:paraId="62E7616D" w14:textId="77777777" w:rsidR="00AA3908" w:rsidRPr="00AA3908" w:rsidRDefault="00AA3908" w:rsidP="00AA3908">
            <w:pPr>
              <w:tabs>
                <w:tab w:val="clear" w:pos="567"/>
              </w:tabs>
              <w:rPr>
                <w:rFonts w:eastAsia="Calibri" w:cs="Arial"/>
                <w:b/>
                <w:color w:val="000000"/>
                <w:lang w:val="de-DE"/>
              </w:rPr>
            </w:pPr>
            <w:r w:rsidRPr="00AA3908">
              <w:rPr>
                <w:rFonts w:eastAsia="Calibri" w:cs="Arial"/>
                <w:b/>
                <w:color w:val="000000"/>
                <w:lang w:val="de-DE"/>
              </w:rPr>
              <w:t>Ísland</w:t>
            </w:r>
          </w:p>
          <w:p w14:paraId="61918157" w14:textId="77777777" w:rsidR="00AA3908" w:rsidRPr="00AA3908" w:rsidRDefault="00AA3908" w:rsidP="00AA3908">
            <w:pPr>
              <w:tabs>
                <w:tab w:val="clear" w:pos="567"/>
              </w:tabs>
              <w:rPr>
                <w:rFonts w:eastAsia="Times New Roman"/>
                <w:color w:val="000000"/>
                <w:szCs w:val="20"/>
                <w:lang w:val="de-DE"/>
              </w:rPr>
            </w:pPr>
            <w:r w:rsidRPr="00AA3908">
              <w:rPr>
                <w:rFonts w:eastAsia="Times New Roman"/>
                <w:color w:val="000000"/>
                <w:szCs w:val="20"/>
                <w:lang w:val="de-DE"/>
              </w:rPr>
              <w:t>STADA Arzneimittel AG</w:t>
            </w:r>
          </w:p>
          <w:p w14:paraId="261BD248" w14:textId="77777777" w:rsidR="00AA3908" w:rsidRPr="00AA3908" w:rsidRDefault="00AA3908" w:rsidP="00AA3908">
            <w:pPr>
              <w:tabs>
                <w:tab w:val="clear" w:pos="567"/>
              </w:tabs>
              <w:suppressAutoHyphens/>
              <w:rPr>
                <w:rFonts w:eastAsia="Calibri" w:cs="Arial"/>
                <w:color w:val="000000"/>
                <w:lang w:val="de-DE"/>
              </w:rPr>
            </w:pPr>
            <w:r w:rsidRPr="00AA3908">
              <w:rPr>
                <w:rFonts w:eastAsia="Calibri" w:cs="Arial"/>
                <w:color w:val="000000"/>
                <w:lang w:val="de-DE"/>
              </w:rPr>
              <w:t>Sími: +</w:t>
            </w:r>
            <w:r w:rsidRPr="00AA3908">
              <w:rPr>
                <w:rFonts w:eastAsia="Times New Roman"/>
                <w:color w:val="000000"/>
                <w:szCs w:val="20"/>
                <w:lang w:val="de-DE"/>
              </w:rPr>
              <w:t>49 61016030</w:t>
            </w:r>
          </w:p>
          <w:p w14:paraId="145EC84F" w14:textId="77777777" w:rsidR="00AA3908" w:rsidRPr="00AA3908" w:rsidRDefault="00AA3908" w:rsidP="00AA3908">
            <w:pPr>
              <w:tabs>
                <w:tab w:val="clear" w:pos="567"/>
              </w:tabs>
              <w:rPr>
                <w:rFonts w:eastAsia="Calibri" w:cs="Arial"/>
                <w:lang w:val="de-DE"/>
              </w:rPr>
            </w:pPr>
          </w:p>
        </w:tc>
        <w:tc>
          <w:tcPr>
            <w:tcW w:w="4747" w:type="dxa"/>
            <w:hideMark/>
          </w:tcPr>
          <w:p w14:paraId="1337425D" w14:textId="77777777" w:rsidR="00AA3908" w:rsidRPr="00AA3908" w:rsidRDefault="00AA3908" w:rsidP="00AA3908">
            <w:pPr>
              <w:tabs>
                <w:tab w:val="clear" w:pos="567"/>
              </w:tabs>
              <w:suppressAutoHyphens/>
              <w:rPr>
                <w:rFonts w:eastAsia="Calibri" w:cs="Arial"/>
                <w:b/>
                <w:color w:val="000000"/>
                <w:lang w:val="de-DE"/>
              </w:rPr>
            </w:pPr>
            <w:r w:rsidRPr="00AA3908">
              <w:rPr>
                <w:rFonts w:eastAsia="Calibri" w:cs="Arial"/>
                <w:b/>
                <w:color w:val="000000"/>
                <w:lang w:val="de-DE"/>
              </w:rPr>
              <w:t>Slovenská republika</w:t>
            </w:r>
          </w:p>
          <w:p w14:paraId="49F99E16" w14:textId="77777777" w:rsidR="00AA3908" w:rsidRPr="00AA3908" w:rsidRDefault="00AA3908" w:rsidP="00AA3908">
            <w:pPr>
              <w:tabs>
                <w:tab w:val="clear" w:pos="567"/>
              </w:tabs>
              <w:rPr>
                <w:rFonts w:eastAsia="Calibri" w:cs="Arial"/>
                <w:color w:val="000000"/>
                <w:lang w:val="de-DE"/>
              </w:rPr>
            </w:pPr>
            <w:r w:rsidRPr="00AA3908">
              <w:rPr>
                <w:rFonts w:eastAsia="Times New Roman"/>
                <w:color w:val="000000"/>
                <w:szCs w:val="20"/>
                <w:lang w:val="de-DE"/>
              </w:rPr>
              <w:t>STADA PHARMA</w:t>
            </w:r>
            <w:r w:rsidRPr="00AA3908">
              <w:rPr>
                <w:rFonts w:eastAsia="Calibri" w:cs="Arial"/>
                <w:color w:val="000000"/>
                <w:lang w:val="de-DE"/>
              </w:rPr>
              <w:t xml:space="preserve"> Slovakia</w:t>
            </w:r>
            <w:r w:rsidRPr="00AA3908">
              <w:rPr>
                <w:rFonts w:eastAsia="Times New Roman"/>
                <w:color w:val="000000"/>
                <w:szCs w:val="20"/>
                <w:lang w:val="de-DE"/>
              </w:rPr>
              <w:t>,</w:t>
            </w:r>
            <w:r w:rsidRPr="00AA3908">
              <w:rPr>
                <w:rFonts w:eastAsia="Calibri" w:cs="Arial"/>
                <w:color w:val="000000"/>
                <w:lang w:val="de-DE"/>
              </w:rPr>
              <w:t xml:space="preserve"> s.r.o.</w:t>
            </w:r>
          </w:p>
          <w:p w14:paraId="08328398" w14:textId="77777777" w:rsidR="00AA3908" w:rsidRPr="00AA3908" w:rsidRDefault="00AA3908" w:rsidP="00AA3908">
            <w:pPr>
              <w:tabs>
                <w:tab w:val="clear" w:pos="567"/>
              </w:tabs>
              <w:rPr>
                <w:rFonts w:eastAsia="Calibri" w:cs="Arial"/>
                <w:color w:val="000000"/>
                <w:lang w:val="en-GB"/>
              </w:rPr>
            </w:pPr>
            <w:r w:rsidRPr="00AA3908">
              <w:rPr>
                <w:rFonts w:eastAsia="Calibri" w:cs="Arial"/>
                <w:color w:val="000000"/>
                <w:lang w:val="en-GB"/>
              </w:rPr>
              <w:t xml:space="preserve">Tel: +421 </w:t>
            </w:r>
            <w:r w:rsidRPr="00AA3908">
              <w:rPr>
                <w:rFonts w:eastAsia="Times New Roman"/>
                <w:color w:val="000000"/>
                <w:szCs w:val="20"/>
                <w:lang w:val="en-GB"/>
              </w:rPr>
              <w:t>252621933</w:t>
            </w:r>
          </w:p>
          <w:p w14:paraId="14EF0A48" w14:textId="77777777" w:rsidR="00AA3908" w:rsidRPr="00AA3908" w:rsidRDefault="00AA3908" w:rsidP="00AA3908">
            <w:pPr>
              <w:tabs>
                <w:tab w:val="clear" w:pos="567"/>
              </w:tabs>
              <w:rPr>
                <w:rFonts w:eastAsia="Times New Roman"/>
                <w:lang w:val="en-GB"/>
              </w:rPr>
            </w:pPr>
          </w:p>
        </w:tc>
      </w:tr>
      <w:tr w:rsidR="00AA3908" w:rsidRPr="00AA3908" w14:paraId="7752173C" w14:textId="77777777" w:rsidTr="00196861">
        <w:trPr>
          <w:cantSplit/>
        </w:trPr>
        <w:tc>
          <w:tcPr>
            <w:tcW w:w="4659" w:type="dxa"/>
            <w:hideMark/>
          </w:tcPr>
          <w:p w14:paraId="4E2CE875" w14:textId="77777777" w:rsidR="00AA3908" w:rsidRPr="00AA3908" w:rsidRDefault="00AA3908" w:rsidP="00AA3908">
            <w:pPr>
              <w:tabs>
                <w:tab w:val="clear" w:pos="567"/>
              </w:tabs>
              <w:rPr>
                <w:rFonts w:eastAsia="Calibri" w:cs="Arial"/>
                <w:color w:val="000000"/>
                <w:lang w:val="en-GB"/>
              </w:rPr>
            </w:pPr>
            <w:r w:rsidRPr="00AA3908">
              <w:rPr>
                <w:rFonts w:eastAsia="Calibri" w:cs="Arial"/>
                <w:b/>
                <w:color w:val="000000"/>
                <w:lang w:val="en-GB"/>
              </w:rPr>
              <w:t>Italia</w:t>
            </w:r>
          </w:p>
          <w:p w14:paraId="2BDEA001" w14:textId="77777777" w:rsidR="00AA3908" w:rsidRPr="00AA3908" w:rsidRDefault="00AA3908" w:rsidP="00AA3908">
            <w:pPr>
              <w:tabs>
                <w:tab w:val="clear" w:pos="567"/>
              </w:tabs>
              <w:autoSpaceDE w:val="0"/>
              <w:autoSpaceDN w:val="0"/>
              <w:rPr>
                <w:rFonts w:eastAsia="Times New Roman"/>
                <w:bCs/>
                <w:color w:val="000000"/>
                <w:szCs w:val="20"/>
                <w:lang w:val="en-GB"/>
              </w:rPr>
            </w:pPr>
            <w:r w:rsidRPr="00AA3908">
              <w:rPr>
                <w:rFonts w:eastAsia="Times New Roman"/>
                <w:bCs/>
                <w:color w:val="000000"/>
                <w:szCs w:val="20"/>
                <w:lang w:val="en-GB"/>
              </w:rPr>
              <w:t>EG SpA</w:t>
            </w:r>
          </w:p>
          <w:p w14:paraId="16AD157E" w14:textId="77777777" w:rsidR="00AA3908" w:rsidRPr="00AA3908" w:rsidRDefault="00AA3908" w:rsidP="00AA3908">
            <w:pPr>
              <w:tabs>
                <w:tab w:val="clear" w:pos="567"/>
              </w:tabs>
              <w:rPr>
                <w:rFonts w:eastAsia="Calibri" w:cs="Arial"/>
                <w:color w:val="000000"/>
                <w:lang w:val="en-GB"/>
              </w:rPr>
            </w:pPr>
            <w:r w:rsidRPr="00AA3908">
              <w:rPr>
                <w:rFonts w:eastAsia="Calibri" w:cs="Arial"/>
                <w:color w:val="000000"/>
                <w:lang w:val="en-GB"/>
              </w:rPr>
              <w:t xml:space="preserve">Tel: +39 </w:t>
            </w:r>
            <w:r w:rsidRPr="00AA3908">
              <w:rPr>
                <w:rFonts w:eastAsia="Times New Roman"/>
                <w:bCs/>
                <w:color w:val="000000"/>
                <w:szCs w:val="20"/>
                <w:lang w:val="en-GB"/>
              </w:rPr>
              <w:t>028310371</w:t>
            </w:r>
          </w:p>
          <w:p w14:paraId="091E2F0F" w14:textId="77777777" w:rsidR="00AA3908" w:rsidRPr="00AA3908" w:rsidRDefault="00AA3908" w:rsidP="00AA3908">
            <w:pPr>
              <w:tabs>
                <w:tab w:val="clear" w:pos="567"/>
              </w:tabs>
              <w:rPr>
                <w:rFonts w:eastAsia="Calibri" w:cs="Arial"/>
                <w:lang w:val="en-GB"/>
              </w:rPr>
            </w:pPr>
          </w:p>
        </w:tc>
        <w:tc>
          <w:tcPr>
            <w:tcW w:w="4747" w:type="dxa"/>
            <w:hideMark/>
          </w:tcPr>
          <w:p w14:paraId="66001356" w14:textId="77777777" w:rsidR="00AA3908" w:rsidRPr="00AA3908" w:rsidRDefault="00AA3908" w:rsidP="00AA3908">
            <w:pPr>
              <w:tabs>
                <w:tab w:val="clear" w:pos="567"/>
              </w:tabs>
              <w:suppressAutoHyphens/>
              <w:rPr>
                <w:rFonts w:eastAsia="Calibri" w:cs="Arial"/>
                <w:color w:val="000000"/>
                <w:lang w:val="fi-FI"/>
              </w:rPr>
            </w:pPr>
            <w:r w:rsidRPr="00AA3908">
              <w:rPr>
                <w:rFonts w:eastAsia="Calibri" w:cs="Arial"/>
                <w:b/>
                <w:color w:val="000000"/>
                <w:lang w:val="fi-FI"/>
              </w:rPr>
              <w:t>Suomi/Finland</w:t>
            </w:r>
          </w:p>
          <w:p w14:paraId="2BF2AF9F" w14:textId="77777777" w:rsidR="00AA3908" w:rsidRPr="00AA3908" w:rsidRDefault="00AA3908" w:rsidP="00AA3908">
            <w:pPr>
              <w:tabs>
                <w:tab w:val="clear" w:pos="567"/>
              </w:tabs>
              <w:rPr>
                <w:rFonts w:eastAsia="Calibri" w:cs="Arial"/>
                <w:color w:val="000000"/>
                <w:lang w:val="fi-FI"/>
              </w:rPr>
            </w:pPr>
            <w:r w:rsidRPr="00AA3908">
              <w:rPr>
                <w:rFonts w:eastAsia="Times New Roman"/>
                <w:color w:val="000000"/>
                <w:szCs w:val="20"/>
                <w:lang w:val="fi-FI" w:eastAsia="da-DK"/>
              </w:rPr>
              <w:t>STADA Nordic ApS, Suomen</w:t>
            </w:r>
            <w:r w:rsidRPr="00AA3908">
              <w:rPr>
                <w:rFonts w:eastAsia="Calibri" w:cs="Arial"/>
                <w:color w:val="000000"/>
                <w:lang w:val="fi-FI"/>
              </w:rPr>
              <w:t xml:space="preserve"> sivuliike</w:t>
            </w:r>
          </w:p>
          <w:p w14:paraId="18483763" w14:textId="77777777" w:rsidR="00AA3908" w:rsidRPr="00AA3908" w:rsidRDefault="00AA3908" w:rsidP="00AA3908">
            <w:pPr>
              <w:tabs>
                <w:tab w:val="clear" w:pos="567"/>
              </w:tabs>
              <w:rPr>
                <w:rFonts w:eastAsia="Calibri" w:cs="Arial"/>
                <w:color w:val="000000"/>
                <w:lang w:val="fi-FI"/>
              </w:rPr>
            </w:pPr>
            <w:r w:rsidRPr="00AA3908">
              <w:rPr>
                <w:rFonts w:eastAsia="Calibri" w:cs="Arial"/>
                <w:color w:val="000000"/>
                <w:lang w:val="fi-FI"/>
              </w:rPr>
              <w:t xml:space="preserve">Puh/Tel: +358 </w:t>
            </w:r>
            <w:r w:rsidRPr="00AA3908">
              <w:rPr>
                <w:rFonts w:eastAsia="Times New Roman"/>
                <w:color w:val="000000"/>
                <w:szCs w:val="20"/>
                <w:lang w:val="fi-FI"/>
              </w:rPr>
              <w:t>207416888</w:t>
            </w:r>
          </w:p>
          <w:p w14:paraId="25819587" w14:textId="77777777" w:rsidR="00AA3908" w:rsidRPr="00AA3908" w:rsidRDefault="00AA3908" w:rsidP="00AA3908">
            <w:pPr>
              <w:tabs>
                <w:tab w:val="clear" w:pos="567"/>
              </w:tabs>
              <w:rPr>
                <w:rFonts w:eastAsia="Calibri" w:cs="Arial"/>
                <w:lang w:val="fi-FI"/>
              </w:rPr>
            </w:pPr>
          </w:p>
        </w:tc>
      </w:tr>
      <w:tr w:rsidR="00AA3908" w:rsidRPr="00AA3908" w14:paraId="4E5CD282" w14:textId="77777777" w:rsidTr="00196861">
        <w:trPr>
          <w:cantSplit/>
        </w:trPr>
        <w:tc>
          <w:tcPr>
            <w:tcW w:w="4659" w:type="dxa"/>
            <w:hideMark/>
          </w:tcPr>
          <w:p w14:paraId="235245AB" w14:textId="77777777" w:rsidR="00AA3908" w:rsidRPr="00AA3908" w:rsidRDefault="00AA3908" w:rsidP="00AA3908">
            <w:pPr>
              <w:tabs>
                <w:tab w:val="clear" w:pos="567"/>
              </w:tabs>
              <w:rPr>
                <w:rFonts w:eastAsia="Times New Roman"/>
                <w:b/>
                <w:color w:val="000000"/>
                <w:szCs w:val="20"/>
                <w:lang w:val="fi-FI"/>
              </w:rPr>
            </w:pPr>
            <w:r w:rsidRPr="00AA3908">
              <w:rPr>
                <w:rFonts w:eastAsia="Times New Roman"/>
                <w:b/>
                <w:color w:val="000000"/>
                <w:szCs w:val="20"/>
                <w:lang w:val="en-GB"/>
              </w:rPr>
              <w:t>Κύπρος</w:t>
            </w:r>
          </w:p>
          <w:p w14:paraId="2647881D" w14:textId="77777777" w:rsidR="00AA3908" w:rsidRPr="00AA3908" w:rsidRDefault="00AA3908" w:rsidP="00AA3908">
            <w:pPr>
              <w:tabs>
                <w:tab w:val="clear" w:pos="567"/>
              </w:tabs>
              <w:rPr>
                <w:rFonts w:eastAsia="Times New Roman"/>
                <w:color w:val="000000"/>
                <w:szCs w:val="20"/>
                <w:lang w:val="fi-FI"/>
              </w:rPr>
            </w:pPr>
            <w:r w:rsidRPr="00AA3908">
              <w:rPr>
                <w:rFonts w:eastAsia="Times New Roman"/>
                <w:color w:val="000000"/>
                <w:szCs w:val="20"/>
                <w:lang w:val="fi-FI"/>
              </w:rPr>
              <w:t>STADA Arzneimittel AG</w:t>
            </w:r>
          </w:p>
          <w:p w14:paraId="213D95F5" w14:textId="77777777" w:rsidR="00AA3908" w:rsidRPr="00AA3908" w:rsidRDefault="00AA3908" w:rsidP="00AA3908">
            <w:pPr>
              <w:tabs>
                <w:tab w:val="clear" w:pos="567"/>
              </w:tabs>
              <w:suppressAutoHyphens/>
              <w:rPr>
                <w:rFonts w:eastAsia="Calibri" w:cs="Arial"/>
                <w:color w:val="000000"/>
                <w:lang w:val="fi-FI"/>
              </w:rPr>
            </w:pPr>
            <w:r w:rsidRPr="00AA3908">
              <w:rPr>
                <w:rFonts w:eastAsia="Calibri" w:cs="Arial"/>
                <w:color w:val="000000"/>
                <w:lang w:val="en-GB"/>
              </w:rPr>
              <w:t>Τηλ</w:t>
            </w:r>
            <w:r w:rsidRPr="00AA3908">
              <w:rPr>
                <w:rFonts w:eastAsia="Calibri" w:cs="Arial"/>
                <w:color w:val="000000"/>
                <w:lang w:val="fi-FI"/>
              </w:rPr>
              <w:t>: +</w:t>
            </w:r>
            <w:r w:rsidRPr="00AA3908">
              <w:rPr>
                <w:rFonts w:eastAsia="Times New Roman"/>
                <w:color w:val="000000"/>
                <w:szCs w:val="20"/>
                <w:lang w:val="fi-FI"/>
              </w:rPr>
              <w:t>30 2106664667</w:t>
            </w:r>
          </w:p>
          <w:p w14:paraId="52AE8E2D" w14:textId="77777777" w:rsidR="00AA3908" w:rsidRPr="00AA3908" w:rsidRDefault="00AA3908" w:rsidP="00AA3908">
            <w:pPr>
              <w:tabs>
                <w:tab w:val="clear" w:pos="567"/>
              </w:tabs>
              <w:rPr>
                <w:rFonts w:eastAsia="Times New Roman"/>
                <w:lang w:val="fi-FI"/>
              </w:rPr>
            </w:pPr>
          </w:p>
        </w:tc>
        <w:tc>
          <w:tcPr>
            <w:tcW w:w="4747" w:type="dxa"/>
            <w:hideMark/>
          </w:tcPr>
          <w:p w14:paraId="0D913AB4" w14:textId="77777777" w:rsidR="00AA3908" w:rsidRPr="00AA3908" w:rsidRDefault="00AA3908" w:rsidP="00AA3908">
            <w:pPr>
              <w:tabs>
                <w:tab w:val="clear" w:pos="567"/>
              </w:tabs>
              <w:suppressAutoHyphens/>
              <w:rPr>
                <w:rFonts w:eastAsia="Calibri" w:cs="Arial"/>
                <w:b/>
                <w:color w:val="000000"/>
                <w:lang w:val="de-DE"/>
              </w:rPr>
            </w:pPr>
            <w:r w:rsidRPr="00AA3908">
              <w:rPr>
                <w:rFonts w:eastAsia="Calibri" w:cs="Arial"/>
                <w:b/>
                <w:color w:val="000000"/>
                <w:lang w:val="de-DE"/>
              </w:rPr>
              <w:t>Sverige</w:t>
            </w:r>
          </w:p>
          <w:p w14:paraId="1785C384" w14:textId="77777777" w:rsidR="00AA3908" w:rsidRPr="00AA3908" w:rsidRDefault="00AA3908" w:rsidP="00AA3908">
            <w:pPr>
              <w:tabs>
                <w:tab w:val="clear" w:pos="567"/>
              </w:tabs>
              <w:rPr>
                <w:rFonts w:eastAsia="Times New Roman"/>
                <w:color w:val="000000"/>
                <w:szCs w:val="20"/>
                <w:lang w:val="de-DE"/>
              </w:rPr>
            </w:pPr>
            <w:r w:rsidRPr="00AA3908">
              <w:rPr>
                <w:rFonts w:eastAsia="Times New Roman"/>
                <w:color w:val="000000"/>
                <w:szCs w:val="20"/>
                <w:lang w:val="de-DE"/>
              </w:rPr>
              <w:t>STADA Nordic ApS</w:t>
            </w:r>
          </w:p>
          <w:p w14:paraId="01AA544E" w14:textId="77777777" w:rsidR="00AA3908" w:rsidRPr="00AA3908" w:rsidRDefault="00AA3908" w:rsidP="00AA3908">
            <w:pPr>
              <w:tabs>
                <w:tab w:val="clear" w:pos="567"/>
              </w:tabs>
              <w:rPr>
                <w:rFonts w:eastAsia="Calibri" w:cs="Arial"/>
                <w:color w:val="000000"/>
                <w:lang w:val="de-DE"/>
              </w:rPr>
            </w:pPr>
            <w:r w:rsidRPr="00AA3908">
              <w:rPr>
                <w:rFonts w:eastAsia="Calibri" w:cs="Arial"/>
                <w:color w:val="000000"/>
                <w:lang w:val="de-DE"/>
              </w:rPr>
              <w:t>Tel: +</w:t>
            </w:r>
            <w:r w:rsidRPr="00AA3908">
              <w:rPr>
                <w:rFonts w:eastAsia="Times New Roman"/>
                <w:color w:val="000000"/>
                <w:szCs w:val="20"/>
                <w:lang w:val="de-DE"/>
              </w:rPr>
              <w:t>45 44859999</w:t>
            </w:r>
          </w:p>
          <w:p w14:paraId="7E70F465" w14:textId="77777777" w:rsidR="00AA3908" w:rsidRPr="00AA3908" w:rsidRDefault="00AA3908" w:rsidP="00AA3908">
            <w:pPr>
              <w:tabs>
                <w:tab w:val="clear" w:pos="567"/>
              </w:tabs>
              <w:rPr>
                <w:rFonts w:eastAsia="Calibri" w:cs="Arial"/>
                <w:lang w:val="de-DE"/>
              </w:rPr>
            </w:pPr>
          </w:p>
        </w:tc>
      </w:tr>
      <w:tr w:rsidR="00AA3908" w:rsidRPr="00AA3908" w14:paraId="06D08609" w14:textId="77777777" w:rsidTr="00196861">
        <w:trPr>
          <w:cantSplit/>
        </w:trPr>
        <w:tc>
          <w:tcPr>
            <w:tcW w:w="4659" w:type="dxa"/>
            <w:hideMark/>
          </w:tcPr>
          <w:p w14:paraId="5A04A85B" w14:textId="77777777" w:rsidR="00AA3908" w:rsidRPr="00AA3908" w:rsidRDefault="00AA3908" w:rsidP="00AA3908">
            <w:pPr>
              <w:tabs>
                <w:tab w:val="clear" w:pos="567"/>
              </w:tabs>
              <w:rPr>
                <w:rFonts w:eastAsia="Calibri" w:cs="Arial"/>
                <w:b/>
                <w:color w:val="000000"/>
                <w:lang w:val="en-GB"/>
              </w:rPr>
            </w:pPr>
            <w:r w:rsidRPr="00AA3908">
              <w:rPr>
                <w:rFonts w:eastAsia="Calibri" w:cs="Arial"/>
                <w:b/>
                <w:color w:val="000000"/>
                <w:lang w:val="en-GB"/>
              </w:rPr>
              <w:t>Latvija</w:t>
            </w:r>
          </w:p>
          <w:p w14:paraId="7FBB90CF" w14:textId="77777777" w:rsidR="00AA3908" w:rsidRPr="00AA3908" w:rsidRDefault="00AA3908" w:rsidP="00AA3908">
            <w:pPr>
              <w:tabs>
                <w:tab w:val="clear" w:pos="567"/>
              </w:tabs>
              <w:autoSpaceDE w:val="0"/>
              <w:autoSpaceDN w:val="0"/>
              <w:adjustRightInd w:val="0"/>
              <w:rPr>
                <w:rFonts w:eastAsia="Times New Roman"/>
                <w:color w:val="000000"/>
                <w:szCs w:val="20"/>
                <w:lang w:val="en-GB"/>
              </w:rPr>
            </w:pPr>
            <w:r w:rsidRPr="00AA3908">
              <w:rPr>
                <w:rFonts w:eastAsia="Times New Roman"/>
                <w:color w:val="000000"/>
                <w:szCs w:val="20"/>
                <w:lang w:val="en-GB"/>
              </w:rPr>
              <w:t>UAB „STADA Baltics“</w:t>
            </w:r>
          </w:p>
          <w:p w14:paraId="59AF48AA" w14:textId="77777777" w:rsidR="00AA3908" w:rsidRPr="00AA3908" w:rsidRDefault="00AA3908" w:rsidP="00AA3908">
            <w:pPr>
              <w:tabs>
                <w:tab w:val="clear" w:pos="567"/>
              </w:tabs>
              <w:autoSpaceDE w:val="0"/>
              <w:autoSpaceDN w:val="0"/>
              <w:adjustRightInd w:val="0"/>
              <w:rPr>
                <w:rFonts w:eastAsia="Calibri" w:cs="Arial"/>
                <w:color w:val="000000"/>
                <w:lang w:val="en-GB"/>
              </w:rPr>
            </w:pPr>
            <w:r w:rsidRPr="00AA3908">
              <w:rPr>
                <w:rFonts w:eastAsia="Calibri" w:cs="Arial"/>
                <w:color w:val="000000"/>
                <w:lang w:val="en-GB"/>
              </w:rPr>
              <w:t>Tel: +371</w:t>
            </w:r>
            <w:r w:rsidRPr="00AA3908">
              <w:rPr>
                <w:rFonts w:eastAsia="Times New Roman"/>
                <w:color w:val="000000"/>
                <w:szCs w:val="20"/>
                <w:lang w:val="en-GB"/>
              </w:rPr>
              <w:t xml:space="preserve"> 28016404</w:t>
            </w:r>
          </w:p>
          <w:p w14:paraId="34837827" w14:textId="77777777" w:rsidR="00AA3908" w:rsidRPr="00AA3908" w:rsidRDefault="00AA3908" w:rsidP="00AA3908">
            <w:pPr>
              <w:tabs>
                <w:tab w:val="clear" w:pos="567"/>
              </w:tabs>
              <w:rPr>
                <w:rFonts w:eastAsia="Calibri" w:cs="Arial"/>
                <w:lang w:val="en-GB"/>
              </w:rPr>
            </w:pPr>
          </w:p>
        </w:tc>
        <w:tc>
          <w:tcPr>
            <w:tcW w:w="4747" w:type="dxa"/>
            <w:hideMark/>
          </w:tcPr>
          <w:p w14:paraId="32A53434" w14:textId="77777777" w:rsidR="00AA3908" w:rsidRPr="00AA3908" w:rsidRDefault="00AA3908" w:rsidP="00AA3908">
            <w:pPr>
              <w:tabs>
                <w:tab w:val="clear" w:pos="567"/>
              </w:tabs>
              <w:suppressAutoHyphens/>
              <w:rPr>
                <w:rFonts w:eastAsia="Times New Roman"/>
                <w:lang w:val="en-GB"/>
              </w:rPr>
            </w:pPr>
          </w:p>
        </w:tc>
      </w:tr>
    </w:tbl>
    <w:p w14:paraId="2F2A39A9" w14:textId="77777777" w:rsidR="00AA3908" w:rsidRDefault="00AA3908" w:rsidP="00951F81">
      <w:pPr>
        <w:keepNext/>
        <w:tabs>
          <w:tab w:val="clear" w:pos="567"/>
        </w:tabs>
      </w:pPr>
    </w:p>
    <w:p w14:paraId="2B47125A" w14:textId="77777777" w:rsidR="00FF056B" w:rsidRDefault="00FF056B" w:rsidP="00951F81">
      <w:pPr>
        <w:keepNext/>
        <w:tabs>
          <w:tab w:val="clear" w:pos="567"/>
        </w:tabs>
        <w:rPr>
          <w:b/>
        </w:rPr>
      </w:pPr>
    </w:p>
    <w:p w14:paraId="22E4E840" w14:textId="02705A5B" w:rsidR="00951F81" w:rsidRDefault="00951F81" w:rsidP="00951F81">
      <w:pPr>
        <w:keepNext/>
        <w:tabs>
          <w:tab w:val="clear" w:pos="567"/>
        </w:tabs>
        <w:rPr>
          <w:b/>
          <w:bCs/>
        </w:rPr>
      </w:pPr>
      <w:r>
        <w:rPr>
          <w:b/>
        </w:rPr>
        <w:t>Infoleht on viimati uuendatud</w:t>
      </w:r>
    </w:p>
    <w:p w14:paraId="42AEAEE6" w14:textId="77777777" w:rsidR="00951F81" w:rsidRDefault="00951F81" w:rsidP="00951F81">
      <w:pPr>
        <w:keepNext/>
      </w:pPr>
    </w:p>
    <w:p w14:paraId="42788A9E" w14:textId="77777777" w:rsidR="00951F81" w:rsidRDefault="00951F81" w:rsidP="00951F81">
      <w:pPr>
        <w:keepNext/>
        <w:tabs>
          <w:tab w:val="clear" w:pos="567"/>
        </w:tabs>
        <w:rPr>
          <w:b/>
          <w:bCs/>
        </w:rPr>
      </w:pPr>
      <w:r>
        <w:rPr>
          <w:b/>
        </w:rPr>
        <w:t>Muud teabeallikad</w:t>
      </w:r>
    </w:p>
    <w:p w14:paraId="256A99CE" w14:textId="77777777" w:rsidR="00951F81" w:rsidRDefault="00951F81" w:rsidP="00951F81">
      <w:pPr>
        <w:keepNext/>
        <w:tabs>
          <w:tab w:val="clear" w:pos="567"/>
        </w:tabs>
      </w:pPr>
    </w:p>
    <w:p w14:paraId="059B357A" w14:textId="77777777" w:rsidR="00951F81" w:rsidRDefault="00951F81" w:rsidP="00951F81">
      <w:pPr>
        <w:tabs>
          <w:tab w:val="clear" w:pos="567"/>
        </w:tabs>
      </w:pPr>
      <w:r>
        <w:t xml:space="preserve">Täpne teave selle ravimi kohta on Euroopa Ravimiameti kodulehel </w:t>
      </w:r>
      <w:hyperlink r:id="rId18" w:history="1">
        <w:r>
          <w:rPr>
            <w:rStyle w:val="Hyperlink"/>
          </w:rPr>
          <w:t>http://www.ema.europa.eu/</w:t>
        </w:r>
      </w:hyperlink>
    </w:p>
    <w:p w14:paraId="2E5F414B" w14:textId="77777777" w:rsidR="00951F81" w:rsidRDefault="00951F81" w:rsidP="00951F81">
      <w:pPr>
        <w:tabs>
          <w:tab w:val="clear" w:pos="567"/>
        </w:tabs>
      </w:pPr>
    </w:p>
    <w:p w14:paraId="535EC175" w14:textId="0012FEEF" w:rsidR="00AA3908" w:rsidRDefault="00AA3908" w:rsidP="00AA3908">
      <w:pPr>
        <w:numPr>
          <w:ilvl w:val="12"/>
          <w:numId w:val="0"/>
        </w:numPr>
        <w:ind w:right="-2"/>
      </w:pPr>
      <w:r>
        <w:t xml:space="preserve">Selle ravimi kohta üksikasjalikku teavet, sh video süstli kasutamise kohta, saab nutitelefoniga allpool olevat või välispakendil olevat QR-koodi skaneerides. Sama teave on saadaval ka järgmisel kodulehel: </w:t>
      </w:r>
      <w:r w:rsidR="003342FA">
        <w:t>k</w:t>
      </w:r>
      <w:r>
        <w:t>efdensispatients.com</w:t>
      </w:r>
    </w:p>
    <w:p w14:paraId="7530840F" w14:textId="77777777" w:rsidR="00AA3908" w:rsidRDefault="00AA3908" w:rsidP="00AA3908">
      <w:pPr>
        <w:numPr>
          <w:ilvl w:val="12"/>
          <w:numId w:val="0"/>
        </w:numPr>
        <w:ind w:right="-2"/>
      </w:pPr>
    </w:p>
    <w:p w14:paraId="4B6AAB4D" w14:textId="77777777" w:rsidR="00AA3908" w:rsidRDefault="00AA3908" w:rsidP="00AA3908">
      <w:pPr>
        <w:numPr>
          <w:ilvl w:val="12"/>
          <w:numId w:val="0"/>
        </w:numPr>
        <w:ind w:right="-2"/>
      </w:pPr>
      <w:r w:rsidRPr="00B14CE1">
        <w:rPr>
          <w:highlight w:val="darkGray"/>
        </w:rPr>
        <w:t>Lisada tuleb QR-kood</w:t>
      </w:r>
    </w:p>
    <w:p w14:paraId="3F32B67C" w14:textId="77777777" w:rsidR="00951F81" w:rsidRDefault="00951F81" w:rsidP="00951F81">
      <w:pPr>
        <w:keepNext/>
        <w:numPr>
          <w:ilvl w:val="12"/>
          <w:numId w:val="0"/>
        </w:numPr>
        <w:ind w:left="567" w:hanging="567"/>
        <w:rPr>
          <w:rFonts w:eastAsia="MS Mincho"/>
          <w:b/>
          <w:bCs/>
        </w:rPr>
      </w:pPr>
      <w:r>
        <w:br w:type="page"/>
      </w:r>
    </w:p>
    <w:tbl>
      <w:tblPr>
        <w:tblW w:w="492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5"/>
        <w:gridCol w:w="4396"/>
      </w:tblGrid>
      <w:tr w:rsidR="00951F81" w:rsidRPr="0011121C" w14:paraId="7ABD7F62" w14:textId="77777777" w:rsidTr="00B14CE1">
        <w:trPr>
          <w:cantSplit/>
          <w:trHeight w:val="57"/>
        </w:trPr>
        <w:tc>
          <w:tcPr>
            <w:tcW w:w="5000" w:type="pct"/>
            <w:gridSpan w:val="2"/>
            <w:tcBorders>
              <w:bottom w:val="single" w:sz="4" w:space="0" w:color="auto"/>
            </w:tcBorders>
          </w:tcPr>
          <w:p w14:paraId="178F97C1" w14:textId="666E1957" w:rsidR="00951F81" w:rsidRDefault="00C57766" w:rsidP="005A10E5">
            <w:pPr>
              <w:keepNext/>
              <w:jc w:val="center"/>
            </w:pPr>
            <w:r>
              <w:t>Kasutusjuhend</w:t>
            </w:r>
            <w:r w:rsidR="00951F81">
              <w:t>:</w:t>
            </w:r>
          </w:p>
        </w:tc>
      </w:tr>
      <w:tr w:rsidR="00951F81" w:rsidRPr="0011121C" w14:paraId="135EC196" w14:textId="77777777" w:rsidTr="00B14CE1">
        <w:trPr>
          <w:cantSplit/>
          <w:trHeight w:val="57"/>
        </w:trPr>
        <w:tc>
          <w:tcPr>
            <w:tcW w:w="5000" w:type="pct"/>
            <w:gridSpan w:val="2"/>
            <w:tcBorders>
              <w:top w:val="single" w:sz="4" w:space="0" w:color="auto"/>
              <w:left w:val="nil"/>
              <w:bottom w:val="single" w:sz="4" w:space="0" w:color="auto"/>
              <w:right w:val="nil"/>
            </w:tcBorders>
          </w:tcPr>
          <w:p w14:paraId="52CCBC40" w14:textId="77777777" w:rsidR="00951F81" w:rsidRDefault="00951F81" w:rsidP="005A10E5">
            <w:pPr>
              <w:keepNext/>
              <w:jc w:val="center"/>
              <w:rPr>
                <w:bCs/>
              </w:rPr>
            </w:pPr>
          </w:p>
        </w:tc>
      </w:tr>
      <w:tr w:rsidR="00951F81" w:rsidRPr="0011121C" w14:paraId="5C7AD05F" w14:textId="77777777" w:rsidTr="00B14CE1">
        <w:trPr>
          <w:cantSplit/>
          <w:trHeight w:val="57"/>
        </w:trPr>
        <w:tc>
          <w:tcPr>
            <w:tcW w:w="5000" w:type="pct"/>
            <w:gridSpan w:val="2"/>
            <w:tcBorders>
              <w:top w:val="single" w:sz="4" w:space="0" w:color="auto"/>
            </w:tcBorders>
          </w:tcPr>
          <w:p w14:paraId="35356545" w14:textId="7569C0C7" w:rsidR="00951F81" w:rsidRDefault="0020600C" w:rsidP="005A10E5">
            <w:pPr>
              <w:keepNext/>
              <w:jc w:val="center"/>
            </w:pPr>
            <w:r>
              <w:t>Süstli o</w:t>
            </w:r>
            <w:r w:rsidR="00EE02A4">
              <w:t>sad</w:t>
            </w:r>
          </w:p>
        </w:tc>
      </w:tr>
      <w:tr w:rsidR="00951F81" w:rsidRPr="0011121C" w14:paraId="338795C3" w14:textId="77777777" w:rsidTr="00B14CE1">
        <w:trPr>
          <w:cantSplit/>
          <w:trHeight w:val="57"/>
        </w:trPr>
        <w:tc>
          <w:tcPr>
            <w:tcW w:w="2539" w:type="pct"/>
          </w:tcPr>
          <w:p w14:paraId="6E98B136" w14:textId="77777777" w:rsidR="00951F81" w:rsidRDefault="00951F81" w:rsidP="005A10E5">
            <w:pPr>
              <w:keepNext/>
              <w:jc w:val="center"/>
            </w:pPr>
            <w:r>
              <w:t>Enne kasutamist</w:t>
            </w:r>
          </w:p>
        </w:tc>
        <w:tc>
          <w:tcPr>
            <w:tcW w:w="2461" w:type="pct"/>
          </w:tcPr>
          <w:p w14:paraId="72D3699D" w14:textId="77777777" w:rsidR="00951F81" w:rsidRDefault="00951F81" w:rsidP="005A10E5">
            <w:pPr>
              <w:keepNext/>
              <w:jc w:val="center"/>
            </w:pPr>
            <w:r>
              <w:t>Pärast kasutamist</w:t>
            </w:r>
          </w:p>
        </w:tc>
      </w:tr>
    </w:tbl>
    <w:tbl>
      <w:tblPr>
        <w:tblStyle w:val="TableGrid0"/>
        <w:tblW w:w="4924" w:type="pct"/>
        <w:tblInd w:w="0" w:type="dxa"/>
        <w:tblCellMar>
          <w:top w:w="85" w:type="dxa"/>
          <w:left w:w="85" w:type="dxa"/>
          <w:bottom w:w="85" w:type="dxa"/>
          <w:right w:w="85" w:type="dxa"/>
        </w:tblCellMar>
        <w:tblLook w:val="04A0" w:firstRow="1" w:lastRow="0" w:firstColumn="1" w:lastColumn="0" w:noHBand="0" w:noVBand="1"/>
      </w:tblPr>
      <w:tblGrid>
        <w:gridCol w:w="4538"/>
        <w:gridCol w:w="4387"/>
      </w:tblGrid>
      <w:tr w:rsidR="00C57766" w14:paraId="0590A34A" w14:textId="77777777" w:rsidTr="00B14CE1">
        <w:trPr>
          <w:trHeight w:val="20"/>
        </w:trPr>
        <w:tc>
          <w:tcPr>
            <w:tcW w:w="4538" w:type="dxa"/>
            <w:tcBorders>
              <w:top w:val="single" w:sz="4" w:space="0" w:color="000000"/>
              <w:left w:val="single" w:sz="4" w:space="0" w:color="000000"/>
              <w:bottom w:val="single" w:sz="4" w:space="0" w:color="000000"/>
              <w:right w:val="single" w:sz="4" w:space="0" w:color="000000"/>
            </w:tcBorders>
          </w:tcPr>
          <w:p w14:paraId="1FAA451D" w14:textId="77777777" w:rsidR="00C57766" w:rsidRPr="00442125" w:rsidRDefault="00C57766" w:rsidP="0049086C">
            <w:pPr>
              <w:rPr>
                <w:rFonts w:cs="Times New Roman"/>
              </w:rPr>
            </w:pPr>
            <w:r w:rsidRPr="00766ADE">
              <w:rPr>
                <w:noProof/>
                <w:lang w:val="pl-PL" w:eastAsia="pl-PL"/>
              </w:rPr>
              <mc:AlternateContent>
                <mc:Choice Requires="wps">
                  <w:drawing>
                    <wp:anchor distT="45720" distB="45720" distL="114300" distR="114300" simplePos="0" relativeHeight="251674112" behindDoc="0" locked="0" layoutInCell="1" allowOverlap="1" wp14:anchorId="18D50C60" wp14:editId="40488515">
                      <wp:simplePos x="0" y="0"/>
                      <wp:positionH relativeFrom="column">
                        <wp:posOffset>1308100</wp:posOffset>
                      </wp:positionH>
                      <wp:positionV relativeFrom="paragraph">
                        <wp:posOffset>2442210</wp:posOffset>
                      </wp:positionV>
                      <wp:extent cx="1058545" cy="241300"/>
                      <wp:effectExtent l="0" t="0" r="8255" b="12700"/>
                      <wp:wrapSquare wrapText="bothSides"/>
                      <wp:docPr id="7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8545" cy="241300"/>
                              </a:xfrm>
                              <a:prstGeom prst="rect">
                                <a:avLst/>
                              </a:prstGeom>
                              <a:noFill/>
                              <a:ln w="9525">
                                <a:noFill/>
                                <a:miter lim="800000"/>
                                <a:headEnd/>
                                <a:tailEnd/>
                              </a:ln>
                            </wps:spPr>
                            <wps:txbx>
                              <w:txbxContent>
                                <w:p w14:paraId="27DAF423" w14:textId="77777777" w:rsidR="00C57766" w:rsidRPr="004B4F59" w:rsidRDefault="00C57766" w:rsidP="00C57766">
                                  <w:r w:rsidRPr="004B4F59">
                                    <w:rPr>
                                      <w:b/>
                                      <w:bCs/>
                                    </w:rPr>
                                    <w:t xml:space="preserve">Kõlblikkusaeg </w:t>
                                  </w:r>
                                  <w:r w:rsidRPr="004B4F59">
                                    <w:t>etiketil</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8D50C60" id="_x0000_t202" coordsize="21600,21600" o:spt="202" path="m,l,21600r21600,l21600,xe">
                      <v:stroke joinstyle="miter"/>
                      <v:path gradientshapeok="t" o:connecttype="rect"/>
                    </v:shapetype>
                    <v:shape id="Text Box 2" o:spid="_x0000_s1026" type="#_x0000_t202" style="position:absolute;margin-left:103pt;margin-top:192.3pt;width:83.35pt;height:19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" filled="f" stroked="f">
                      <v:textbox style="mso-fit-shape-to-text:t" inset="0,0,0,0">
                        <w:txbxContent>
                          <w:p w14:paraId="27DAF423" w14:textId="77777777" w:rsidR="00C57766" w:rsidRPr="004B4F59" w:rsidRDefault="00C57766" w:rsidP="00C57766">
                            <w:r w:rsidRPr="004B4F59">
                              <w:rPr>
                                <w:b/>
                                <w:bCs/>
                              </w:rPr>
                              <w:t xml:space="preserve">Kõlblikkusaeg </w:t>
                            </w:r>
                            <w:r w:rsidRPr="004B4F59">
                              <w:t>etiketil</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2064" behindDoc="0" locked="0" layoutInCell="1" allowOverlap="1" wp14:anchorId="39265809" wp14:editId="0F0C3035">
                      <wp:simplePos x="0" y="0"/>
                      <wp:positionH relativeFrom="column">
                        <wp:posOffset>1302385</wp:posOffset>
                      </wp:positionH>
                      <wp:positionV relativeFrom="paragraph">
                        <wp:posOffset>1007110</wp:posOffset>
                      </wp:positionV>
                      <wp:extent cx="1018540" cy="241300"/>
                      <wp:effectExtent l="0" t="0" r="10160" b="1905"/>
                      <wp:wrapSquare wrapText="bothSides"/>
                      <wp:docPr id="7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41300"/>
                              </a:xfrm>
                              <a:prstGeom prst="rect">
                                <a:avLst/>
                              </a:prstGeom>
                              <a:noFill/>
                              <a:ln w="9525">
                                <a:noFill/>
                                <a:miter lim="800000"/>
                                <a:headEnd/>
                                <a:tailEnd/>
                              </a:ln>
                            </wps:spPr>
                            <wps:txbx>
                              <w:txbxContent>
                                <w:p w14:paraId="1CF94945" w14:textId="77777777" w:rsidR="00C57766" w:rsidRPr="004B4F59" w:rsidRDefault="00C57766" w:rsidP="00C57766">
                                  <w:pPr>
                                    <w:rPr>
                                      <w:lang w:val="de-DE"/>
                                    </w:rPr>
                                  </w:pPr>
                                  <w:r w:rsidRPr="004B4F59">
                                    <w:rPr>
                                      <w:b/>
                                      <w:bCs/>
                                      <w:lang w:val="de-DE"/>
                                    </w:rPr>
                                    <w:t>Sõrme</w:t>
                                  </w:r>
                                  <w:r>
                                    <w:rPr>
                                      <w:b/>
                                      <w:bCs/>
                                      <w:lang w:val="de-DE"/>
                                    </w:rPr>
                                    <w:t>pidemed</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9265809" id="_x0000_s1027" type="#_x0000_t202" style="position:absolute;margin-left:102.55pt;margin-top:79.3pt;width:80.2pt;height:19pt;z-index:25167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" filled="f" stroked="f">
                      <v:textbox style="mso-fit-shape-to-text:t" inset="0,0,0,0">
                        <w:txbxContent>
                          <w:p w14:paraId="1CF94945" w14:textId="77777777" w:rsidR="00C57766" w:rsidRPr="004B4F59" w:rsidRDefault="00C57766" w:rsidP="00C57766">
                            <w:pPr>
                              <w:rPr>
                                <w:lang w:val="de-DE"/>
                              </w:rPr>
                            </w:pPr>
                            <w:r w:rsidRPr="004B4F59">
                              <w:rPr>
                                <w:b/>
                                <w:bCs/>
                                <w:lang w:val="de-DE"/>
                              </w:rPr>
                              <w:t>Sõrme</w:t>
                            </w:r>
                            <w:r>
                              <w:rPr>
                                <w:b/>
                                <w:bCs/>
                                <w:lang w:val="de-DE"/>
                              </w:rPr>
                              <w:t>pidemed</w:t>
                            </w:r>
                          </w:p>
                        </w:txbxContent>
                      </v:textbox>
                      <w10:wrap type="square"/>
                    </v:shape>
                  </w:pict>
                </mc:Fallback>
              </mc:AlternateContent>
            </w:r>
            <w:r w:rsidRPr="005745AE">
              <w:rPr>
                <w:noProof/>
                <w:lang w:val="pl-PL" w:eastAsia="pl-PL"/>
              </w:rPr>
              <w:drawing>
                <wp:anchor distT="0" distB="0" distL="114300" distR="114300" simplePos="0" relativeHeight="251668992" behindDoc="1" locked="0" layoutInCell="1" allowOverlap="1" wp14:anchorId="61A21A0C" wp14:editId="22CE326D">
                  <wp:simplePos x="0" y="0"/>
                  <wp:positionH relativeFrom="column">
                    <wp:posOffset>-50800</wp:posOffset>
                  </wp:positionH>
                  <wp:positionV relativeFrom="paragraph">
                    <wp:posOffset>4445</wp:posOffset>
                  </wp:positionV>
                  <wp:extent cx="1701800" cy="4166235"/>
                  <wp:effectExtent l="0" t="0" r="0" b="5715"/>
                  <wp:wrapTopAndBottom/>
                  <wp:docPr id="57086173" name="Picture 57086173" descr="A drawing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rawing of a syringe&#10;&#10;AI-generated content may be incorrect."/>
                          <pic:cNvPicPr/>
                        </pic:nvPicPr>
                        <pic:blipFill>
                          <a:blip r:embed="rId19">
                            <a:extLst>
                              <a:ext uri="{28A0092B-C50C-407E-A947-70E740481C1C}">
                                <a14:useLocalDpi xmlns:a14="http://schemas.microsoft.com/office/drawing/2010/main" val="0"/>
                              </a:ext>
                            </a:extLst>
                          </a:blip>
                          <a:srcRect l="3249"/>
                          <a:stretch>
                            <a:fillRect/>
                          </a:stretch>
                        </pic:blipFill>
                        <pic:spPr bwMode="auto">
                          <a:xfrm>
                            <a:off x="0" y="0"/>
                            <a:ext cx="1701800" cy="4166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66ADE">
              <w:rPr>
                <w:noProof/>
                <w:lang w:val="pl-PL" w:eastAsia="pl-PL"/>
              </w:rPr>
              <mc:AlternateContent>
                <mc:Choice Requires="wps">
                  <w:drawing>
                    <wp:anchor distT="45720" distB="45720" distL="114300" distR="114300" simplePos="0" relativeHeight="251675136" behindDoc="0" locked="0" layoutInCell="1" allowOverlap="1" wp14:anchorId="5B7140EF" wp14:editId="22D4F9A7">
                      <wp:simplePos x="0" y="0"/>
                      <wp:positionH relativeFrom="column">
                        <wp:posOffset>1307465</wp:posOffset>
                      </wp:positionH>
                      <wp:positionV relativeFrom="paragraph">
                        <wp:posOffset>3001010</wp:posOffset>
                      </wp:positionV>
                      <wp:extent cx="1123950" cy="241300"/>
                      <wp:effectExtent l="0" t="0" r="0" b="1905"/>
                      <wp:wrapSquare wrapText="bothSides"/>
                      <wp:docPr id="7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241300"/>
                              </a:xfrm>
                              <a:prstGeom prst="rect">
                                <a:avLst/>
                              </a:prstGeom>
                              <a:noFill/>
                              <a:ln w="9525">
                                <a:noFill/>
                                <a:miter lim="800000"/>
                                <a:headEnd/>
                                <a:tailEnd/>
                              </a:ln>
                            </wps:spPr>
                            <wps:txbx>
                              <w:txbxContent>
                                <w:p w14:paraId="21702417" w14:textId="77777777" w:rsidR="00C57766" w:rsidRPr="00EC6C6F" w:rsidRDefault="00C57766" w:rsidP="00C57766">
                                  <w:r w:rsidRPr="00EC6C6F">
                                    <w:rPr>
                                      <w:b/>
                                      <w:bCs/>
                                    </w:rPr>
                                    <w:t>Süstl</w:t>
                                  </w:r>
                                  <w:r>
                                    <w:rPr>
                                      <w:b/>
                                      <w:bCs/>
                                    </w:rPr>
                                    <w:t>i mahuti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B7140EF" id="_x0000_s1028" type="#_x0000_t202" style="position:absolute;margin-left:102.95pt;margin-top:236.3pt;width:88.5pt;height:19pt;z-index:251675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" filled="f" stroked="f">
                      <v:textbox style="mso-fit-shape-to-text:t" inset="0,0,0,0">
                        <w:txbxContent>
                          <w:p w14:paraId="21702417" w14:textId="77777777" w:rsidR="00C57766" w:rsidRPr="00EC6C6F" w:rsidRDefault="00C57766" w:rsidP="00C57766">
                            <w:r w:rsidRPr="00EC6C6F">
                              <w:rPr>
                                <w:b/>
                                <w:bCs/>
                              </w:rPr>
                              <w:t>Süstl</w:t>
                            </w:r>
                            <w:r>
                              <w:rPr>
                                <w:b/>
                                <w:bCs/>
                              </w:rPr>
                              <w:t>i mahuti</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6160" behindDoc="0" locked="0" layoutInCell="1" allowOverlap="1" wp14:anchorId="5F7A3390" wp14:editId="6E19087B">
                      <wp:simplePos x="0" y="0"/>
                      <wp:positionH relativeFrom="column">
                        <wp:posOffset>1307465</wp:posOffset>
                      </wp:positionH>
                      <wp:positionV relativeFrom="paragraph">
                        <wp:posOffset>3515360</wp:posOffset>
                      </wp:positionV>
                      <wp:extent cx="1428750" cy="241300"/>
                      <wp:effectExtent l="0" t="0" r="0" b="0"/>
                      <wp:wrapSquare wrapText="bothSides"/>
                      <wp:docPr id="7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1300"/>
                              </a:xfrm>
                              <a:prstGeom prst="rect">
                                <a:avLst/>
                              </a:prstGeom>
                              <a:noFill/>
                              <a:ln w="9525">
                                <a:noFill/>
                                <a:miter lim="800000"/>
                                <a:headEnd/>
                                <a:tailEnd/>
                              </a:ln>
                            </wps:spPr>
                            <wps:txbx>
                              <w:txbxContent>
                                <w:p w14:paraId="3FE8B25E" w14:textId="77777777" w:rsidR="00C57766" w:rsidRPr="004B4F59" w:rsidRDefault="00C57766" w:rsidP="00C57766">
                                  <w:pPr>
                                    <w:rPr>
                                      <w:b/>
                                      <w:bCs/>
                                    </w:rPr>
                                  </w:pPr>
                                  <w:r w:rsidRPr="004B4F59">
                                    <w:rPr>
                                      <w:b/>
                                      <w:bCs/>
                                    </w:rPr>
                                    <w:t>Hall nõelakork</w:t>
                                  </w:r>
                                </w:p>
                                <w:p w14:paraId="5D0F8D53" w14:textId="77777777" w:rsidR="00C57766" w:rsidRPr="004B4F59" w:rsidRDefault="00C57766" w:rsidP="00C57766">
                                  <w:r w:rsidRPr="004B4F59">
                                    <w:rPr>
                                      <w:b/>
                                      <w:bCs/>
                                    </w:rPr>
                                    <w:t xml:space="preserve">Oluline: </w:t>
                                  </w:r>
                                  <w:r w:rsidRPr="004B4F59">
                                    <w:t>hoidke hall nõelakork peal, kuni olete valmis süstima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F7A3390" id="_x0000_s1029" type="#_x0000_t202" style="position:absolute;margin-left:102.95pt;margin-top:276.8pt;width:112.5pt;height:19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" filled="f" stroked="f">
                      <v:textbox style="mso-fit-shape-to-text:t" inset="0,0,0,0">
                        <w:txbxContent>
                          <w:p w14:paraId="3FE8B25E" w14:textId="77777777" w:rsidR="00C57766" w:rsidRPr="004B4F59" w:rsidRDefault="00C57766" w:rsidP="00C57766">
                            <w:pPr>
                              <w:rPr>
                                <w:b/>
                                <w:bCs/>
                              </w:rPr>
                            </w:pPr>
                            <w:r w:rsidRPr="004B4F59">
                              <w:rPr>
                                <w:b/>
                                <w:bCs/>
                              </w:rPr>
                              <w:t>Hall nõelakork</w:t>
                            </w:r>
                          </w:p>
                          <w:p w14:paraId="5D0F8D53" w14:textId="77777777" w:rsidR="00C57766" w:rsidRPr="004B4F59" w:rsidRDefault="00C57766" w:rsidP="00C57766">
                            <w:r w:rsidRPr="004B4F59">
                              <w:rPr>
                                <w:b/>
                                <w:bCs/>
                              </w:rPr>
                              <w:t xml:space="preserve">Oluline: </w:t>
                            </w:r>
                            <w:r w:rsidRPr="004B4F59">
                              <w:t>hoidke hall nõelakork peal, kuni olete valmis süstima</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3088" behindDoc="0" locked="0" layoutInCell="1" allowOverlap="1" wp14:anchorId="51674979" wp14:editId="027A8B4A">
                      <wp:simplePos x="0" y="0"/>
                      <wp:positionH relativeFrom="column">
                        <wp:posOffset>1306830</wp:posOffset>
                      </wp:positionH>
                      <wp:positionV relativeFrom="paragraph">
                        <wp:posOffset>1884045</wp:posOffset>
                      </wp:positionV>
                      <wp:extent cx="831850" cy="241300"/>
                      <wp:effectExtent l="0" t="0" r="6350" b="12700"/>
                      <wp:wrapSquare wrapText="bothSides"/>
                      <wp:docPr id="7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241300"/>
                              </a:xfrm>
                              <a:prstGeom prst="rect">
                                <a:avLst/>
                              </a:prstGeom>
                              <a:noFill/>
                              <a:ln w="9525">
                                <a:noFill/>
                                <a:miter lim="800000"/>
                                <a:headEnd/>
                                <a:tailEnd/>
                              </a:ln>
                            </wps:spPr>
                            <wps:txbx>
                              <w:txbxContent>
                                <w:p w14:paraId="740B55FE" w14:textId="5EFEC373" w:rsidR="00C57766" w:rsidRPr="004B4F59" w:rsidRDefault="00C57766" w:rsidP="00C57766">
                                  <w:r w:rsidRPr="004B4F59">
                                    <w:rPr>
                                      <w:b/>
                                      <w:bCs/>
                                    </w:rPr>
                                    <w:t>Läbipaistev kaitsekate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1674979" id="_x0000_s1030" type="#_x0000_t202" style="position:absolute;margin-left:102.9pt;margin-top:148.35pt;width:65.5pt;height:19pt;z-index:251673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" filled="f" stroked="f">
                      <v:textbox style="mso-fit-shape-to-text:t" inset="0,0,0,0">
                        <w:txbxContent>
                          <w:p w14:paraId="740B55FE" w14:textId="5EFEC373" w:rsidR="00C57766" w:rsidRPr="004B4F59" w:rsidRDefault="00C57766" w:rsidP="00C57766">
                            <w:r w:rsidRPr="004B4F59">
                              <w:rPr>
                                <w:b/>
                                <w:bCs/>
                              </w:rPr>
                              <w:t>Läbipaistev kaitsekate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1040" behindDoc="0" locked="0" layoutInCell="1" allowOverlap="1" wp14:anchorId="323E51AD" wp14:editId="1BD031BE">
                      <wp:simplePos x="0" y="0"/>
                      <wp:positionH relativeFrom="column">
                        <wp:posOffset>1307465</wp:posOffset>
                      </wp:positionH>
                      <wp:positionV relativeFrom="paragraph">
                        <wp:posOffset>35560</wp:posOffset>
                      </wp:positionV>
                      <wp:extent cx="1384300" cy="577850"/>
                      <wp:effectExtent l="0" t="0" r="635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577850"/>
                              </a:xfrm>
                              <a:prstGeom prst="rect">
                                <a:avLst/>
                              </a:prstGeom>
                              <a:solidFill>
                                <a:srgbClr val="FFFFFF"/>
                              </a:solidFill>
                              <a:ln w="9525">
                                <a:noFill/>
                                <a:miter lim="800000"/>
                                <a:headEnd/>
                                <a:tailEnd/>
                              </a:ln>
                            </wps:spPr>
                            <wps:txbx>
                              <w:txbxContent>
                                <w:p w14:paraId="76F7A3F6" w14:textId="77777777" w:rsidR="00C57766" w:rsidRPr="004B4F59" w:rsidRDefault="00C57766" w:rsidP="00C57766">
                                  <w:pPr>
                                    <w:rPr>
                                      <w:b/>
                                      <w:bCs/>
                                    </w:rPr>
                                  </w:pPr>
                                  <w:r w:rsidRPr="004B4F59">
                                    <w:rPr>
                                      <w:b/>
                                      <w:bCs/>
                                    </w:rPr>
                                    <w:t>Kolb</w:t>
                                  </w:r>
                                </w:p>
                                <w:p w14:paraId="155A04FD" w14:textId="77777777" w:rsidR="00C57766" w:rsidRDefault="00C57766" w:rsidP="00C57766">
                                  <w:r w:rsidRPr="004B4F59">
                                    <w:rPr>
                                      <w:b/>
                                      <w:bCs/>
                                    </w:rPr>
                                    <w:t xml:space="preserve">Ärge </w:t>
                                  </w:r>
                                  <w:r>
                                    <w:t>kunagi hoidke ega tõmmake kolvi.</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323E51AD" id="_x0000_s1031" type="#_x0000_t202" style="position:absolute;margin-left:102.95pt;margin-top:2.8pt;width:109pt;height:45.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" stroked="f">
                      <v:textbox style="mso-fit-shape-to-text:t" inset="0,0,0,0">
                        <w:txbxContent>
                          <w:p w14:paraId="76F7A3F6" w14:textId="77777777" w:rsidR="00C57766" w:rsidRPr="004B4F59" w:rsidRDefault="00C57766" w:rsidP="00C57766">
                            <w:pPr>
                              <w:rPr>
                                <w:b/>
                                <w:bCs/>
                              </w:rPr>
                            </w:pPr>
                            <w:r w:rsidRPr="004B4F59">
                              <w:rPr>
                                <w:b/>
                                <w:bCs/>
                              </w:rPr>
                              <w:t>Kolb</w:t>
                            </w:r>
                          </w:p>
                          <w:p w14:paraId="155A04FD" w14:textId="77777777" w:rsidR="00C57766" w:rsidRDefault="00C57766" w:rsidP="00C57766">
                            <w:r w:rsidRPr="004B4F59">
                              <w:rPr>
                                <w:b/>
                                <w:bCs/>
                              </w:rPr>
                              <w:t xml:space="preserve">Ärge </w:t>
                            </w:r>
                            <w:r>
                              <w:t>kunagi hoidke ega tõmmake kolvi.</w:t>
                            </w:r>
                          </w:p>
                        </w:txbxContent>
                      </v:textbox>
                      <w10:wrap type="square"/>
                    </v:shape>
                  </w:pict>
                </mc:Fallback>
              </mc:AlternateContent>
            </w:r>
          </w:p>
        </w:tc>
        <w:tc>
          <w:tcPr>
            <w:tcW w:w="4387" w:type="dxa"/>
            <w:tcBorders>
              <w:top w:val="single" w:sz="4" w:space="0" w:color="000000"/>
              <w:left w:val="single" w:sz="4" w:space="0" w:color="000000"/>
              <w:bottom w:val="single" w:sz="4" w:space="0" w:color="000000"/>
              <w:right w:val="single" w:sz="4" w:space="0" w:color="000000"/>
            </w:tcBorders>
          </w:tcPr>
          <w:p w14:paraId="622A2314" w14:textId="77777777" w:rsidR="00C57766" w:rsidRPr="00FA182F" w:rsidRDefault="00C57766" w:rsidP="0049086C">
            <w:r w:rsidRPr="00766ADE">
              <w:rPr>
                <w:noProof/>
                <w:lang w:val="pl-PL" w:eastAsia="pl-PL"/>
              </w:rPr>
              <mc:AlternateContent>
                <mc:Choice Requires="wps">
                  <w:drawing>
                    <wp:anchor distT="45720" distB="45720" distL="114300" distR="114300" simplePos="0" relativeHeight="251677184" behindDoc="0" locked="0" layoutInCell="1" allowOverlap="1" wp14:anchorId="1D1112FA" wp14:editId="3311C934">
                      <wp:simplePos x="0" y="0"/>
                      <wp:positionH relativeFrom="column">
                        <wp:posOffset>1302385</wp:posOffset>
                      </wp:positionH>
                      <wp:positionV relativeFrom="paragraph">
                        <wp:posOffset>63500</wp:posOffset>
                      </wp:positionV>
                      <wp:extent cx="923925" cy="221615"/>
                      <wp:effectExtent l="0" t="0" r="9525" b="6985"/>
                      <wp:wrapSquare wrapText="bothSides"/>
                      <wp:docPr id="778693883" name="Text Box 7786938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21615"/>
                              </a:xfrm>
                              <a:prstGeom prst="rect">
                                <a:avLst/>
                              </a:prstGeom>
                              <a:noFill/>
                              <a:ln w="9525">
                                <a:noFill/>
                                <a:miter lim="800000"/>
                                <a:headEnd/>
                                <a:tailEnd/>
                              </a:ln>
                            </wps:spPr>
                            <wps:txbx>
                              <w:txbxContent>
                                <w:p w14:paraId="3479541F" w14:textId="77777777" w:rsidR="00C57766" w:rsidRPr="00812AE0" w:rsidRDefault="00C57766" w:rsidP="00C57766">
                                  <w:r w:rsidRPr="00812AE0">
                                    <w:t>Kolb lukustub</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1112FA" id="Text Box 778693883" o:spid="_x0000_s1032" type="#_x0000_t202" style="position:absolute;margin-left:102.55pt;margin-top:5pt;width:72.75pt;height:17.4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" filled="f" stroked="f">
                      <v:textbox inset="0,0,0,0">
                        <w:txbxContent>
                          <w:p w14:paraId="3479541F" w14:textId="77777777" w:rsidR="00C57766" w:rsidRPr="00812AE0" w:rsidRDefault="00C57766" w:rsidP="00C57766">
                            <w:r w:rsidRPr="00812AE0">
                              <w:t>Kolb lukustub</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9232" behindDoc="0" locked="0" layoutInCell="1" allowOverlap="1" wp14:anchorId="4C609533" wp14:editId="3048A00B">
                      <wp:simplePos x="0" y="0"/>
                      <wp:positionH relativeFrom="column">
                        <wp:posOffset>635000</wp:posOffset>
                      </wp:positionH>
                      <wp:positionV relativeFrom="paragraph">
                        <wp:posOffset>3542665</wp:posOffset>
                      </wp:positionV>
                      <wp:extent cx="923925" cy="241300"/>
                      <wp:effectExtent l="0" t="0" r="9525" b="1905"/>
                      <wp:wrapSquare wrapText="bothSides"/>
                      <wp:docPr id="551041719" name="Text Box 55104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79032B57" w14:textId="2AACA0C2" w:rsidR="00C57766" w:rsidRPr="00812AE0" w:rsidRDefault="00C57766" w:rsidP="00C57766">
                                  <w:r w:rsidRPr="00812AE0">
                                    <w:t>Nõel tõmbub läbipaistva kaitsekilbi sisse</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C609533" id="Text Box 551041719" o:spid="_x0000_s1033" type="#_x0000_t202" style="position:absolute;margin-left:50pt;margin-top:278.95pt;width:72.75pt;height:19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" filled="f" stroked="f">
                      <v:textbox style="mso-fit-shape-to-text:t" inset="0,0,0,0">
                        <w:txbxContent>
                          <w:p w14:paraId="79032B57" w14:textId="2AACA0C2" w:rsidR="00C57766" w:rsidRPr="00812AE0" w:rsidRDefault="00C57766" w:rsidP="00C57766">
                            <w:r w:rsidRPr="00812AE0">
                              <w:t>Nõel tõmbub läbipaistva kaitsekilbi sisse</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78208" behindDoc="0" locked="0" layoutInCell="1" allowOverlap="1" wp14:anchorId="6D3089A7" wp14:editId="7A1DCCB1">
                      <wp:simplePos x="0" y="0"/>
                      <wp:positionH relativeFrom="column">
                        <wp:posOffset>1387475</wp:posOffset>
                      </wp:positionH>
                      <wp:positionV relativeFrom="paragraph">
                        <wp:posOffset>680085</wp:posOffset>
                      </wp:positionV>
                      <wp:extent cx="923925" cy="241300"/>
                      <wp:effectExtent l="0" t="0" r="9525" b="1905"/>
                      <wp:wrapSquare wrapText="bothSides"/>
                      <wp:docPr id="1813810432" name="Text Box 1813810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41B9CD5C" w14:textId="77777777" w:rsidR="00C57766" w:rsidRPr="00812AE0" w:rsidRDefault="00C57766" w:rsidP="00C57766">
                                  <w:r w:rsidRPr="00812AE0">
                                    <w:t>Ohutusvedru aktiveerub</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6D3089A7" id="Text Box 1813810432" o:spid="_x0000_s1034" type="#_x0000_t202" style="position:absolute;margin-left:109.25pt;margin-top:53.55pt;width:72.75pt;height:19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" filled="f" stroked="f">
                      <v:textbox style="mso-fit-shape-to-text:t" inset="0,0,0,0">
                        <w:txbxContent>
                          <w:p w14:paraId="41B9CD5C" w14:textId="77777777" w:rsidR="00C57766" w:rsidRPr="00812AE0" w:rsidRDefault="00C57766" w:rsidP="00C57766">
                            <w:r w:rsidRPr="00812AE0">
                              <w:t>Ohutusvedru aktiveerub</w:t>
                            </w:r>
                          </w:p>
                        </w:txbxContent>
                      </v:textbox>
                      <w10:wrap type="square"/>
                    </v:shape>
                  </w:pict>
                </mc:Fallback>
              </mc:AlternateContent>
            </w:r>
            <w:r w:rsidRPr="00766ADE">
              <w:rPr>
                <w:noProof/>
                <w:lang w:val="pl-PL" w:eastAsia="pl-PL"/>
              </w:rPr>
              <w:drawing>
                <wp:anchor distT="0" distB="0" distL="114300" distR="114300" simplePos="0" relativeHeight="251670016" behindDoc="1" locked="0" layoutInCell="1" allowOverlap="1" wp14:anchorId="64429A69" wp14:editId="6A2A8E93">
                  <wp:simplePos x="0" y="0"/>
                  <wp:positionH relativeFrom="column">
                    <wp:posOffset>4445</wp:posOffset>
                  </wp:positionH>
                  <wp:positionV relativeFrom="paragraph">
                    <wp:posOffset>0</wp:posOffset>
                  </wp:positionV>
                  <wp:extent cx="1714500" cy="3517900"/>
                  <wp:effectExtent l="0" t="0" r="0" b="6350"/>
                  <wp:wrapTight wrapText="bothSides">
                    <wp:wrapPolygon edited="0">
                      <wp:start x="0" y="0"/>
                      <wp:lineTo x="0" y="21522"/>
                      <wp:lineTo x="21360" y="21522"/>
                      <wp:lineTo x="21360" y="0"/>
                      <wp:lineTo x="0" y="0"/>
                    </wp:wrapPolygon>
                  </wp:wrapTight>
                  <wp:docPr id="7465" name="Picture 7465" descr="A close-up of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 name="Picture 7465" descr="A close-up of a syringe&#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714500" cy="3517900"/>
                          </a:xfrm>
                          <a:prstGeom prst="rect">
                            <a:avLst/>
                          </a:prstGeom>
                        </pic:spPr>
                      </pic:pic>
                    </a:graphicData>
                  </a:graphic>
                  <wp14:sizeRelH relativeFrom="margin">
                    <wp14:pctWidth>0</wp14:pctWidth>
                  </wp14:sizeRelH>
                  <wp14:sizeRelV relativeFrom="margin">
                    <wp14:pctHeight>0</wp14:pctHeight>
                  </wp14:sizeRelV>
                </wp:anchor>
              </w:drawing>
            </w:r>
          </w:p>
        </w:tc>
      </w:tr>
    </w:tbl>
    <w:p w14:paraId="436AAF7E" w14:textId="77777777" w:rsidR="00951F81"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28" w:type="dxa"/>
          <w:right w:w="0" w:type="dxa"/>
        </w:tblCellMar>
        <w:tblLook w:val="04A0" w:firstRow="1" w:lastRow="0" w:firstColumn="1" w:lastColumn="0" w:noHBand="0" w:noVBand="1"/>
      </w:tblPr>
      <w:tblGrid>
        <w:gridCol w:w="559"/>
        <w:gridCol w:w="8402"/>
      </w:tblGrid>
      <w:tr w:rsidR="00951F81" w:rsidRPr="0011121C" w14:paraId="6D7AD92E" w14:textId="77777777" w:rsidTr="006172AE">
        <w:trPr>
          <w:cantSplit/>
          <w:trHeight w:val="57"/>
        </w:trPr>
        <w:tc>
          <w:tcPr>
            <w:tcW w:w="5000" w:type="pct"/>
            <w:gridSpan w:val="2"/>
            <w:tcBorders>
              <w:bottom w:val="single" w:sz="4" w:space="0" w:color="auto"/>
            </w:tcBorders>
            <w:tcMar>
              <w:top w:w="57" w:type="dxa"/>
              <w:left w:w="57" w:type="dxa"/>
              <w:bottom w:w="57" w:type="dxa"/>
              <w:right w:w="57" w:type="dxa"/>
            </w:tcMar>
          </w:tcPr>
          <w:p w14:paraId="6EDB488A" w14:textId="77777777" w:rsidR="00951F81" w:rsidRDefault="00951F81" w:rsidP="006172AE">
            <w:pPr>
              <w:keepNext/>
              <w:jc w:val="center"/>
              <w:rPr>
                <w:b/>
                <w:bCs/>
              </w:rPr>
            </w:pPr>
            <w:r>
              <w:rPr>
                <w:b/>
              </w:rPr>
              <w:t>Oluline</w:t>
            </w:r>
          </w:p>
        </w:tc>
      </w:tr>
      <w:tr w:rsidR="00951F81" w:rsidRPr="0011121C" w14:paraId="7224EC2F" w14:textId="77777777" w:rsidTr="006172AE">
        <w:trPr>
          <w:cantSplit/>
          <w:trHeight w:val="57"/>
        </w:trPr>
        <w:tc>
          <w:tcPr>
            <w:tcW w:w="5000" w:type="pct"/>
            <w:gridSpan w:val="2"/>
            <w:tcBorders>
              <w:bottom w:val="nil"/>
            </w:tcBorders>
            <w:tcMar>
              <w:top w:w="57" w:type="dxa"/>
              <w:left w:w="57" w:type="dxa"/>
              <w:bottom w:w="57" w:type="dxa"/>
              <w:right w:w="57" w:type="dxa"/>
            </w:tcMar>
          </w:tcPr>
          <w:p w14:paraId="1CEAAE14" w14:textId="52C1C4CB" w:rsidR="00951F81" w:rsidRDefault="00951F81" w:rsidP="006172AE">
            <w:pPr>
              <w:keepNext/>
              <w:tabs>
                <w:tab w:val="clear" w:pos="567"/>
              </w:tabs>
              <w:rPr>
                <w:b/>
                <w:bCs/>
              </w:rPr>
            </w:pPr>
            <w:r>
              <w:rPr>
                <w:b/>
              </w:rPr>
              <w:t xml:space="preserve">Lugege seda olulist teavet, enne kui kasutate </w:t>
            </w:r>
            <w:r w:rsidR="00974204">
              <w:rPr>
                <w:b/>
              </w:rPr>
              <w:t>Kefdensis</w:t>
            </w:r>
            <w:r>
              <w:rPr>
                <w:b/>
              </w:rPr>
              <w:t xml:space="preserve"> süstlit, millel on automaatne nõelakaitse:</w:t>
            </w:r>
          </w:p>
        </w:tc>
      </w:tr>
      <w:tr w:rsidR="00951F81" w:rsidRPr="0011121C" w14:paraId="3B0AA0A4" w14:textId="77777777" w:rsidTr="006172AE">
        <w:trPr>
          <w:cantSplit/>
          <w:trHeight w:val="57"/>
        </w:trPr>
        <w:tc>
          <w:tcPr>
            <w:tcW w:w="312" w:type="pct"/>
            <w:tcBorders>
              <w:top w:val="nil"/>
              <w:bottom w:val="nil"/>
              <w:right w:val="nil"/>
            </w:tcBorders>
          </w:tcPr>
          <w:p w14:paraId="0D85CCC0" w14:textId="77777777" w:rsidR="00951F81" w:rsidRDefault="00951F81" w:rsidP="006172AE">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610C9706" w14:textId="77777777" w:rsidR="00951F81" w:rsidRDefault="00951F81" w:rsidP="006172AE">
            <w:pPr>
              <w:keepNext/>
            </w:pPr>
            <w:r>
              <w:t>On oluline, et te ei proovi süstimist või ei süsti endale enne, kui arst või tervishoiutöötaja on teid koolitanud.</w:t>
            </w:r>
          </w:p>
        </w:tc>
      </w:tr>
      <w:tr w:rsidR="00951F81" w:rsidRPr="0011121C" w14:paraId="3EF8A9E8" w14:textId="77777777" w:rsidTr="006172AE">
        <w:trPr>
          <w:cantSplit/>
          <w:trHeight w:val="57"/>
        </w:trPr>
        <w:tc>
          <w:tcPr>
            <w:tcW w:w="312" w:type="pct"/>
            <w:tcBorders>
              <w:top w:val="nil"/>
              <w:bottom w:val="nil"/>
              <w:right w:val="nil"/>
            </w:tcBorders>
          </w:tcPr>
          <w:p w14:paraId="21C176CA" w14:textId="77777777" w:rsidR="00951F81" w:rsidRDefault="00951F81" w:rsidP="006172AE">
            <w:pPr>
              <w:keepNext/>
              <w:numPr>
                <w:ilvl w:val="0"/>
                <w:numId w:val="54"/>
              </w:numPr>
              <w:tabs>
                <w:tab w:val="clear" w:pos="567"/>
              </w:tabs>
              <w:ind w:left="567" w:hanging="567"/>
            </w:pPr>
          </w:p>
        </w:tc>
        <w:tc>
          <w:tcPr>
            <w:tcW w:w="4688" w:type="pct"/>
            <w:tcBorders>
              <w:top w:val="nil"/>
              <w:left w:val="nil"/>
              <w:bottom w:val="nil"/>
            </w:tcBorders>
            <w:tcMar>
              <w:top w:w="57" w:type="dxa"/>
              <w:left w:w="0" w:type="dxa"/>
              <w:bottom w:w="57" w:type="dxa"/>
              <w:right w:w="57" w:type="dxa"/>
            </w:tcMar>
          </w:tcPr>
          <w:p w14:paraId="15F6FA9A" w14:textId="6EA77251" w:rsidR="00951F81" w:rsidRDefault="00974204" w:rsidP="006172AE">
            <w:pPr>
              <w:keepNext/>
            </w:pPr>
            <w:r>
              <w:t>Kefdensis</w:t>
            </w:r>
            <w:r w:rsidR="00951F81">
              <w:t>’t süstitakse nahaalusesse koesse (subkutaanne süst).</w:t>
            </w:r>
          </w:p>
        </w:tc>
      </w:tr>
      <w:tr w:rsidR="00951F81" w:rsidRPr="0011121C" w14:paraId="227D8752" w14:textId="77777777" w:rsidTr="006172AE">
        <w:trPr>
          <w:cantSplit/>
          <w:trHeight w:val="57"/>
        </w:trPr>
        <w:tc>
          <w:tcPr>
            <w:tcW w:w="312" w:type="pct"/>
            <w:tcBorders>
              <w:top w:val="nil"/>
              <w:bottom w:val="nil"/>
              <w:right w:val="nil"/>
            </w:tcBorders>
          </w:tcPr>
          <w:p w14:paraId="649AF974" w14:textId="52A489EF" w:rsidR="00951F81" w:rsidRDefault="008657CD" w:rsidP="006172AE">
            <w:pPr>
              <w:keepNext/>
            </w:pPr>
            <w:r>
              <w:rPr>
                <w:noProof/>
              </w:rPr>
              <w:drawing>
                <wp:anchor distT="0" distB="0" distL="114300" distR="114300" simplePos="0" relativeHeight="251650560" behindDoc="0" locked="0" layoutInCell="1" allowOverlap="1" wp14:anchorId="12A964DF" wp14:editId="2BB17A10">
                  <wp:simplePos x="0" y="0"/>
                  <wp:positionH relativeFrom="column">
                    <wp:posOffset>14605</wp:posOffset>
                  </wp:positionH>
                  <wp:positionV relativeFrom="paragraph">
                    <wp:posOffset>22225</wp:posOffset>
                  </wp:positionV>
                  <wp:extent cx="119380" cy="119380"/>
                  <wp:effectExtent l="0" t="0" r="0" b="0"/>
                  <wp:wrapNone/>
                  <wp:docPr id="39"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860BE9E" w14:textId="77777777" w:rsidR="00951F81" w:rsidRDefault="00951F81" w:rsidP="006172AE">
            <w:pPr>
              <w:keepNext/>
            </w:pPr>
            <w:r>
              <w:rPr>
                <w:b/>
              </w:rPr>
              <w:t>Ärge</w:t>
            </w:r>
            <w:r>
              <w:t xml:space="preserve"> eemaldage halli nõelakatet süstlilt enne, kui olete süstimiseks valmis.</w:t>
            </w:r>
          </w:p>
        </w:tc>
      </w:tr>
      <w:tr w:rsidR="00951F81" w:rsidRPr="0011121C" w14:paraId="59B2E5C6" w14:textId="77777777" w:rsidTr="006172AE">
        <w:trPr>
          <w:cantSplit/>
          <w:trHeight w:val="57"/>
        </w:trPr>
        <w:tc>
          <w:tcPr>
            <w:tcW w:w="312" w:type="pct"/>
            <w:tcBorders>
              <w:top w:val="nil"/>
              <w:bottom w:val="nil"/>
              <w:right w:val="nil"/>
            </w:tcBorders>
          </w:tcPr>
          <w:p w14:paraId="44BD190C" w14:textId="47CE41CE" w:rsidR="00951F81" w:rsidRDefault="008657CD" w:rsidP="006172AE">
            <w:pPr>
              <w:keepNext/>
            </w:pPr>
            <w:r>
              <w:rPr>
                <w:noProof/>
              </w:rPr>
              <w:drawing>
                <wp:anchor distT="0" distB="0" distL="114300" distR="114300" simplePos="0" relativeHeight="251651584" behindDoc="0" locked="0" layoutInCell="1" allowOverlap="1" wp14:anchorId="078F8C1E" wp14:editId="0A285194">
                  <wp:simplePos x="0" y="0"/>
                  <wp:positionH relativeFrom="column">
                    <wp:posOffset>14605</wp:posOffset>
                  </wp:positionH>
                  <wp:positionV relativeFrom="paragraph">
                    <wp:posOffset>22225</wp:posOffset>
                  </wp:positionV>
                  <wp:extent cx="119380" cy="119380"/>
                  <wp:effectExtent l="0" t="0" r="0" b="0"/>
                  <wp:wrapNone/>
                  <wp:docPr id="40"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576CD68" w14:textId="77777777" w:rsidR="00951F81" w:rsidRDefault="00951F81" w:rsidP="006172AE">
            <w:pPr>
              <w:keepNext/>
            </w:pPr>
            <w:r>
              <w:rPr>
                <w:b/>
              </w:rPr>
              <w:t>Ärge</w:t>
            </w:r>
            <w:r>
              <w:t xml:space="preserve"> kasutage süstlit pärast selle kukkumist kõvale pinnale. Kasutage uut süstlit ja võtke ühendust oma arsti või tervishoiutöötajaga.</w:t>
            </w:r>
          </w:p>
        </w:tc>
      </w:tr>
      <w:tr w:rsidR="00951F81" w:rsidRPr="0011121C" w14:paraId="0E211701" w14:textId="77777777" w:rsidTr="006172AE">
        <w:trPr>
          <w:cantSplit/>
          <w:trHeight w:val="57"/>
        </w:trPr>
        <w:tc>
          <w:tcPr>
            <w:tcW w:w="312" w:type="pct"/>
            <w:tcBorders>
              <w:top w:val="nil"/>
              <w:bottom w:val="nil"/>
              <w:right w:val="nil"/>
            </w:tcBorders>
          </w:tcPr>
          <w:p w14:paraId="3F25B259" w14:textId="1BDFF177" w:rsidR="00951F81" w:rsidRDefault="008657CD" w:rsidP="006172AE">
            <w:pPr>
              <w:keepNext/>
            </w:pPr>
            <w:r>
              <w:rPr>
                <w:noProof/>
              </w:rPr>
              <w:drawing>
                <wp:anchor distT="0" distB="0" distL="114300" distR="114300" simplePos="0" relativeHeight="251652608" behindDoc="0" locked="0" layoutInCell="1" allowOverlap="1" wp14:anchorId="28FF0ADB" wp14:editId="4F196261">
                  <wp:simplePos x="0" y="0"/>
                  <wp:positionH relativeFrom="column">
                    <wp:posOffset>14605</wp:posOffset>
                  </wp:positionH>
                  <wp:positionV relativeFrom="paragraph">
                    <wp:posOffset>22225</wp:posOffset>
                  </wp:positionV>
                  <wp:extent cx="119380" cy="119380"/>
                  <wp:effectExtent l="0" t="0" r="0" b="0"/>
                  <wp:wrapNone/>
                  <wp:docPr id="41"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2437DCDF" w14:textId="77777777" w:rsidR="00951F81" w:rsidRDefault="00951F81" w:rsidP="006172AE">
            <w:pPr>
              <w:keepNext/>
            </w:pPr>
            <w:r>
              <w:rPr>
                <w:b/>
              </w:rPr>
              <w:t>Ärge</w:t>
            </w:r>
            <w:r>
              <w:t xml:space="preserve"> üritage aktiveerida süstlit enne süstimist.</w:t>
            </w:r>
          </w:p>
        </w:tc>
      </w:tr>
      <w:tr w:rsidR="00951F81" w:rsidRPr="0011121C" w14:paraId="14D369E8" w14:textId="77777777" w:rsidTr="006172AE">
        <w:trPr>
          <w:cantSplit/>
          <w:trHeight w:val="57"/>
        </w:trPr>
        <w:tc>
          <w:tcPr>
            <w:tcW w:w="312" w:type="pct"/>
            <w:tcBorders>
              <w:top w:val="nil"/>
              <w:bottom w:val="nil"/>
              <w:right w:val="nil"/>
            </w:tcBorders>
          </w:tcPr>
          <w:p w14:paraId="267C397D" w14:textId="6F0C040F" w:rsidR="00951F81" w:rsidRDefault="008657CD" w:rsidP="006172AE">
            <w:pPr>
              <w:keepNext/>
            </w:pPr>
            <w:r>
              <w:rPr>
                <w:noProof/>
              </w:rPr>
              <w:drawing>
                <wp:anchor distT="0" distB="0" distL="114300" distR="114300" simplePos="0" relativeHeight="251653632" behindDoc="0" locked="0" layoutInCell="1" allowOverlap="1" wp14:anchorId="5B5030A0" wp14:editId="30EF7FF1">
                  <wp:simplePos x="0" y="0"/>
                  <wp:positionH relativeFrom="column">
                    <wp:posOffset>14605</wp:posOffset>
                  </wp:positionH>
                  <wp:positionV relativeFrom="paragraph">
                    <wp:posOffset>22225</wp:posOffset>
                  </wp:positionV>
                  <wp:extent cx="119380" cy="119380"/>
                  <wp:effectExtent l="0" t="0" r="0" b="0"/>
                  <wp:wrapNone/>
                  <wp:docPr id="42"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88" w:type="pct"/>
            <w:tcBorders>
              <w:top w:val="nil"/>
              <w:left w:val="nil"/>
              <w:bottom w:val="nil"/>
            </w:tcBorders>
            <w:tcMar>
              <w:top w:w="57" w:type="dxa"/>
              <w:left w:w="0" w:type="dxa"/>
              <w:bottom w:w="57" w:type="dxa"/>
              <w:right w:w="57" w:type="dxa"/>
            </w:tcMar>
          </w:tcPr>
          <w:p w14:paraId="06B625C3" w14:textId="77777777" w:rsidR="00951F81" w:rsidRDefault="00951F81" w:rsidP="006172AE">
            <w:pPr>
              <w:keepNext/>
            </w:pPr>
            <w:r>
              <w:rPr>
                <w:b/>
              </w:rPr>
              <w:t>Ärge</w:t>
            </w:r>
            <w:r>
              <w:t xml:space="preserve"> üritage eemaldada läbipaistvat nõelakaitset süstlilt.</w:t>
            </w:r>
          </w:p>
        </w:tc>
      </w:tr>
      <w:tr w:rsidR="00951F81" w:rsidRPr="0011121C" w14:paraId="4E521C1A" w14:textId="77777777" w:rsidTr="006172AE">
        <w:trPr>
          <w:cantSplit/>
          <w:trHeight w:val="57"/>
        </w:trPr>
        <w:tc>
          <w:tcPr>
            <w:tcW w:w="5000" w:type="pct"/>
            <w:gridSpan w:val="2"/>
            <w:tcBorders>
              <w:top w:val="nil"/>
            </w:tcBorders>
            <w:tcMar>
              <w:top w:w="57" w:type="dxa"/>
              <w:left w:w="57" w:type="dxa"/>
              <w:bottom w:w="57" w:type="dxa"/>
              <w:right w:w="57" w:type="dxa"/>
            </w:tcMar>
          </w:tcPr>
          <w:p w14:paraId="0D92A860" w14:textId="77777777" w:rsidR="00951F81" w:rsidRDefault="00951F81" w:rsidP="006172AE">
            <w:pPr>
              <w:keepNext/>
            </w:pPr>
            <w:r>
              <w:t>Küsimuste korral võtke ühendust oma arsti või raviasutusega.</w:t>
            </w:r>
          </w:p>
        </w:tc>
      </w:tr>
    </w:tbl>
    <w:p w14:paraId="3F0CF83F" w14:textId="77777777" w:rsidR="00951F81" w:rsidRDefault="00951F81" w:rsidP="00951F81">
      <w:pPr>
        <w:keepNext/>
      </w:pPr>
    </w:p>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9"/>
        <w:gridCol w:w="21"/>
        <w:gridCol w:w="8389"/>
      </w:tblGrid>
      <w:tr w:rsidR="00951F81" w:rsidRPr="0011121C" w14:paraId="5EBABD46" w14:textId="77777777" w:rsidTr="006172AE">
        <w:trPr>
          <w:cantSplit/>
          <w:trHeight w:val="57"/>
        </w:trPr>
        <w:tc>
          <w:tcPr>
            <w:tcW w:w="5000" w:type="pct"/>
            <w:gridSpan w:val="3"/>
            <w:tcBorders>
              <w:top w:val="single" w:sz="4" w:space="0" w:color="auto"/>
            </w:tcBorders>
            <w:tcMar>
              <w:top w:w="28" w:type="dxa"/>
              <w:left w:w="57" w:type="dxa"/>
              <w:bottom w:w="28" w:type="dxa"/>
              <w:right w:w="57" w:type="dxa"/>
            </w:tcMar>
          </w:tcPr>
          <w:p w14:paraId="6F9C6AD1" w14:textId="53AB319C" w:rsidR="00951F81" w:rsidRDefault="00951F81" w:rsidP="005A10E5">
            <w:pPr>
              <w:keepNext/>
              <w:jc w:val="center"/>
            </w:pPr>
            <w:r>
              <w:t xml:space="preserve">Samm 1. </w:t>
            </w:r>
            <w:r w:rsidR="006D598F">
              <w:rPr>
                <w:b/>
              </w:rPr>
              <w:t>Ettevalmistus</w:t>
            </w:r>
          </w:p>
        </w:tc>
      </w:tr>
      <w:tr w:rsidR="00951F81" w:rsidRPr="0011121C" w14:paraId="77616E2E" w14:textId="77777777" w:rsidTr="006172AE">
        <w:trPr>
          <w:cantSplit/>
          <w:trHeight w:val="57"/>
        </w:trPr>
        <w:tc>
          <w:tcPr>
            <w:tcW w:w="313" w:type="pct"/>
            <w:gridSpan w:val="2"/>
            <w:tcBorders>
              <w:bottom w:val="single" w:sz="4" w:space="0" w:color="auto"/>
            </w:tcBorders>
            <w:tcMar>
              <w:top w:w="28" w:type="dxa"/>
              <w:left w:w="57" w:type="dxa"/>
              <w:bottom w:w="28" w:type="dxa"/>
              <w:right w:w="57" w:type="dxa"/>
            </w:tcMar>
          </w:tcPr>
          <w:p w14:paraId="3CFC0F41" w14:textId="77777777" w:rsidR="00951F81" w:rsidRDefault="00951F81" w:rsidP="005A10E5">
            <w:pPr>
              <w:keepNext/>
            </w:pPr>
            <w:r>
              <w:t>A</w:t>
            </w:r>
          </w:p>
        </w:tc>
        <w:tc>
          <w:tcPr>
            <w:tcW w:w="4687" w:type="pct"/>
            <w:tcBorders>
              <w:bottom w:val="single" w:sz="4" w:space="0" w:color="auto"/>
            </w:tcBorders>
            <w:tcMar>
              <w:top w:w="28" w:type="dxa"/>
              <w:left w:w="57" w:type="dxa"/>
              <w:bottom w:w="28" w:type="dxa"/>
              <w:right w:w="57" w:type="dxa"/>
            </w:tcMar>
          </w:tcPr>
          <w:p w14:paraId="2CE20EE0" w14:textId="77777777" w:rsidR="00951F81" w:rsidRDefault="00951F81" w:rsidP="005A10E5">
            <w:pPr>
              <w:keepNext/>
            </w:pPr>
            <w:r>
              <w:t>Võtke süstel pakendist välja ja pange valmis süstimiseks vajalikud tarvikud: alkoholilapid, vatipadjake või marlilapp, plaaster ja mahuti teravate esemete ära viskamiseks (ei sisaldu pakendis).</w:t>
            </w:r>
          </w:p>
        </w:tc>
      </w:tr>
      <w:tr w:rsidR="00951F81" w:rsidRPr="0011121C" w14:paraId="28B91DBF" w14:textId="77777777" w:rsidTr="006172AE">
        <w:trPr>
          <w:cantSplit/>
          <w:trHeight w:val="57"/>
        </w:trPr>
        <w:tc>
          <w:tcPr>
            <w:tcW w:w="5000" w:type="pct"/>
            <w:gridSpan w:val="3"/>
            <w:tcBorders>
              <w:bottom w:val="nil"/>
            </w:tcBorders>
            <w:tcMar>
              <w:top w:w="28" w:type="dxa"/>
              <w:left w:w="57" w:type="dxa"/>
              <w:bottom w:w="28" w:type="dxa"/>
              <w:right w:w="57" w:type="dxa"/>
            </w:tcMar>
          </w:tcPr>
          <w:p w14:paraId="6FCCCD80" w14:textId="77777777" w:rsidR="00951F81" w:rsidRDefault="00951F81" w:rsidP="005A10E5">
            <w:pPr>
              <w:keepNext/>
            </w:pPr>
            <w:r>
              <w:t>Hoidke süstlit enne süstimist ligikaudu 30 minutit toatemperatuuril, et süstimine oleks mugavam. Peske hoolikalt käsi seebi ja veega.</w:t>
            </w:r>
          </w:p>
          <w:p w14:paraId="1EF48BD5" w14:textId="77777777" w:rsidR="00951F81" w:rsidRDefault="00951F81" w:rsidP="005A10E5">
            <w:pPr>
              <w:keepNext/>
            </w:pPr>
          </w:p>
          <w:p w14:paraId="26A52640" w14:textId="77777777" w:rsidR="00951F81" w:rsidRDefault="00951F81" w:rsidP="005A10E5">
            <w:pPr>
              <w:keepNext/>
            </w:pPr>
            <w:r>
              <w:t>Asetage uus süstel ja muu vajalik puhtale, hästivalgustatud tööpinnale.</w:t>
            </w:r>
          </w:p>
        </w:tc>
      </w:tr>
      <w:tr w:rsidR="00951F81" w:rsidRPr="0011121C" w14:paraId="336304D2"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60B70093" w14:textId="0031143B" w:rsidR="00951F81" w:rsidRDefault="008657CD" w:rsidP="005A10E5">
            <w:pPr>
              <w:keepNext/>
              <w:suppressAutoHyphens/>
              <w:autoSpaceDE w:val="0"/>
              <w:autoSpaceDN w:val="0"/>
              <w:adjustRightInd w:val="0"/>
              <w:textAlignment w:val="center"/>
            </w:pPr>
            <w:r>
              <w:rPr>
                <w:noProof/>
              </w:rPr>
              <w:drawing>
                <wp:anchor distT="0" distB="0" distL="114300" distR="114300" simplePos="0" relativeHeight="251654656" behindDoc="0" locked="0" layoutInCell="1" allowOverlap="1" wp14:anchorId="2E664564" wp14:editId="764CED1B">
                  <wp:simplePos x="0" y="0"/>
                  <wp:positionH relativeFrom="column">
                    <wp:posOffset>14605</wp:posOffset>
                  </wp:positionH>
                  <wp:positionV relativeFrom="paragraph">
                    <wp:posOffset>22225</wp:posOffset>
                  </wp:positionV>
                  <wp:extent cx="119380" cy="119380"/>
                  <wp:effectExtent l="0" t="0" r="0" b="0"/>
                  <wp:wrapNone/>
                  <wp:docPr id="43"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79DFF96" w14:textId="77777777" w:rsidR="00951F81" w:rsidRDefault="00951F81" w:rsidP="005A10E5">
            <w:pPr>
              <w:keepNext/>
            </w:pPr>
            <w:r>
              <w:rPr>
                <w:b/>
              </w:rPr>
              <w:t>Ärge</w:t>
            </w:r>
            <w:r>
              <w:t xml:space="preserve"> üritage süstlit soojendada kuumas vees või mikrolaineahjus.</w:t>
            </w:r>
          </w:p>
        </w:tc>
      </w:tr>
      <w:tr w:rsidR="00951F81" w:rsidRPr="0011121C" w14:paraId="510DDCD5"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78BCB245" w14:textId="42F93CF3" w:rsidR="00951F81" w:rsidRDefault="008657CD" w:rsidP="005A10E5">
            <w:pPr>
              <w:keepNext/>
              <w:suppressAutoHyphens/>
              <w:autoSpaceDE w:val="0"/>
              <w:autoSpaceDN w:val="0"/>
              <w:adjustRightInd w:val="0"/>
              <w:textAlignment w:val="center"/>
            </w:pPr>
            <w:r>
              <w:rPr>
                <w:noProof/>
              </w:rPr>
              <w:drawing>
                <wp:anchor distT="0" distB="0" distL="114300" distR="114300" simplePos="0" relativeHeight="251655680" behindDoc="0" locked="0" layoutInCell="1" allowOverlap="1" wp14:anchorId="2480C9F2" wp14:editId="52F603B6">
                  <wp:simplePos x="0" y="0"/>
                  <wp:positionH relativeFrom="column">
                    <wp:posOffset>14605</wp:posOffset>
                  </wp:positionH>
                  <wp:positionV relativeFrom="paragraph">
                    <wp:posOffset>22225</wp:posOffset>
                  </wp:positionV>
                  <wp:extent cx="119380" cy="119380"/>
                  <wp:effectExtent l="0" t="0" r="0" b="0"/>
                  <wp:wrapNone/>
                  <wp:docPr id="44"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7A0FF3EE" w14:textId="77777777" w:rsidR="00951F81" w:rsidRDefault="00951F81" w:rsidP="005A10E5">
            <w:pPr>
              <w:keepNext/>
            </w:pPr>
            <w:r>
              <w:rPr>
                <w:b/>
              </w:rPr>
              <w:t>Ärge</w:t>
            </w:r>
            <w:r>
              <w:t xml:space="preserve"> jätke süstlit otsese päikesevalguse kätte.</w:t>
            </w:r>
          </w:p>
        </w:tc>
      </w:tr>
      <w:tr w:rsidR="00951F81" w:rsidRPr="0011121C" w14:paraId="50C51571" w14:textId="77777777" w:rsidTr="006172AE">
        <w:trPr>
          <w:cantSplit/>
          <w:trHeight w:val="57"/>
        </w:trPr>
        <w:tc>
          <w:tcPr>
            <w:tcW w:w="301" w:type="pct"/>
            <w:tcBorders>
              <w:top w:val="nil"/>
              <w:bottom w:val="nil"/>
              <w:right w:val="nil"/>
            </w:tcBorders>
            <w:tcMar>
              <w:top w:w="28" w:type="dxa"/>
              <w:left w:w="57" w:type="dxa"/>
              <w:bottom w:w="28" w:type="dxa"/>
              <w:right w:w="57" w:type="dxa"/>
            </w:tcMar>
          </w:tcPr>
          <w:p w14:paraId="1BDDBC76" w14:textId="4E48D019" w:rsidR="00951F81" w:rsidRDefault="008657CD" w:rsidP="005A10E5">
            <w:pPr>
              <w:keepNext/>
              <w:suppressAutoHyphens/>
              <w:autoSpaceDE w:val="0"/>
              <w:autoSpaceDN w:val="0"/>
              <w:adjustRightInd w:val="0"/>
              <w:textAlignment w:val="center"/>
            </w:pPr>
            <w:r>
              <w:rPr>
                <w:noProof/>
              </w:rPr>
              <w:drawing>
                <wp:anchor distT="0" distB="0" distL="114300" distR="114300" simplePos="0" relativeHeight="251656704" behindDoc="0" locked="0" layoutInCell="1" allowOverlap="1" wp14:anchorId="7BD020BA" wp14:editId="6159D4E2">
                  <wp:simplePos x="0" y="0"/>
                  <wp:positionH relativeFrom="column">
                    <wp:posOffset>14605</wp:posOffset>
                  </wp:positionH>
                  <wp:positionV relativeFrom="paragraph">
                    <wp:posOffset>22225</wp:posOffset>
                  </wp:positionV>
                  <wp:extent cx="119380" cy="119380"/>
                  <wp:effectExtent l="0" t="0" r="0" b="0"/>
                  <wp:wrapNone/>
                  <wp:docPr id="45"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2493AF9E" w14:textId="77777777" w:rsidR="00951F81" w:rsidRDefault="00951F81" w:rsidP="005A10E5">
            <w:pPr>
              <w:keepNext/>
            </w:pPr>
            <w:r>
              <w:rPr>
                <w:b/>
              </w:rPr>
              <w:t>Ärge</w:t>
            </w:r>
            <w:r>
              <w:t xml:space="preserve"> raputage süstlit.</w:t>
            </w:r>
          </w:p>
        </w:tc>
      </w:tr>
      <w:tr w:rsidR="00951F81" w:rsidRPr="0011121C" w14:paraId="0FB959D1" w14:textId="77777777" w:rsidTr="006172AE">
        <w:trPr>
          <w:cantSplit/>
          <w:trHeight w:val="57"/>
        </w:trPr>
        <w:tc>
          <w:tcPr>
            <w:tcW w:w="301" w:type="pct"/>
            <w:tcBorders>
              <w:top w:val="nil"/>
              <w:bottom w:val="single" w:sz="4" w:space="0" w:color="auto"/>
              <w:right w:val="nil"/>
            </w:tcBorders>
            <w:tcMar>
              <w:top w:w="28" w:type="dxa"/>
              <w:left w:w="57" w:type="dxa"/>
              <w:bottom w:w="28" w:type="dxa"/>
              <w:right w:w="57" w:type="dxa"/>
            </w:tcMar>
          </w:tcPr>
          <w:p w14:paraId="33D4701C" w14:textId="77777777" w:rsidR="00951F81" w:rsidRDefault="00951F81" w:rsidP="005A10E5">
            <w:pPr>
              <w:keepNext/>
              <w:numPr>
                <w:ilvl w:val="0"/>
                <w:numId w:val="54"/>
              </w:numPr>
              <w:tabs>
                <w:tab w:val="clear" w:pos="567"/>
              </w:tabs>
              <w:ind w:left="567" w:hanging="567"/>
            </w:pPr>
          </w:p>
        </w:tc>
        <w:tc>
          <w:tcPr>
            <w:tcW w:w="4699" w:type="pct"/>
            <w:gridSpan w:val="2"/>
            <w:tcBorders>
              <w:top w:val="nil"/>
              <w:left w:val="nil"/>
              <w:bottom w:val="single" w:sz="4" w:space="0" w:color="auto"/>
            </w:tcBorders>
            <w:tcMar>
              <w:left w:w="0" w:type="dxa"/>
            </w:tcMar>
          </w:tcPr>
          <w:p w14:paraId="77DDB6C3" w14:textId="77777777" w:rsidR="00951F81" w:rsidRDefault="00951F81" w:rsidP="005A10E5">
            <w:pPr>
              <w:keepNext/>
              <w:rPr>
                <w:b/>
                <w:bCs/>
              </w:rPr>
            </w:pPr>
            <w:r>
              <w:rPr>
                <w:b/>
              </w:rPr>
              <w:t>Hoidke süstlid laste eest varjatud ja kättesaamatus kohas.</w:t>
            </w:r>
          </w:p>
        </w:tc>
      </w:tr>
    </w:tbl>
    <w:p w14:paraId="54B76DE2" w14:textId="77777777" w:rsidR="00951F81" w:rsidRDefault="00951F81" w:rsidP="00951F81"/>
    <w:tbl>
      <w:tblPr>
        <w:tblW w:w="4910"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36"/>
        <w:gridCol w:w="14"/>
        <w:gridCol w:w="8350"/>
      </w:tblGrid>
      <w:tr w:rsidR="00951F81" w:rsidRPr="0011121C" w14:paraId="6CC8EC54" w14:textId="77777777" w:rsidTr="006172AE">
        <w:trPr>
          <w:cantSplit/>
          <w:trHeight w:val="57"/>
        </w:trPr>
        <w:tc>
          <w:tcPr>
            <w:tcW w:w="309" w:type="pct"/>
            <w:gridSpan w:val="2"/>
            <w:tcMar>
              <w:top w:w="28" w:type="dxa"/>
              <w:left w:w="57" w:type="dxa"/>
              <w:bottom w:w="28" w:type="dxa"/>
              <w:right w:w="57" w:type="dxa"/>
            </w:tcMar>
          </w:tcPr>
          <w:p w14:paraId="1BFF5178" w14:textId="77777777" w:rsidR="00951F81" w:rsidRDefault="00951F81" w:rsidP="005A10E5">
            <w:pPr>
              <w:keepNext/>
            </w:pPr>
            <w:r>
              <w:t>B</w:t>
            </w:r>
          </w:p>
        </w:tc>
        <w:tc>
          <w:tcPr>
            <w:tcW w:w="4691" w:type="pct"/>
            <w:tcMar>
              <w:left w:w="57" w:type="dxa"/>
            </w:tcMar>
          </w:tcPr>
          <w:p w14:paraId="2CE51E52" w14:textId="699B1200" w:rsidR="00951F81" w:rsidRDefault="00951F81" w:rsidP="005A10E5">
            <w:pPr>
              <w:keepNext/>
            </w:pPr>
            <w:r>
              <w:t xml:space="preserve">Avage pakend, tõmmates katte pealt ära. Süstli pakendist välja võtmiseks võtke kinni süstli </w:t>
            </w:r>
            <w:r w:rsidR="006D598F">
              <w:t>kaitse</w:t>
            </w:r>
            <w:r>
              <w:t>kattest.</w:t>
            </w:r>
          </w:p>
        </w:tc>
      </w:tr>
      <w:tr w:rsidR="00951F81" w:rsidRPr="0011121C" w14:paraId="125C3E1D" w14:textId="77777777" w:rsidTr="006172AE">
        <w:trPr>
          <w:cantSplit/>
          <w:trHeight w:val="57"/>
        </w:trPr>
        <w:tc>
          <w:tcPr>
            <w:tcW w:w="5000" w:type="pct"/>
            <w:gridSpan w:val="3"/>
            <w:tcBorders>
              <w:bottom w:val="nil"/>
            </w:tcBorders>
            <w:tcMar>
              <w:top w:w="28" w:type="dxa"/>
              <w:left w:w="57" w:type="dxa"/>
              <w:bottom w:w="28" w:type="dxa"/>
              <w:right w:w="57" w:type="dxa"/>
            </w:tcMar>
          </w:tcPr>
          <w:p w14:paraId="731F49B9" w14:textId="03CEC285" w:rsidR="00951F81" w:rsidRDefault="00C57766" w:rsidP="005A10E5">
            <w:pPr>
              <w:keepNext/>
              <w:suppressAutoHyphens/>
              <w:autoSpaceDE w:val="0"/>
              <w:autoSpaceDN w:val="0"/>
              <w:adjustRightInd w:val="0"/>
              <w:jc w:val="center"/>
              <w:textAlignment w:val="center"/>
            </w:pPr>
            <w:r w:rsidRPr="00C57766">
              <w:rPr>
                <w:rFonts w:eastAsia="Aptos"/>
                <w:noProof/>
                <w:lang w:val="pl-PL" w:eastAsia="pl-PL"/>
              </w:rPr>
              <w:drawing>
                <wp:anchor distT="0" distB="0" distL="114300" distR="114300" simplePos="0" relativeHeight="251681280" behindDoc="1" locked="0" layoutInCell="1" allowOverlap="1" wp14:anchorId="6592F68D" wp14:editId="3F03EB89">
                  <wp:simplePos x="0" y="0"/>
                  <wp:positionH relativeFrom="margin">
                    <wp:posOffset>1171923</wp:posOffset>
                  </wp:positionH>
                  <wp:positionV relativeFrom="paragraph">
                    <wp:posOffset>30888</wp:posOffset>
                  </wp:positionV>
                  <wp:extent cx="3059430" cy="2907030"/>
                  <wp:effectExtent l="0" t="0" r="7620" b="7620"/>
                  <wp:wrapTight wrapText="bothSides">
                    <wp:wrapPolygon edited="0">
                      <wp:start x="0" y="0"/>
                      <wp:lineTo x="0" y="21515"/>
                      <wp:lineTo x="21519" y="21515"/>
                      <wp:lineTo x="21519" y="0"/>
                      <wp:lineTo x="0" y="0"/>
                    </wp:wrapPolygon>
                  </wp:wrapTight>
                  <wp:docPr id="2053751754" name="Picture 2053751754"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hand holding a syringe&#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3059430" cy="2907030"/>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11121C" w14:paraId="3E954AA0" w14:textId="77777777" w:rsidTr="006172AE">
        <w:trPr>
          <w:cantSplit/>
          <w:trHeight w:val="57"/>
        </w:trPr>
        <w:tc>
          <w:tcPr>
            <w:tcW w:w="5000" w:type="pct"/>
            <w:gridSpan w:val="3"/>
            <w:tcBorders>
              <w:top w:val="nil"/>
              <w:bottom w:val="nil"/>
            </w:tcBorders>
            <w:tcMar>
              <w:top w:w="28" w:type="dxa"/>
              <w:left w:w="57" w:type="dxa"/>
              <w:bottom w:w="28" w:type="dxa"/>
              <w:right w:w="57" w:type="dxa"/>
            </w:tcMar>
          </w:tcPr>
          <w:p w14:paraId="77C79468" w14:textId="274CB418" w:rsidR="00951F81" w:rsidRDefault="00951F81" w:rsidP="005A10E5">
            <w:pPr>
              <w:keepNext/>
              <w:jc w:val="center"/>
              <w:rPr>
                <w:b/>
                <w:bCs/>
              </w:rPr>
            </w:pPr>
          </w:p>
        </w:tc>
      </w:tr>
      <w:tr w:rsidR="00951F81" w:rsidRPr="0011121C" w14:paraId="7D2E33E3" w14:textId="77777777" w:rsidTr="006172AE">
        <w:trPr>
          <w:cantSplit/>
          <w:trHeight w:val="57"/>
        </w:trPr>
        <w:tc>
          <w:tcPr>
            <w:tcW w:w="5000" w:type="pct"/>
            <w:gridSpan w:val="3"/>
            <w:tcBorders>
              <w:top w:val="nil"/>
              <w:left w:val="single" w:sz="4" w:space="0" w:color="auto"/>
              <w:bottom w:val="nil"/>
            </w:tcBorders>
            <w:tcMar>
              <w:top w:w="28" w:type="dxa"/>
              <w:left w:w="57" w:type="dxa"/>
              <w:bottom w:w="28" w:type="dxa"/>
              <w:right w:w="57" w:type="dxa"/>
            </w:tcMar>
          </w:tcPr>
          <w:p w14:paraId="005CA4E2" w14:textId="2D45B6A9" w:rsidR="00951F81" w:rsidRDefault="00951F81" w:rsidP="005A10E5">
            <w:pPr>
              <w:keepNext/>
            </w:pPr>
            <w:r>
              <w:t>Ohutuse tõttu:</w:t>
            </w:r>
          </w:p>
        </w:tc>
      </w:tr>
      <w:tr w:rsidR="00951F81" w:rsidRPr="0011121C" w14:paraId="36863556" w14:textId="77777777" w:rsidTr="006172AE">
        <w:trPr>
          <w:cantSplit/>
          <w:trHeight w:val="57"/>
        </w:trPr>
        <w:tc>
          <w:tcPr>
            <w:tcW w:w="301" w:type="pct"/>
            <w:tcBorders>
              <w:top w:val="nil"/>
              <w:left w:val="single" w:sz="4" w:space="0" w:color="auto"/>
              <w:bottom w:val="nil"/>
              <w:right w:val="nil"/>
            </w:tcBorders>
            <w:tcMar>
              <w:top w:w="28" w:type="dxa"/>
              <w:left w:w="57" w:type="dxa"/>
              <w:bottom w:w="28" w:type="dxa"/>
              <w:right w:w="57" w:type="dxa"/>
            </w:tcMar>
          </w:tcPr>
          <w:p w14:paraId="708977BC" w14:textId="33AA9067" w:rsidR="00951F81" w:rsidRDefault="008657CD" w:rsidP="005A10E5">
            <w:pPr>
              <w:keepNext/>
              <w:suppressAutoHyphens/>
              <w:autoSpaceDE w:val="0"/>
              <w:autoSpaceDN w:val="0"/>
              <w:adjustRightInd w:val="0"/>
              <w:textAlignment w:val="center"/>
            </w:pPr>
            <w:r>
              <w:rPr>
                <w:noProof/>
              </w:rPr>
              <w:drawing>
                <wp:anchor distT="0" distB="0" distL="114300" distR="114300" simplePos="0" relativeHeight="251657728" behindDoc="0" locked="0" layoutInCell="1" allowOverlap="1" wp14:anchorId="7A847B46" wp14:editId="02DEAD4A">
                  <wp:simplePos x="0" y="0"/>
                  <wp:positionH relativeFrom="column">
                    <wp:posOffset>14605</wp:posOffset>
                  </wp:positionH>
                  <wp:positionV relativeFrom="paragraph">
                    <wp:posOffset>22225</wp:posOffset>
                  </wp:positionV>
                  <wp:extent cx="119380" cy="119380"/>
                  <wp:effectExtent l="0" t="0" r="0" b="0"/>
                  <wp:wrapNone/>
                  <wp:docPr id="46"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nil"/>
            </w:tcBorders>
            <w:tcMar>
              <w:left w:w="0" w:type="dxa"/>
            </w:tcMar>
          </w:tcPr>
          <w:p w14:paraId="64C361A7" w14:textId="564EFD1C" w:rsidR="00951F81" w:rsidRDefault="00951F81" w:rsidP="005A10E5">
            <w:pPr>
              <w:pStyle w:val="ListParagraph"/>
              <w:keepNext/>
              <w:suppressAutoHyphens/>
              <w:autoSpaceDE w:val="0"/>
              <w:autoSpaceDN w:val="0"/>
              <w:adjustRightInd w:val="0"/>
              <w:ind w:left="0"/>
              <w:textAlignment w:val="center"/>
              <w:rPr>
                <w:sz w:val="22"/>
                <w:szCs w:val="22"/>
              </w:rPr>
            </w:pPr>
            <w:r>
              <w:rPr>
                <w:b/>
                <w:sz w:val="22"/>
              </w:rPr>
              <w:t>Ärge</w:t>
            </w:r>
            <w:r>
              <w:rPr>
                <w:sz w:val="22"/>
              </w:rPr>
              <w:t xml:space="preserve"> haarake kolvivarrest;</w:t>
            </w:r>
          </w:p>
        </w:tc>
      </w:tr>
      <w:tr w:rsidR="00951F81" w:rsidRPr="0011121C" w14:paraId="30CAFF9F" w14:textId="77777777" w:rsidTr="006172AE">
        <w:trPr>
          <w:cantSplit/>
          <w:trHeight w:val="57"/>
        </w:trPr>
        <w:tc>
          <w:tcPr>
            <w:tcW w:w="301" w:type="pct"/>
            <w:tcBorders>
              <w:top w:val="nil"/>
              <w:left w:val="single" w:sz="4" w:space="0" w:color="auto"/>
              <w:bottom w:val="single" w:sz="4" w:space="0" w:color="auto"/>
              <w:right w:val="nil"/>
            </w:tcBorders>
            <w:tcMar>
              <w:top w:w="28" w:type="dxa"/>
              <w:left w:w="57" w:type="dxa"/>
              <w:bottom w:w="28" w:type="dxa"/>
              <w:right w:w="57" w:type="dxa"/>
            </w:tcMar>
          </w:tcPr>
          <w:p w14:paraId="55B8ECC6" w14:textId="082CDE29" w:rsidR="00951F81" w:rsidRDefault="008657CD" w:rsidP="005A10E5">
            <w:pPr>
              <w:keepNext/>
              <w:suppressAutoHyphens/>
              <w:autoSpaceDE w:val="0"/>
              <w:autoSpaceDN w:val="0"/>
              <w:adjustRightInd w:val="0"/>
              <w:textAlignment w:val="center"/>
            </w:pPr>
            <w:r>
              <w:rPr>
                <w:noProof/>
              </w:rPr>
              <w:drawing>
                <wp:anchor distT="0" distB="0" distL="114300" distR="114300" simplePos="0" relativeHeight="251658752" behindDoc="0" locked="0" layoutInCell="1" allowOverlap="1" wp14:anchorId="477A2870" wp14:editId="418E38FB">
                  <wp:simplePos x="0" y="0"/>
                  <wp:positionH relativeFrom="column">
                    <wp:posOffset>14605</wp:posOffset>
                  </wp:positionH>
                  <wp:positionV relativeFrom="paragraph">
                    <wp:posOffset>22225</wp:posOffset>
                  </wp:positionV>
                  <wp:extent cx="119380" cy="119380"/>
                  <wp:effectExtent l="0" t="0" r="0" b="0"/>
                  <wp:wrapNone/>
                  <wp:docPr id="47"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99" w:type="pct"/>
            <w:gridSpan w:val="2"/>
            <w:tcBorders>
              <w:top w:val="nil"/>
              <w:left w:val="nil"/>
              <w:bottom w:val="single" w:sz="4" w:space="0" w:color="auto"/>
            </w:tcBorders>
            <w:tcMar>
              <w:left w:w="0" w:type="dxa"/>
            </w:tcMar>
          </w:tcPr>
          <w:p w14:paraId="32603B2D" w14:textId="2E091546" w:rsidR="00951F81" w:rsidRDefault="00C57766" w:rsidP="005A10E5">
            <w:pPr>
              <w:keepNext/>
              <w:suppressAutoHyphens/>
              <w:autoSpaceDE w:val="0"/>
              <w:autoSpaceDN w:val="0"/>
              <w:adjustRightInd w:val="0"/>
              <w:textAlignment w:val="center"/>
            </w:pPr>
            <w:r w:rsidRPr="00C57766">
              <w:rPr>
                <w:rFonts w:eastAsia="Aptos"/>
                <w:noProof/>
                <w:lang w:val="pl-PL" w:eastAsia="pl-PL"/>
              </w:rPr>
              <mc:AlternateContent>
                <mc:Choice Requires="wps">
                  <w:drawing>
                    <wp:anchor distT="45720" distB="45720" distL="114300" distR="114300" simplePos="0" relativeHeight="251683328" behindDoc="0" locked="0" layoutInCell="1" allowOverlap="1" wp14:anchorId="38610A49" wp14:editId="6FA2939F">
                      <wp:simplePos x="0" y="0"/>
                      <wp:positionH relativeFrom="column">
                        <wp:posOffset>2117545</wp:posOffset>
                      </wp:positionH>
                      <wp:positionV relativeFrom="paragraph">
                        <wp:posOffset>-970256</wp:posOffset>
                      </wp:positionV>
                      <wp:extent cx="705485" cy="283210"/>
                      <wp:effectExtent l="0" t="0" r="0" b="2540"/>
                      <wp:wrapNone/>
                      <wp:docPr id="1754368980" name="Text Box 17543689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83210"/>
                              </a:xfrm>
                              <a:prstGeom prst="rect">
                                <a:avLst/>
                              </a:prstGeom>
                              <a:noFill/>
                              <a:ln w="9525">
                                <a:noFill/>
                                <a:miter lim="800000"/>
                                <a:headEnd/>
                                <a:tailEnd/>
                              </a:ln>
                            </wps:spPr>
                            <wps:txbx>
                              <w:txbxContent>
                                <w:p w14:paraId="70B47977" w14:textId="77777777" w:rsidR="00C57766" w:rsidRDefault="00C57766" w:rsidP="00C57766">
                                  <w:r w:rsidRPr="0067252F">
                                    <w:t>Haara siit</w:t>
                                  </w:r>
                                </w:p>
                                <w:p w14:paraId="56A4B00F" w14:textId="77777777" w:rsidR="00C57766" w:rsidRDefault="00C57766" w:rsidP="00C57766"/>
                                <w:p w14:paraId="07030399" w14:textId="77777777" w:rsidR="00C57766" w:rsidRPr="0067252F" w:rsidRDefault="00C57766" w:rsidP="00C57766"/>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10A49" id="Text Box 1754368980" o:spid="_x0000_s1035" type="#_x0000_t202" style="position:absolute;margin-left:166.75pt;margin-top:-76.4pt;width:55.55pt;height:22.3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" filled="f" stroked="f">
                      <v:textbox inset="0,0,0,0">
                        <w:txbxContent>
                          <w:p w14:paraId="70B47977" w14:textId="77777777" w:rsidR="00C57766" w:rsidRDefault="00C57766" w:rsidP="00C57766">
                            <w:r w:rsidRPr="0067252F">
                              <w:t>Haara siit</w:t>
                            </w:r>
                          </w:p>
                          <w:p w14:paraId="56A4B00F" w14:textId="77777777" w:rsidR="00C57766" w:rsidRDefault="00C57766" w:rsidP="00C57766"/>
                          <w:p w14:paraId="07030399" w14:textId="77777777" w:rsidR="00C57766" w:rsidRPr="0067252F" w:rsidRDefault="00C57766" w:rsidP="00C57766"/>
                        </w:txbxContent>
                      </v:textbox>
                    </v:shape>
                  </w:pict>
                </mc:Fallback>
              </mc:AlternateContent>
            </w:r>
            <w:r w:rsidR="00951F81">
              <w:rPr>
                <w:b/>
              </w:rPr>
              <w:t>Ärge</w:t>
            </w:r>
            <w:r w:rsidR="00951F81">
              <w:t xml:space="preserve"> haarake hallist nõelakattest.</w:t>
            </w:r>
          </w:p>
        </w:tc>
      </w:tr>
    </w:tbl>
    <w:p w14:paraId="76BD3B2B" w14:textId="77777777" w:rsidR="00951F81" w:rsidRDefault="00951F81" w:rsidP="00951F81"/>
    <w:tbl>
      <w:tblPr>
        <w:tblW w:w="4937" w:type="pct"/>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84"/>
        <w:gridCol w:w="2688"/>
        <w:gridCol w:w="5677"/>
      </w:tblGrid>
      <w:tr w:rsidR="00951F81" w:rsidRPr="0011121C" w14:paraId="0684849F" w14:textId="77777777" w:rsidTr="006172AE">
        <w:trPr>
          <w:cantSplit/>
          <w:trHeight w:val="57"/>
        </w:trPr>
        <w:tc>
          <w:tcPr>
            <w:tcW w:w="326" w:type="pct"/>
            <w:tcBorders>
              <w:bottom w:val="single" w:sz="4" w:space="0" w:color="auto"/>
            </w:tcBorders>
            <w:tcMar>
              <w:top w:w="28" w:type="dxa"/>
              <w:left w:w="57" w:type="dxa"/>
              <w:bottom w:w="28" w:type="dxa"/>
              <w:right w:w="57" w:type="dxa"/>
            </w:tcMar>
          </w:tcPr>
          <w:p w14:paraId="5493DA9A" w14:textId="77777777" w:rsidR="00951F81" w:rsidRDefault="00951F81" w:rsidP="006172AE">
            <w:pPr>
              <w:keepNext/>
            </w:pPr>
            <w:r>
              <w:t>C</w:t>
            </w:r>
          </w:p>
        </w:tc>
        <w:tc>
          <w:tcPr>
            <w:tcW w:w="4674" w:type="pct"/>
            <w:gridSpan w:val="2"/>
            <w:tcBorders>
              <w:bottom w:val="single" w:sz="4" w:space="0" w:color="auto"/>
            </w:tcBorders>
            <w:tcMar>
              <w:left w:w="57" w:type="dxa"/>
              <w:right w:w="57" w:type="dxa"/>
            </w:tcMar>
          </w:tcPr>
          <w:p w14:paraId="47363B0F" w14:textId="77777777" w:rsidR="00951F81" w:rsidRDefault="00951F81" w:rsidP="006172AE">
            <w:pPr>
              <w:keepNext/>
            </w:pPr>
            <w:r>
              <w:t>Kontrollige ravimit ja süstlit.</w:t>
            </w:r>
          </w:p>
        </w:tc>
      </w:tr>
      <w:tr w:rsidR="00951F81" w:rsidRPr="0011121C" w14:paraId="2CA05B1D" w14:textId="77777777" w:rsidTr="00C57766">
        <w:trPr>
          <w:cantSplit/>
          <w:trHeight w:val="57"/>
        </w:trPr>
        <w:tc>
          <w:tcPr>
            <w:tcW w:w="1828" w:type="pct"/>
            <w:gridSpan w:val="2"/>
            <w:tcBorders>
              <w:bottom w:val="nil"/>
              <w:right w:val="nil"/>
            </w:tcBorders>
            <w:tcMar>
              <w:top w:w="28" w:type="dxa"/>
              <w:left w:w="57" w:type="dxa"/>
              <w:bottom w:w="28" w:type="dxa"/>
              <w:right w:w="57" w:type="dxa"/>
            </w:tcMar>
          </w:tcPr>
          <w:p w14:paraId="24E076E5" w14:textId="77777777" w:rsidR="00951F81" w:rsidRDefault="00951F81" w:rsidP="006172AE">
            <w:pPr>
              <w:keepNext/>
              <w:suppressAutoHyphens/>
              <w:autoSpaceDE w:val="0"/>
              <w:autoSpaceDN w:val="0"/>
              <w:adjustRightInd w:val="0"/>
              <w:textAlignment w:val="center"/>
              <w:rPr>
                <w:lang w:eastAsia="zh-TW"/>
              </w:rPr>
            </w:pPr>
          </w:p>
        </w:tc>
        <w:tc>
          <w:tcPr>
            <w:tcW w:w="3172" w:type="pct"/>
            <w:tcBorders>
              <w:left w:val="nil"/>
              <w:bottom w:val="nil"/>
            </w:tcBorders>
          </w:tcPr>
          <w:p w14:paraId="523DEC55" w14:textId="36169D17" w:rsidR="00951F81" w:rsidRDefault="00951F81" w:rsidP="006172AE">
            <w:pPr>
              <w:keepNext/>
            </w:pPr>
          </w:p>
        </w:tc>
      </w:tr>
      <w:tr w:rsidR="00951F81" w:rsidRPr="0011121C" w14:paraId="4ADDAB19" w14:textId="77777777" w:rsidTr="00C57766">
        <w:trPr>
          <w:cantSplit/>
          <w:trHeight w:val="57"/>
        </w:trPr>
        <w:tc>
          <w:tcPr>
            <w:tcW w:w="5000" w:type="pct"/>
            <w:gridSpan w:val="3"/>
            <w:tcBorders>
              <w:top w:val="nil"/>
              <w:bottom w:val="nil"/>
            </w:tcBorders>
            <w:tcMar>
              <w:top w:w="28" w:type="dxa"/>
              <w:left w:w="57" w:type="dxa"/>
              <w:bottom w:w="28" w:type="dxa"/>
              <w:right w:w="57" w:type="dxa"/>
            </w:tcMar>
          </w:tcPr>
          <w:p w14:paraId="1ED42009" w14:textId="2526DB65" w:rsidR="00951F81" w:rsidRDefault="00C57766" w:rsidP="00C57766">
            <w:pPr>
              <w:jc w:val="center"/>
            </w:pPr>
            <w:r w:rsidRPr="00766ADE">
              <w:rPr>
                <w:noProof/>
                <w:lang w:val="pl-PL" w:eastAsia="pl-PL"/>
              </w:rPr>
              <mc:AlternateContent>
                <mc:Choice Requires="wps">
                  <w:drawing>
                    <wp:anchor distT="45720" distB="45720" distL="114300" distR="114300" simplePos="0" relativeHeight="251686400" behindDoc="0" locked="0" layoutInCell="1" allowOverlap="1" wp14:anchorId="748EB4C2" wp14:editId="21B95976">
                      <wp:simplePos x="0" y="0"/>
                      <wp:positionH relativeFrom="column">
                        <wp:posOffset>1251585</wp:posOffset>
                      </wp:positionH>
                      <wp:positionV relativeFrom="paragraph">
                        <wp:posOffset>1269365</wp:posOffset>
                      </wp:positionV>
                      <wp:extent cx="923925" cy="241300"/>
                      <wp:effectExtent l="0" t="0" r="9525" b="1905"/>
                      <wp:wrapSquare wrapText="bothSides"/>
                      <wp:docPr id="45095414" name="Text Box 450954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41300"/>
                              </a:xfrm>
                              <a:prstGeom prst="rect">
                                <a:avLst/>
                              </a:prstGeom>
                              <a:noFill/>
                              <a:ln w="9525">
                                <a:noFill/>
                                <a:miter lim="800000"/>
                                <a:headEnd/>
                                <a:tailEnd/>
                              </a:ln>
                            </wps:spPr>
                            <wps:txbx>
                              <w:txbxContent>
                                <w:p w14:paraId="4387CD1E" w14:textId="3B9FF46A" w:rsidR="00C57766" w:rsidRPr="005745AE" w:rsidRDefault="00C57766" w:rsidP="00C57766">
                                  <w:pPr>
                                    <w:rPr>
                                      <w:lang w:val="en-US"/>
                                    </w:rPr>
                                  </w:pPr>
                                  <w:r w:rsidRPr="005745AE">
                                    <w:rPr>
                                      <w:lang w:val="en-US"/>
                                    </w:rPr>
                                    <w:t>Hall nõelakork</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748EB4C2" id="Text Box 45095414" o:spid="_x0000_s1036" type="#_x0000_t202" style="position:absolute;left:0;text-align:left;margin-left:98.55pt;margin-top:99.95pt;width:72.75pt;height:19pt;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" filled="f" stroked="f">
                      <v:textbox style="mso-fit-shape-to-text:t" inset="0,0,0,0">
                        <w:txbxContent>
                          <w:p w14:paraId="4387CD1E" w14:textId="3B9FF46A" w:rsidR="00C57766" w:rsidRPr="005745AE" w:rsidRDefault="00C57766" w:rsidP="00C57766">
                            <w:pPr>
                              <w:rPr>
                                <w:lang w:val="en-US"/>
                              </w:rPr>
                            </w:pPr>
                            <w:r w:rsidRPr="005745AE">
                              <w:rPr>
                                <w:lang w:val="en-US"/>
                              </w:rPr>
                              <w:t>Hall nõelakork</w:t>
                            </w:r>
                          </w:p>
                        </w:txbxContent>
                      </v:textbox>
                      <w10:wrap type="square"/>
                    </v:shape>
                  </w:pict>
                </mc:Fallback>
              </mc:AlternateContent>
            </w:r>
            <w:r w:rsidRPr="005745AE">
              <w:rPr>
                <w:noProof/>
                <w:lang w:val="pl-PL" w:eastAsia="pl-PL"/>
              </w:rPr>
              <w:drawing>
                <wp:anchor distT="0" distB="0" distL="114300" distR="114300" simplePos="0" relativeHeight="251685376" behindDoc="1" locked="0" layoutInCell="1" allowOverlap="1" wp14:anchorId="5EA9B565" wp14:editId="2FA0C001">
                  <wp:simplePos x="0" y="0"/>
                  <wp:positionH relativeFrom="margin">
                    <wp:align>center</wp:align>
                  </wp:positionH>
                  <wp:positionV relativeFrom="paragraph">
                    <wp:posOffset>0</wp:posOffset>
                  </wp:positionV>
                  <wp:extent cx="3060000" cy="2734396"/>
                  <wp:effectExtent l="0" t="0" r="7620" b="8890"/>
                  <wp:wrapTopAndBottom/>
                  <wp:docPr id="1444224740" name="Picture 1444224740" descr="A hand holding a syrin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hand holding a syring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060000" cy="2734396"/>
                          </a:xfrm>
                          <a:prstGeom prst="rect">
                            <a:avLst/>
                          </a:prstGeom>
                        </pic:spPr>
                      </pic:pic>
                    </a:graphicData>
                  </a:graphic>
                  <wp14:sizeRelH relativeFrom="margin">
                    <wp14:pctWidth>0</wp14:pctWidth>
                  </wp14:sizeRelH>
                  <wp14:sizeRelV relativeFrom="margin">
                    <wp14:pctHeight>0</wp14:pctHeight>
                  </wp14:sizeRelV>
                </wp:anchor>
              </w:drawing>
            </w:r>
            <w:r w:rsidRPr="00766ADE">
              <w:rPr>
                <w:noProof/>
                <w:lang w:val="pl-PL" w:eastAsia="pl-PL"/>
              </w:rPr>
              <mc:AlternateContent>
                <mc:Choice Requires="wps">
                  <w:drawing>
                    <wp:anchor distT="45720" distB="45720" distL="114300" distR="114300" simplePos="0" relativeHeight="251688448" behindDoc="0" locked="0" layoutInCell="1" allowOverlap="1" wp14:anchorId="44F2B7CF" wp14:editId="2E826B0C">
                      <wp:simplePos x="0" y="0"/>
                      <wp:positionH relativeFrom="column">
                        <wp:posOffset>2576830</wp:posOffset>
                      </wp:positionH>
                      <wp:positionV relativeFrom="paragraph">
                        <wp:posOffset>2229485</wp:posOffset>
                      </wp:positionV>
                      <wp:extent cx="1619250" cy="241300"/>
                      <wp:effectExtent l="0" t="0" r="0" b="1905"/>
                      <wp:wrapSquare wrapText="bothSides"/>
                      <wp:docPr id="1674394592" name="Text Box 16743945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241300"/>
                              </a:xfrm>
                              <a:prstGeom prst="rect">
                                <a:avLst/>
                              </a:prstGeom>
                              <a:noFill/>
                              <a:ln w="9525">
                                <a:noFill/>
                                <a:miter lim="800000"/>
                                <a:headEnd/>
                                <a:tailEnd/>
                              </a:ln>
                            </wps:spPr>
                            <wps:txbx>
                              <w:txbxContent>
                                <w:p w14:paraId="40E635A8" w14:textId="77777777" w:rsidR="00C57766" w:rsidRPr="005745AE" w:rsidRDefault="00C57766" w:rsidP="00C57766">
                                  <w:pPr>
                                    <w:rPr>
                                      <w:lang w:val="en-US"/>
                                    </w:rPr>
                                  </w:pPr>
                                  <w:r>
                                    <w:rPr>
                                      <w:lang w:val="en-US"/>
                                    </w:rPr>
                                    <w:t>Silt ja kõlblikkusaeg</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44F2B7CF" id="Text Box 1674394592" o:spid="_x0000_s1037" type="#_x0000_t202" style="position:absolute;left:0;text-align:left;margin-left:202.9pt;margin-top:175.55pt;width:127.5pt;height:19pt;z-index:251688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" filled="f" stroked="f">
                      <v:textbox style="mso-fit-shape-to-text:t" inset="0,0,0,0">
                        <w:txbxContent>
                          <w:p w14:paraId="40E635A8" w14:textId="77777777" w:rsidR="00C57766" w:rsidRPr="005745AE" w:rsidRDefault="00C57766" w:rsidP="00C57766">
                            <w:pPr>
                              <w:rPr>
                                <w:lang w:val="en-US"/>
                              </w:rPr>
                            </w:pPr>
                            <w:r>
                              <w:rPr>
                                <w:lang w:val="en-US"/>
                              </w:rPr>
                              <w:t>Silt ja kõlblikkusaeg</w:t>
                            </w:r>
                          </w:p>
                        </w:txbxContent>
                      </v:textbox>
                      <w10:wrap type="square"/>
                    </v:shape>
                  </w:pict>
                </mc:Fallback>
              </mc:AlternateContent>
            </w:r>
            <w:r w:rsidRPr="00766ADE">
              <w:rPr>
                <w:noProof/>
                <w:lang w:val="pl-PL" w:eastAsia="pl-PL"/>
              </w:rPr>
              <mc:AlternateContent>
                <mc:Choice Requires="wps">
                  <w:drawing>
                    <wp:anchor distT="45720" distB="45720" distL="114300" distR="114300" simplePos="0" relativeHeight="251687424" behindDoc="0" locked="0" layoutInCell="1" allowOverlap="1" wp14:anchorId="5C5185F2" wp14:editId="3E8C85E8">
                      <wp:simplePos x="0" y="0"/>
                      <wp:positionH relativeFrom="column">
                        <wp:posOffset>2176780</wp:posOffset>
                      </wp:positionH>
                      <wp:positionV relativeFrom="paragraph">
                        <wp:posOffset>448310</wp:posOffset>
                      </wp:positionV>
                      <wp:extent cx="600075" cy="241300"/>
                      <wp:effectExtent l="0" t="0" r="9525" b="1905"/>
                      <wp:wrapSquare wrapText="bothSides"/>
                      <wp:docPr id="1827229408" name="Text Box 1827229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241300"/>
                              </a:xfrm>
                              <a:prstGeom prst="rect">
                                <a:avLst/>
                              </a:prstGeom>
                              <a:noFill/>
                              <a:ln w="9525">
                                <a:noFill/>
                                <a:miter lim="800000"/>
                                <a:headEnd/>
                                <a:tailEnd/>
                              </a:ln>
                            </wps:spPr>
                            <wps:txbx>
                              <w:txbxContent>
                                <w:p w14:paraId="11C307B0" w14:textId="77777777" w:rsidR="00C57766" w:rsidRPr="005745AE" w:rsidRDefault="00C57766" w:rsidP="00C57766">
                                  <w:pPr>
                                    <w:rPr>
                                      <w:lang w:val="en-US"/>
                                    </w:rPr>
                                  </w:pPr>
                                  <w:r>
                                    <w:rPr>
                                      <w:lang w:val="en-US"/>
                                    </w:rPr>
                                    <w:t>Ravim</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185F2" id="Text Box 1827229408" o:spid="_x0000_s1038" type="#_x0000_t202" style="position:absolute;left:0;text-align:left;margin-left:171.4pt;margin-top:35.3pt;width:47.25pt;height:19pt;z-index:25168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" filled="f" stroked="f">
                      <v:textbox style="mso-fit-shape-to-text:t" inset="0,0,0,0">
                        <w:txbxContent>
                          <w:p w14:paraId="11C307B0" w14:textId="77777777" w:rsidR="00C57766" w:rsidRPr="005745AE" w:rsidRDefault="00C57766" w:rsidP="00C57766">
                            <w:pPr>
                              <w:rPr>
                                <w:lang w:val="en-US"/>
                              </w:rPr>
                            </w:pPr>
                            <w:r>
                              <w:rPr>
                                <w:lang w:val="en-US"/>
                              </w:rPr>
                              <w:t>Ravim</w:t>
                            </w:r>
                          </w:p>
                        </w:txbxContent>
                      </v:textbox>
                      <w10:wrap type="square"/>
                    </v:shape>
                  </w:pict>
                </mc:Fallback>
              </mc:AlternateContent>
            </w:r>
          </w:p>
        </w:tc>
      </w:tr>
      <w:tr w:rsidR="00951F81" w:rsidRPr="0011121C" w14:paraId="0854EEE0" w14:textId="77777777" w:rsidTr="00C57766">
        <w:trPr>
          <w:cantSplit/>
          <w:trHeight w:val="57"/>
        </w:trPr>
        <w:tc>
          <w:tcPr>
            <w:tcW w:w="326" w:type="pct"/>
            <w:tcBorders>
              <w:top w:val="nil"/>
              <w:bottom w:val="nil"/>
              <w:right w:val="nil"/>
            </w:tcBorders>
            <w:tcMar>
              <w:top w:w="28" w:type="dxa"/>
              <w:left w:w="57" w:type="dxa"/>
              <w:bottom w:w="28" w:type="dxa"/>
              <w:right w:w="57" w:type="dxa"/>
            </w:tcMar>
          </w:tcPr>
          <w:p w14:paraId="34F9AFE8" w14:textId="3C52A1A6" w:rsidR="00951F81" w:rsidRDefault="008657CD" w:rsidP="006172AE">
            <w:pPr>
              <w:keepNext/>
              <w:suppressAutoHyphens/>
              <w:autoSpaceDE w:val="0"/>
              <w:autoSpaceDN w:val="0"/>
              <w:adjustRightInd w:val="0"/>
              <w:textAlignment w:val="center"/>
            </w:pPr>
            <w:r>
              <w:rPr>
                <w:noProof/>
              </w:rPr>
              <w:drawing>
                <wp:anchor distT="0" distB="0" distL="114300" distR="114300" simplePos="0" relativeHeight="251659776" behindDoc="0" locked="0" layoutInCell="1" allowOverlap="1" wp14:anchorId="346E1BD7" wp14:editId="1542BCD3">
                  <wp:simplePos x="0" y="0"/>
                  <wp:positionH relativeFrom="column">
                    <wp:posOffset>14605</wp:posOffset>
                  </wp:positionH>
                  <wp:positionV relativeFrom="paragraph">
                    <wp:posOffset>22225</wp:posOffset>
                  </wp:positionV>
                  <wp:extent cx="119380" cy="119380"/>
                  <wp:effectExtent l="0" t="0" r="0" b="0"/>
                  <wp:wrapNone/>
                  <wp:docPr id="48"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74" w:type="pct"/>
            <w:gridSpan w:val="2"/>
            <w:tcBorders>
              <w:top w:val="nil"/>
              <w:left w:val="nil"/>
              <w:bottom w:val="nil"/>
            </w:tcBorders>
            <w:tcMar>
              <w:left w:w="0" w:type="dxa"/>
            </w:tcMar>
          </w:tcPr>
          <w:p w14:paraId="69DE183E" w14:textId="7D0E6C27" w:rsidR="00951F81" w:rsidRDefault="00951F81" w:rsidP="006172AE">
            <w:pPr>
              <w:keepNext/>
            </w:pPr>
            <w:r>
              <w:rPr>
                <w:b/>
              </w:rPr>
              <w:t>Ärge</w:t>
            </w:r>
            <w:r>
              <w:t xml:space="preserve"> kasutage süstlit</w:t>
            </w:r>
            <w:r w:rsidR="003C78BD">
              <w:t>, kui</w:t>
            </w:r>
          </w:p>
        </w:tc>
      </w:tr>
      <w:tr w:rsidR="00951F81" w:rsidRPr="0011121C" w14:paraId="24A0D125" w14:textId="77777777" w:rsidTr="006172AE">
        <w:trPr>
          <w:cantSplit/>
          <w:trHeight w:val="57"/>
        </w:trPr>
        <w:tc>
          <w:tcPr>
            <w:tcW w:w="5000" w:type="pct"/>
            <w:gridSpan w:val="3"/>
            <w:tcBorders>
              <w:top w:val="nil"/>
              <w:bottom w:val="nil"/>
            </w:tcBorders>
            <w:tcMar>
              <w:top w:w="28" w:type="dxa"/>
              <w:left w:w="567" w:type="dxa"/>
              <w:bottom w:w="28" w:type="dxa"/>
              <w:right w:w="57" w:type="dxa"/>
            </w:tcMar>
          </w:tcPr>
          <w:p w14:paraId="3D5CAD84" w14:textId="77777777" w:rsidR="00951F81" w:rsidRDefault="00951F81" w:rsidP="006172AE">
            <w:pPr>
              <w:keepNext/>
              <w:numPr>
                <w:ilvl w:val="0"/>
                <w:numId w:val="54"/>
              </w:numPr>
              <w:tabs>
                <w:tab w:val="clear" w:pos="567"/>
              </w:tabs>
              <w:ind w:left="567" w:hanging="567"/>
            </w:pPr>
            <w:r>
              <w:t>ravim on hägune või sisaldab nähtavaid osakesi; see peab olema selge, värvitu kuni kergelt kollakas lahus;</w:t>
            </w:r>
          </w:p>
          <w:p w14:paraId="277965E4" w14:textId="77777777" w:rsidR="00951F81" w:rsidRDefault="00951F81" w:rsidP="006172AE">
            <w:pPr>
              <w:keepNext/>
              <w:numPr>
                <w:ilvl w:val="0"/>
                <w:numId w:val="54"/>
              </w:numPr>
              <w:tabs>
                <w:tab w:val="clear" w:pos="567"/>
              </w:tabs>
              <w:ind w:left="567" w:hanging="567"/>
            </w:pPr>
            <w:r>
              <w:t>mis tahes süstliosa on mõranenud või katki;</w:t>
            </w:r>
          </w:p>
          <w:p w14:paraId="7746937F" w14:textId="77777777" w:rsidR="00951F81" w:rsidRDefault="00951F81" w:rsidP="006172AE">
            <w:pPr>
              <w:keepNext/>
              <w:numPr>
                <w:ilvl w:val="0"/>
                <w:numId w:val="54"/>
              </w:numPr>
              <w:tabs>
                <w:tab w:val="clear" w:pos="567"/>
              </w:tabs>
              <w:ind w:left="567" w:hanging="567"/>
            </w:pPr>
            <w:r>
              <w:t>hall nõelakate puudub või on puudulikult kinnitatud;</w:t>
            </w:r>
          </w:p>
          <w:p w14:paraId="69956DC3" w14:textId="77777777" w:rsidR="00951F81" w:rsidRDefault="00951F81" w:rsidP="006172AE">
            <w:pPr>
              <w:keepNext/>
              <w:numPr>
                <w:ilvl w:val="0"/>
                <w:numId w:val="54"/>
              </w:numPr>
              <w:tabs>
                <w:tab w:val="clear" w:pos="567"/>
              </w:tabs>
              <w:ind w:left="567" w:hanging="567"/>
            </w:pPr>
            <w:r>
              <w:t>etiketil kõlblikkusajana märgitud kuu viimane päev on möödunud.</w:t>
            </w:r>
          </w:p>
        </w:tc>
      </w:tr>
      <w:tr w:rsidR="00951F81" w:rsidRPr="0011121C" w14:paraId="15139FD3" w14:textId="77777777" w:rsidTr="006172AE">
        <w:trPr>
          <w:cantSplit/>
          <w:trHeight w:val="57"/>
        </w:trPr>
        <w:tc>
          <w:tcPr>
            <w:tcW w:w="5000" w:type="pct"/>
            <w:gridSpan w:val="3"/>
            <w:tcBorders>
              <w:top w:val="nil"/>
              <w:bottom w:val="single" w:sz="4" w:space="0" w:color="auto"/>
            </w:tcBorders>
            <w:tcMar>
              <w:top w:w="28" w:type="dxa"/>
              <w:left w:w="57" w:type="dxa"/>
              <w:bottom w:w="28" w:type="dxa"/>
              <w:right w:w="57" w:type="dxa"/>
            </w:tcMar>
          </w:tcPr>
          <w:p w14:paraId="48844338" w14:textId="77777777" w:rsidR="00951F81" w:rsidRDefault="00951F81" w:rsidP="006172AE">
            <w:pPr>
              <w:keepNext/>
            </w:pPr>
            <w:r>
              <w:t>Kõikidel juhtudel võtke ühendust oma arsti või raviasutusega.</w:t>
            </w:r>
          </w:p>
        </w:tc>
      </w:tr>
    </w:tbl>
    <w:p w14:paraId="2CE72B62" w14:textId="77777777" w:rsidR="00951F81" w:rsidRDefault="00951F81" w:rsidP="00951F81"/>
    <w:tbl>
      <w:tblPr>
        <w:tblW w:w="48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8263"/>
      </w:tblGrid>
      <w:tr w:rsidR="00951F81" w:rsidRPr="0011121C" w14:paraId="0A2D5A51" w14:textId="77777777" w:rsidTr="006172AE">
        <w:trPr>
          <w:cantSplit/>
          <w:trHeight w:val="57"/>
        </w:trPr>
        <w:tc>
          <w:tcPr>
            <w:tcW w:w="5000" w:type="pct"/>
            <w:gridSpan w:val="2"/>
            <w:tcMar>
              <w:top w:w="28" w:type="dxa"/>
              <w:bottom w:w="28" w:type="dxa"/>
            </w:tcMar>
          </w:tcPr>
          <w:p w14:paraId="3B781E40" w14:textId="2D58126C" w:rsidR="00951F81" w:rsidRDefault="00951F81" w:rsidP="005A10E5">
            <w:pPr>
              <w:keepNext/>
              <w:jc w:val="center"/>
            </w:pPr>
            <w:r>
              <w:t xml:space="preserve">Samm 2. </w:t>
            </w:r>
            <w:r w:rsidR="00C57766">
              <w:rPr>
                <w:b/>
              </w:rPr>
              <w:t>Valmis</w:t>
            </w:r>
            <w:r w:rsidR="00054536">
              <w:rPr>
                <w:b/>
              </w:rPr>
              <w:t xml:space="preserve"> kasutamiseks</w:t>
            </w:r>
          </w:p>
        </w:tc>
      </w:tr>
      <w:tr w:rsidR="00951F81" w:rsidRPr="0011121C" w14:paraId="5EE05FC4" w14:textId="77777777" w:rsidTr="00F908A9">
        <w:trPr>
          <w:cantSplit/>
          <w:trHeight w:val="57"/>
        </w:trPr>
        <w:tc>
          <w:tcPr>
            <w:tcW w:w="332" w:type="pct"/>
            <w:tcBorders>
              <w:bottom w:val="single" w:sz="4" w:space="0" w:color="auto"/>
            </w:tcBorders>
            <w:tcMar>
              <w:left w:w="57" w:type="dxa"/>
            </w:tcMar>
          </w:tcPr>
          <w:p w14:paraId="08EE7978" w14:textId="77777777" w:rsidR="00951F81" w:rsidRDefault="00951F81" w:rsidP="005A10E5">
            <w:pPr>
              <w:keepNext/>
            </w:pPr>
            <w:r>
              <w:t>A</w:t>
            </w:r>
          </w:p>
        </w:tc>
        <w:tc>
          <w:tcPr>
            <w:tcW w:w="4668" w:type="pct"/>
            <w:tcBorders>
              <w:bottom w:val="single" w:sz="4" w:space="0" w:color="auto"/>
            </w:tcBorders>
            <w:tcMar>
              <w:top w:w="28" w:type="dxa"/>
              <w:left w:w="57" w:type="dxa"/>
              <w:bottom w:w="28" w:type="dxa"/>
              <w:right w:w="57" w:type="dxa"/>
            </w:tcMar>
          </w:tcPr>
          <w:p w14:paraId="3FB6B23B" w14:textId="77777777" w:rsidR="00951F81" w:rsidRDefault="00951F81" w:rsidP="005A10E5">
            <w:pPr>
              <w:keepNext/>
            </w:pPr>
            <w:r>
              <w:t>Peske hoolikalt käsi. Valmistage ette ja puhastage süstekoht.</w:t>
            </w:r>
          </w:p>
        </w:tc>
      </w:tr>
      <w:tr w:rsidR="00C57766" w:rsidRPr="0011121C" w14:paraId="03AA76FD" w14:textId="77777777" w:rsidTr="00F908A9">
        <w:trPr>
          <w:cantSplit/>
          <w:trHeight w:val="3218"/>
        </w:trPr>
        <w:tc>
          <w:tcPr>
            <w:tcW w:w="5000" w:type="pct"/>
            <w:gridSpan w:val="2"/>
            <w:tcBorders>
              <w:bottom w:val="nil"/>
            </w:tcBorders>
            <w:tcMar>
              <w:top w:w="28" w:type="dxa"/>
              <w:left w:w="57" w:type="dxa"/>
              <w:bottom w:w="28" w:type="dxa"/>
              <w:right w:w="57" w:type="dxa"/>
            </w:tcMar>
            <w:vAlign w:val="bottom"/>
          </w:tcPr>
          <w:p w14:paraId="680F7366" w14:textId="77777777" w:rsidR="00C57766" w:rsidRPr="00F70A44" w:rsidRDefault="00C57766" w:rsidP="00C57766">
            <w:pPr>
              <w:ind w:right="2677"/>
              <w:rPr>
                <w:b/>
              </w:rPr>
            </w:pPr>
          </w:p>
          <w:p w14:paraId="40728022" w14:textId="617B031E" w:rsidR="00C57766" w:rsidRPr="00F70A44" w:rsidRDefault="00C57766" w:rsidP="0045319E">
            <w:pPr>
              <w:ind w:right="2677"/>
              <w:rPr>
                <w:b/>
              </w:rPr>
            </w:pPr>
            <w:r w:rsidRPr="00766ADE">
              <w:rPr>
                <w:noProof/>
                <w:lang w:val="pl-PL" w:eastAsia="pl-PL"/>
              </w:rPr>
              <mc:AlternateContent>
                <mc:Choice Requires="wps">
                  <w:drawing>
                    <wp:anchor distT="45720" distB="45720" distL="114300" distR="114300" simplePos="0" relativeHeight="251693568" behindDoc="0" locked="0" layoutInCell="1" allowOverlap="1" wp14:anchorId="0C6FF15D" wp14:editId="3D8B3BA7">
                      <wp:simplePos x="0" y="0"/>
                      <wp:positionH relativeFrom="column">
                        <wp:posOffset>1312545</wp:posOffset>
                      </wp:positionH>
                      <wp:positionV relativeFrom="page">
                        <wp:posOffset>1927225</wp:posOffset>
                      </wp:positionV>
                      <wp:extent cx="914400" cy="168910"/>
                      <wp:effectExtent l="0" t="0" r="0" b="1905"/>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8910"/>
                              </a:xfrm>
                              <a:prstGeom prst="rect">
                                <a:avLst/>
                              </a:prstGeom>
                              <a:noFill/>
                              <a:ln w="9525">
                                <a:noFill/>
                                <a:miter lim="800000"/>
                                <a:headEnd/>
                                <a:tailEnd/>
                              </a:ln>
                            </wps:spPr>
                            <wps:txbx>
                              <w:txbxContent>
                                <w:p w14:paraId="12655E82" w14:textId="77777777" w:rsidR="00C57766" w:rsidRPr="00175354" w:rsidRDefault="00C57766" w:rsidP="00C57766">
                                  <w:pPr>
                                    <w:rPr>
                                      <w:b/>
                                      <w:bCs/>
                                      <w:lang w:val="en-US"/>
                                    </w:rPr>
                                  </w:pPr>
                                  <w:r w:rsidRPr="00175354">
                                    <w:rPr>
                                      <w:b/>
                                      <w:bCs/>
                                      <w:lang w:val="en-US"/>
                                    </w:rPr>
                                    <w:t>Reie ülaosa</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0C6FF15D" id="Text Box 19" o:spid="_x0000_s1039" type="#_x0000_t202" style="position:absolute;margin-left:103.35pt;margin-top:151.75pt;width:1in;height:13.3pt;z-index:2516935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" filled="f" stroked="f">
                      <v:textbox style="mso-fit-shape-to-text:t" inset="0,0,0,0">
                        <w:txbxContent>
                          <w:p w14:paraId="12655E82" w14:textId="77777777" w:rsidR="00C57766" w:rsidRPr="00175354" w:rsidRDefault="00C57766" w:rsidP="00C57766">
                            <w:pPr>
                              <w:rPr>
                                <w:b/>
                                <w:bCs/>
                                <w:lang w:val="en-US"/>
                              </w:rPr>
                            </w:pPr>
                            <w:r w:rsidRPr="00175354">
                              <w:rPr>
                                <w:b/>
                                <w:bCs/>
                                <w:lang w:val="en-US"/>
                              </w:rPr>
                              <w:t>Reie ülaosa</w:t>
                            </w:r>
                          </w:p>
                        </w:txbxContent>
                      </v:textbox>
                      <w10:wrap type="square" anchory="page"/>
                    </v:shape>
                  </w:pict>
                </mc:Fallback>
              </mc:AlternateContent>
            </w:r>
            <w:r w:rsidRPr="00766ADE">
              <w:rPr>
                <w:noProof/>
                <w:lang w:val="pl-PL" w:eastAsia="pl-PL"/>
              </w:rPr>
              <mc:AlternateContent>
                <mc:Choice Requires="wps">
                  <w:drawing>
                    <wp:anchor distT="45720" distB="45720" distL="114300" distR="114300" simplePos="0" relativeHeight="251692544" behindDoc="0" locked="0" layoutInCell="1" allowOverlap="1" wp14:anchorId="217C385B" wp14:editId="358AC7DC">
                      <wp:simplePos x="0" y="0"/>
                      <wp:positionH relativeFrom="column">
                        <wp:posOffset>1395730</wp:posOffset>
                      </wp:positionH>
                      <wp:positionV relativeFrom="page">
                        <wp:posOffset>1169035</wp:posOffset>
                      </wp:positionV>
                      <wp:extent cx="925830" cy="370205"/>
                      <wp:effectExtent l="0" t="0" r="7620" b="10795"/>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830" cy="370205"/>
                              </a:xfrm>
                              <a:prstGeom prst="rect">
                                <a:avLst/>
                              </a:prstGeom>
                              <a:noFill/>
                              <a:ln w="9525">
                                <a:noFill/>
                                <a:miter lim="800000"/>
                                <a:headEnd/>
                                <a:tailEnd/>
                              </a:ln>
                            </wps:spPr>
                            <wps:txbx>
                              <w:txbxContent>
                                <w:p w14:paraId="55E74A49" w14:textId="77777777" w:rsidR="00C57766" w:rsidRPr="00175354" w:rsidRDefault="00C57766" w:rsidP="00C57766">
                                  <w:pPr>
                                    <w:rPr>
                                      <w:b/>
                                      <w:bCs/>
                                      <w:lang w:val="en-US"/>
                                    </w:rPr>
                                  </w:pPr>
                                  <w:r w:rsidRPr="00175354">
                                    <w:rPr>
                                      <w:b/>
                                      <w:bCs/>
                                      <w:lang w:val="en-US"/>
                                    </w:rPr>
                                    <w:t>Kõhu piirkond (kõht)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C385B" id="Text Box 18" o:spid="_x0000_s1040" type="#_x0000_t202" style="position:absolute;margin-left:109.9pt;margin-top:92.05pt;width:72.9pt;height:29.15pt;z-index:2516925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" filled="f" stroked="f">
                      <v:textbox inset="0,0,0,0">
                        <w:txbxContent>
                          <w:p w14:paraId="55E74A49" w14:textId="77777777" w:rsidR="00C57766" w:rsidRPr="00175354" w:rsidRDefault="00C57766" w:rsidP="00C57766">
                            <w:pPr>
                              <w:rPr>
                                <w:b/>
                                <w:bCs/>
                                <w:lang w:val="en-US"/>
                              </w:rPr>
                            </w:pPr>
                            <w:r w:rsidRPr="00175354">
                              <w:rPr>
                                <w:b/>
                                <w:bCs/>
                                <w:lang w:val="en-US"/>
                              </w:rPr>
                              <w:t>Kõhu piirkond (kõht)</w:t>
                            </w:r>
                          </w:p>
                        </w:txbxContent>
                      </v:textbox>
                      <w10:wrap type="square" anchory="page"/>
                    </v:shape>
                  </w:pict>
                </mc:Fallback>
              </mc:AlternateContent>
            </w:r>
            <w:r w:rsidRPr="00766ADE">
              <w:rPr>
                <w:noProof/>
                <w:lang w:val="pl-PL" w:eastAsia="pl-PL"/>
              </w:rPr>
              <mc:AlternateContent>
                <mc:Choice Requires="wps">
                  <w:drawing>
                    <wp:anchor distT="45720" distB="45720" distL="114300" distR="114300" simplePos="0" relativeHeight="251691520" behindDoc="0" locked="0" layoutInCell="1" allowOverlap="1" wp14:anchorId="282223BB" wp14:editId="40C18A7C">
                      <wp:simplePos x="0" y="0"/>
                      <wp:positionH relativeFrom="column">
                        <wp:posOffset>1320800</wp:posOffset>
                      </wp:positionH>
                      <wp:positionV relativeFrom="page">
                        <wp:posOffset>381635</wp:posOffset>
                      </wp:positionV>
                      <wp:extent cx="803910" cy="196215"/>
                      <wp:effectExtent l="0" t="0" r="0" b="1333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910" cy="196215"/>
                              </a:xfrm>
                              <a:prstGeom prst="rect">
                                <a:avLst/>
                              </a:prstGeom>
                              <a:noFill/>
                              <a:ln w="9525">
                                <a:noFill/>
                                <a:miter lim="800000"/>
                                <a:headEnd/>
                                <a:tailEnd/>
                              </a:ln>
                            </wps:spPr>
                            <wps:txbx>
                              <w:txbxContent>
                                <w:p w14:paraId="2519C10A" w14:textId="77777777" w:rsidR="00C57766" w:rsidRPr="00175354" w:rsidRDefault="00C57766" w:rsidP="00C57766">
                                  <w:pPr>
                                    <w:rPr>
                                      <w:b/>
                                      <w:bCs/>
                                      <w:lang w:val="en-US"/>
                                    </w:rPr>
                                  </w:pPr>
                                  <w:r>
                                    <w:rPr>
                                      <w:b/>
                                      <w:bCs/>
                                      <w:lang w:val="en-US"/>
                                    </w:rPr>
                                    <w:t>Õ</w:t>
                                  </w:r>
                                  <w:r w:rsidRPr="00175354">
                                    <w:rPr>
                                      <w:b/>
                                      <w:bCs/>
                                      <w:lang w:val="en-US"/>
                                    </w:rPr>
                                    <w:t>lavar</w:t>
                                  </w:r>
                                  <w:r>
                                    <w:rPr>
                                      <w:b/>
                                      <w:bCs/>
                                      <w:lang w:val="en-US"/>
                                    </w:rPr>
                                    <w:t>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223BB" id="Text Box 17" o:spid="_x0000_s1041" type="#_x0000_t202" style="position:absolute;margin-left:104pt;margin-top:30.05pt;width:63.3pt;height:15.45pt;z-index:251691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" filled="f" stroked="f">
                      <v:textbox inset="0,0,0,0">
                        <w:txbxContent>
                          <w:p w14:paraId="2519C10A" w14:textId="77777777" w:rsidR="00C57766" w:rsidRPr="00175354" w:rsidRDefault="00C57766" w:rsidP="00C57766">
                            <w:pPr>
                              <w:rPr>
                                <w:b/>
                                <w:bCs/>
                                <w:lang w:val="en-US"/>
                              </w:rPr>
                            </w:pPr>
                            <w:r>
                              <w:rPr>
                                <w:b/>
                                <w:bCs/>
                                <w:lang w:val="en-US"/>
                              </w:rPr>
                              <w:t>Õ</w:t>
                            </w:r>
                            <w:r w:rsidRPr="00175354">
                              <w:rPr>
                                <w:b/>
                                <w:bCs/>
                                <w:lang w:val="en-US"/>
                              </w:rPr>
                              <w:t>lavar</w:t>
                            </w:r>
                            <w:r>
                              <w:rPr>
                                <w:b/>
                                <w:bCs/>
                                <w:lang w:val="en-US"/>
                              </w:rPr>
                              <w:t>s</w:t>
                            </w:r>
                          </w:p>
                        </w:txbxContent>
                      </v:textbox>
                      <w10:wrap type="square" anchory="page"/>
                    </v:shape>
                  </w:pict>
                </mc:Fallback>
              </mc:AlternateContent>
            </w:r>
            <w:r w:rsidRPr="00530692">
              <w:rPr>
                <w:b/>
                <w:noProof/>
                <w:lang w:val="pl-PL" w:eastAsia="pl-PL"/>
              </w:rPr>
              <w:drawing>
                <wp:anchor distT="0" distB="0" distL="114300" distR="114300" simplePos="0" relativeHeight="251690496" behindDoc="0" locked="0" layoutInCell="1" allowOverlap="1" wp14:anchorId="5BEA90CF" wp14:editId="50C24644">
                  <wp:simplePos x="0" y="0"/>
                  <wp:positionH relativeFrom="margin">
                    <wp:align>center</wp:align>
                  </wp:positionH>
                  <wp:positionV relativeFrom="paragraph">
                    <wp:posOffset>5080</wp:posOffset>
                  </wp:positionV>
                  <wp:extent cx="3059430" cy="2919095"/>
                  <wp:effectExtent l="0" t="0" r="7620" b="0"/>
                  <wp:wrapTopAndBottom/>
                  <wp:docPr id="1777430400" name="Picture 1777430400" descr="A cartoon of a person sit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artoon of a person sitting&#10;&#10;AI-generated content may be incorrect."/>
                          <pic:cNvPicPr/>
                        </pic:nvPicPr>
                        <pic:blipFill>
                          <a:blip r:embed="rId24">
                            <a:extLst>
                              <a:ext uri="{28A0092B-C50C-407E-A947-70E740481C1C}">
                                <a14:useLocalDpi xmlns:a14="http://schemas.microsoft.com/office/drawing/2010/main" val="0"/>
                              </a:ext>
                            </a:extLst>
                          </a:blip>
                          <a:stretch>
                            <a:fillRect/>
                          </a:stretch>
                        </pic:blipFill>
                        <pic:spPr>
                          <a:xfrm>
                            <a:off x="0" y="0"/>
                            <a:ext cx="3059430" cy="2919095"/>
                          </a:xfrm>
                          <a:prstGeom prst="rect">
                            <a:avLst/>
                          </a:prstGeom>
                        </pic:spPr>
                      </pic:pic>
                    </a:graphicData>
                  </a:graphic>
                  <wp14:sizeRelH relativeFrom="margin">
                    <wp14:pctWidth>0</wp14:pctWidth>
                  </wp14:sizeRelH>
                  <wp14:sizeRelV relativeFrom="margin">
                    <wp14:pctHeight>0</wp14:pctHeight>
                  </wp14:sizeRelV>
                </wp:anchor>
              </w:drawing>
            </w:r>
          </w:p>
        </w:tc>
      </w:tr>
      <w:tr w:rsidR="00951F81" w:rsidRPr="0011121C" w14:paraId="0B6F6FAE" w14:textId="77777777" w:rsidTr="00F908A9">
        <w:trPr>
          <w:cantSplit/>
          <w:trHeight w:val="57"/>
        </w:trPr>
        <w:tc>
          <w:tcPr>
            <w:tcW w:w="5000" w:type="pct"/>
            <w:gridSpan w:val="2"/>
            <w:tcBorders>
              <w:top w:val="nil"/>
              <w:bottom w:val="single" w:sz="4" w:space="0" w:color="auto"/>
            </w:tcBorders>
            <w:tcMar>
              <w:top w:w="28" w:type="dxa"/>
              <w:left w:w="57" w:type="dxa"/>
              <w:bottom w:w="28" w:type="dxa"/>
              <w:right w:w="57" w:type="dxa"/>
            </w:tcMar>
          </w:tcPr>
          <w:p w14:paraId="196D7D1E" w14:textId="6385BD34" w:rsidR="00C57766" w:rsidRPr="00F908A9" w:rsidRDefault="00F908A9" w:rsidP="00C57766">
            <w:pPr>
              <w:keepNext/>
              <w:tabs>
                <w:tab w:val="clear" w:pos="567"/>
              </w:tabs>
              <w:rPr>
                <w:color w:val="000000" w:themeColor="text1"/>
              </w:rPr>
            </w:pPr>
            <w:r w:rsidRPr="00F908A9">
              <w:rPr>
                <w:b/>
                <w:color w:val="000000" w:themeColor="text1"/>
              </w:rPr>
              <w:t>V</w:t>
            </w:r>
            <w:r w:rsidR="00C57766" w:rsidRPr="00F908A9">
              <w:rPr>
                <w:b/>
                <w:color w:val="000000" w:themeColor="text1"/>
              </w:rPr>
              <w:t>õite kasutada:</w:t>
            </w:r>
          </w:p>
          <w:p w14:paraId="771FAD43" w14:textId="0C14EA4F" w:rsidR="00951F81" w:rsidRDefault="00951F81" w:rsidP="005A10E5">
            <w:pPr>
              <w:keepNext/>
              <w:numPr>
                <w:ilvl w:val="0"/>
                <w:numId w:val="54"/>
              </w:numPr>
              <w:tabs>
                <w:tab w:val="clear" w:pos="567"/>
              </w:tabs>
              <w:ind w:left="567" w:hanging="567"/>
            </w:pPr>
            <w:r>
              <w:t>reie ülaosa;</w:t>
            </w:r>
          </w:p>
          <w:p w14:paraId="1546E4F8" w14:textId="77777777" w:rsidR="00951F81" w:rsidRDefault="00951F81" w:rsidP="005A10E5">
            <w:pPr>
              <w:keepNext/>
              <w:numPr>
                <w:ilvl w:val="0"/>
                <w:numId w:val="54"/>
              </w:numPr>
              <w:tabs>
                <w:tab w:val="clear" w:pos="567"/>
              </w:tabs>
              <w:ind w:left="567" w:hanging="567"/>
            </w:pPr>
            <w:r>
              <w:t>kõhupiirkonda, välja arvatud 5</w:t>
            </w:r>
            <w:r>
              <w:noBreakHyphen/>
              <w:t>sentimeetrine ala naba ümber;</w:t>
            </w:r>
          </w:p>
          <w:p w14:paraId="5BCABADC" w14:textId="77777777" w:rsidR="00951F81" w:rsidRDefault="00951F81" w:rsidP="005A10E5">
            <w:pPr>
              <w:keepNext/>
              <w:numPr>
                <w:ilvl w:val="0"/>
                <w:numId w:val="54"/>
              </w:numPr>
              <w:tabs>
                <w:tab w:val="clear" w:pos="567"/>
              </w:tabs>
              <w:ind w:left="567" w:hanging="567"/>
            </w:pPr>
            <w:r>
              <w:t>õlavarre piirkonda (ainult siis, kui teid süstib keegi teine).</w:t>
            </w:r>
          </w:p>
        </w:tc>
      </w:tr>
      <w:tr w:rsidR="00951F81" w:rsidRPr="0011121C" w14:paraId="48299C98" w14:textId="77777777" w:rsidTr="00C57766">
        <w:trPr>
          <w:cantSplit/>
          <w:trHeight w:val="57"/>
        </w:trPr>
        <w:tc>
          <w:tcPr>
            <w:tcW w:w="5000" w:type="pct"/>
            <w:gridSpan w:val="2"/>
            <w:tcBorders>
              <w:top w:val="single" w:sz="4" w:space="0" w:color="auto"/>
              <w:bottom w:val="nil"/>
            </w:tcBorders>
            <w:tcMar>
              <w:top w:w="28" w:type="dxa"/>
              <w:left w:w="57" w:type="dxa"/>
              <w:bottom w:w="28" w:type="dxa"/>
              <w:right w:w="57" w:type="dxa"/>
            </w:tcMar>
          </w:tcPr>
          <w:p w14:paraId="4D1C0CF3" w14:textId="77777777" w:rsidR="00951F81" w:rsidRDefault="00951F81" w:rsidP="005A10E5">
            <w:pPr>
              <w:keepNext/>
            </w:pPr>
            <w:r>
              <w:t>Puhastage süstekoht alkoholilapiga. Laske nahal kuivada.</w:t>
            </w:r>
          </w:p>
        </w:tc>
      </w:tr>
      <w:tr w:rsidR="00951F81" w:rsidRPr="0011121C" w14:paraId="09CC12CF" w14:textId="77777777" w:rsidTr="006172AE">
        <w:trPr>
          <w:cantSplit/>
          <w:trHeight w:val="57"/>
        </w:trPr>
        <w:tc>
          <w:tcPr>
            <w:tcW w:w="332" w:type="pct"/>
            <w:tcBorders>
              <w:top w:val="nil"/>
              <w:bottom w:val="nil"/>
              <w:right w:val="nil"/>
            </w:tcBorders>
            <w:tcMar>
              <w:top w:w="28" w:type="dxa"/>
              <w:left w:w="57" w:type="dxa"/>
              <w:bottom w:w="28" w:type="dxa"/>
              <w:right w:w="57" w:type="dxa"/>
            </w:tcMar>
          </w:tcPr>
          <w:p w14:paraId="7F6956A5" w14:textId="6D2372C9" w:rsidR="00951F81" w:rsidRDefault="008657CD"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0800" behindDoc="0" locked="0" layoutInCell="1" allowOverlap="1" wp14:anchorId="7F2EE80F" wp14:editId="141462EA">
                  <wp:simplePos x="0" y="0"/>
                  <wp:positionH relativeFrom="column">
                    <wp:posOffset>14605</wp:posOffset>
                  </wp:positionH>
                  <wp:positionV relativeFrom="paragraph">
                    <wp:posOffset>22225</wp:posOffset>
                  </wp:positionV>
                  <wp:extent cx="119380" cy="119380"/>
                  <wp:effectExtent l="0" t="0" r="0" b="0"/>
                  <wp:wrapNone/>
                  <wp:docPr id="49"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68" w:type="pct"/>
            <w:tcBorders>
              <w:top w:val="nil"/>
              <w:left w:val="nil"/>
              <w:bottom w:val="nil"/>
            </w:tcBorders>
            <w:tcMar>
              <w:left w:w="0" w:type="dxa"/>
            </w:tcMar>
          </w:tcPr>
          <w:p w14:paraId="072DF992" w14:textId="77777777" w:rsidR="00951F81" w:rsidRDefault="00951F81" w:rsidP="005A10E5">
            <w:pPr>
              <w:keepNext/>
              <w:ind w:left="107"/>
            </w:pPr>
            <w:r>
              <w:rPr>
                <w:b/>
              </w:rPr>
              <w:t>Ärge</w:t>
            </w:r>
            <w:r>
              <w:t xml:space="preserve"> puudutage süstimiskohta enne süstimist.</w:t>
            </w:r>
          </w:p>
        </w:tc>
      </w:tr>
      <w:tr w:rsidR="00951F81" w:rsidRPr="0011121C" w14:paraId="0F5B6466" w14:textId="77777777" w:rsidTr="006172AE">
        <w:trPr>
          <w:cantSplit/>
          <w:trHeight w:val="57"/>
        </w:trPr>
        <w:tc>
          <w:tcPr>
            <w:tcW w:w="332" w:type="pct"/>
            <w:tcBorders>
              <w:top w:val="nil"/>
              <w:bottom w:val="single" w:sz="4" w:space="0" w:color="auto"/>
              <w:right w:val="nil"/>
            </w:tcBorders>
            <w:tcMar>
              <w:top w:w="28" w:type="dxa"/>
              <w:left w:w="57" w:type="dxa"/>
              <w:bottom w:w="28" w:type="dxa"/>
              <w:right w:w="57" w:type="dxa"/>
            </w:tcMar>
          </w:tcPr>
          <w:p w14:paraId="74FA4E96" w14:textId="76C10E13" w:rsidR="00951F81" w:rsidRDefault="008657CD"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3F8AD7E3" wp14:editId="18F7D55D">
                  <wp:extent cx="262255" cy="262255"/>
                  <wp:effectExtent l="0" t="0" r="0" b="0"/>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4668" w:type="pct"/>
            <w:tcBorders>
              <w:top w:val="nil"/>
              <w:left w:val="nil"/>
              <w:bottom w:val="single" w:sz="4" w:space="0" w:color="auto"/>
            </w:tcBorders>
          </w:tcPr>
          <w:p w14:paraId="41A5C3F5" w14:textId="77777777" w:rsidR="00951F81" w:rsidRDefault="00951F81" w:rsidP="005A10E5">
            <w:pPr>
              <w:keepNext/>
            </w:pPr>
            <w:r>
              <w:rPr>
                <w:b/>
              </w:rPr>
              <w:t>Ärge</w:t>
            </w:r>
            <w:r>
              <w:t xml:space="preserve"> süstige piirkonda, kus nahk on hell, verevalumitega, punetav või tihkestunud. Vältige süstimist armide või venitusarmide piirkonda.</w:t>
            </w:r>
          </w:p>
        </w:tc>
      </w:tr>
    </w:tbl>
    <w:p w14:paraId="40276117"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8355"/>
      </w:tblGrid>
      <w:tr w:rsidR="00951F81" w:rsidRPr="0011121C" w14:paraId="66D54B11" w14:textId="77777777" w:rsidTr="006172AE">
        <w:trPr>
          <w:cantSplit/>
          <w:trHeight w:val="57"/>
        </w:trPr>
        <w:tc>
          <w:tcPr>
            <w:tcW w:w="332" w:type="pct"/>
            <w:tcMar>
              <w:top w:w="28" w:type="dxa"/>
              <w:left w:w="57" w:type="dxa"/>
              <w:bottom w:w="28" w:type="dxa"/>
              <w:right w:w="57" w:type="dxa"/>
            </w:tcMar>
          </w:tcPr>
          <w:p w14:paraId="41C4867F" w14:textId="77777777" w:rsidR="00951F81" w:rsidRDefault="00951F81" w:rsidP="006172AE">
            <w:pPr>
              <w:keepNext/>
            </w:pPr>
            <w:r>
              <w:t>B</w:t>
            </w:r>
          </w:p>
        </w:tc>
        <w:tc>
          <w:tcPr>
            <w:tcW w:w="4668" w:type="pct"/>
            <w:tcMar>
              <w:left w:w="57" w:type="dxa"/>
              <w:right w:w="57" w:type="dxa"/>
            </w:tcMar>
          </w:tcPr>
          <w:p w14:paraId="2B68997E" w14:textId="77777777" w:rsidR="00951F81" w:rsidRDefault="00951F81" w:rsidP="006172AE">
            <w:pPr>
              <w:keepNext/>
            </w:pPr>
            <w:r>
              <w:t>Tõmmake hall nõelakate ettevaatlikult otse ära, suunaga teie kehast eemale.</w:t>
            </w:r>
          </w:p>
        </w:tc>
      </w:tr>
      <w:tr w:rsidR="00951F81" w:rsidRPr="0011121C" w14:paraId="659D253B" w14:textId="77777777" w:rsidTr="006172AE">
        <w:trPr>
          <w:cantSplit/>
          <w:trHeight w:val="57"/>
        </w:trPr>
        <w:tc>
          <w:tcPr>
            <w:tcW w:w="5000" w:type="pct"/>
            <w:gridSpan w:val="2"/>
            <w:tcBorders>
              <w:bottom w:val="single" w:sz="4" w:space="0" w:color="auto"/>
            </w:tcBorders>
            <w:tcMar>
              <w:top w:w="28" w:type="dxa"/>
              <w:left w:w="57" w:type="dxa"/>
              <w:bottom w:w="28" w:type="dxa"/>
              <w:right w:w="57" w:type="dxa"/>
            </w:tcMar>
          </w:tcPr>
          <w:p w14:paraId="1FADB248" w14:textId="230CA513" w:rsidR="00951F81" w:rsidRDefault="00F908A9" w:rsidP="00F908A9">
            <w:pPr>
              <w:pStyle w:val="BULLETED"/>
              <w:keepNext/>
              <w:widowControl/>
              <w:numPr>
                <w:ilvl w:val="0"/>
                <w:numId w:val="0"/>
              </w:numPr>
              <w:tabs>
                <w:tab w:val="clear" w:pos="810"/>
              </w:tabs>
              <w:spacing w:before="0" w:line="240" w:lineRule="auto"/>
              <w:jc w:val="center"/>
              <w:rPr>
                <w:color w:val="auto"/>
                <w:sz w:val="22"/>
                <w:szCs w:val="22"/>
              </w:rPr>
            </w:pPr>
            <w:r w:rsidRPr="00175354">
              <w:rPr>
                <w:noProof/>
                <w:lang w:val="pl-PL" w:eastAsia="pl-PL"/>
              </w:rPr>
              <w:drawing>
                <wp:inline distT="0" distB="0" distL="0" distR="0" wp14:anchorId="37257ECD" wp14:editId="11B43634">
                  <wp:extent cx="3059430" cy="2905125"/>
                  <wp:effectExtent l="0" t="0" r="762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23780" name=""/>
                          <pic:cNvPicPr/>
                        </pic:nvPicPr>
                        <pic:blipFill>
                          <a:blip r:embed="rId26">
                            <a:extLst>
                              <a:ext uri="{28A0092B-C50C-407E-A947-70E740481C1C}">
                                <a14:useLocalDpi xmlns:a14="http://schemas.microsoft.com/office/drawing/2010/main" val="0"/>
                              </a:ext>
                            </a:extLst>
                          </a:blip>
                          <a:stretch>
                            <a:fillRect/>
                          </a:stretch>
                        </pic:blipFill>
                        <pic:spPr>
                          <a:xfrm>
                            <a:off x="0" y="0"/>
                            <a:ext cx="3059430" cy="2905125"/>
                          </a:xfrm>
                          <a:prstGeom prst="rect">
                            <a:avLst/>
                          </a:prstGeom>
                        </pic:spPr>
                      </pic:pic>
                    </a:graphicData>
                  </a:graphic>
                </wp:inline>
              </w:drawing>
            </w:r>
          </w:p>
        </w:tc>
      </w:tr>
    </w:tbl>
    <w:p w14:paraId="58AA47A9" w14:textId="77777777" w:rsidR="00951F81" w:rsidRDefault="00951F81" w:rsidP="00951F81"/>
    <w:tbl>
      <w:tblPr>
        <w:tblW w:w="494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8368"/>
      </w:tblGrid>
      <w:tr w:rsidR="00951F81" w:rsidRPr="0011121C" w14:paraId="71B8EC25" w14:textId="77777777" w:rsidTr="006172AE">
        <w:trPr>
          <w:cantSplit/>
          <w:trHeight w:val="57"/>
        </w:trPr>
        <w:tc>
          <w:tcPr>
            <w:tcW w:w="331" w:type="pct"/>
            <w:tcMar>
              <w:top w:w="28" w:type="dxa"/>
              <w:left w:w="57" w:type="dxa"/>
              <w:bottom w:w="28" w:type="dxa"/>
              <w:right w:w="57" w:type="dxa"/>
            </w:tcMar>
          </w:tcPr>
          <w:p w14:paraId="178C0892" w14:textId="77777777" w:rsidR="00951F81" w:rsidRDefault="00951F81" w:rsidP="005A10E5">
            <w:pPr>
              <w:keepNext/>
            </w:pPr>
            <w:r>
              <w:t>C</w:t>
            </w:r>
          </w:p>
        </w:tc>
        <w:tc>
          <w:tcPr>
            <w:tcW w:w="4669" w:type="pct"/>
            <w:tcMar>
              <w:left w:w="57" w:type="dxa"/>
              <w:right w:w="57" w:type="dxa"/>
            </w:tcMar>
          </w:tcPr>
          <w:p w14:paraId="72318B46" w14:textId="77777777" w:rsidR="00951F81" w:rsidRDefault="00951F81" w:rsidP="005A10E5">
            <w:pPr>
              <w:keepNext/>
            </w:pPr>
            <w:r>
              <w:t>Pigistage süstekohta sõrmede vahel, et tekiks tugev nahapind.</w:t>
            </w:r>
          </w:p>
        </w:tc>
      </w:tr>
      <w:tr w:rsidR="00951F81" w:rsidRPr="0011121C" w14:paraId="14F46212" w14:textId="77777777" w:rsidTr="006172AE">
        <w:trPr>
          <w:cantSplit/>
          <w:trHeight w:val="57"/>
        </w:trPr>
        <w:tc>
          <w:tcPr>
            <w:tcW w:w="5000" w:type="pct"/>
            <w:gridSpan w:val="2"/>
            <w:tcBorders>
              <w:bottom w:val="nil"/>
            </w:tcBorders>
            <w:tcMar>
              <w:top w:w="28" w:type="dxa"/>
              <w:left w:w="57" w:type="dxa"/>
              <w:bottom w:w="28" w:type="dxa"/>
              <w:right w:w="57" w:type="dxa"/>
            </w:tcMar>
          </w:tcPr>
          <w:p w14:paraId="5E48410C" w14:textId="2DC45C1D" w:rsidR="00951F81" w:rsidRDefault="00F908A9" w:rsidP="00F908A9">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inline distT="0" distB="0" distL="0" distR="0" wp14:anchorId="610E9335" wp14:editId="04AD8CD9">
                  <wp:extent cx="3059430" cy="2887980"/>
                  <wp:effectExtent l="0" t="0" r="762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526677" name=""/>
                          <pic:cNvPicPr/>
                        </pic:nvPicPr>
                        <pic:blipFill>
                          <a:blip r:embed="rId27">
                            <a:extLst>
                              <a:ext uri="{28A0092B-C50C-407E-A947-70E740481C1C}">
                                <a14:useLocalDpi xmlns:a14="http://schemas.microsoft.com/office/drawing/2010/main" val="0"/>
                              </a:ext>
                            </a:extLst>
                          </a:blip>
                          <a:stretch>
                            <a:fillRect/>
                          </a:stretch>
                        </pic:blipFill>
                        <pic:spPr>
                          <a:xfrm>
                            <a:off x="0" y="0"/>
                            <a:ext cx="3059430" cy="2887980"/>
                          </a:xfrm>
                          <a:prstGeom prst="rect">
                            <a:avLst/>
                          </a:prstGeom>
                        </pic:spPr>
                      </pic:pic>
                    </a:graphicData>
                  </a:graphic>
                </wp:inline>
              </w:drawing>
            </w:r>
          </w:p>
        </w:tc>
      </w:tr>
      <w:tr w:rsidR="00951F81" w:rsidRPr="0011121C" w14:paraId="294C7736" w14:textId="77777777" w:rsidTr="006172AE">
        <w:trPr>
          <w:cantSplit/>
          <w:trHeight w:val="57"/>
        </w:trPr>
        <w:tc>
          <w:tcPr>
            <w:tcW w:w="331" w:type="pct"/>
            <w:tcBorders>
              <w:top w:val="nil"/>
              <w:right w:val="nil"/>
            </w:tcBorders>
            <w:tcMar>
              <w:top w:w="28" w:type="dxa"/>
              <w:left w:w="57" w:type="dxa"/>
              <w:bottom w:w="28" w:type="dxa"/>
              <w:right w:w="57" w:type="dxa"/>
            </w:tcMar>
          </w:tcPr>
          <w:p w14:paraId="7E6317EA" w14:textId="37588016" w:rsidR="00951F81" w:rsidRDefault="008657CD" w:rsidP="005A10E5">
            <w:pPr>
              <w:pStyle w:val="BULLETED"/>
              <w:keepNext/>
              <w:widowControl/>
              <w:numPr>
                <w:ilvl w:val="0"/>
                <w:numId w:val="0"/>
              </w:numPr>
              <w:tabs>
                <w:tab w:val="clear" w:pos="810"/>
              </w:tabs>
              <w:spacing w:before="0" w:line="240" w:lineRule="auto"/>
              <w:rPr>
                <w:color w:val="auto"/>
                <w:sz w:val="22"/>
                <w:szCs w:val="22"/>
              </w:rPr>
            </w:pPr>
            <w:r>
              <w:rPr>
                <w:noProof/>
                <w:color w:val="auto"/>
                <w:sz w:val="22"/>
              </w:rPr>
              <w:drawing>
                <wp:inline distT="0" distB="0" distL="0" distR="0" wp14:anchorId="69B141BF" wp14:editId="11B712CA">
                  <wp:extent cx="262255" cy="262255"/>
                  <wp:effectExtent l="0" t="0" r="0" b="0"/>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p>
        </w:tc>
        <w:tc>
          <w:tcPr>
            <w:tcW w:w="4669" w:type="pct"/>
            <w:tcBorders>
              <w:top w:val="nil"/>
              <w:left w:val="nil"/>
            </w:tcBorders>
            <w:vAlign w:val="center"/>
          </w:tcPr>
          <w:p w14:paraId="3A9961DF" w14:textId="77777777" w:rsidR="00951F81" w:rsidRDefault="00951F81" w:rsidP="005A10E5">
            <w:pPr>
              <w:keepNext/>
            </w:pPr>
            <w:r>
              <w:t>Süstimise ajal on oluline hoida nahk sõrmede vahele pigistatuna.</w:t>
            </w:r>
          </w:p>
        </w:tc>
      </w:tr>
    </w:tbl>
    <w:p w14:paraId="75862C3A" w14:textId="77777777" w:rsidR="00951F81" w:rsidRDefault="00951F81" w:rsidP="00951F81"/>
    <w:tbl>
      <w:tblPr>
        <w:tblW w:w="491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8270"/>
      </w:tblGrid>
      <w:tr w:rsidR="00951F81" w:rsidRPr="0011121C" w14:paraId="54779824" w14:textId="77777777" w:rsidTr="006172AE">
        <w:trPr>
          <w:cantSplit/>
          <w:trHeight w:val="57"/>
        </w:trPr>
        <w:tc>
          <w:tcPr>
            <w:tcW w:w="5000" w:type="pct"/>
            <w:gridSpan w:val="2"/>
            <w:tcBorders>
              <w:bottom w:val="single" w:sz="4" w:space="0" w:color="auto"/>
            </w:tcBorders>
            <w:tcMar>
              <w:top w:w="28" w:type="dxa"/>
              <w:left w:w="57" w:type="dxa"/>
              <w:bottom w:w="28" w:type="dxa"/>
            </w:tcMar>
          </w:tcPr>
          <w:p w14:paraId="375BB691" w14:textId="26C7959F" w:rsidR="00951F81" w:rsidRDefault="00951F81" w:rsidP="005A10E5">
            <w:pPr>
              <w:keepNext/>
              <w:jc w:val="center"/>
            </w:pPr>
            <w:r>
              <w:t xml:space="preserve">Samm 3. </w:t>
            </w:r>
            <w:r>
              <w:rPr>
                <w:b/>
              </w:rPr>
              <w:t>Süsti</w:t>
            </w:r>
            <w:r w:rsidR="0056041A">
              <w:rPr>
                <w:b/>
              </w:rPr>
              <w:t>mine</w:t>
            </w:r>
          </w:p>
        </w:tc>
      </w:tr>
      <w:tr w:rsidR="00951F81" w:rsidRPr="0011121C" w14:paraId="49D890CE" w14:textId="77777777" w:rsidTr="006172AE">
        <w:trPr>
          <w:cantSplit/>
          <w:trHeight w:val="57"/>
        </w:trPr>
        <w:tc>
          <w:tcPr>
            <w:tcW w:w="354" w:type="pct"/>
            <w:tcBorders>
              <w:bottom w:val="single" w:sz="4" w:space="0" w:color="auto"/>
            </w:tcBorders>
            <w:tcMar>
              <w:top w:w="28" w:type="dxa"/>
              <w:left w:w="57" w:type="dxa"/>
              <w:bottom w:w="28" w:type="dxa"/>
            </w:tcMar>
          </w:tcPr>
          <w:p w14:paraId="0B147127" w14:textId="77777777" w:rsidR="00951F81" w:rsidRDefault="00951F81" w:rsidP="005A10E5">
            <w:pPr>
              <w:keepNext/>
            </w:pPr>
            <w:r>
              <w:t>A</w:t>
            </w:r>
          </w:p>
        </w:tc>
        <w:tc>
          <w:tcPr>
            <w:tcW w:w="4646" w:type="pct"/>
            <w:tcBorders>
              <w:bottom w:val="single" w:sz="4" w:space="0" w:color="auto"/>
            </w:tcBorders>
            <w:tcMar>
              <w:left w:w="57" w:type="dxa"/>
              <w:right w:w="57" w:type="dxa"/>
            </w:tcMar>
          </w:tcPr>
          <w:p w14:paraId="2A459101" w14:textId="77777777" w:rsidR="00951F81" w:rsidRDefault="00951F81" w:rsidP="005A10E5">
            <w:pPr>
              <w:keepNext/>
            </w:pPr>
            <w:r>
              <w:t>Hoidke nahk sõrmede vahele pigistatuna. TORGAKE nõel naha sisse.</w:t>
            </w:r>
          </w:p>
        </w:tc>
      </w:tr>
      <w:tr w:rsidR="00951F81" w:rsidRPr="0011121C" w14:paraId="44612A24" w14:textId="77777777" w:rsidTr="006172AE">
        <w:trPr>
          <w:cantSplit/>
          <w:trHeight w:val="57"/>
        </w:trPr>
        <w:tc>
          <w:tcPr>
            <w:tcW w:w="5000" w:type="pct"/>
            <w:gridSpan w:val="2"/>
            <w:tcBorders>
              <w:top w:val="single" w:sz="4" w:space="0" w:color="auto"/>
              <w:bottom w:val="nil"/>
            </w:tcBorders>
            <w:tcMar>
              <w:top w:w="28" w:type="dxa"/>
              <w:left w:w="57" w:type="dxa"/>
              <w:bottom w:w="28" w:type="dxa"/>
            </w:tcMar>
          </w:tcPr>
          <w:p w14:paraId="14380694" w14:textId="7062AAE9" w:rsidR="00951F81" w:rsidRDefault="00F908A9" w:rsidP="005A10E5">
            <w:pPr>
              <w:pStyle w:val="BULLETED"/>
              <w:keepNext/>
              <w:widowControl/>
              <w:numPr>
                <w:ilvl w:val="0"/>
                <w:numId w:val="0"/>
              </w:numPr>
              <w:tabs>
                <w:tab w:val="clear" w:pos="810"/>
              </w:tabs>
              <w:spacing w:before="0" w:line="240" w:lineRule="auto"/>
              <w:jc w:val="center"/>
              <w:rPr>
                <w:color w:val="auto"/>
                <w:sz w:val="22"/>
                <w:szCs w:val="22"/>
              </w:rPr>
            </w:pPr>
            <w:r w:rsidRPr="005F2964">
              <w:rPr>
                <w:noProof/>
                <w:lang w:val="pl-PL" w:eastAsia="pl-PL"/>
              </w:rPr>
              <w:drawing>
                <wp:inline distT="0" distB="0" distL="0" distR="0" wp14:anchorId="1443A0C9" wp14:editId="07D4BF70">
                  <wp:extent cx="3059430" cy="2867660"/>
                  <wp:effectExtent l="0" t="0" r="7620" b="889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924" name=""/>
                          <pic:cNvPicPr/>
                        </pic:nvPicPr>
                        <pic:blipFill>
                          <a:blip r:embed="rId28">
                            <a:extLst>
                              <a:ext uri="{28A0092B-C50C-407E-A947-70E740481C1C}">
                                <a14:useLocalDpi xmlns:a14="http://schemas.microsoft.com/office/drawing/2010/main" val="0"/>
                              </a:ext>
                            </a:extLst>
                          </a:blip>
                          <a:stretch>
                            <a:fillRect/>
                          </a:stretch>
                        </pic:blipFill>
                        <pic:spPr>
                          <a:xfrm>
                            <a:off x="0" y="0"/>
                            <a:ext cx="3059430" cy="2867660"/>
                          </a:xfrm>
                          <a:prstGeom prst="rect">
                            <a:avLst/>
                          </a:prstGeom>
                        </pic:spPr>
                      </pic:pic>
                    </a:graphicData>
                  </a:graphic>
                </wp:inline>
              </w:drawing>
            </w:r>
          </w:p>
        </w:tc>
      </w:tr>
      <w:tr w:rsidR="00951F81" w:rsidRPr="0011121C" w14:paraId="1819709B"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5E9A80C4" w14:textId="25B1E8A6" w:rsidR="00951F81" w:rsidRDefault="008657CD"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1824" behindDoc="0" locked="0" layoutInCell="1" allowOverlap="1" wp14:anchorId="4589894D" wp14:editId="0889B358">
                  <wp:simplePos x="0" y="0"/>
                  <wp:positionH relativeFrom="column">
                    <wp:posOffset>14605</wp:posOffset>
                  </wp:positionH>
                  <wp:positionV relativeFrom="paragraph">
                    <wp:posOffset>22225</wp:posOffset>
                  </wp:positionV>
                  <wp:extent cx="119380" cy="119380"/>
                  <wp:effectExtent l="0" t="0" r="0" b="0"/>
                  <wp:wrapNone/>
                  <wp:docPr id="50"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tcPr>
          <w:p w14:paraId="684AC94D" w14:textId="77777777" w:rsidR="00951F81" w:rsidRDefault="00951F81" w:rsidP="005A10E5">
            <w:pPr>
              <w:keepNext/>
            </w:pPr>
            <w:r>
              <w:rPr>
                <w:b/>
              </w:rPr>
              <w:t>Ärge</w:t>
            </w:r>
            <w:r>
              <w:t xml:space="preserve"> puudutage puhastatud nahapinda.</w:t>
            </w:r>
          </w:p>
        </w:tc>
      </w:tr>
    </w:tbl>
    <w:p w14:paraId="2301B7C9"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1"/>
        <w:gridCol w:w="8328"/>
      </w:tblGrid>
      <w:tr w:rsidR="00951F81" w:rsidRPr="0011121C" w14:paraId="39960EE3" w14:textId="77777777" w:rsidTr="006172AE">
        <w:trPr>
          <w:cantSplit/>
          <w:trHeight w:val="57"/>
        </w:trPr>
        <w:tc>
          <w:tcPr>
            <w:tcW w:w="347" w:type="pct"/>
            <w:tcBorders>
              <w:bottom w:val="single" w:sz="4" w:space="0" w:color="auto"/>
            </w:tcBorders>
            <w:tcMar>
              <w:top w:w="28" w:type="dxa"/>
              <w:left w:w="57" w:type="dxa"/>
              <w:bottom w:w="28" w:type="dxa"/>
            </w:tcMar>
          </w:tcPr>
          <w:p w14:paraId="13F46CD1" w14:textId="77777777" w:rsidR="00951F81" w:rsidRDefault="00951F81" w:rsidP="005A10E5">
            <w:pPr>
              <w:keepNext/>
            </w:pPr>
            <w:r>
              <w:t>B</w:t>
            </w:r>
          </w:p>
        </w:tc>
        <w:tc>
          <w:tcPr>
            <w:tcW w:w="4653" w:type="pct"/>
            <w:tcBorders>
              <w:bottom w:val="single" w:sz="4" w:space="0" w:color="auto"/>
            </w:tcBorders>
            <w:tcMar>
              <w:left w:w="57" w:type="dxa"/>
              <w:right w:w="57" w:type="dxa"/>
            </w:tcMar>
          </w:tcPr>
          <w:p w14:paraId="22FF5CC1" w14:textId="140A50B2" w:rsidR="00951F81" w:rsidRDefault="00951F81" w:rsidP="005A10E5">
            <w:pPr>
              <w:keepNext/>
            </w:pPr>
            <w:r>
              <w:t>SURUGE kolbi aeglaselt ja ühtlaselt vajutades,</w:t>
            </w:r>
            <w:r w:rsidR="00F908A9">
              <w:t xml:space="preserve"> s</w:t>
            </w:r>
            <w:r>
              <w:t>uruge kolb lõpuni alla.</w:t>
            </w:r>
          </w:p>
        </w:tc>
      </w:tr>
      <w:tr w:rsidR="00951F81" w:rsidRPr="0011121C" w14:paraId="77A9AD0A" w14:textId="77777777" w:rsidTr="006172AE">
        <w:trPr>
          <w:cantSplit/>
          <w:trHeight w:val="57"/>
        </w:trPr>
        <w:tc>
          <w:tcPr>
            <w:tcW w:w="5000" w:type="pct"/>
            <w:gridSpan w:val="2"/>
            <w:tcBorders>
              <w:bottom w:val="nil"/>
            </w:tcBorders>
            <w:tcMar>
              <w:top w:w="28" w:type="dxa"/>
              <w:left w:w="57" w:type="dxa"/>
              <w:bottom w:w="28" w:type="dxa"/>
            </w:tcMar>
          </w:tcPr>
          <w:tbl>
            <w:tblPr>
              <w:tblW w:w="9222" w:type="dxa"/>
              <w:tblLayout w:type="fixed"/>
              <w:tblCellMar>
                <w:left w:w="0" w:type="dxa"/>
                <w:right w:w="0" w:type="dxa"/>
              </w:tblCellMar>
              <w:tblLook w:val="04A0" w:firstRow="1" w:lastRow="0" w:firstColumn="1" w:lastColumn="0" w:noHBand="0" w:noVBand="1"/>
            </w:tblPr>
            <w:tblGrid>
              <w:gridCol w:w="9222"/>
            </w:tblGrid>
            <w:tr w:rsidR="00F908A9" w:rsidRPr="0011121C" w14:paraId="5FF5549F" w14:textId="77777777" w:rsidTr="00634C1E">
              <w:trPr>
                <w:trHeight w:val="4872"/>
              </w:trPr>
              <w:tc>
                <w:tcPr>
                  <w:tcW w:w="9222" w:type="dxa"/>
                  <w:tcMar>
                    <w:top w:w="0" w:type="dxa"/>
                    <w:left w:w="0" w:type="dxa"/>
                    <w:bottom w:w="0" w:type="dxa"/>
                    <w:right w:w="0" w:type="dxa"/>
                  </w:tcMar>
                  <w:vAlign w:val="bottom"/>
                </w:tcPr>
                <w:p w14:paraId="4CC5EBD6" w14:textId="1C355F50" w:rsidR="00F908A9" w:rsidRDefault="00F908A9" w:rsidP="00F908A9">
                  <w:pPr>
                    <w:pStyle w:val="BULLETED"/>
                    <w:keepNext/>
                    <w:widowControl/>
                    <w:numPr>
                      <w:ilvl w:val="0"/>
                      <w:numId w:val="0"/>
                    </w:numPr>
                    <w:tabs>
                      <w:tab w:val="clear" w:pos="810"/>
                    </w:tabs>
                    <w:snapToGrid w:val="0"/>
                    <w:spacing w:before="0" w:line="240" w:lineRule="auto"/>
                    <w:jc w:val="center"/>
                    <w:rPr>
                      <w:b/>
                      <w:color w:val="auto"/>
                      <w:sz w:val="10"/>
                      <w:szCs w:val="10"/>
                    </w:rPr>
                  </w:pPr>
                  <w:r w:rsidRPr="00304F28">
                    <w:rPr>
                      <w:noProof/>
                      <w:lang w:val="pl-PL" w:eastAsia="pl-PL"/>
                    </w:rPr>
                    <w:drawing>
                      <wp:inline distT="0" distB="0" distL="0" distR="0" wp14:anchorId="46963689" wp14:editId="0FBA771B">
                        <wp:extent cx="3059430" cy="2914015"/>
                        <wp:effectExtent l="0" t="0" r="762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51482" name=""/>
                                <pic:cNvPicPr/>
                              </pic:nvPicPr>
                              <pic:blipFill>
                                <a:blip r:embed="rId29">
                                  <a:extLst>
                                    <a:ext uri="{28A0092B-C50C-407E-A947-70E740481C1C}">
                                      <a14:useLocalDpi xmlns:a14="http://schemas.microsoft.com/office/drawing/2010/main" val="0"/>
                                    </a:ext>
                                  </a:extLst>
                                </a:blip>
                                <a:stretch>
                                  <a:fillRect/>
                                </a:stretch>
                              </pic:blipFill>
                              <pic:spPr>
                                <a:xfrm>
                                  <a:off x="0" y="0"/>
                                  <a:ext cx="3059430" cy="2914015"/>
                                </a:xfrm>
                                <a:prstGeom prst="rect">
                                  <a:avLst/>
                                </a:prstGeom>
                              </pic:spPr>
                            </pic:pic>
                          </a:graphicData>
                        </a:graphic>
                      </wp:inline>
                    </w:drawing>
                  </w:r>
                </w:p>
              </w:tc>
            </w:tr>
          </w:tbl>
          <w:p w14:paraId="5CC7CA53" w14:textId="77777777" w:rsidR="00951F81" w:rsidRDefault="00951F81" w:rsidP="005A10E5">
            <w:pPr>
              <w:pStyle w:val="BULLETED"/>
              <w:keepNext/>
              <w:widowControl/>
              <w:numPr>
                <w:ilvl w:val="0"/>
                <w:numId w:val="0"/>
              </w:numPr>
              <w:tabs>
                <w:tab w:val="clear" w:pos="810"/>
              </w:tabs>
              <w:spacing w:before="60" w:line="240" w:lineRule="auto"/>
              <w:rPr>
                <w:color w:val="auto"/>
                <w:sz w:val="22"/>
                <w:szCs w:val="22"/>
                <w:lang w:val="en-GB"/>
              </w:rPr>
            </w:pPr>
          </w:p>
        </w:tc>
      </w:tr>
      <w:tr w:rsidR="00F908A9" w:rsidRPr="0011121C" w14:paraId="13626A67" w14:textId="77777777" w:rsidTr="00F908A9">
        <w:trPr>
          <w:cantSplit/>
          <w:trHeight w:val="57"/>
        </w:trPr>
        <w:tc>
          <w:tcPr>
            <w:tcW w:w="5000" w:type="pct"/>
            <w:gridSpan w:val="2"/>
            <w:tcBorders>
              <w:top w:val="nil"/>
              <w:bottom w:val="single" w:sz="4" w:space="0" w:color="auto"/>
            </w:tcBorders>
            <w:tcMar>
              <w:top w:w="28" w:type="dxa"/>
              <w:left w:w="57" w:type="dxa"/>
              <w:bottom w:w="28" w:type="dxa"/>
            </w:tcMar>
          </w:tcPr>
          <w:p w14:paraId="5E62E7C5" w14:textId="55F55996" w:rsidR="00F908A9" w:rsidRDefault="00F908A9" w:rsidP="005A10E5">
            <w:pPr>
              <w:keepNext/>
            </w:pPr>
          </w:p>
        </w:tc>
      </w:tr>
    </w:tbl>
    <w:p w14:paraId="4198B23B"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8315"/>
      </w:tblGrid>
      <w:tr w:rsidR="00951F81" w:rsidRPr="0011121C" w14:paraId="4ECA202A" w14:textId="77777777" w:rsidTr="006172AE">
        <w:trPr>
          <w:cantSplit/>
          <w:trHeight w:val="57"/>
        </w:trPr>
        <w:tc>
          <w:tcPr>
            <w:tcW w:w="354" w:type="pct"/>
            <w:tcBorders>
              <w:bottom w:val="single" w:sz="4" w:space="0" w:color="auto"/>
            </w:tcBorders>
            <w:tcMar>
              <w:top w:w="28" w:type="dxa"/>
              <w:left w:w="57" w:type="dxa"/>
              <w:bottom w:w="28" w:type="dxa"/>
            </w:tcMar>
            <w:vAlign w:val="center"/>
          </w:tcPr>
          <w:p w14:paraId="19FA5FD9" w14:textId="77777777" w:rsidR="00951F81" w:rsidRDefault="00951F81" w:rsidP="005A10E5">
            <w:pPr>
              <w:keepNext/>
            </w:pPr>
            <w:r>
              <w:t>C</w:t>
            </w:r>
          </w:p>
        </w:tc>
        <w:tc>
          <w:tcPr>
            <w:tcW w:w="4646" w:type="pct"/>
            <w:tcBorders>
              <w:bottom w:val="single" w:sz="4" w:space="0" w:color="auto"/>
            </w:tcBorders>
            <w:tcMar>
              <w:top w:w="28" w:type="dxa"/>
              <w:left w:w="57" w:type="dxa"/>
              <w:bottom w:w="28" w:type="dxa"/>
              <w:right w:w="57" w:type="dxa"/>
            </w:tcMar>
            <w:vAlign w:val="center"/>
          </w:tcPr>
          <w:p w14:paraId="353BB637" w14:textId="77777777" w:rsidR="00951F81" w:rsidRDefault="00951F81" w:rsidP="005A10E5">
            <w:pPr>
              <w:keepNext/>
            </w:pPr>
            <w:r>
              <w:t>VABASTAGE pöial. Seejärel TÕSTKE süstal nahast välja.</w:t>
            </w:r>
          </w:p>
        </w:tc>
      </w:tr>
      <w:tr w:rsidR="00951F81" w:rsidRPr="0011121C" w14:paraId="40854E5B" w14:textId="77777777" w:rsidTr="006172AE">
        <w:trPr>
          <w:cantSplit/>
          <w:trHeight w:val="57"/>
        </w:trPr>
        <w:tc>
          <w:tcPr>
            <w:tcW w:w="5000" w:type="pct"/>
            <w:gridSpan w:val="2"/>
            <w:tcBorders>
              <w:bottom w:val="nil"/>
            </w:tcBorders>
            <w:tcMar>
              <w:top w:w="28" w:type="dxa"/>
              <w:left w:w="57" w:type="dxa"/>
              <w:bottom w:w="28" w:type="dxa"/>
            </w:tcMar>
          </w:tcPr>
          <w:p w14:paraId="3B40D056" w14:textId="77FCB5AD" w:rsidR="00951F81" w:rsidRDefault="00F908A9" w:rsidP="005A10E5">
            <w:pPr>
              <w:pStyle w:val="BULLETED"/>
              <w:keepNext/>
              <w:widowControl/>
              <w:numPr>
                <w:ilvl w:val="0"/>
                <w:numId w:val="0"/>
              </w:numPr>
              <w:tabs>
                <w:tab w:val="clear" w:pos="810"/>
              </w:tabs>
              <w:spacing w:before="0" w:line="240" w:lineRule="auto"/>
              <w:jc w:val="center"/>
              <w:rPr>
                <w:color w:val="auto"/>
                <w:sz w:val="22"/>
                <w:szCs w:val="22"/>
              </w:rPr>
            </w:pPr>
            <w:r w:rsidRPr="00304F28">
              <w:rPr>
                <w:noProof/>
                <w:lang w:val="pl-PL" w:eastAsia="pl-PL"/>
              </w:rPr>
              <w:drawing>
                <wp:inline distT="0" distB="0" distL="0" distR="0" wp14:anchorId="34D2A0A4" wp14:editId="785D69B7">
                  <wp:extent cx="3059430" cy="2923540"/>
                  <wp:effectExtent l="0" t="0" r="762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2767" name=""/>
                          <pic:cNvPicPr/>
                        </pic:nvPicPr>
                        <pic:blipFill>
                          <a:blip r:embed="rId30">
                            <a:extLst>
                              <a:ext uri="{28A0092B-C50C-407E-A947-70E740481C1C}">
                                <a14:useLocalDpi xmlns:a14="http://schemas.microsoft.com/office/drawing/2010/main" val="0"/>
                              </a:ext>
                            </a:extLst>
                          </a:blip>
                          <a:stretch>
                            <a:fillRect/>
                          </a:stretch>
                        </pic:blipFill>
                        <pic:spPr>
                          <a:xfrm>
                            <a:off x="0" y="0"/>
                            <a:ext cx="3059430" cy="2923540"/>
                          </a:xfrm>
                          <a:prstGeom prst="rect">
                            <a:avLst/>
                          </a:prstGeom>
                        </pic:spPr>
                      </pic:pic>
                    </a:graphicData>
                  </a:graphic>
                </wp:inline>
              </w:drawing>
            </w:r>
          </w:p>
        </w:tc>
      </w:tr>
      <w:tr w:rsidR="00951F81" w:rsidRPr="0011121C" w14:paraId="26BE9B81" w14:textId="77777777" w:rsidTr="006172AE">
        <w:trPr>
          <w:cantSplit/>
          <w:trHeight w:val="57"/>
        </w:trPr>
        <w:tc>
          <w:tcPr>
            <w:tcW w:w="5000" w:type="pct"/>
            <w:gridSpan w:val="2"/>
            <w:tcBorders>
              <w:top w:val="nil"/>
              <w:bottom w:val="nil"/>
            </w:tcBorders>
            <w:tcMar>
              <w:top w:w="28" w:type="dxa"/>
              <w:left w:w="57" w:type="dxa"/>
              <w:bottom w:w="28" w:type="dxa"/>
            </w:tcMar>
          </w:tcPr>
          <w:p w14:paraId="551BCE1A" w14:textId="51C3CD2D" w:rsidR="00951F81" w:rsidRDefault="00951F81" w:rsidP="005A10E5">
            <w:pPr>
              <w:keepNext/>
            </w:pPr>
            <w:r>
              <w:t xml:space="preserve">Pärast kolvi vabastamist süstli </w:t>
            </w:r>
            <w:r w:rsidR="00206450">
              <w:t>kaitse</w:t>
            </w:r>
            <w:r>
              <w:t>kate katab ohutult nõela.</w:t>
            </w:r>
          </w:p>
        </w:tc>
      </w:tr>
      <w:tr w:rsidR="00951F81" w:rsidRPr="0011121C" w14:paraId="05702EDC" w14:textId="77777777" w:rsidTr="006172AE">
        <w:trPr>
          <w:cantSplit/>
          <w:trHeight w:val="57"/>
        </w:trPr>
        <w:tc>
          <w:tcPr>
            <w:tcW w:w="354" w:type="pct"/>
            <w:tcBorders>
              <w:top w:val="nil"/>
              <w:bottom w:val="single" w:sz="4" w:space="0" w:color="auto"/>
              <w:right w:val="nil"/>
            </w:tcBorders>
            <w:tcMar>
              <w:top w:w="28" w:type="dxa"/>
              <w:left w:w="57" w:type="dxa"/>
              <w:bottom w:w="28" w:type="dxa"/>
            </w:tcMar>
          </w:tcPr>
          <w:p w14:paraId="79607874" w14:textId="3CD0C7ED" w:rsidR="00951F81" w:rsidRDefault="008657CD" w:rsidP="005A10E5">
            <w:pPr>
              <w:pStyle w:val="BULLETED"/>
              <w:keepNext/>
              <w:widowControl/>
              <w:numPr>
                <w:ilvl w:val="0"/>
                <w:numId w:val="0"/>
              </w:numPr>
              <w:tabs>
                <w:tab w:val="clear" w:pos="810"/>
              </w:tabs>
              <w:spacing w:before="0" w:line="240" w:lineRule="auto"/>
              <w:rPr>
                <w:color w:val="auto"/>
                <w:sz w:val="22"/>
                <w:szCs w:val="22"/>
              </w:rPr>
            </w:pPr>
            <w:r>
              <w:rPr>
                <w:noProof/>
              </w:rPr>
              <w:drawing>
                <wp:anchor distT="0" distB="0" distL="114300" distR="114300" simplePos="0" relativeHeight="251662848" behindDoc="0" locked="0" layoutInCell="1" allowOverlap="1" wp14:anchorId="7D51A836" wp14:editId="4A305F9C">
                  <wp:simplePos x="0" y="0"/>
                  <wp:positionH relativeFrom="column">
                    <wp:posOffset>14605</wp:posOffset>
                  </wp:positionH>
                  <wp:positionV relativeFrom="paragraph">
                    <wp:posOffset>22225</wp:posOffset>
                  </wp:positionV>
                  <wp:extent cx="119380" cy="119380"/>
                  <wp:effectExtent l="0" t="0" r="0" b="0"/>
                  <wp:wrapNone/>
                  <wp:docPr id="51"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646" w:type="pct"/>
            <w:tcBorders>
              <w:top w:val="nil"/>
              <w:left w:val="nil"/>
              <w:bottom w:val="single" w:sz="4" w:space="0" w:color="auto"/>
            </w:tcBorders>
            <w:tcMar>
              <w:left w:w="0" w:type="dxa"/>
            </w:tcMar>
            <w:vAlign w:val="center"/>
          </w:tcPr>
          <w:p w14:paraId="04F9FD1F" w14:textId="77777777" w:rsidR="00951F81" w:rsidRDefault="00951F81" w:rsidP="005A10E5">
            <w:pPr>
              <w:keepNext/>
            </w:pPr>
            <w:r>
              <w:rPr>
                <w:b/>
              </w:rPr>
              <w:t>Ärge</w:t>
            </w:r>
            <w:r>
              <w:t xml:space="preserve"> pange halli nõelakatet tagasi kasutatud süstlile.</w:t>
            </w:r>
          </w:p>
        </w:tc>
      </w:tr>
    </w:tbl>
    <w:p w14:paraId="3BC261EC"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rsidRPr="0011121C" w14:paraId="70623931" w14:textId="77777777" w:rsidTr="006172AE">
        <w:trPr>
          <w:cantSplit/>
          <w:trHeight w:val="57"/>
        </w:trPr>
        <w:tc>
          <w:tcPr>
            <w:tcW w:w="5000" w:type="pct"/>
            <w:gridSpan w:val="2"/>
            <w:tcMar>
              <w:top w:w="28" w:type="dxa"/>
              <w:left w:w="57" w:type="dxa"/>
              <w:bottom w:w="28" w:type="dxa"/>
              <w:right w:w="57" w:type="dxa"/>
            </w:tcMar>
          </w:tcPr>
          <w:p w14:paraId="2B3376D3" w14:textId="0FC599DE" w:rsidR="00951F81" w:rsidRDefault="00951F81" w:rsidP="005A10E5">
            <w:pPr>
              <w:keepNext/>
              <w:jc w:val="center"/>
            </w:pPr>
            <w:r>
              <w:t xml:space="preserve">Samm 4. </w:t>
            </w:r>
            <w:r>
              <w:rPr>
                <w:b/>
              </w:rPr>
              <w:t>Lõpet</w:t>
            </w:r>
            <w:r w:rsidR="0056041A">
              <w:rPr>
                <w:b/>
              </w:rPr>
              <w:t>us</w:t>
            </w:r>
          </w:p>
        </w:tc>
      </w:tr>
      <w:tr w:rsidR="00951F81" w:rsidRPr="0011121C" w14:paraId="03F9BCA8" w14:textId="77777777" w:rsidTr="006172AE">
        <w:trPr>
          <w:cantSplit/>
          <w:trHeight w:val="57"/>
        </w:trPr>
        <w:tc>
          <w:tcPr>
            <w:tcW w:w="294" w:type="pct"/>
            <w:tcBorders>
              <w:bottom w:val="single" w:sz="4" w:space="0" w:color="auto"/>
            </w:tcBorders>
            <w:tcMar>
              <w:top w:w="28" w:type="dxa"/>
              <w:left w:w="57" w:type="dxa"/>
              <w:bottom w:w="28" w:type="dxa"/>
              <w:right w:w="57" w:type="dxa"/>
            </w:tcMar>
          </w:tcPr>
          <w:p w14:paraId="03390404" w14:textId="77777777" w:rsidR="00951F81" w:rsidRDefault="00951F81" w:rsidP="005A10E5">
            <w:pPr>
              <w:keepNext/>
            </w:pPr>
            <w:r>
              <w:t>A</w:t>
            </w:r>
          </w:p>
        </w:tc>
        <w:tc>
          <w:tcPr>
            <w:tcW w:w="4706" w:type="pct"/>
            <w:tcBorders>
              <w:bottom w:val="single" w:sz="4" w:space="0" w:color="auto"/>
            </w:tcBorders>
            <w:tcMar>
              <w:left w:w="57" w:type="dxa"/>
              <w:right w:w="57" w:type="dxa"/>
            </w:tcMar>
          </w:tcPr>
          <w:p w14:paraId="3D5BC0A1" w14:textId="77777777" w:rsidR="00951F81" w:rsidRDefault="00951F81" w:rsidP="005A10E5">
            <w:pPr>
              <w:keepNext/>
            </w:pPr>
            <w:r>
              <w:t>Pange kasutatud süstel ja teised vahendid teravate jäätmete mahutisse.</w:t>
            </w:r>
          </w:p>
        </w:tc>
      </w:tr>
      <w:tr w:rsidR="00951F81" w:rsidRPr="0011121C" w14:paraId="5A1D27BC" w14:textId="77777777" w:rsidTr="006172AE">
        <w:trPr>
          <w:cantSplit/>
          <w:trHeight w:val="57"/>
        </w:trPr>
        <w:tc>
          <w:tcPr>
            <w:tcW w:w="5000" w:type="pct"/>
            <w:gridSpan w:val="2"/>
            <w:tcBorders>
              <w:bottom w:val="nil"/>
            </w:tcBorders>
            <w:tcMar>
              <w:top w:w="28" w:type="dxa"/>
              <w:left w:w="57" w:type="dxa"/>
              <w:bottom w:w="28" w:type="dxa"/>
              <w:right w:w="57" w:type="dxa"/>
            </w:tcMar>
          </w:tcPr>
          <w:p w14:paraId="1EC72D2F" w14:textId="4E7F63FA" w:rsidR="00951F81" w:rsidRDefault="00F908A9" w:rsidP="005A10E5">
            <w:pPr>
              <w:pStyle w:val="BULLETED"/>
              <w:keepNext/>
              <w:widowControl/>
              <w:numPr>
                <w:ilvl w:val="0"/>
                <w:numId w:val="0"/>
              </w:numPr>
              <w:spacing w:before="0" w:line="240" w:lineRule="auto"/>
              <w:jc w:val="center"/>
              <w:rPr>
                <w:color w:val="auto"/>
                <w:sz w:val="22"/>
                <w:szCs w:val="22"/>
              </w:rPr>
            </w:pPr>
            <w:r w:rsidRPr="00304F28">
              <w:rPr>
                <w:noProof/>
                <w:lang w:val="pl-PL" w:eastAsia="pl-PL"/>
              </w:rPr>
              <w:drawing>
                <wp:inline distT="0" distB="0" distL="0" distR="0" wp14:anchorId="082B3A7A" wp14:editId="66858B5A">
                  <wp:extent cx="3060000" cy="2906494"/>
                  <wp:effectExtent l="0" t="0" r="7620" b="825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52089" name=""/>
                          <pic:cNvPicPr/>
                        </pic:nvPicPr>
                        <pic:blipFill>
                          <a:blip r:embed="rId31">
                            <a:extLst>
                              <a:ext uri="{28A0092B-C50C-407E-A947-70E740481C1C}">
                                <a14:useLocalDpi xmlns:a14="http://schemas.microsoft.com/office/drawing/2010/main" val="0"/>
                              </a:ext>
                            </a:extLst>
                          </a:blip>
                          <a:stretch>
                            <a:fillRect/>
                          </a:stretch>
                        </pic:blipFill>
                        <pic:spPr>
                          <a:xfrm>
                            <a:off x="0" y="0"/>
                            <a:ext cx="3060000" cy="2906494"/>
                          </a:xfrm>
                          <a:prstGeom prst="rect">
                            <a:avLst/>
                          </a:prstGeom>
                        </pic:spPr>
                      </pic:pic>
                    </a:graphicData>
                  </a:graphic>
                </wp:inline>
              </w:drawing>
            </w:r>
          </w:p>
        </w:tc>
      </w:tr>
      <w:tr w:rsidR="00951F81" w:rsidRPr="0011121C" w14:paraId="6E63FB83" w14:textId="77777777" w:rsidTr="006172AE">
        <w:trPr>
          <w:cantSplit/>
          <w:trHeight w:val="57"/>
        </w:trPr>
        <w:tc>
          <w:tcPr>
            <w:tcW w:w="5000" w:type="pct"/>
            <w:gridSpan w:val="2"/>
            <w:tcBorders>
              <w:top w:val="nil"/>
              <w:bottom w:val="nil"/>
            </w:tcBorders>
            <w:tcMar>
              <w:top w:w="28" w:type="dxa"/>
              <w:left w:w="57" w:type="dxa"/>
              <w:bottom w:w="28" w:type="dxa"/>
              <w:right w:w="57" w:type="dxa"/>
            </w:tcMar>
          </w:tcPr>
          <w:p w14:paraId="2B8A31F6" w14:textId="77777777" w:rsidR="00951F81" w:rsidRDefault="00951F81" w:rsidP="005A10E5">
            <w:pPr>
              <w:keepNext/>
            </w:pPr>
            <w:r>
              <w:t>Ravimeid tuleb hävitada vastavalt kohalikele nõuetele. Küsige oma apteekrilt, kuidas visata ära ravimeid, mida te enam ei kasuta. Need meetmed aitavad kaitsta keskkonda.</w:t>
            </w:r>
          </w:p>
          <w:p w14:paraId="6FAB7BF6" w14:textId="77777777" w:rsidR="00951F81" w:rsidRDefault="00951F81" w:rsidP="005A10E5">
            <w:pPr>
              <w:keepNext/>
            </w:pPr>
          </w:p>
          <w:p w14:paraId="20BF8527" w14:textId="77777777" w:rsidR="00951F81" w:rsidRDefault="00951F81" w:rsidP="005A10E5">
            <w:pPr>
              <w:keepNext/>
            </w:pPr>
            <w:r>
              <w:t>Hoidke süstal ja teravad esemed jäätmete mahutis, laste eest varjatud ja kättesaamatus kohas.</w:t>
            </w:r>
          </w:p>
        </w:tc>
      </w:tr>
      <w:tr w:rsidR="00951F81" w:rsidRPr="0011121C" w14:paraId="6957461A" w14:textId="77777777" w:rsidTr="006172AE">
        <w:trPr>
          <w:cantSplit/>
          <w:trHeight w:val="57"/>
        </w:trPr>
        <w:tc>
          <w:tcPr>
            <w:tcW w:w="294" w:type="pct"/>
            <w:tcBorders>
              <w:top w:val="nil"/>
              <w:bottom w:val="nil"/>
              <w:right w:val="nil"/>
            </w:tcBorders>
            <w:tcMar>
              <w:top w:w="28" w:type="dxa"/>
              <w:left w:w="57" w:type="dxa"/>
              <w:bottom w:w="28" w:type="dxa"/>
              <w:right w:w="57" w:type="dxa"/>
            </w:tcMar>
          </w:tcPr>
          <w:p w14:paraId="0CB4C256" w14:textId="12D80EFB" w:rsidR="00951F81" w:rsidRDefault="008657CD"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3872" behindDoc="0" locked="0" layoutInCell="1" allowOverlap="1" wp14:anchorId="40AF115C" wp14:editId="2BC3D53B">
                  <wp:simplePos x="0" y="0"/>
                  <wp:positionH relativeFrom="column">
                    <wp:posOffset>14605</wp:posOffset>
                  </wp:positionH>
                  <wp:positionV relativeFrom="paragraph">
                    <wp:posOffset>22225</wp:posOffset>
                  </wp:positionV>
                  <wp:extent cx="119380" cy="119380"/>
                  <wp:effectExtent l="0" t="0" r="0" b="0"/>
                  <wp:wrapNone/>
                  <wp:docPr id="52"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nil"/>
            </w:tcBorders>
            <w:tcMar>
              <w:left w:w="0" w:type="dxa"/>
              <w:right w:w="57" w:type="dxa"/>
            </w:tcMar>
          </w:tcPr>
          <w:p w14:paraId="0D900688" w14:textId="77777777" w:rsidR="00951F81" w:rsidRDefault="00951F81" w:rsidP="005A10E5">
            <w:pPr>
              <w:keepNext/>
            </w:pPr>
            <w:r>
              <w:rPr>
                <w:b/>
              </w:rPr>
              <w:t>Ärge</w:t>
            </w:r>
            <w:r>
              <w:t xml:space="preserve"> kasutage süstlit korduvalt.</w:t>
            </w:r>
          </w:p>
        </w:tc>
      </w:tr>
      <w:tr w:rsidR="00951F81" w:rsidRPr="0011121C" w14:paraId="573992BB" w14:textId="77777777" w:rsidTr="006172AE">
        <w:trPr>
          <w:cantSplit/>
          <w:trHeight w:val="57"/>
        </w:trPr>
        <w:tc>
          <w:tcPr>
            <w:tcW w:w="294" w:type="pct"/>
            <w:tcBorders>
              <w:top w:val="nil"/>
              <w:bottom w:val="single" w:sz="4" w:space="0" w:color="auto"/>
              <w:right w:val="nil"/>
            </w:tcBorders>
            <w:tcMar>
              <w:top w:w="28" w:type="dxa"/>
              <w:left w:w="57" w:type="dxa"/>
              <w:bottom w:w="28" w:type="dxa"/>
              <w:right w:w="57" w:type="dxa"/>
            </w:tcMar>
          </w:tcPr>
          <w:p w14:paraId="54294436" w14:textId="584931E3" w:rsidR="00951F81" w:rsidRDefault="008657CD" w:rsidP="005A10E5">
            <w:pPr>
              <w:pStyle w:val="BULLETED"/>
              <w:keepNext/>
              <w:widowControl/>
              <w:numPr>
                <w:ilvl w:val="0"/>
                <w:numId w:val="0"/>
              </w:numPr>
              <w:spacing w:before="0" w:line="240" w:lineRule="auto"/>
              <w:rPr>
                <w:color w:val="auto"/>
                <w:sz w:val="22"/>
                <w:szCs w:val="22"/>
              </w:rPr>
            </w:pPr>
            <w:r>
              <w:rPr>
                <w:noProof/>
              </w:rPr>
              <w:drawing>
                <wp:anchor distT="0" distB="0" distL="114300" distR="114300" simplePos="0" relativeHeight="251664896" behindDoc="0" locked="0" layoutInCell="1" allowOverlap="1" wp14:anchorId="1739C613" wp14:editId="63B2AAA4">
                  <wp:simplePos x="0" y="0"/>
                  <wp:positionH relativeFrom="column">
                    <wp:posOffset>14605</wp:posOffset>
                  </wp:positionH>
                  <wp:positionV relativeFrom="paragraph">
                    <wp:posOffset>22225</wp:posOffset>
                  </wp:positionV>
                  <wp:extent cx="119380" cy="119380"/>
                  <wp:effectExtent l="0" t="0" r="0" b="0"/>
                  <wp:wrapNone/>
                  <wp:docPr id="53"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9380" cy="119380"/>
                          </a:xfrm>
                          <a:prstGeom prst="rect">
                            <a:avLst/>
                          </a:prstGeom>
                          <a:noFill/>
                        </pic:spPr>
                      </pic:pic>
                    </a:graphicData>
                  </a:graphic>
                  <wp14:sizeRelH relativeFrom="page">
                    <wp14:pctWidth>0</wp14:pctWidth>
                  </wp14:sizeRelH>
                  <wp14:sizeRelV relativeFrom="page">
                    <wp14:pctHeight>0</wp14:pctHeight>
                  </wp14:sizeRelV>
                </wp:anchor>
              </w:drawing>
            </w:r>
          </w:p>
        </w:tc>
        <w:tc>
          <w:tcPr>
            <w:tcW w:w="4706" w:type="pct"/>
            <w:tcBorders>
              <w:top w:val="nil"/>
              <w:left w:val="nil"/>
              <w:bottom w:val="single" w:sz="4" w:space="0" w:color="auto"/>
            </w:tcBorders>
            <w:tcMar>
              <w:left w:w="0" w:type="dxa"/>
              <w:right w:w="57" w:type="dxa"/>
            </w:tcMar>
          </w:tcPr>
          <w:p w14:paraId="4E2AB39E" w14:textId="77777777" w:rsidR="00951F81" w:rsidRDefault="00951F81" w:rsidP="005A10E5">
            <w:pPr>
              <w:keepNext/>
            </w:pPr>
            <w:r>
              <w:rPr>
                <w:b/>
              </w:rPr>
              <w:t>Ärge</w:t>
            </w:r>
            <w:r>
              <w:t xml:space="preserve"> taaskasutage süstleid ega visake olmejäätmete hulka.</w:t>
            </w:r>
          </w:p>
        </w:tc>
      </w:tr>
    </w:tbl>
    <w:p w14:paraId="56BF0412" w14:textId="77777777" w:rsidR="00951F81" w:rsidRDefault="00951F81" w:rsidP="00951F81"/>
    <w:tbl>
      <w:tblPr>
        <w:tblW w:w="4937"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6"/>
        <w:gridCol w:w="8423"/>
      </w:tblGrid>
      <w:tr w:rsidR="00951F81" w:rsidRPr="0011121C" w14:paraId="2A5E73A4" w14:textId="77777777" w:rsidTr="006172AE">
        <w:trPr>
          <w:cantSplit/>
          <w:trHeight w:val="57"/>
        </w:trPr>
        <w:tc>
          <w:tcPr>
            <w:tcW w:w="294" w:type="pct"/>
            <w:tcMar>
              <w:top w:w="28" w:type="dxa"/>
              <w:left w:w="57" w:type="dxa"/>
              <w:bottom w:w="28" w:type="dxa"/>
              <w:right w:w="57" w:type="dxa"/>
            </w:tcMar>
          </w:tcPr>
          <w:p w14:paraId="790C1534" w14:textId="77777777" w:rsidR="00951F81" w:rsidRDefault="00951F81" w:rsidP="005A10E5">
            <w:pPr>
              <w:keepNext/>
            </w:pPr>
            <w:r>
              <w:t>B</w:t>
            </w:r>
          </w:p>
        </w:tc>
        <w:tc>
          <w:tcPr>
            <w:tcW w:w="4706" w:type="pct"/>
            <w:tcMar>
              <w:left w:w="57" w:type="dxa"/>
              <w:right w:w="57" w:type="dxa"/>
            </w:tcMar>
          </w:tcPr>
          <w:p w14:paraId="5F9676F5" w14:textId="77777777" w:rsidR="00951F81" w:rsidRDefault="00951F81" w:rsidP="005A10E5">
            <w:pPr>
              <w:keepNext/>
            </w:pPr>
            <w:r>
              <w:t>Kontrollige süstekohta.</w:t>
            </w:r>
          </w:p>
        </w:tc>
      </w:tr>
      <w:tr w:rsidR="00951F81" w:rsidRPr="0011121C" w14:paraId="4E918578" w14:textId="77777777" w:rsidTr="006172AE">
        <w:trPr>
          <w:cantSplit/>
          <w:trHeight w:val="57"/>
        </w:trPr>
        <w:tc>
          <w:tcPr>
            <w:tcW w:w="5000" w:type="pct"/>
            <w:gridSpan w:val="2"/>
            <w:tcMar>
              <w:top w:w="28" w:type="dxa"/>
              <w:left w:w="57" w:type="dxa"/>
              <w:bottom w:w="28" w:type="dxa"/>
              <w:right w:w="57" w:type="dxa"/>
            </w:tcMar>
          </w:tcPr>
          <w:p w14:paraId="04871DDE" w14:textId="77777777" w:rsidR="00951F81" w:rsidRDefault="00951F81" w:rsidP="005A10E5">
            <w:pPr>
              <w:keepNext/>
            </w:pPr>
            <w:r>
              <w:t xml:space="preserve">Kui seal on verd, suruge süstekohta vatipadjakese või puuvillalapiga. </w:t>
            </w:r>
            <w:r>
              <w:rPr>
                <w:b/>
              </w:rPr>
              <w:t>Ärge</w:t>
            </w:r>
            <w:r>
              <w:t xml:space="preserve"> hõõruge süstekohta. Vajadusel katke plaastriga.</w:t>
            </w:r>
          </w:p>
        </w:tc>
      </w:tr>
    </w:tbl>
    <w:p w14:paraId="3FBA32CC" w14:textId="77777777" w:rsidR="00951F81" w:rsidRDefault="00951F81" w:rsidP="00951F81"/>
    <w:sectPr w:rsidR="00951F81" w:rsidSect="00A273C8">
      <w:footerReference w:type="default" r:id="rId32"/>
      <w:footerReference w:type="first" r:id="rId33"/>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95C33" w14:textId="77777777" w:rsidR="00D21084" w:rsidRDefault="00D21084">
      <w:r>
        <w:separator/>
      </w:r>
    </w:p>
  </w:endnote>
  <w:endnote w:type="continuationSeparator" w:id="0">
    <w:p w14:paraId="61D920B6" w14:textId="77777777" w:rsidR="00D21084" w:rsidRDefault="00D21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AEDA2" w14:textId="6D339545" w:rsidR="002D1296" w:rsidRPr="00FF056B" w:rsidRDefault="002D1296" w:rsidP="00D364A0">
    <w:pPr>
      <w:jc w:val="center"/>
      <w:rPr>
        <w:sz w:val="16"/>
        <w:szCs w:val="16"/>
      </w:rPr>
    </w:pPr>
    <w:r w:rsidRPr="00FF056B">
      <w:rPr>
        <w:sz w:val="16"/>
      </w:rPr>
      <w:fldChar w:fldCharType="begin"/>
    </w:r>
    <w:r w:rsidRPr="00FF056B">
      <w:rPr>
        <w:sz w:val="16"/>
      </w:rPr>
      <w:instrText xml:space="preserve"> EQ </w:instrText>
    </w:r>
    <w:r w:rsidRPr="00FF056B">
      <w:rPr>
        <w:sz w:val="16"/>
      </w:rPr>
      <w:fldChar w:fldCharType="end"/>
    </w:r>
    <w:r w:rsidRPr="00FF056B">
      <w:rPr>
        <w:sz w:val="16"/>
      </w:rPr>
      <w:fldChar w:fldCharType="begin"/>
    </w:r>
    <w:r w:rsidRPr="00FF056B">
      <w:rPr>
        <w:sz w:val="16"/>
      </w:rPr>
      <w:instrText xml:space="preserve">PAGE  </w:instrText>
    </w:r>
    <w:r w:rsidRPr="00FF056B">
      <w:rPr>
        <w:sz w:val="16"/>
      </w:rPr>
      <w:fldChar w:fldCharType="separate"/>
    </w:r>
    <w:r w:rsidR="00F575D8" w:rsidRPr="00FF056B">
      <w:rPr>
        <w:noProof/>
        <w:sz w:val="16"/>
      </w:rPr>
      <w:t>44</w:t>
    </w:r>
    <w:r w:rsidRPr="00FF056B">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08428" w14:textId="77777777" w:rsidR="002D1296" w:rsidRPr="00D364A0" w:rsidRDefault="002D1296">
    <w:pPr>
      <w:pStyle w:val="Footer"/>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303D73E5" w14:textId="77777777" w:rsidR="002D1296" w:rsidRDefault="002D12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22C5" w14:textId="77777777" w:rsidR="00D21084" w:rsidRDefault="00D21084">
      <w:r>
        <w:separator/>
      </w:r>
    </w:p>
  </w:footnote>
  <w:footnote w:type="continuationSeparator" w:id="0">
    <w:p w14:paraId="5F465A11" w14:textId="77777777" w:rsidR="00D21084" w:rsidRDefault="00D210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0"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471D38"/>
    <w:multiLevelType w:val="hybridMultilevel"/>
    <w:tmpl w:val="25101E7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4"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8"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648823009">
    <w:abstractNumId w:val="47"/>
  </w:num>
  <w:num w:numId="2" w16cid:durableId="1172573418">
    <w:abstractNumId w:val="33"/>
  </w:num>
  <w:num w:numId="3" w16cid:durableId="334848023">
    <w:abstractNumId w:val="21"/>
  </w:num>
  <w:num w:numId="4" w16cid:durableId="600838267">
    <w:abstractNumId w:val="20"/>
  </w:num>
  <w:num w:numId="5" w16cid:durableId="408583112">
    <w:abstractNumId w:val="13"/>
  </w:num>
  <w:num w:numId="6" w16cid:durableId="1971395980">
    <w:abstractNumId w:val="55"/>
  </w:num>
  <w:num w:numId="7" w16cid:durableId="1590194034">
    <w:abstractNumId w:val="18"/>
  </w:num>
  <w:num w:numId="8" w16cid:durableId="724793673">
    <w:abstractNumId w:val="45"/>
  </w:num>
  <w:num w:numId="9" w16cid:durableId="550649466">
    <w:abstractNumId w:val="26"/>
  </w:num>
  <w:num w:numId="10" w16cid:durableId="345986262">
    <w:abstractNumId w:val="1"/>
  </w:num>
  <w:num w:numId="11" w16cid:durableId="404497895">
    <w:abstractNumId w:val="0"/>
    <w:lvlOverride w:ilvl="0">
      <w:lvl w:ilvl="0">
        <w:start w:val="1"/>
        <w:numFmt w:val="bullet"/>
        <w:lvlText w:val="-"/>
        <w:legacy w:legacy="1" w:legacySpace="0" w:legacyIndent="360"/>
        <w:lvlJc w:val="left"/>
        <w:pPr>
          <w:ind w:left="360" w:hanging="360"/>
        </w:pPr>
      </w:lvl>
    </w:lvlOverride>
  </w:num>
  <w:num w:numId="12" w16cid:durableId="1903834963">
    <w:abstractNumId w:val="43"/>
  </w:num>
  <w:num w:numId="13" w16cid:durableId="1007446128">
    <w:abstractNumId w:val="30"/>
  </w:num>
  <w:num w:numId="14" w16cid:durableId="1593588487">
    <w:abstractNumId w:val="51"/>
  </w:num>
  <w:num w:numId="15" w16cid:durableId="1688098226">
    <w:abstractNumId w:val="14"/>
  </w:num>
  <w:num w:numId="16" w16cid:durableId="1554268651">
    <w:abstractNumId w:val="49"/>
  </w:num>
  <w:num w:numId="17" w16cid:durableId="297959017">
    <w:abstractNumId w:val="37"/>
  </w:num>
  <w:num w:numId="18" w16cid:durableId="832911736">
    <w:abstractNumId w:val="17"/>
  </w:num>
  <w:num w:numId="19" w16cid:durableId="2002735970">
    <w:abstractNumId w:val="28"/>
  </w:num>
  <w:num w:numId="20" w16cid:durableId="1750496922">
    <w:abstractNumId w:val="3"/>
  </w:num>
  <w:num w:numId="21" w16cid:durableId="244343364">
    <w:abstractNumId w:val="44"/>
  </w:num>
  <w:num w:numId="22" w16cid:durableId="1994092590">
    <w:abstractNumId w:val="23"/>
  </w:num>
  <w:num w:numId="23" w16cid:durableId="706832774">
    <w:abstractNumId w:val="24"/>
  </w:num>
  <w:num w:numId="24" w16cid:durableId="918442340">
    <w:abstractNumId w:val="48"/>
  </w:num>
  <w:num w:numId="25" w16cid:durableId="1301036754">
    <w:abstractNumId w:val="7"/>
  </w:num>
  <w:num w:numId="26" w16cid:durableId="452214573">
    <w:abstractNumId w:val="8"/>
  </w:num>
  <w:num w:numId="27" w16cid:durableId="1525290735">
    <w:abstractNumId w:val="0"/>
    <w:lvlOverride w:ilvl="0">
      <w:lvl w:ilvl="0">
        <w:start w:val="1"/>
        <w:numFmt w:val="bullet"/>
        <w:lvlText w:val="-"/>
        <w:legacy w:legacy="1" w:legacySpace="0" w:legacyIndent="360"/>
        <w:lvlJc w:val="left"/>
        <w:pPr>
          <w:ind w:left="360" w:hanging="360"/>
        </w:pPr>
      </w:lvl>
    </w:lvlOverride>
  </w:num>
  <w:num w:numId="28" w16cid:durableId="489029825">
    <w:abstractNumId w:val="38"/>
  </w:num>
  <w:num w:numId="29" w16cid:durableId="212624873">
    <w:abstractNumId w:val="11"/>
  </w:num>
  <w:num w:numId="30" w16cid:durableId="2145850324">
    <w:abstractNumId w:val="50"/>
  </w:num>
  <w:num w:numId="31" w16cid:durableId="530457346">
    <w:abstractNumId w:val="9"/>
  </w:num>
  <w:num w:numId="32" w16cid:durableId="1001739633">
    <w:abstractNumId w:val="27"/>
  </w:num>
  <w:num w:numId="33" w16cid:durableId="300841952">
    <w:abstractNumId w:val="42"/>
  </w:num>
  <w:num w:numId="34" w16cid:durableId="557013848">
    <w:abstractNumId w:val="4"/>
  </w:num>
  <w:num w:numId="35" w16cid:durableId="1579437604">
    <w:abstractNumId w:val="10"/>
  </w:num>
  <w:num w:numId="36" w16cid:durableId="671297553">
    <w:abstractNumId w:val="34"/>
  </w:num>
  <w:num w:numId="37" w16cid:durableId="1085152452">
    <w:abstractNumId w:val="36"/>
  </w:num>
  <w:num w:numId="38" w16cid:durableId="1855340985">
    <w:abstractNumId w:val="46"/>
  </w:num>
  <w:num w:numId="39" w16cid:durableId="1842239168">
    <w:abstractNumId w:val="15"/>
  </w:num>
  <w:num w:numId="40" w16cid:durableId="737823796">
    <w:abstractNumId w:val="32"/>
  </w:num>
  <w:num w:numId="41" w16cid:durableId="174468479">
    <w:abstractNumId w:val="22"/>
  </w:num>
  <w:num w:numId="42" w16cid:durableId="1171331759">
    <w:abstractNumId w:val="6"/>
  </w:num>
  <w:num w:numId="43" w16cid:durableId="1966422798">
    <w:abstractNumId w:val="54"/>
  </w:num>
  <w:num w:numId="44" w16cid:durableId="859659893">
    <w:abstractNumId w:val="2"/>
  </w:num>
  <w:num w:numId="45" w16cid:durableId="351879503">
    <w:abstractNumId w:val="35"/>
  </w:num>
  <w:num w:numId="46" w16cid:durableId="1432432137">
    <w:abstractNumId w:val="5"/>
  </w:num>
  <w:num w:numId="47" w16cid:durableId="691565032">
    <w:abstractNumId w:val="39"/>
  </w:num>
  <w:num w:numId="48" w16cid:durableId="1166482953">
    <w:abstractNumId w:val="19"/>
  </w:num>
  <w:num w:numId="49" w16cid:durableId="679621210">
    <w:abstractNumId w:val="53"/>
  </w:num>
  <w:num w:numId="50" w16cid:durableId="2036731346">
    <w:abstractNumId w:val="52"/>
  </w:num>
  <w:num w:numId="51" w16cid:durableId="1901864704">
    <w:abstractNumId w:val="40"/>
  </w:num>
  <w:num w:numId="52" w16cid:durableId="872884770">
    <w:abstractNumId w:val="12"/>
  </w:num>
  <w:num w:numId="53" w16cid:durableId="797915203">
    <w:abstractNumId w:val="31"/>
  </w:num>
  <w:num w:numId="54" w16cid:durableId="1310943369">
    <w:abstractNumId w:val="29"/>
  </w:num>
  <w:num w:numId="55" w16cid:durableId="950479232">
    <w:abstractNumId w:val="25"/>
  </w:num>
  <w:num w:numId="56" w16cid:durableId="205765">
    <w:abstractNumId w:val="41"/>
  </w:num>
  <w:num w:numId="57" w16cid:durableId="1935874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n-GB" w:vendorID="64" w:dllVersion="4096" w:nlCheck="1" w:checkStyle="0"/>
  <w:activeWritingStyle w:appName="MSWord" w:lang="fr-CH" w:vendorID="64" w:dllVersion="0" w:nlCheck="1" w:checkStyle="0"/>
  <w:activeWritingStyle w:appName="MSWord" w:lang="de-DE" w:vendorID="64" w:dllVersion="0" w:nlCheck="1" w:checkStyle="0"/>
  <w:activeWritingStyle w:appName="MSWord" w:lang="sv-SE" w:vendorID="64" w:dllVersion="0" w:nlCheck="1" w:checkStyle="0"/>
  <w:activeWritingStyle w:appName="MSWord" w:lang="da-DK" w:vendorID="64" w:dllVersion="0" w:nlCheck="1" w:checkStyle="0"/>
  <w:activeWritingStyle w:appName="MSWord" w:lang="nl-NL" w:vendorID="64" w:dllVersion="0" w:nlCheck="1" w:checkStyle="0"/>
  <w:activeWritingStyle w:appName="MSWord" w:lang="pl-PL" w:vendorID="64" w:dllVersion="0" w:nlCheck="1" w:checkStyle="0"/>
  <w:activeWritingStyle w:appName="MSWord" w:lang="pt-PT" w:vendorID="64" w:dllVersion="0" w:nlCheck="1" w:checkStyle="0"/>
  <w:activeWritingStyle w:appName="MSWord" w:lang="fi-FI"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i-FI"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AULT_ND_0ce48d83-23db-4dd9-b096-425ab840e264" w:val=" "/>
    <w:docVar w:name="VAULT_ND_1a5d6ccd-82b9-40aa-8dea-efb45bbcffea" w:val=" "/>
    <w:docVar w:name="VAULT_ND_1c32264f-b6b9-46a3-a09d-fb14e572cfd5" w:val=" "/>
    <w:docVar w:name="VAULT_ND_20f15ac6-cd64-4ada-ba62-acaaa1a1d08a" w:val=" "/>
    <w:docVar w:name="vault_nd_27db3267-5aa5-4632-80a1-ebfddbc3fdcf" w:val=" "/>
    <w:docVar w:name="vault_nd_2d75f809-7094-4d42-a70c-ca95cf95b034" w:val=" "/>
    <w:docVar w:name="VAULT_ND_323e96f4-5079-40bc-810c-d3640d065004" w:val=" "/>
    <w:docVar w:name="VAULT_ND_3cab9593-d0aa-4205-8eb1-50ac3a147101" w:val=" "/>
    <w:docVar w:name="VAULT_ND_5a4f3f5a-cfd7-47cc-88d1-0d7c65bf7444" w:val=" "/>
    <w:docVar w:name="VAULT_ND_6b046d92-28a5-459c-b939-bb6d4cf4bb36" w:val=" "/>
    <w:docVar w:name="VAULT_ND_6ec6787b-189b-4e12-86fe-18b89050c05f" w:val=" "/>
    <w:docVar w:name="VAULT_ND_750f2f4a-39ec-473c-a300-e3d9f5c9bcf9" w:val=" "/>
    <w:docVar w:name="VAULT_ND_8aec6dee-f987-48ea-950f-0c50694ba263" w:val=" "/>
    <w:docVar w:name="VAULT_ND_8f52b7d5-bfad-4fc0-855d-cecb717a2b84" w:val=" "/>
    <w:docVar w:name="VAULT_ND_926e3972-628b-45c9-a039-4ee7e6cf11ca" w:val=" "/>
    <w:docVar w:name="VAULT_ND_a81ad1a7-1c37-49ef-94c3-364732ea59b9" w:val=" "/>
    <w:docVar w:name="VAULT_ND_b0a9df86-95a9-420e-aa7d-b9d72b07f04f" w:val=" "/>
    <w:docVar w:name="VAULT_ND_b12081c9-5a8d-4609-ae59-2ee7ad060144" w:val=" "/>
    <w:docVar w:name="VAULT_ND_d87941fc-fa74-48a1-a38b-6d56bee959b9" w:val=" "/>
    <w:docVar w:name="VAULT_ND_d9e65556-8ff7-4f20-b0ab-456e215e031d" w:val=" "/>
    <w:docVar w:name="VAULT_ND_df1df404-ea89-40da-b841-a3cbb23db814" w:val=" "/>
    <w:docVar w:name="VAULT_ND_e4d4798b-30a8-456b-b249-c12578a766b6" w:val=" "/>
    <w:docVar w:name="VAULT_ND_e674add7-5fa5-42bd-84cf-e0cd6fb2dd3f" w:val=" "/>
    <w:docVar w:name="VAULT_ND_ebc12259-64de-44ef-bc8f-a5c0b8a379c0" w:val=" "/>
    <w:docVar w:name="VAULT_ND_fb5bdebb-57d9-4eb8-af61-918bb8685207" w:val=" "/>
    <w:docVar w:name="VAULT_ND_ffb75cd1-6896-4d27-8a11-85359ba353ac" w:val=" "/>
    <w:docVar w:name="Version" w:val="0"/>
  </w:docVars>
  <w:rsids>
    <w:rsidRoot w:val="00920C0C"/>
    <w:rsid w:val="00000139"/>
    <w:rsid w:val="00000B8B"/>
    <w:rsid w:val="000014D0"/>
    <w:rsid w:val="00002311"/>
    <w:rsid w:val="000034E1"/>
    <w:rsid w:val="00005938"/>
    <w:rsid w:val="00005A1A"/>
    <w:rsid w:val="00010746"/>
    <w:rsid w:val="000139CB"/>
    <w:rsid w:val="00014F4A"/>
    <w:rsid w:val="00016C89"/>
    <w:rsid w:val="0001794F"/>
    <w:rsid w:val="00017D88"/>
    <w:rsid w:val="00020257"/>
    <w:rsid w:val="0002048F"/>
    <w:rsid w:val="00020711"/>
    <w:rsid w:val="0002185E"/>
    <w:rsid w:val="00022A78"/>
    <w:rsid w:val="00022F7A"/>
    <w:rsid w:val="000239F8"/>
    <w:rsid w:val="00023BE0"/>
    <w:rsid w:val="00024B36"/>
    <w:rsid w:val="000267A0"/>
    <w:rsid w:val="00027E6B"/>
    <w:rsid w:val="000304BA"/>
    <w:rsid w:val="00030536"/>
    <w:rsid w:val="000308F1"/>
    <w:rsid w:val="00030FC6"/>
    <w:rsid w:val="0003165E"/>
    <w:rsid w:val="000331D8"/>
    <w:rsid w:val="00033F55"/>
    <w:rsid w:val="000373BC"/>
    <w:rsid w:val="00040A70"/>
    <w:rsid w:val="00042245"/>
    <w:rsid w:val="00042C47"/>
    <w:rsid w:val="0004321A"/>
    <w:rsid w:val="00043BA2"/>
    <w:rsid w:val="000451A6"/>
    <w:rsid w:val="00046171"/>
    <w:rsid w:val="000471F1"/>
    <w:rsid w:val="00047748"/>
    <w:rsid w:val="000517DC"/>
    <w:rsid w:val="00053150"/>
    <w:rsid w:val="00053CE5"/>
    <w:rsid w:val="00054536"/>
    <w:rsid w:val="0005683F"/>
    <w:rsid w:val="000571BA"/>
    <w:rsid w:val="000636A8"/>
    <w:rsid w:val="0006658D"/>
    <w:rsid w:val="000675CA"/>
    <w:rsid w:val="000702E8"/>
    <w:rsid w:val="00070483"/>
    <w:rsid w:val="00071108"/>
    <w:rsid w:val="00073A3B"/>
    <w:rsid w:val="00073DA8"/>
    <w:rsid w:val="000743B6"/>
    <w:rsid w:val="00074A66"/>
    <w:rsid w:val="00074AA9"/>
    <w:rsid w:val="00074BAC"/>
    <w:rsid w:val="0007656E"/>
    <w:rsid w:val="00076974"/>
    <w:rsid w:val="00076B25"/>
    <w:rsid w:val="0008020A"/>
    <w:rsid w:val="000806DD"/>
    <w:rsid w:val="00080C15"/>
    <w:rsid w:val="00081A47"/>
    <w:rsid w:val="000828BF"/>
    <w:rsid w:val="00082A79"/>
    <w:rsid w:val="0008478A"/>
    <w:rsid w:val="00084EAB"/>
    <w:rsid w:val="00084ED6"/>
    <w:rsid w:val="00085792"/>
    <w:rsid w:val="00086B9E"/>
    <w:rsid w:val="00086F4D"/>
    <w:rsid w:val="00087883"/>
    <w:rsid w:val="00091513"/>
    <w:rsid w:val="0009329A"/>
    <w:rsid w:val="00096097"/>
    <w:rsid w:val="000A1C5A"/>
    <w:rsid w:val="000A6641"/>
    <w:rsid w:val="000A7A9A"/>
    <w:rsid w:val="000A7D42"/>
    <w:rsid w:val="000B1429"/>
    <w:rsid w:val="000B7C9E"/>
    <w:rsid w:val="000C454F"/>
    <w:rsid w:val="000C6AB1"/>
    <w:rsid w:val="000D121E"/>
    <w:rsid w:val="000D29E9"/>
    <w:rsid w:val="000D3F93"/>
    <w:rsid w:val="000D5B3E"/>
    <w:rsid w:val="000D5C39"/>
    <w:rsid w:val="000D6C0B"/>
    <w:rsid w:val="000E0610"/>
    <w:rsid w:val="000E0B09"/>
    <w:rsid w:val="000E129B"/>
    <w:rsid w:val="000E1563"/>
    <w:rsid w:val="000E3DC2"/>
    <w:rsid w:val="000E4004"/>
    <w:rsid w:val="000E4C92"/>
    <w:rsid w:val="000E53BA"/>
    <w:rsid w:val="000E57A6"/>
    <w:rsid w:val="000F0F39"/>
    <w:rsid w:val="000F2042"/>
    <w:rsid w:val="000F3A5B"/>
    <w:rsid w:val="00100C64"/>
    <w:rsid w:val="001019D8"/>
    <w:rsid w:val="00101E2E"/>
    <w:rsid w:val="00104562"/>
    <w:rsid w:val="00105FE9"/>
    <w:rsid w:val="00106C0F"/>
    <w:rsid w:val="00110044"/>
    <w:rsid w:val="0011117C"/>
    <w:rsid w:val="0011121C"/>
    <w:rsid w:val="0011220E"/>
    <w:rsid w:val="001176A6"/>
    <w:rsid w:val="00120834"/>
    <w:rsid w:val="001218D8"/>
    <w:rsid w:val="00121DEE"/>
    <w:rsid w:val="00123F5B"/>
    <w:rsid w:val="0012465F"/>
    <w:rsid w:val="00130DA4"/>
    <w:rsid w:val="00130E73"/>
    <w:rsid w:val="00131255"/>
    <w:rsid w:val="0013214E"/>
    <w:rsid w:val="00132CCE"/>
    <w:rsid w:val="00140BD1"/>
    <w:rsid w:val="00142605"/>
    <w:rsid w:val="001434DB"/>
    <w:rsid w:val="001444F9"/>
    <w:rsid w:val="00145F0F"/>
    <w:rsid w:val="00145F24"/>
    <w:rsid w:val="00146B38"/>
    <w:rsid w:val="00151538"/>
    <w:rsid w:val="00151B64"/>
    <w:rsid w:val="00153917"/>
    <w:rsid w:val="001541F7"/>
    <w:rsid w:val="00154ABB"/>
    <w:rsid w:val="00154D7C"/>
    <w:rsid w:val="001550AA"/>
    <w:rsid w:val="00155A9E"/>
    <w:rsid w:val="001571D5"/>
    <w:rsid w:val="00157DA9"/>
    <w:rsid w:val="00161EEB"/>
    <w:rsid w:val="00164B93"/>
    <w:rsid w:val="001704E7"/>
    <w:rsid w:val="00170558"/>
    <w:rsid w:val="001712A0"/>
    <w:rsid w:val="0017147C"/>
    <w:rsid w:val="00171B00"/>
    <w:rsid w:val="001735EA"/>
    <w:rsid w:val="001746CE"/>
    <w:rsid w:val="00174ABF"/>
    <w:rsid w:val="00176FD0"/>
    <w:rsid w:val="001773B9"/>
    <w:rsid w:val="001778E4"/>
    <w:rsid w:val="00177EBD"/>
    <w:rsid w:val="0018177D"/>
    <w:rsid w:val="00181C4E"/>
    <w:rsid w:val="001828BA"/>
    <w:rsid w:val="00183F7E"/>
    <w:rsid w:val="0018450B"/>
    <w:rsid w:val="0018530D"/>
    <w:rsid w:val="0018683C"/>
    <w:rsid w:val="00190E15"/>
    <w:rsid w:val="0019129C"/>
    <w:rsid w:val="00192094"/>
    <w:rsid w:val="00192516"/>
    <w:rsid w:val="0019272C"/>
    <w:rsid w:val="00196861"/>
    <w:rsid w:val="001A06C8"/>
    <w:rsid w:val="001A0B55"/>
    <w:rsid w:val="001A2A51"/>
    <w:rsid w:val="001A371B"/>
    <w:rsid w:val="001A52A5"/>
    <w:rsid w:val="001A5931"/>
    <w:rsid w:val="001A5A88"/>
    <w:rsid w:val="001A6F24"/>
    <w:rsid w:val="001B1D26"/>
    <w:rsid w:val="001B2529"/>
    <w:rsid w:val="001B2B97"/>
    <w:rsid w:val="001B3E6F"/>
    <w:rsid w:val="001B6C45"/>
    <w:rsid w:val="001B7BA5"/>
    <w:rsid w:val="001C1D73"/>
    <w:rsid w:val="001C2651"/>
    <w:rsid w:val="001C27D0"/>
    <w:rsid w:val="001C6D37"/>
    <w:rsid w:val="001C704C"/>
    <w:rsid w:val="001D03FE"/>
    <w:rsid w:val="001D053D"/>
    <w:rsid w:val="001D13A5"/>
    <w:rsid w:val="001D16D5"/>
    <w:rsid w:val="001D1E25"/>
    <w:rsid w:val="001D2430"/>
    <w:rsid w:val="001D26E4"/>
    <w:rsid w:val="001D272E"/>
    <w:rsid w:val="001D47FC"/>
    <w:rsid w:val="001D5DBA"/>
    <w:rsid w:val="001D7336"/>
    <w:rsid w:val="001D7EBF"/>
    <w:rsid w:val="001E1124"/>
    <w:rsid w:val="001E1D64"/>
    <w:rsid w:val="001E5667"/>
    <w:rsid w:val="001E5F45"/>
    <w:rsid w:val="001E7CEF"/>
    <w:rsid w:val="001F01DB"/>
    <w:rsid w:val="001F24BD"/>
    <w:rsid w:val="001F27C0"/>
    <w:rsid w:val="001F7C7C"/>
    <w:rsid w:val="00200E31"/>
    <w:rsid w:val="002013D1"/>
    <w:rsid w:val="00202DF8"/>
    <w:rsid w:val="00203018"/>
    <w:rsid w:val="0020600C"/>
    <w:rsid w:val="00206450"/>
    <w:rsid w:val="0021038D"/>
    <w:rsid w:val="00210844"/>
    <w:rsid w:val="00215615"/>
    <w:rsid w:val="00216211"/>
    <w:rsid w:val="00216A2F"/>
    <w:rsid w:val="002176A4"/>
    <w:rsid w:val="00217E8D"/>
    <w:rsid w:val="00220C70"/>
    <w:rsid w:val="00222B2B"/>
    <w:rsid w:val="00223986"/>
    <w:rsid w:val="00224831"/>
    <w:rsid w:val="00225894"/>
    <w:rsid w:val="00226058"/>
    <w:rsid w:val="00227A8E"/>
    <w:rsid w:val="00233FFD"/>
    <w:rsid w:val="00237B97"/>
    <w:rsid w:val="002409B1"/>
    <w:rsid w:val="00240EDC"/>
    <w:rsid w:val="00241EEB"/>
    <w:rsid w:val="0024331C"/>
    <w:rsid w:val="0024391D"/>
    <w:rsid w:val="00243D11"/>
    <w:rsid w:val="002476C3"/>
    <w:rsid w:val="002479B4"/>
    <w:rsid w:val="00250AC1"/>
    <w:rsid w:val="00252372"/>
    <w:rsid w:val="0025247B"/>
    <w:rsid w:val="00252BBD"/>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401E"/>
    <w:rsid w:val="002650BD"/>
    <w:rsid w:val="0026611A"/>
    <w:rsid w:val="00267D34"/>
    <w:rsid w:val="00267FAC"/>
    <w:rsid w:val="0027072E"/>
    <w:rsid w:val="00271BA8"/>
    <w:rsid w:val="00271ECF"/>
    <w:rsid w:val="002723A8"/>
    <w:rsid w:val="00272E90"/>
    <w:rsid w:val="002730D9"/>
    <w:rsid w:val="002762BA"/>
    <w:rsid w:val="00276DB5"/>
    <w:rsid w:val="00280035"/>
    <w:rsid w:val="00282101"/>
    <w:rsid w:val="002839B3"/>
    <w:rsid w:val="00283B8E"/>
    <w:rsid w:val="00284602"/>
    <w:rsid w:val="00284A41"/>
    <w:rsid w:val="00284FBB"/>
    <w:rsid w:val="002851D7"/>
    <w:rsid w:val="00285ECC"/>
    <w:rsid w:val="00286D15"/>
    <w:rsid w:val="00286F93"/>
    <w:rsid w:val="002872B0"/>
    <w:rsid w:val="002904E8"/>
    <w:rsid w:val="0029083D"/>
    <w:rsid w:val="002908C3"/>
    <w:rsid w:val="00290A80"/>
    <w:rsid w:val="002926C0"/>
    <w:rsid w:val="0029617F"/>
    <w:rsid w:val="002966DF"/>
    <w:rsid w:val="002A385F"/>
    <w:rsid w:val="002A40AD"/>
    <w:rsid w:val="002A5F7F"/>
    <w:rsid w:val="002B05F4"/>
    <w:rsid w:val="002B1704"/>
    <w:rsid w:val="002B1D4E"/>
    <w:rsid w:val="002B4B55"/>
    <w:rsid w:val="002B525F"/>
    <w:rsid w:val="002B7455"/>
    <w:rsid w:val="002B78B0"/>
    <w:rsid w:val="002C07EC"/>
    <w:rsid w:val="002C1D27"/>
    <w:rsid w:val="002C23AB"/>
    <w:rsid w:val="002C2616"/>
    <w:rsid w:val="002C455F"/>
    <w:rsid w:val="002C7BCD"/>
    <w:rsid w:val="002D003E"/>
    <w:rsid w:val="002D1296"/>
    <w:rsid w:val="002D1FE1"/>
    <w:rsid w:val="002D27AA"/>
    <w:rsid w:val="002D45C7"/>
    <w:rsid w:val="002D5916"/>
    <w:rsid w:val="002D682E"/>
    <w:rsid w:val="002E1AF1"/>
    <w:rsid w:val="002E1C81"/>
    <w:rsid w:val="002E2281"/>
    <w:rsid w:val="002E3196"/>
    <w:rsid w:val="002E540C"/>
    <w:rsid w:val="002E5861"/>
    <w:rsid w:val="002E5C1E"/>
    <w:rsid w:val="002E5DBA"/>
    <w:rsid w:val="002E7CDB"/>
    <w:rsid w:val="002F1576"/>
    <w:rsid w:val="002F357A"/>
    <w:rsid w:val="002F463A"/>
    <w:rsid w:val="002F5859"/>
    <w:rsid w:val="002F61D8"/>
    <w:rsid w:val="002F6B21"/>
    <w:rsid w:val="00300F45"/>
    <w:rsid w:val="00301C6B"/>
    <w:rsid w:val="00303011"/>
    <w:rsid w:val="003050CD"/>
    <w:rsid w:val="00305831"/>
    <w:rsid w:val="00306FD3"/>
    <w:rsid w:val="00307BCD"/>
    <w:rsid w:val="00311824"/>
    <w:rsid w:val="00311899"/>
    <w:rsid w:val="003123D9"/>
    <w:rsid w:val="0031467B"/>
    <w:rsid w:val="00323A98"/>
    <w:rsid w:val="00325458"/>
    <w:rsid w:val="00330331"/>
    <w:rsid w:val="00333488"/>
    <w:rsid w:val="003342FA"/>
    <w:rsid w:val="003343C1"/>
    <w:rsid w:val="00334F3C"/>
    <w:rsid w:val="0033590D"/>
    <w:rsid w:val="00336B20"/>
    <w:rsid w:val="00341752"/>
    <w:rsid w:val="003420D3"/>
    <w:rsid w:val="0034359F"/>
    <w:rsid w:val="003445BC"/>
    <w:rsid w:val="0034537A"/>
    <w:rsid w:val="00346342"/>
    <w:rsid w:val="0034742F"/>
    <w:rsid w:val="0034753A"/>
    <w:rsid w:val="00347980"/>
    <w:rsid w:val="00356435"/>
    <w:rsid w:val="00356AD0"/>
    <w:rsid w:val="00357068"/>
    <w:rsid w:val="00365253"/>
    <w:rsid w:val="00365A14"/>
    <w:rsid w:val="003661F1"/>
    <w:rsid w:val="0037058C"/>
    <w:rsid w:val="00370D00"/>
    <w:rsid w:val="00370F37"/>
    <w:rsid w:val="003737E8"/>
    <w:rsid w:val="0037569A"/>
    <w:rsid w:val="00375FAA"/>
    <w:rsid w:val="003769EE"/>
    <w:rsid w:val="0038171B"/>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36C8"/>
    <w:rsid w:val="003946CC"/>
    <w:rsid w:val="00394CCD"/>
    <w:rsid w:val="00395165"/>
    <w:rsid w:val="00395FD8"/>
    <w:rsid w:val="0039643F"/>
    <w:rsid w:val="003974A9"/>
    <w:rsid w:val="00397619"/>
    <w:rsid w:val="003A0EB1"/>
    <w:rsid w:val="003B0291"/>
    <w:rsid w:val="003B1662"/>
    <w:rsid w:val="003B271B"/>
    <w:rsid w:val="003B39F4"/>
    <w:rsid w:val="003B4B70"/>
    <w:rsid w:val="003B4DE8"/>
    <w:rsid w:val="003B7343"/>
    <w:rsid w:val="003B7A5C"/>
    <w:rsid w:val="003C0814"/>
    <w:rsid w:val="003C0DAF"/>
    <w:rsid w:val="003C410D"/>
    <w:rsid w:val="003C508C"/>
    <w:rsid w:val="003C6810"/>
    <w:rsid w:val="003C6C78"/>
    <w:rsid w:val="003C78BD"/>
    <w:rsid w:val="003C7EFB"/>
    <w:rsid w:val="003D00E6"/>
    <w:rsid w:val="003D0970"/>
    <w:rsid w:val="003D0FA7"/>
    <w:rsid w:val="003D3C16"/>
    <w:rsid w:val="003D5E2C"/>
    <w:rsid w:val="003D5F37"/>
    <w:rsid w:val="003E0906"/>
    <w:rsid w:val="003E24B7"/>
    <w:rsid w:val="003E2C78"/>
    <w:rsid w:val="003E3A13"/>
    <w:rsid w:val="003E3A3B"/>
    <w:rsid w:val="003E6568"/>
    <w:rsid w:val="003F0642"/>
    <w:rsid w:val="003F0A34"/>
    <w:rsid w:val="003F0D71"/>
    <w:rsid w:val="003F26F6"/>
    <w:rsid w:val="003F2741"/>
    <w:rsid w:val="003F3BC7"/>
    <w:rsid w:val="003F5BA9"/>
    <w:rsid w:val="003F62C9"/>
    <w:rsid w:val="003F6F18"/>
    <w:rsid w:val="0040061E"/>
    <w:rsid w:val="00402AAF"/>
    <w:rsid w:val="00403517"/>
    <w:rsid w:val="004039DB"/>
    <w:rsid w:val="0040450D"/>
    <w:rsid w:val="004050DB"/>
    <w:rsid w:val="00405385"/>
    <w:rsid w:val="004103A2"/>
    <w:rsid w:val="0041270A"/>
    <w:rsid w:val="004144B8"/>
    <w:rsid w:val="00414EF3"/>
    <w:rsid w:val="00415D15"/>
    <w:rsid w:val="00415DB2"/>
    <w:rsid w:val="00416B57"/>
    <w:rsid w:val="004207B8"/>
    <w:rsid w:val="00420B9A"/>
    <w:rsid w:val="00423D1F"/>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E6B"/>
    <w:rsid w:val="0045319E"/>
    <w:rsid w:val="00454966"/>
    <w:rsid w:val="0045537A"/>
    <w:rsid w:val="00455EE8"/>
    <w:rsid w:val="0045645D"/>
    <w:rsid w:val="00456592"/>
    <w:rsid w:val="004609FB"/>
    <w:rsid w:val="00460A0C"/>
    <w:rsid w:val="0046107E"/>
    <w:rsid w:val="00461BAD"/>
    <w:rsid w:val="0046214E"/>
    <w:rsid w:val="00463A1B"/>
    <w:rsid w:val="00467221"/>
    <w:rsid w:val="0047019C"/>
    <w:rsid w:val="00470735"/>
    <w:rsid w:val="0047673E"/>
    <w:rsid w:val="00480F37"/>
    <w:rsid w:val="00482FB2"/>
    <w:rsid w:val="00486695"/>
    <w:rsid w:val="004917C4"/>
    <w:rsid w:val="00492B8B"/>
    <w:rsid w:val="0049304B"/>
    <w:rsid w:val="0049304D"/>
    <w:rsid w:val="00494A5A"/>
    <w:rsid w:val="00494C2B"/>
    <w:rsid w:val="00496A2F"/>
    <w:rsid w:val="004971CF"/>
    <w:rsid w:val="004A1202"/>
    <w:rsid w:val="004A1EC5"/>
    <w:rsid w:val="004A23FC"/>
    <w:rsid w:val="004A31C2"/>
    <w:rsid w:val="004A4658"/>
    <w:rsid w:val="004A5CC6"/>
    <w:rsid w:val="004A61B9"/>
    <w:rsid w:val="004A70D0"/>
    <w:rsid w:val="004B015E"/>
    <w:rsid w:val="004B09C5"/>
    <w:rsid w:val="004B2367"/>
    <w:rsid w:val="004B39BB"/>
    <w:rsid w:val="004B5455"/>
    <w:rsid w:val="004B7A56"/>
    <w:rsid w:val="004C046F"/>
    <w:rsid w:val="004C1DEE"/>
    <w:rsid w:val="004C2642"/>
    <w:rsid w:val="004C37A6"/>
    <w:rsid w:val="004C4930"/>
    <w:rsid w:val="004C5314"/>
    <w:rsid w:val="004C7E09"/>
    <w:rsid w:val="004D05A3"/>
    <w:rsid w:val="004D1912"/>
    <w:rsid w:val="004D4AE0"/>
    <w:rsid w:val="004D7E06"/>
    <w:rsid w:val="004E0B94"/>
    <w:rsid w:val="004E0DE6"/>
    <w:rsid w:val="004E197E"/>
    <w:rsid w:val="004E2181"/>
    <w:rsid w:val="004E300A"/>
    <w:rsid w:val="004E3BD3"/>
    <w:rsid w:val="004E4D49"/>
    <w:rsid w:val="004E6103"/>
    <w:rsid w:val="004E7E55"/>
    <w:rsid w:val="004F1E02"/>
    <w:rsid w:val="004F7580"/>
    <w:rsid w:val="00502193"/>
    <w:rsid w:val="00502346"/>
    <w:rsid w:val="00502A61"/>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207CE"/>
    <w:rsid w:val="0052167B"/>
    <w:rsid w:val="00521E30"/>
    <w:rsid w:val="00523406"/>
    <w:rsid w:val="005239E8"/>
    <w:rsid w:val="00525020"/>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5E71"/>
    <w:rsid w:val="00546236"/>
    <w:rsid w:val="0054637A"/>
    <w:rsid w:val="00546B5A"/>
    <w:rsid w:val="0055112C"/>
    <w:rsid w:val="0055215B"/>
    <w:rsid w:val="005527CB"/>
    <w:rsid w:val="00553ECF"/>
    <w:rsid w:val="005542A6"/>
    <w:rsid w:val="00555733"/>
    <w:rsid w:val="005564EF"/>
    <w:rsid w:val="00556C1E"/>
    <w:rsid w:val="00556CD9"/>
    <w:rsid w:val="00556EDC"/>
    <w:rsid w:val="00557751"/>
    <w:rsid w:val="00557EB8"/>
    <w:rsid w:val="0056041A"/>
    <w:rsid w:val="00565075"/>
    <w:rsid w:val="005660AA"/>
    <w:rsid w:val="00570BE6"/>
    <w:rsid w:val="00570F8A"/>
    <w:rsid w:val="005712B1"/>
    <w:rsid w:val="005713C3"/>
    <w:rsid w:val="00572031"/>
    <w:rsid w:val="005727E1"/>
    <w:rsid w:val="00573A7B"/>
    <w:rsid w:val="005748C1"/>
    <w:rsid w:val="0057506B"/>
    <w:rsid w:val="005765CB"/>
    <w:rsid w:val="00576EF9"/>
    <w:rsid w:val="005773C3"/>
    <w:rsid w:val="00577D3D"/>
    <w:rsid w:val="00580267"/>
    <w:rsid w:val="0058246E"/>
    <w:rsid w:val="00582476"/>
    <w:rsid w:val="00583511"/>
    <w:rsid w:val="00584322"/>
    <w:rsid w:val="005844F0"/>
    <w:rsid w:val="00585EFC"/>
    <w:rsid w:val="00590205"/>
    <w:rsid w:val="0059029C"/>
    <w:rsid w:val="005912A2"/>
    <w:rsid w:val="005943F9"/>
    <w:rsid w:val="00595BBB"/>
    <w:rsid w:val="00597CB3"/>
    <w:rsid w:val="005A07F5"/>
    <w:rsid w:val="005A10E5"/>
    <w:rsid w:val="005A4886"/>
    <w:rsid w:val="005A4963"/>
    <w:rsid w:val="005A78C9"/>
    <w:rsid w:val="005B3367"/>
    <w:rsid w:val="005B3534"/>
    <w:rsid w:val="005B3BA7"/>
    <w:rsid w:val="005B5976"/>
    <w:rsid w:val="005B6E10"/>
    <w:rsid w:val="005B768D"/>
    <w:rsid w:val="005B7A51"/>
    <w:rsid w:val="005B7B4E"/>
    <w:rsid w:val="005B7D63"/>
    <w:rsid w:val="005C041F"/>
    <w:rsid w:val="005C2D22"/>
    <w:rsid w:val="005C305E"/>
    <w:rsid w:val="005C3FEA"/>
    <w:rsid w:val="005C41B7"/>
    <w:rsid w:val="005C47A5"/>
    <w:rsid w:val="005D370F"/>
    <w:rsid w:val="005D7ABD"/>
    <w:rsid w:val="005E1FCC"/>
    <w:rsid w:val="005E2F61"/>
    <w:rsid w:val="005E5A84"/>
    <w:rsid w:val="005F6B3F"/>
    <w:rsid w:val="005F719A"/>
    <w:rsid w:val="005F7D81"/>
    <w:rsid w:val="00600C45"/>
    <w:rsid w:val="00601A36"/>
    <w:rsid w:val="00603171"/>
    <w:rsid w:val="00603B94"/>
    <w:rsid w:val="0060439F"/>
    <w:rsid w:val="00605B82"/>
    <w:rsid w:val="00607449"/>
    <w:rsid w:val="006079AB"/>
    <w:rsid w:val="00607A0C"/>
    <w:rsid w:val="00607C10"/>
    <w:rsid w:val="00610748"/>
    <w:rsid w:val="006119B3"/>
    <w:rsid w:val="006124AB"/>
    <w:rsid w:val="006126B7"/>
    <w:rsid w:val="006138A2"/>
    <w:rsid w:val="006167DC"/>
    <w:rsid w:val="00617973"/>
    <w:rsid w:val="00617D01"/>
    <w:rsid w:val="006201FE"/>
    <w:rsid w:val="00620328"/>
    <w:rsid w:val="00620EB8"/>
    <w:rsid w:val="00621A05"/>
    <w:rsid w:val="00622D93"/>
    <w:rsid w:val="00623FA3"/>
    <w:rsid w:val="00630A19"/>
    <w:rsid w:val="00630AF8"/>
    <w:rsid w:val="00630E37"/>
    <w:rsid w:val="006312C3"/>
    <w:rsid w:val="00631948"/>
    <w:rsid w:val="00632169"/>
    <w:rsid w:val="00635CB3"/>
    <w:rsid w:val="00635E3F"/>
    <w:rsid w:val="006369FF"/>
    <w:rsid w:val="00637AAB"/>
    <w:rsid w:val="006401D2"/>
    <w:rsid w:val="0064292F"/>
    <w:rsid w:val="00645A91"/>
    <w:rsid w:val="00650335"/>
    <w:rsid w:val="00654166"/>
    <w:rsid w:val="006553D0"/>
    <w:rsid w:val="006606E8"/>
    <w:rsid w:val="00660D79"/>
    <w:rsid w:val="0066191A"/>
    <w:rsid w:val="00662C55"/>
    <w:rsid w:val="00663B5E"/>
    <w:rsid w:val="006658CD"/>
    <w:rsid w:val="00666C7C"/>
    <w:rsid w:val="00666F4D"/>
    <w:rsid w:val="00667DFA"/>
    <w:rsid w:val="0067031D"/>
    <w:rsid w:val="00670FB0"/>
    <w:rsid w:val="00672F08"/>
    <w:rsid w:val="00673029"/>
    <w:rsid w:val="00675C43"/>
    <w:rsid w:val="00676E1B"/>
    <w:rsid w:val="00677126"/>
    <w:rsid w:val="00680B23"/>
    <w:rsid w:val="00681E81"/>
    <w:rsid w:val="00682756"/>
    <w:rsid w:val="00682758"/>
    <w:rsid w:val="00682C3B"/>
    <w:rsid w:val="00682E7A"/>
    <w:rsid w:val="0068312B"/>
    <w:rsid w:val="00683555"/>
    <w:rsid w:val="0068384A"/>
    <w:rsid w:val="00683D37"/>
    <w:rsid w:val="00683F11"/>
    <w:rsid w:val="006842DA"/>
    <w:rsid w:val="00685410"/>
    <w:rsid w:val="0069202F"/>
    <w:rsid w:val="00692E63"/>
    <w:rsid w:val="0069335B"/>
    <w:rsid w:val="00696486"/>
    <w:rsid w:val="0069755A"/>
    <w:rsid w:val="00697D1B"/>
    <w:rsid w:val="006A0CEE"/>
    <w:rsid w:val="006A12AB"/>
    <w:rsid w:val="006A17D4"/>
    <w:rsid w:val="006A1E6E"/>
    <w:rsid w:val="006A21CD"/>
    <w:rsid w:val="006A21E7"/>
    <w:rsid w:val="006A263D"/>
    <w:rsid w:val="006A3142"/>
    <w:rsid w:val="006A3C2F"/>
    <w:rsid w:val="006A5C2E"/>
    <w:rsid w:val="006A6CB0"/>
    <w:rsid w:val="006B0507"/>
    <w:rsid w:val="006B4203"/>
    <w:rsid w:val="006B592F"/>
    <w:rsid w:val="006B70C1"/>
    <w:rsid w:val="006B79BF"/>
    <w:rsid w:val="006C15EE"/>
    <w:rsid w:val="006C38A3"/>
    <w:rsid w:val="006C4157"/>
    <w:rsid w:val="006C4A6F"/>
    <w:rsid w:val="006C4D43"/>
    <w:rsid w:val="006C5D21"/>
    <w:rsid w:val="006C6ECE"/>
    <w:rsid w:val="006C6FD9"/>
    <w:rsid w:val="006D023A"/>
    <w:rsid w:val="006D19EB"/>
    <w:rsid w:val="006D3004"/>
    <w:rsid w:val="006D598F"/>
    <w:rsid w:val="006D6245"/>
    <w:rsid w:val="006D7371"/>
    <w:rsid w:val="006E0369"/>
    <w:rsid w:val="006E2DD1"/>
    <w:rsid w:val="006E30D3"/>
    <w:rsid w:val="006E32CF"/>
    <w:rsid w:val="006E6621"/>
    <w:rsid w:val="006E69E2"/>
    <w:rsid w:val="006F14FC"/>
    <w:rsid w:val="006F5C0A"/>
    <w:rsid w:val="006F6052"/>
    <w:rsid w:val="006F60B2"/>
    <w:rsid w:val="006F6ACA"/>
    <w:rsid w:val="006F777D"/>
    <w:rsid w:val="0070021B"/>
    <w:rsid w:val="00701B19"/>
    <w:rsid w:val="00702A4F"/>
    <w:rsid w:val="007039B1"/>
    <w:rsid w:val="00705215"/>
    <w:rsid w:val="007064D1"/>
    <w:rsid w:val="007067D5"/>
    <w:rsid w:val="00707432"/>
    <w:rsid w:val="00710638"/>
    <w:rsid w:val="00715473"/>
    <w:rsid w:val="00725A2D"/>
    <w:rsid w:val="007274D8"/>
    <w:rsid w:val="007340B6"/>
    <w:rsid w:val="0073453F"/>
    <w:rsid w:val="00736455"/>
    <w:rsid w:val="00736F36"/>
    <w:rsid w:val="007371D4"/>
    <w:rsid w:val="00741A7D"/>
    <w:rsid w:val="007429AD"/>
    <w:rsid w:val="0074341B"/>
    <w:rsid w:val="0074576A"/>
    <w:rsid w:val="0074665A"/>
    <w:rsid w:val="00750787"/>
    <w:rsid w:val="00751313"/>
    <w:rsid w:val="00753546"/>
    <w:rsid w:val="00753EA5"/>
    <w:rsid w:val="00754990"/>
    <w:rsid w:val="007550E0"/>
    <w:rsid w:val="0076008C"/>
    <w:rsid w:val="007630AC"/>
    <w:rsid w:val="00764AFA"/>
    <w:rsid w:val="00764AFE"/>
    <w:rsid w:val="00764FAF"/>
    <w:rsid w:val="00765B7F"/>
    <w:rsid w:val="00767E83"/>
    <w:rsid w:val="00771809"/>
    <w:rsid w:val="00772E28"/>
    <w:rsid w:val="007746E7"/>
    <w:rsid w:val="00775CD9"/>
    <w:rsid w:val="00776FB8"/>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4803"/>
    <w:rsid w:val="007967F0"/>
    <w:rsid w:val="00796DEC"/>
    <w:rsid w:val="007A07AF"/>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7D22"/>
    <w:rsid w:val="007C1B45"/>
    <w:rsid w:val="007C4974"/>
    <w:rsid w:val="007C4F37"/>
    <w:rsid w:val="007C7AD3"/>
    <w:rsid w:val="007D2F3D"/>
    <w:rsid w:val="007D3CC0"/>
    <w:rsid w:val="007D7AF6"/>
    <w:rsid w:val="007E1C60"/>
    <w:rsid w:val="007E2131"/>
    <w:rsid w:val="007E35DB"/>
    <w:rsid w:val="007E3A1A"/>
    <w:rsid w:val="007E53D0"/>
    <w:rsid w:val="007E5A93"/>
    <w:rsid w:val="007F18D8"/>
    <w:rsid w:val="007F1E98"/>
    <w:rsid w:val="007F4444"/>
    <w:rsid w:val="007F49ED"/>
    <w:rsid w:val="007F4A78"/>
    <w:rsid w:val="007F615E"/>
    <w:rsid w:val="007F6CA6"/>
    <w:rsid w:val="007F7749"/>
    <w:rsid w:val="0080087F"/>
    <w:rsid w:val="008011D6"/>
    <w:rsid w:val="00801635"/>
    <w:rsid w:val="008038D4"/>
    <w:rsid w:val="0081033D"/>
    <w:rsid w:val="008111A8"/>
    <w:rsid w:val="008132C0"/>
    <w:rsid w:val="008141AE"/>
    <w:rsid w:val="00814BDE"/>
    <w:rsid w:val="00814E33"/>
    <w:rsid w:val="0081632F"/>
    <w:rsid w:val="00816FE9"/>
    <w:rsid w:val="0082029B"/>
    <w:rsid w:val="008203F7"/>
    <w:rsid w:val="00821A88"/>
    <w:rsid w:val="00822173"/>
    <w:rsid w:val="0082295E"/>
    <w:rsid w:val="0082430B"/>
    <w:rsid w:val="00824C4E"/>
    <w:rsid w:val="00825B2E"/>
    <w:rsid w:val="008320CE"/>
    <w:rsid w:val="008332E9"/>
    <w:rsid w:val="00834859"/>
    <w:rsid w:val="00834B99"/>
    <w:rsid w:val="0083571E"/>
    <w:rsid w:val="00835F12"/>
    <w:rsid w:val="00836604"/>
    <w:rsid w:val="0084221F"/>
    <w:rsid w:val="00842C98"/>
    <w:rsid w:val="00842F0F"/>
    <w:rsid w:val="00844BC4"/>
    <w:rsid w:val="00845B88"/>
    <w:rsid w:val="00845C42"/>
    <w:rsid w:val="00846E74"/>
    <w:rsid w:val="00847B2B"/>
    <w:rsid w:val="008506B2"/>
    <w:rsid w:val="00854732"/>
    <w:rsid w:val="00857CFA"/>
    <w:rsid w:val="008603DE"/>
    <w:rsid w:val="008604A5"/>
    <w:rsid w:val="0086249C"/>
    <w:rsid w:val="008657CD"/>
    <w:rsid w:val="008659A5"/>
    <w:rsid w:val="00866169"/>
    <w:rsid w:val="00866C7D"/>
    <w:rsid w:val="00866E26"/>
    <w:rsid w:val="008701A6"/>
    <w:rsid w:val="00870635"/>
    <w:rsid w:val="0087200F"/>
    <w:rsid w:val="00872484"/>
    <w:rsid w:val="00872BFC"/>
    <w:rsid w:val="008730CD"/>
    <w:rsid w:val="0087371C"/>
    <w:rsid w:val="00876575"/>
    <w:rsid w:val="008766C5"/>
    <w:rsid w:val="00877662"/>
    <w:rsid w:val="00880B13"/>
    <w:rsid w:val="008814A7"/>
    <w:rsid w:val="008825E1"/>
    <w:rsid w:val="008828A9"/>
    <w:rsid w:val="0088377F"/>
    <w:rsid w:val="0088390B"/>
    <w:rsid w:val="0088443E"/>
    <w:rsid w:val="00884E6E"/>
    <w:rsid w:val="00885203"/>
    <w:rsid w:val="00885D25"/>
    <w:rsid w:val="00886ECF"/>
    <w:rsid w:val="008870FE"/>
    <w:rsid w:val="0088725D"/>
    <w:rsid w:val="0089083C"/>
    <w:rsid w:val="00892389"/>
    <w:rsid w:val="00894085"/>
    <w:rsid w:val="00896B0E"/>
    <w:rsid w:val="00897E79"/>
    <w:rsid w:val="008A3961"/>
    <w:rsid w:val="008A5448"/>
    <w:rsid w:val="008B4ED7"/>
    <w:rsid w:val="008B6872"/>
    <w:rsid w:val="008B68D7"/>
    <w:rsid w:val="008B6BBF"/>
    <w:rsid w:val="008C0C9E"/>
    <w:rsid w:val="008C3202"/>
    <w:rsid w:val="008C399E"/>
    <w:rsid w:val="008C5ACD"/>
    <w:rsid w:val="008C61C9"/>
    <w:rsid w:val="008C6FD9"/>
    <w:rsid w:val="008D2947"/>
    <w:rsid w:val="008D2CB3"/>
    <w:rsid w:val="008D2D4C"/>
    <w:rsid w:val="008D43FE"/>
    <w:rsid w:val="008D5181"/>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A1D"/>
    <w:rsid w:val="00907BCD"/>
    <w:rsid w:val="009125CD"/>
    <w:rsid w:val="00915994"/>
    <w:rsid w:val="00915A41"/>
    <w:rsid w:val="00915A56"/>
    <w:rsid w:val="00920C0C"/>
    <w:rsid w:val="009214A2"/>
    <w:rsid w:val="009247D4"/>
    <w:rsid w:val="00925343"/>
    <w:rsid w:val="009254C1"/>
    <w:rsid w:val="00926A1A"/>
    <w:rsid w:val="00926B2A"/>
    <w:rsid w:val="0092748E"/>
    <w:rsid w:val="00927DFC"/>
    <w:rsid w:val="009303F4"/>
    <w:rsid w:val="0093094E"/>
    <w:rsid w:val="0093516D"/>
    <w:rsid w:val="00935D11"/>
    <w:rsid w:val="00940216"/>
    <w:rsid w:val="00941359"/>
    <w:rsid w:val="00941571"/>
    <w:rsid w:val="00942BF7"/>
    <w:rsid w:val="009436C7"/>
    <w:rsid w:val="00943A8E"/>
    <w:rsid w:val="00946139"/>
    <w:rsid w:val="00946823"/>
    <w:rsid w:val="00946B73"/>
    <w:rsid w:val="00947CF3"/>
    <w:rsid w:val="00951F81"/>
    <w:rsid w:val="00952113"/>
    <w:rsid w:val="00952BCE"/>
    <w:rsid w:val="009530D5"/>
    <w:rsid w:val="00960173"/>
    <w:rsid w:val="0096019B"/>
    <w:rsid w:val="009608FC"/>
    <w:rsid w:val="00962743"/>
    <w:rsid w:val="00966D98"/>
    <w:rsid w:val="00971888"/>
    <w:rsid w:val="0097208F"/>
    <w:rsid w:val="00972A53"/>
    <w:rsid w:val="009732F7"/>
    <w:rsid w:val="00973357"/>
    <w:rsid w:val="00974204"/>
    <w:rsid w:val="00976277"/>
    <w:rsid w:val="00983B38"/>
    <w:rsid w:val="009848EF"/>
    <w:rsid w:val="00985DD9"/>
    <w:rsid w:val="009872DC"/>
    <w:rsid w:val="009921A0"/>
    <w:rsid w:val="009921F2"/>
    <w:rsid w:val="00992811"/>
    <w:rsid w:val="00992A6A"/>
    <w:rsid w:val="00997081"/>
    <w:rsid w:val="009970B7"/>
    <w:rsid w:val="009A1AD8"/>
    <w:rsid w:val="009A3971"/>
    <w:rsid w:val="009A3D9B"/>
    <w:rsid w:val="009A6895"/>
    <w:rsid w:val="009A72A7"/>
    <w:rsid w:val="009B0D43"/>
    <w:rsid w:val="009B4759"/>
    <w:rsid w:val="009B63B8"/>
    <w:rsid w:val="009B727C"/>
    <w:rsid w:val="009C1C4D"/>
    <w:rsid w:val="009C2622"/>
    <w:rsid w:val="009C46BE"/>
    <w:rsid w:val="009C6C95"/>
    <w:rsid w:val="009D0905"/>
    <w:rsid w:val="009D2A31"/>
    <w:rsid w:val="009D2BE6"/>
    <w:rsid w:val="009D2C70"/>
    <w:rsid w:val="009D2E14"/>
    <w:rsid w:val="009D3B7C"/>
    <w:rsid w:val="009D4537"/>
    <w:rsid w:val="009D45F1"/>
    <w:rsid w:val="009D6983"/>
    <w:rsid w:val="009E151E"/>
    <w:rsid w:val="009E53AD"/>
    <w:rsid w:val="009F00A4"/>
    <w:rsid w:val="009F1093"/>
    <w:rsid w:val="009F3EB0"/>
    <w:rsid w:val="009F617D"/>
    <w:rsid w:val="009F6344"/>
    <w:rsid w:val="009F71BA"/>
    <w:rsid w:val="009F7BC4"/>
    <w:rsid w:val="00A00D43"/>
    <w:rsid w:val="00A0183F"/>
    <w:rsid w:val="00A02FB5"/>
    <w:rsid w:val="00A0539D"/>
    <w:rsid w:val="00A058A4"/>
    <w:rsid w:val="00A0700F"/>
    <w:rsid w:val="00A076AD"/>
    <w:rsid w:val="00A115D1"/>
    <w:rsid w:val="00A117AB"/>
    <w:rsid w:val="00A1208F"/>
    <w:rsid w:val="00A13BD6"/>
    <w:rsid w:val="00A147EB"/>
    <w:rsid w:val="00A14BC4"/>
    <w:rsid w:val="00A15FFC"/>
    <w:rsid w:val="00A17190"/>
    <w:rsid w:val="00A237C2"/>
    <w:rsid w:val="00A25636"/>
    <w:rsid w:val="00A273C8"/>
    <w:rsid w:val="00A305BB"/>
    <w:rsid w:val="00A3163F"/>
    <w:rsid w:val="00A31D4E"/>
    <w:rsid w:val="00A32FA9"/>
    <w:rsid w:val="00A36F4E"/>
    <w:rsid w:val="00A37B08"/>
    <w:rsid w:val="00A42278"/>
    <w:rsid w:val="00A42F14"/>
    <w:rsid w:val="00A463D4"/>
    <w:rsid w:val="00A47120"/>
    <w:rsid w:val="00A47BFC"/>
    <w:rsid w:val="00A500E9"/>
    <w:rsid w:val="00A517BF"/>
    <w:rsid w:val="00A51C83"/>
    <w:rsid w:val="00A523B2"/>
    <w:rsid w:val="00A54747"/>
    <w:rsid w:val="00A55898"/>
    <w:rsid w:val="00A56542"/>
    <w:rsid w:val="00A56E01"/>
    <w:rsid w:val="00A6016E"/>
    <w:rsid w:val="00A62AA7"/>
    <w:rsid w:val="00A62B0D"/>
    <w:rsid w:val="00A63AC4"/>
    <w:rsid w:val="00A6401A"/>
    <w:rsid w:val="00A65947"/>
    <w:rsid w:val="00A67918"/>
    <w:rsid w:val="00A7073B"/>
    <w:rsid w:val="00A712B6"/>
    <w:rsid w:val="00A7491A"/>
    <w:rsid w:val="00A765FB"/>
    <w:rsid w:val="00A77D74"/>
    <w:rsid w:val="00A8136B"/>
    <w:rsid w:val="00A8211F"/>
    <w:rsid w:val="00A8252F"/>
    <w:rsid w:val="00A83187"/>
    <w:rsid w:val="00A833BC"/>
    <w:rsid w:val="00A83640"/>
    <w:rsid w:val="00A84AF1"/>
    <w:rsid w:val="00A85DC6"/>
    <w:rsid w:val="00A86FFE"/>
    <w:rsid w:val="00A93501"/>
    <w:rsid w:val="00A936C3"/>
    <w:rsid w:val="00A95DA0"/>
    <w:rsid w:val="00A96604"/>
    <w:rsid w:val="00A9674B"/>
    <w:rsid w:val="00A96A0B"/>
    <w:rsid w:val="00A96BB4"/>
    <w:rsid w:val="00AA3908"/>
    <w:rsid w:val="00AA6DD1"/>
    <w:rsid w:val="00AB1319"/>
    <w:rsid w:val="00AB22CF"/>
    <w:rsid w:val="00AB31FA"/>
    <w:rsid w:val="00AB3641"/>
    <w:rsid w:val="00AB50C7"/>
    <w:rsid w:val="00AB5662"/>
    <w:rsid w:val="00AC0184"/>
    <w:rsid w:val="00AC225C"/>
    <w:rsid w:val="00AC24E6"/>
    <w:rsid w:val="00AC25E1"/>
    <w:rsid w:val="00AC40D3"/>
    <w:rsid w:val="00AD2606"/>
    <w:rsid w:val="00AE18D6"/>
    <w:rsid w:val="00AE5429"/>
    <w:rsid w:val="00AE589A"/>
    <w:rsid w:val="00AF0488"/>
    <w:rsid w:val="00AF0909"/>
    <w:rsid w:val="00AF18CA"/>
    <w:rsid w:val="00AF2389"/>
    <w:rsid w:val="00AF2F8B"/>
    <w:rsid w:val="00AF3664"/>
    <w:rsid w:val="00AF46E4"/>
    <w:rsid w:val="00AF6E41"/>
    <w:rsid w:val="00B10CAE"/>
    <w:rsid w:val="00B14CE1"/>
    <w:rsid w:val="00B16069"/>
    <w:rsid w:val="00B1658B"/>
    <w:rsid w:val="00B20AB2"/>
    <w:rsid w:val="00B227C6"/>
    <w:rsid w:val="00B22B6B"/>
    <w:rsid w:val="00B23D47"/>
    <w:rsid w:val="00B24F64"/>
    <w:rsid w:val="00B25E0D"/>
    <w:rsid w:val="00B26E3A"/>
    <w:rsid w:val="00B2779E"/>
    <w:rsid w:val="00B30AD1"/>
    <w:rsid w:val="00B30E31"/>
    <w:rsid w:val="00B34C76"/>
    <w:rsid w:val="00B35DF8"/>
    <w:rsid w:val="00B4004B"/>
    <w:rsid w:val="00B401CC"/>
    <w:rsid w:val="00B40929"/>
    <w:rsid w:val="00B40E63"/>
    <w:rsid w:val="00B4276E"/>
    <w:rsid w:val="00B42DC6"/>
    <w:rsid w:val="00B44840"/>
    <w:rsid w:val="00B45714"/>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460C"/>
    <w:rsid w:val="00B67848"/>
    <w:rsid w:val="00B730DD"/>
    <w:rsid w:val="00B738DE"/>
    <w:rsid w:val="00B73E17"/>
    <w:rsid w:val="00B751E6"/>
    <w:rsid w:val="00B75396"/>
    <w:rsid w:val="00B81A21"/>
    <w:rsid w:val="00B81A38"/>
    <w:rsid w:val="00B82A76"/>
    <w:rsid w:val="00B85D78"/>
    <w:rsid w:val="00B85EBE"/>
    <w:rsid w:val="00B90D5A"/>
    <w:rsid w:val="00B9145E"/>
    <w:rsid w:val="00B922CF"/>
    <w:rsid w:val="00B93C59"/>
    <w:rsid w:val="00B947F4"/>
    <w:rsid w:val="00B9660B"/>
    <w:rsid w:val="00B97978"/>
    <w:rsid w:val="00B97BCE"/>
    <w:rsid w:val="00BA1C6C"/>
    <w:rsid w:val="00BA347A"/>
    <w:rsid w:val="00BA5733"/>
    <w:rsid w:val="00BA71B6"/>
    <w:rsid w:val="00BB2B95"/>
    <w:rsid w:val="00BB4913"/>
    <w:rsid w:val="00BB50DC"/>
    <w:rsid w:val="00BB527A"/>
    <w:rsid w:val="00BC29D2"/>
    <w:rsid w:val="00BC617A"/>
    <w:rsid w:val="00BC6FC7"/>
    <w:rsid w:val="00BC7CF7"/>
    <w:rsid w:val="00BD2E5A"/>
    <w:rsid w:val="00BD493B"/>
    <w:rsid w:val="00BD5DEE"/>
    <w:rsid w:val="00BD6E48"/>
    <w:rsid w:val="00BD765D"/>
    <w:rsid w:val="00BD7EB3"/>
    <w:rsid w:val="00BE0489"/>
    <w:rsid w:val="00BE0FAD"/>
    <w:rsid w:val="00BE114A"/>
    <w:rsid w:val="00BE318D"/>
    <w:rsid w:val="00BE5A7E"/>
    <w:rsid w:val="00BE67EE"/>
    <w:rsid w:val="00BE776A"/>
    <w:rsid w:val="00BF0C34"/>
    <w:rsid w:val="00BF1C5E"/>
    <w:rsid w:val="00BF2579"/>
    <w:rsid w:val="00BF5188"/>
    <w:rsid w:val="00BF5D0A"/>
    <w:rsid w:val="00BF7EB6"/>
    <w:rsid w:val="00C0019C"/>
    <w:rsid w:val="00C02775"/>
    <w:rsid w:val="00C04E53"/>
    <w:rsid w:val="00C059AF"/>
    <w:rsid w:val="00C05A87"/>
    <w:rsid w:val="00C05DBD"/>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23B7"/>
    <w:rsid w:val="00C2322D"/>
    <w:rsid w:val="00C24067"/>
    <w:rsid w:val="00C244D9"/>
    <w:rsid w:val="00C24D93"/>
    <w:rsid w:val="00C31260"/>
    <w:rsid w:val="00C31BD2"/>
    <w:rsid w:val="00C345B1"/>
    <w:rsid w:val="00C36B40"/>
    <w:rsid w:val="00C36C15"/>
    <w:rsid w:val="00C37052"/>
    <w:rsid w:val="00C41E1E"/>
    <w:rsid w:val="00C42CB7"/>
    <w:rsid w:val="00C442AB"/>
    <w:rsid w:val="00C44C25"/>
    <w:rsid w:val="00C45987"/>
    <w:rsid w:val="00C45C7F"/>
    <w:rsid w:val="00C46641"/>
    <w:rsid w:val="00C467BA"/>
    <w:rsid w:val="00C51021"/>
    <w:rsid w:val="00C526DB"/>
    <w:rsid w:val="00C5397F"/>
    <w:rsid w:val="00C54D68"/>
    <w:rsid w:val="00C5731C"/>
    <w:rsid w:val="00C57400"/>
    <w:rsid w:val="00C57766"/>
    <w:rsid w:val="00C60143"/>
    <w:rsid w:val="00C60392"/>
    <w:rsid w:val="00C609B1"/>
    <w:rsid w:val="00C60CA0"/>
    <w:rsid w:val="00C60D71"/>
    <w:rsid w:val="00C6227F"/>
    <w:rsid w:val="00C646B5"/>
    <w:rsid w:val="00C70305"/>
    <w:rsid w:val="00C731DA"/>
    <w:rsid w:val="00C7330E"/>
    <w:rsid w:val="00C749CD"/>
    <w:rsid w:val="00C756E9"/>
    <w:rsid w:val="00C75B20"/>
    <w:rsid w:val="00C825FE"/>
    <w:rsid w:val="00C82A54"/>
    <w:rsid w:val="00C851DF"/>
    <w:rsid w:val="00C854C1"/>
    <w:rsid w:val="00C85791"/>
    <w:rsid w:val="00C87D2B"/>
    <w:rsid w:val="00C9342A"/>
    <w:rsid w:val="00C942BE"/>
    <w:rsid w:val="00C94696"/>
    <w:rsid w:val="00C9738C"/>
    <w:rsid w:val="00C975BD"/>
    <w:rsid w:val="00CA080E"/>
    <w:rsid w:val="00CA6F89"/>
    <w:rsid w:val="00CA70B1"/>
    <w:rsid w:val="00CB04D0"/>
    <w:rsid w:val="00CB050D"/>
    <w:rsid w:val="00CB07A6"/>
    <w:rsid w:val="00CB2868"/>
    <w:rsid w:val="00CB3A6D"/>
    <w:rsid w:val="00CB3B9F"/>
    <w:rsid w:val="00CB627A"/>
    <w:rsid w:val="00CB6286"/>
    <w:rsid w:val="00CB6357"/>
    <w:rsid w:val="00CB648D"/>
    <w:rsid w:val="00CB6EC3"/>
    <w:rsid w:val="00CB7033"/>
    <w:rsid w:val="00CC0B52"/>
    <w:rsid w:val="00CC211E"/>
    <w:rsid w:val="00CC3A37"/>
    <w:rsid w:val="00CC4376"/>
    <w:rsid w:val="00CC5509"/>
    <w:rsid w:val="00CD0319"/>
    <w:rsid w:val="00CD19B2"/>
    <w:rsid w:val="00CD25F7"/>
    <w:rsid w:val="00CD306F"/>
    <w:rsid w:val="00CD4AAE"/>
    <w:rsid w:val="00CD7841"/>
    <w:rsid w:val="00CE1174"/>
    <w:rsid w:val="00CE16C7"/>
    <w:rsid w:val="00CE1A50"/>
    <w:rsid w:val="00CE2764"/>
    <w:rsid w:val="00CE3B33"/>
    <w:rsid w:val="00CE46F0"/>
    <w:rsid w:val="00CE4ADA"/>
    <w:rsid w:val="00CE5943"/>
    <w:rsid w:val="00CE5DCE"/>
    <w:rsid w:val="00CE6442"/>
    <w:rsid w:val="00CF047C"/>
    <w:rsid w:val="00CF052D"/>
    <w:rsid w:val="00CF203D"/>
    <w:rsid w:val="00CF26EF"/>
    <w:rsid w:val="00CF358D"/>
    <w:rsid w:val="00CF470B"/>
    <w:rsid w:val="00D004A8"/>
    <w:rsid w:val="00D02CFC"/>
    <w:rsid w:val="00D02E77"/>
    <w:rsid w:val="00D0743B"/>
    <w:rsid w:val="00D1549F"/>
    <w:rsid w:val="00D16E20"/>
    <w:rsid w:val="00D17A14"/>
    <w:rsid w:val="00D20D4D"/>
    <w:rsid w:val="00D21084"/>
    <w:rsid w:val="00D24EB2"/>
    <w:rsid w:val="00D2663C"/>
    <w:rsid w:val="00D305B4"/>
    <w:rsid w:val="00D3188E"/>
    <w:rsid w:val="00D329A6"/>
    <w:rsid w:val="00D329DB"/>
    <w:rsid w:val="00D337AB"/>
    <w:rsid w:val="00D33E81"/>
    <w:rsid w:val="00D34D55"/>
    <w:rsid w:val="00D364A0"/>
    <w:rsid w:val="00D36FA8"/>
    <w:rsid w:val="00D45170"/>
    <w:rsid w:val="00D475CF"/>
    <w:rsid w:val="00D501D7"/>
    <w:rsid w:val="00D51225"/>
    <w:rsid w:val="00D51524"/>
    <w:rsid w:val="00D5172C"/>
    <w:rsid w:val="00D51863"/>
    <w:rsid w:val="00D5523B"/>
    <w:rsid w:val="00D55BAB"/>
    <w:rsid w:val="00D55DAF"/>
    <w:rsid w:val="00D55E30"/>
    <w:rsid w:val="00D62F9F"/>
    <w:rsid w:val="00D65C15"/>
    <w:rsid w:val="00D65D1E"/>
    <w:rsid w:val="00D66BC5"/>
    <w:rsid w:val="00D67D34"/>
    <w:rsid w:val="00D700AF"/>
    <w:rsid w:val="00D711D8"/>
    <w:rsid w:val="00D77D63"/>
    <w:rsid w:val="00D80954"/>
    <w:rsid w:val="00D821C6"/>
    <w:rsid w:val="00D83648"/>
    <w:rsid w:val="00D85058"/>
    <w:rsid w:val="00D8693C"/>
    <w:rsid w:val="00D87845"/>
    <w:rsid w:val="00D95E57"/>
    <w:rsid w:val="00DA0DFA"/>
    <w:rsid w:val="00DA5DEC"/>
    <w:rsid w:val="00DA6115"/>
    <w:rsid w:val="00DA6977"/>
    <w:rsid w:val="00DB05D8"/>
    <w:rsid w:val="00DB223B"/>
    <w:rsid w:val="00DB3BE5"/>
    <w:rsid w:val="00DB780B"/>
    <w:rsid w:val="00DC117E"/>
    <w:rsid w:val="00DC16E0"/>
    <w:rsid w:val="00DC2499"/>
    <w:rsid w:val="00DC31C9"/>
    <w:rsid w:val="00DC5842"/>
    <w:rsid w:val="00DC68AC"/>
    <w:rsid w:val="00DC68CE"/>
    <w:rsid w:val="00DD1080"/>
    <w:rsid w:val="00DD1675"/>
    <w:rsid w:val="00DD1B9B"/>
    <w:rsid w:val="00DD46C1"/>
    <w:rsid w:val="00DD644A"/>
    <w:rsid w:val="00DE0863"/>
    <w:rsid w:val="00DE0A7D"/>
    <w:rsid w:val="00DE153E"/>
    <w:rsid w:val="00DE1BD6"/>
    <w:rsid w:val="00DE3232"/>
    <w:rsid w:val="00DE7858"/>
    <w:rsid w:val="00DE7911"/>
    <w:rsid w:val="00DF0760"/>
    <w:rsid w:val="00DF18D5"/>
    <w:rsid w:val="00DF2089"/>
    <w:rsid w:val="00DF26AB"/>
    <w:rsid w:val="00DF3394"/>
    <w:rsid w:val="00DF6C5A"/>
    <w:rsid w:val="00DF7D6E"/>
    <w:rsid w:val="00E004AB"/>
    <w:rsid w:val="00E01BF7"/>
    <w:rsid w:val="00E02A61"/>
    <w:rsid w:val="00E03BB4"/>
    <w:rsid w:val="00E03C73"/>
    <w:rsid w:val="00E04223"/>
    <w:rsid w:val="00E066C9"/>
    <w:rsid w:val="00E070C4"/>
    <w:rsid w:val="00E10E42"/>
    <w:rsid w:val="00E113CC"/>
    <w:rsid w:val="00E12724"/>
    <w:rsid w:val="00E127C0"/>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EC3"/>
    <w:rsid w:val="00E30845"/>
    <w:rsid w:val="00E30E15"/>
    <w:rsid w:val="00E317CF"/>
    <w:rsid w:val="00E31B88"/>
    <w:rsid w:val="00E34D1B"/>
    <w:rsid w:val="00E35252"/>
    <w:rsid w:val="00E35DF6"/>
    <w:rsid w:val="00E37371"/>
    <w:rsid w:val="00E4039C"/>
    <w:rsid w:val="00E40BA3"/>
    <w:rsid w:val="00E41528"/>
    <w:rsid w:val="00E41DB2"/>
    <w:rsid w:val="00E46943"/>
    <w:rsid w:val="00E47B85"/>
    <w:rsid w:val="00E50EED"/>
    <w:rsid w:val="00E51971"/>
    <w:rsid w:val="00E51D93"/>
    <w:rsid w:val="00E54693"/>
    <w:rsid w:val="00E55912"/>
    <w:rsid w:val="00E603A1"/>
    <w:rsid w:val="00E616FC"/>
    <w:rsid w:val="00E702D8"/>
    <w:rsid w:val="00E703DD"/>
    <w:rsid w:val="00E72251"/>
    <w:rsid w:val="00E731DC"/>
    <w:rsid w:val="00E74FC9"/>
    <w:rsid w:val="00E752B3"/>
    <w:rsid w:val="00E75EA6"/>
    <w:rsid w:val="00E7662C"/>
    <w:rsid w:val="00E76D1C"/>
    <w:rsid w:val="00E77AC7"/>
    <w:rsid w:val="00E80DE9"/>
    <w:rsid w:val="00E85628"/>
    <w:rsid w:val="00E87B41"/>
    <w:rsid w:val="00E9030C"/>
    <w:rsid w:val="00E93E2B"/>
    <w:rsid w:val="00E969ED"/>
    <w:rsid w:val="00E97749"/>
    <w:rsid w:val="00EA1DCD"/>
    <w:rsid w:val="00EA44AB"/>
    <w:rsid w:val="00EA44AD"/>
    <w:rsid w:val="00EA4EF2"/>
    <w:rsid w:val="00EA58CC"/>
    <w:rsid w:val="00EA669D"/>
    <w:rsid w:val="00EA742A"/>
    <w:rsid w:val="00EB0B79"/>
    <w:rsid w:val="00EB13A5"/>
    <w:rsid w:val="00EB1F77"/>
    <w:rsid w:val="00EB3260"/>
    <w:rsid w:val="00EB4EE8"/>
    <w:rsid w:val="00EB4F13"/>
    <w:rsid w:val="00EB5669"/>
    <w:rsid w:val="00EC032B"/>
    <w:rsid w:val="00EC0578"/>
    <w:rsid w:val="00EC118F"/>
    <w:rsid w:val="00ED14D1"/>
    <w:rsid w:val="00ED391C"/>
    <w:rsid w:val="00ED57A8"/>
    <w:rsid w:val="00ED7A0A"/>
    <w:rsid w:val="00EE02A4"/>
    <w:rsid w:val="00EE0860"/>
    <w:rsid w:val="00EE1606"/>
    <w:rsid w:val="00EE2C00"/>
    <w:rsid w:val="00EE3AB1"/>
    <w:rsid w:val="00EE3E2E"/>
    <w:rsid w:val="00EE659B"/>
    <w:rsid w:val="00EE695D"/>
    <w:rsid w:val="00EF0ABE"/>
    <w:rsid w:val="00EF16FD"/>
    <w:rsid w:val="00EF2D6C"/>
    <w:rsid w:val="00EF3DB7"/>
    <w:rsid w:val="00EF42C2"/>
    <w:rsid w:val="00EF4A9D"/>
    <w:rsid w:val="00EF5968"/>
    <w:rsid w:val="00F00B70"/>
    <w:rsid w:val="00F024F0"/>
    <w:rsid w:val="00F0590E"/>
    <w:rsid w:val="00F05BE6"/>
    <w:rsid w:val="00F05C25"/>
    <w:rsid w:val="00F10C30"/>
    <w:rsid w:val="00F1348C"/>
    <w:rsid w:val="00F150DC"/>
    <w:rsid w:val="00F16704"/>
    <w:rsid w:val="00F169FF"/>
    <w:rsid w:val="00F16AEC"/>
    <w:rsid w:val="00F16BEF"/>
    <w:rsid w:val="00F17AA3"/>
    <w:rsid w:val="00F20747"/>
    <w:rsid w:val="00F21E83"/>
    <w:rsid w:val="00F23292"/>
    <w:rsid w:val="00F23719"/>
    <w:rsid w:val="00F24300"/>
    <w:rsid w:val="00F31D40"/>
    <w:rsid w:val="00F33051"/>
    <w:rsid w:val="00F3370F"/>
    <w:rsid w:val="00F33D07"/>
    <w:rsid w:val="00F347F7"/>
    <w:rsid w:val="00F36A30"/>
    <w:rsid w:val="00F37451"/>
    <w:rsid w:val="00F37BC5"/>
    <w:rsid w:val="00F41B80"/>
    <w:rsid w:val="00F41C50"/>
    <w:rsid w:val="00F41DF9"/>
    <w:rsid w:val="00F42C74"/>
    <w:rsid w:val="00F4340B"/>
    <w:rsid w:val="00F43642"/>
    <w:rsid w:val="00F4474B"/>
    <w:rsid w:val="00F51D48"/>
    <w:rsid w:val="00F51F01"/>
    <w:rsid w:val="00F51F12"/>
    <w:rsid w:val="00F526DD"/>
    <w:rsid w:val="00F548D5"/>
    <w:rsid w:val="00F54E93"/>
    <w:rsid w:val="00F54EEB"/>
    <w:rsid w:val="00F575D8"/>
    <w:rsid w:val="00F57D48"/>
    <w:rsid w:val="00F6279B"/>
    <w:rsid w:val="00F62824"/>
    <w:rsid w:val="00F6661F"/>
    <w:rsid w:val="00F67825"/>
    <w:rsid w:val="00F70A44"/>
    <w:rsid w:val="00F71582"/>
    <w:rsid w:val="00F72305"/>
    <w:rsid w:val="00F72ED8"/>
    <w:rsid w:val="00F759FC"/>
    <w:rsid w:val="00F81F44"/>
    <w:rsid w:val="00F823A9"/>
    <w:rsid w:val="00F825C3"/>
    <w:rsid w:val="00F82CBC"/>
    <w:rsid w:val="00F85BE8"/>
    <w:rsid w:val="00F86F7D"/>
    <w:rsid w:val="00F87D43"/>
    <w:rsid w:val="00F908A9"/>
    <w:rsid w:val="00F90D17"/>
    <w:rsid w:val="00F91032"/>
    <w:rsid w:val="00F915F4"/>
    <w:rsid w:val="00F940B8"/>
    <w:rsid w:val="00F97182"/>
    <w:rsid w:val="00F9767C"/>
    <w:rsid w:val="00F976B8"/>
    <w:rsid w:val="00FA6870"/>
    <w:rsid w:val="00FB35A1"/>
    <w:rsid w:val="00FB41FC"/>
    <w:rsid w:val="00FB4C58"/>
    <w:rsid w:val="00FB5DA6"/>
    <w:rsid w:val="00FC4610"/>
    <w:rsid w:val="00FC4856"/>
    <w:rsid w:val="00FC59D3"/>
    <w:rsid w:val="00FC6039"/>
    <w:rsid w:val="00FC65AA"/>
    <w:rsid w:val="00FC67BB"/>
    <w:rsid w:val="00FC7175"/>
    <w:rsid w:val="00FD003F"/>
    <w:rsid w:val="00FD05F2"/>
    <w:rsid w:val="00FD1172"/>
    <w:rsid w:val="00FD211D"/>
    <w:rsid w:val="00FD4614"/>
    <w:rsid w:val="00FD54C0"/>
    <w:rsid w:val="00FD6102"/>
    <w:rsid w:val="00FE032D"/>
    <w:rsid w:val="00FE060E"/>
    <w:rsid w:val="00FE1158"/>
    <w:rsid w:val="00FE2985"/>
    <w:rsid w:val="00FE29AF"/>
    <w:rsid w:val="00FE4860"/>
    <w:rsid w:val="00FE4D55"/>
    <w:rsid w:val="00FF056B"/>
    <w:rsid w:val="00FF0CBD"/>
    <w:rsid w:val="00FF0F3D"/>
    <w:rsid w:val="00FF28F7"/>
    <w:rsid w:val="00FF2AD3"/>
    <w:rsid w:val="00FF415C"/>
    <w:rsid w:val="00FF498C"/>
    <w:rsid w:val="00FF5B4C"/>
    <w:rsid w:val="00FF5C67"/>
    <w:rsid w:val="00FF63A5"/>
    <w:rsid w:val="00FF6CA8"/>
    <w:rsid w:val="00FF77A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4C51D0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E3F"/>
    <w:pPr>
      <w:tabs>
        <w:tab w:val="left" w:pos="567"/>
      </w:tabs>
    </w:pPr>
    <w:rPr>
      <w:rFonts w:eastAsia="PMingLiU"/>
      <w:sz w:val="22"/>
      <w:szCs w:val="22"/>
      <w:lang w:val="et-EE"/>
    </w:rPr>
  </w:style>
  <w:style w:type="paragraph" w:styleId="Heading1">
    <w:name w:val="heading 1"/>
    <w:basedOn w:val="Normal"/>
    <w:next w:val="Normal"/>
    <w:link w:val="Heading1Char"/>
    <w:qFormat/>
    <w:pPr>
      <w:spacing w:before="240" w:after="120"/>
      <w:ind w:left="357" w:hanging="357"/>
      <w:outlineLvl w:val="0"/>
    </w:pPr>
    <w:rPr>
      <w:b/>
      <w:caps/>
      <w:sz w:val="26"/>
    </w:rPr>
  </w:style>
  <w:style w:type="paragraph" w:styleId="Heading2">
    <w:name w:val="heading 2"/>
    <w:basedOn w:val="Normal"/>
    <w:next w:val="Normal"/>
    <w:link w:val="Heading2Char"/>
    <w:qFormat/>
    <w:pPr>
      <w:keepNext/>
      <w:spacing w:before="240" w:after="60"/>
      <w:outlineLvl w:val="1"/>
    </w:pPr>
    <w:rPr>
      <w:rFonts w:ascii="Helvetica" w:hAnsi="Helvetica"/>
      <w:b/>
      <w:i/>
      <w:sz w:val="24"/>
    </w:rPr>
  </w:style>
  <w:style w:type="paragraph" w:styleId="Heading3">
    <w:name w:val="heading 3"/>
    <w:basedOn w:val="Normal"/>
    <w:next w:val="Normal"/>
    <w:link w:val="Heading3Char"/>
    <w:qFormat/>
    <w:pPr>
      <w:keepNext/>
      <w:keepLines/>
      <w:spacing w:before="120" w:after="80"/>
      <w:outlineLvl w:val="2"/>
    </w:pPr>
    <w:rPr>
      <w:b/>
      <w:kern w:val="28"/>
      <w:sz w:val="24"/>
    </w:rPr>
  </w:style>
  <w:style w:type="paragraph" w:styleId="Heading4">
    <w:name w:val="heading 4"/>
    <w:basedOn w:val="Normal"/>
    <w:next w:val="Normal"/>
    <w:link w:val="Heading4Char"/>
    <w:qFormat/>
    <w:pPr>
      <w:keepNext/>
      <w:jc w:val="both"/>
      <w:outlineLvl w:val="3"/>
    </w:pPr>
    <w:rPr>
      <w:b/>
      <w:noProof/>
    </w:rPr>
  </w:style>
  <w:style w:type="paragraph" w:styleId="Heading5">
    <w:name w:val="heading 5"/>
    <w:basedOn w:val="Normal"/>
    <w:next w:val="Normal"/>
    <w:link w:val="Heading5Char"/>
    <w:qFormat/>
    <w:pPr>
      <w:keepNext/>
      <w:jc w:val="both"/>
      <w:outlineLvl w:val="4"/>
    </w:pPr>
    <w:rPr>
      <w:noProof/>
    </w:rPr>
  </w:style>
  <w:style w:type="paragraph" w:styleId="Heading6">
    <w:name w:val="heading 6"/>
    <w:basedOn w:val="Normal"/>
    <w:next w:val="Normal"/>
    <w:link w:val="Heading6Char"/>
    <w:qFormat/>
    <w:pPr>
      <w:keepNext/>
      <w:tabs>
        <w:tab w:val="left" w:pos="-720"/>
        <w:tab w:val="left" w:pos="4536"/>
      </w:tabs>
      <w:suppressAutoHyphens/>
      <w:outlineLvl w:val="5"/>
    </w:pPr>
    <w:rPr>
      <w:i/>
    </w:rPr>
  </w:style>
  <w:style w:type="paragraph" w:styleId="Heading7">
    <w:name w:val="heading 7"/>
    <w:basedOn w:val="Normal"/>
    <w:next w:val="Normal"/>
    <w:link w:val="Heading7Char"/>
    <w:qFormat/>
    <w:pPr>
      <w:keepNext/>
      <w:tabs>
        <w:tab w:val="left" w:pos="-720"/>
        <w:tab w:val="left" w:pos="4536"/>
      </w:tabs>
      <w:suppressAutoHyphens/>
      <w:jc w:val="both"/>
      <w:outlineLvl w:val="6"/>
    </w:pPr>
    <w:rPr>
      <w:i/>
    </w:rPr>
  </w:style>
  <w:style w:type="paragraph" w:styleId="Heading8">
    <w:name w:val="heading 8"/>
    <w:basedOn w:val="Normal"/>
    <w:next w:val="Normal"/>
    <w:link w:val="Heading8Char"/>
    <w:qFormat/>
    <w:pPr>
      <w:keepNext/>
      <w:ind w:left="567" w:hanging="567"/>
      <w:jc w:val="both"/>
      <w:outlineLvl w:val="7"/>
    </w:pPr>
    <w:rPr>
      <w:b/>
      <w:i/>
    </w:rPr>
  </w:style>
  <w:style w:type="paragraph" w:styleId="Heading9">
    <w:name w:val="heading 9"/>
    <w:basedOn w:val="Normal"/>
    <w:next w:val="Normal"/>
    <w:link w:val="Heading9Char"/>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Helvetica" w:hAnsi="Helvetica"/>
      <w:sz w:val="20"/>
    </w:rPr>
  </w:style>
  <w:style w:type="paragraph" w:styleId="Footer">
    <w:name w:val="footer"/>
    <w:basedOn w:val="Normal"/>
    <w:link w:val="FooterChar"/>
    <w:rsid w:val="00D364A0"/>
    <w:pPr>
      <w:tabs>
        <w:tab w:val="center" w:pos="4536"/>
        <w:tab w:val="center" w:pos="8930"/>
      </w:tabs>
    </w:pPr>
  </w:style>
  <w:style w:type="character" w:styleId="PageNumber">
    <w:name w:val="page number"/>
    <w:basedOn w:val="DefaultParagraphFont"/>
  </w:style>
  <w:style w:type="paragraph" w:styleId="BodyTextIndent">
    <w:name w:val="Body Text Indent"/>
    <w:basedOn w:val="Normal"/>
    <w:link w:val="BodyTextIndentChar"/>
    <w:pPr>
      <w:tabs>
        <w:tab w:val="clear" w:pos="567"/>
      </w:tabs>
      <w:autoSpaceDE w:val="0"/>
      <w:autoSpaceDN w:val="0"/>
      <w:adjustRightInd w:val="0"/>
      <w:ind w:left="720"/>
      <w:jc w:val="both"/>
    </w:pPr>
    <w:rPr>
      <w:lang w:eastAsia="en-GB"/>
    </w:rPr>
  </w:style>
  <w:style w:type="paragraph" w:styleId="BodyText3">
    <w:name w:val="Body Text 3"/>
    <w:basedOn w:val="Normal"/>
    <w:link w:val="BodyText3Char"/>
    <w:pPr>
      <w:tabs>
        <w:tab w:val="clear" w:pos="567"/>
      </w:tabs>
      <w:autoSpaceDE w:val="0"/>
      <w:autoSpaceDN w:val="0"/>
      <w:adjustRightInd w:val="0"/>
      <w:jc w:val="both"/>
    </w:pPr>
    <w:rPr>
      <w:color w:val="0000FF"/>
      <w:lang w:eastAsia="en-GB"/>
    </w:rPr>
  </w:style>
  <w:style w:type="paragraph" w:styleId="BodyTextIndent2">
    <w:name w:val="Body Text Indent 2"/>
    <w:basedOn w:val="Normal"/>
    <w:link w:val="BodyTextIndent2Char"/>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BodyText">
    <w:name w:val="Body Text"/>
    <w:basedOn w:val="Normal"/>
    <w:link w:val="BodyTextChar"/>
    <w:pPr>
      <w:tabs>
        <w:tab w:val="clear" w:pos="567"/>
      </w:tabs>
    </w:pPr>
    <w:rPr>
      <w:i/>
      <w:color w:val="008000"/>
    </w:rPr>
  </w:style>
  <w:style w:type="paragraph" w:styleId="BodyText2">
    <w:name w:val="Body Text 2"/>
    <w:basedOn w:val="Normal"/>
    <w:link w:val="BodyText2Char"/>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 w:val="20"/>
    </w:rPr>
  </w:style>
  <w:style w:type="paragraph" w:customStyle="1" w:styleId="EMEAEnBodyText">
    <w:name w:val="EMEA En Body Text"/>
    <w:basedOn w:val="Normal"/>
    <w:pPr>
      <w:tabs>
        <w:tab w:val="clear" w:pos="567"/>
      </w:tabs>
      <w:spacing w:before="120" w:after="120"/>
      <w:jc w:val="both"/>
    </w:pPr>
  </w:style>
  <w:style w:type="paragraph" w:styleId="DocumentMap">
    <w:name w:val="Document Map"/>
    <w:basedOn w:val="Normal"/>
    <w:link w:val="DocumentMapChar"/>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4"/>
      </w:numPr>
      <w:tabs>
        <w:tab w:val="clear" w:pos="567"/>
        <w:tab w:val="clear" w:pos="720"/>
      </w:tabs>
      <w:spacing w:after="120"/>
      <w:ind w:left="990" w:hanging="360"/>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36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s>
    </w:pPr>
  </w:style>
  <w:style w:type="paragraph" w:styleId="BodyTextIndent3">
    <w:name w:val="Body Text Indent 3"/>
    <w:basedOn w:val="Normal"/>
    <w:link w:val="BodyTextIndent3Char"/>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Ballongtext">
    <w:name w:val="Ballongtext"/>
    <w:basedOn w:val="Normal"/>
    <w:semiHidden/>
    <w:rPr>
      <w:rFonts w:ascii="Tahoma" w:hAnsi="Tahoma" w:cs="Tahoma"/>
      <w:sz w:val="16"/>
      <w:szCs w:val="16"/>
    </w:rPr>
  </w:style>
  <w:style w:type="paragraph" w:customStyle="1" w:styleId="Kommentarsmne">
    <w:name w:val="Kommentarsämne"/>
    <w:basedOn w:val="CommentText"/>
    <w:next w:val="CommentText"/>
    <w:semiHidden/>
    <w:rPr>
      <w:b/>
      <w:bCs/>
    </w:rPr>
  </w:style>
  <w:style w:type="paragraph" w:customStyle="1" w:styleId="Text">
    <w:name w:val="Text"/>
    <w:basedOn w:val="Normal"/>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et-EE" w:eastAsia="en-US" w:bidi="ar-SA"/>
    </w:rPr>
  </w:style>
  <w:style w:type="character" w:styleId="Emphasis">
    <w:name w:val="Emphasis"/>
    <w:uiPriority w:val="20"/>
    <w:qFormat/>
    <w:rPr>
      <w:i/>
      <w:iCs/>
    </w:rPr>
  </w:style>
  <w:style w:type="paragraph" w:styleId="NormalWeb">
    <w:name w:val="Normal (Web)"/>
    <w:basedOn w:val="Normal"/>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DefaultParagraphFont"/>
    <w:semiHidden/>
  </w:style>
  <w:style w:type="paragraph" w:styleId="BalloonText">
    <w:name w:val="Balloon Text"/>
    <w:basedOn w:val="Normal"/>
    <w:link w:val="BalloonTextChar"/>
    <w:semiHidden/>
    <w:rPr>
      <w:rFonts w:ascii="Tahoma" w:hAnsi="Tahoma" w:cs="Tahoma"/>
      <w:sz w:val="16"/>
      <w:szCs w:val="16"/>
    </w:rPr>
  </w:style>
  <w:style w:type="paragraph" w:customStyle="1" w:styleId="lbltxt">
    <w:name w:val="lbltxt"/>
    <w:pPr>
      <w:tabs>
        <w:tab w:val="left" w:pos="567"/>
      </w:tabs>
    </w:pPr>
    <w:rPr>
      <w:noProof/>
      <w:sz w:val="22"/>
      <w:lang w:val="et-EE"/>
    </w:rPr>
  </w:style>
  <w:style w:type="paragraph" w:customStyle="1" w:styleId="TextBullet">
    <w:name w:val="TextBullet"/>
    <w:basedOn w:val="Normal"/>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et-EE" w:eastAsia="en-US"/>
    </w:rPr>
  </w:style>
  <w:style w:type="character" w:customStyle="1" w:styleId="SidhuvudChar1">
    <w:name w:val="Sidhuvud Char1"/>
    <w:rPr>
      <w:rFonts w:ascii="Helvetica" w:hAnsi="Helvetica"/>
      <w:lang w:val="et-EE" w:eastAsia="en-US" w:bidi="ar-SA"/>
    </w:rPr>
  </w:style>
  <w:style w:type="paragraph" w:customStyle="1" w:styleId="Para">
    <w:name w:val="Para"/>
    <w:basedOn w:val="Normal"/>
    <w:next w:val="Normal"/>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Normal"/>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et-EE" w:eastAsia="ja-JP"/>
    </w:rPr>
  </w:style>
  <w:style w:type="paragraph" w:customStyle="1" w:styleId="synopsistext0">
    <w:name w:val="synopsistext"/>
    <w:basedOn w:val="Normal"/>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et-EE"/>
    </w:rPr>
  </w:style>
  <w:style w:type="paragraph" w:customStyle="1" w:styleId="TableCenterBold">
    <w:name w:val="TableCenterBold"/>
    <w:basedOn w:val="Normal"/>
    <w:pPr>
      <w:tabs>
        <w:tab w:val="clear" w:pos="567"/>
      </w:tabs>
      <w:suppressAutoHyphens/>
      <w:spacing w:before="60" w:line="240" w:lineRule="exact"/>
      <w:jc w:val="center"/>
    </w:pPr>
    <w:rPr>
      <w:b/>
      <w:sz w:val="24"/>
      <w:szCs w:val="24"/>
    </w:rPr>
  </w:style>
  <w:style w:type="paragraph" w:customStyle="1" w:styleId="lblbullet">
    <w:name w:val="lblbullet"/>
    <w:basedOn w:val="Normal"/>
    <w:pPr>
      <w:ind w:left="567" w:hanging="567"/>
    </w:pPr>
  </w:style>
  <w:style w:type="paragraph" w:customStyle="1" w:styleId="Ballongtext1">
    <w:name w:val="Ballongtext1"/>
    <w:basedOn w:val="Normal"/>
    <w:semiHidden/>
    <w:rPr>
      <w:rFonts w:ascii="Tahoma" w:hAnsi="Tahoma" w:cs="Tahoma"/>
      <w:sz w:val="16"/>
      <w:szCs w:val="16"/>
    </w:rPr>
  </w:style>
  <w:style w:type="paragraph" w:customStyle="1" w:styleId="Kommentarsmne1">
    <w:name w:val="Kommentarsämne1"/>
    <w:basedOn w:val="CommentText"/>
    <w:next w:val="CommentText"/>
    <w:semiHidden/>
    <w:rPr>
      <w:b/>
      <w:bCs/>
    </w:rPr>
  </w:style>
  <w:style w:type="character" w:customStyle="1" w:styleId="SidhuvudChar">
    <w:name w:val="Sidhuvud Char"/>
    <w:rPr>
      <w:rFonts w:ascii="Helvetica" w:hAnsi="Helvetica"/>
      <w:lang w:val="et-EE" w:eastAsia="en-US" w:bidi="ar-SA"/>
    </w:rPr>
  </w:style>
  <w:style w:type="paragraph" w:customStyle="1" w:styleId="TableLeftAlign">
    <w:name w:val="TableLeftAlign"/>
    <w:basedOn w:val="Normal"/>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Normal"/>
    <w:qFormat/>
    <w:pPr>
      <w:ind w:left="1304"/>
    </w:pPr>
  </w:style>
  <w:style w:type="paragraph" w:styleId="Revision">
    <w:name w:val="Revision"/>
    <w:hidden/>
    <w:semiHidden/>
    <w:rPr>
      <w:sz w:val="22"/>
      <w:lang w:val="et-EE"/>
    </w:rPr>
  </w:style>
  <w:style w:type="paragraph" w:customStyle="1" w:styleId="Ballongtext2">
    <w:name w:val="Ballongtext2"/>
    <w:basedOn w:val="Normal"/>
    <w:semiHidden/>
    <w:rPr>
      <w:rFonts w:ascii="Tahoma" w:hAnsi="Tahoma" w:cs="Tahoma"/>
      <w:sz w:val="16"/>
      <w:szCs w:val="16"/>
    </w:rPr>
  </w:style>
  <w:style w:type="paragraph" w:customStyle="1" w:styleId="Kommentarsmne2">
    <w:name w:val="Kommentarsämne2"/>
    <w:basedOn w:val="CommentText"/>
    <w:next w:val="CommentText"/>
    <w:semiHidden/>
    <w:rPr>
      <w:b/>
      <w:bCs/>
    </w:rPr>
  </w:style>
  <w:style w:type="paragraph" w:styleId="Caption">
    <w:name w:val="caption"/>
    <w:basedOn w:val="Normal"/>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et-EE" w:eastAsia="en-US"/>
    </w:rPr>
  </w:style>
  <w:style w:type="character" w:customStyle="1" w:styleId="z3988">
    <w:name w:val="z3988"/>
    <w:basedOn w:val="DefaultParagraphFont"/>
  </w:style>
  <w:style w:type="character" w:customStyle="1" w:styleId="SidhuvudChar2">
    <w:name w:val="Sidhuvud Char2"/>
    <w:rPr>
      <w:rFonts w:ascii="Helvetica" w:hAnsi="Helvetica"/>
      <w:lang w:val="et-EE" w:eastAsia="en-US" w:bidi="ar-SA"/>
    </w:rPr>
  </w:style>
  <w:style w:type="character" w:styleId="Strong">
    <w:name w:val="Strong"/>
    <w:uiPriority w:val="22"/>
    <w:qFormat/>
    <w:rPr>
      <w:b/>
      <w:bCs/>
    </w:rPr>
  </w:style>
  <w:style w:type="paragraph" w:styleId="Date">
    <w:name w:val="Date"/>
    <w:basedOn w:val="Normal"/>
    <w:next w:val="Normal"/>
    <w:link w:val="DateChar"/>
    <w:pPr>
      <w:tabs>
        <w:tab w:val="clear" w:pos="567"/>
      </w:tabs>
    </w:pPr>
  </w:style>
  <w:style w:type="paragraph" w:styleId="CommentSubject">
    <w:name w:val="annotation subject"/>
    <w:basedOn w:val="CommentText"/>
    <w:next w:val="CommentText"/>
    <w:link w:val="CommentSubjectChar"/>
    <w:semiHidden/>
    <w:rPr>
      <w:b/>
      <w:bCs/>
    </w:rPr>
  </w:style>
  <w:style w:type="paragraph" w:customStyle="1" w:styleId="TitleA">
    <w:name w:val="Title A"/>
    <w:basedOn w:val="Normal"/>
    <w:rsid w:val="00BF5188"/>
    <w:pPr>
      <w:jc w:val="center"/>
    </w:pPr>
    <w:rPr>
      <w:b/>
      <w:bCs/>
    </w:rPr>
  </w:style>
  <w:style w:type="paragraph" w:customStyle="1" w:styleId="TitleB">
    <w:name w:val="Title B"/>
    <w:basedOn w:val="Normal"/>
    <w:qFormat/>
    <w:rsid w:val="00BF5188"/>
    <w:pPr>
      <w:keepNext/>
      <w:tabs>
        <w:tab w:val="clear" w:pos="567"/>
      </w:tabs>
      <w:ind w:left="567" w:hanging="567"/>
    </w:pPr>
    <w:rPr>
      <w:b/>
      <w:bCs/>
    </w:rPr>
  </w:style>
  <w:style w:type="character" w:customStyle="1" w:styleId="CommentTextChar">
    <w:name w:val="Comment Text Char"/>
    <w:link w:val="CommentText"/>
    <w:uiPriority w:val="99"/>
    <w:rsid w:val="006606E8"/>
    <w:rPr>
      <w:lang w:val="et-EE"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Normal"/>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et-EE" w:eastAsia="ja-JP"/>
    </w:rPr>
  </w:style>
  <w:style w:type="paragraph" w:styleId="ListParagraph">
    <w:name w:val="List Paragraph"/>
    <w:basedOn w:val="Normal"/>
    <w:uiPriority w:val="99"/>
    <w:qFormat/>
    <w:rsid w:val="004B39BB"/>
    <w:pPr>
      <w:tabs>
        <w:tab w:val="clear" w:pos="567"/>
      </w:tabs>
      <w:ind w:left="720"/>
      <w:contextualSpacing/>
    </w:pPr>
    <w:rPr>
      <w:sz w:val="24"/>
      <w:szCs w:val="24"/>
      <w:lang w:eastAsia="en-GB"/>
    </w:rPr>
  </w:style>
  <w:style w:type="paragraph" w:customStyle="1" w:styleId="BasicParagraph">
    <w:name w:val="[Basic Paragraph]"/>
    <w:basedOn w:val="Normal"/>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ListParagraph"/>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et-EE"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et-EE" w:eastAsia="en-GB"/>
    </w:rPr>
  </w:style>
  <w:style w:type="table" w:styleId="TableGrid">
    <w:name w:val="Table Grid"/>
    <w:basedOn w:val="TableNormal"/>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Normal"/>
    <w:qFormat/>
    <w:rsid w:val="008132C0"/>
    <w:rPr>
      <w:i/>
      <w:iCs/>
    </w:rPr>
  </w:style>
  <w:style w:type="paragraph" w:customStyle="1" w:styleId="Style11ptunderlined">
    <w:name w:val="_Style 11pt underlined"/>
    <w:basedOn w:val="Normal"/>
    <w:qFormat/>
    <w:rsid w:val="00680B23"/>
    <w:pPr>
      <w:keepNext/>
    </w:pPr>
    <w:rPr>
      <w:u w:val="single"/>
    </w:rPr>
  </w:style>
  <w:style w:type="paragraph" w:customStyle="1" w:styleId="Style1italic">
    <w:name w:val="__Style1_italic"/>
    <w:basedOn w:val="Normal"/>
    <w:qFormat/>
    <w:rsid w:val="00B40929"/>
    <w:pPr>
      <w:keepNext/>
      <w:tabs>
        <w:tab w:val="clear" w:pos="567"/>
      </w:tabs>
    </w:pPr>
    <w:rPr>
      <w:i/>
      <w:iCs/>
    </w:rPr>
  </w:style>
  <w:style w:type="character" w:customStyle="1" w:styleId="Heading1Char">
    <w:name w:val="Heading 1 Char"/>
    <w:link w:val="Heading1"/>
    <w:rsid w:val="00951F81"/>
    <w:rPr>
      <w:rFonts w:eastAsia="PMingLiU"/>
      <w:b/>
      <w:caps/>
      <w:sz w:val="26"/>
      <w:szCs w:val="22"/>
      <w:lang w:val="et-EE" w:eastAsia="en-US"/>
    </w:rPr>
  </w:style>
  <w:style w:type="character" w:customStyle="1" w:styleId="Heading2Char">
    <w:name w:val="Heading 2 Char"/>
    <w:link w:val="Heading2"/>
    <w:rsid w:val="00951F81"/>
    <w:rPr>
      <w:rFonts w:ascii="Helvetica" w:eastAsia="PMingLiU" w:hAnsi="Helvetica"/>
      <w:b/>
      <w:i/>
      <w:sz w:val="24"/>
      <w:szCs w:val="22"/>
      <w:lang w:val="et-EE" w:eastAsia="en-US"/>
    </w:rPr>
  </w:style>
  <w:style w:type="character" w:customStyle="1" w:styleId="Heading3Char">
    <w:name w:val="Heading 3 Char"/>
    <w:link w:val="Heading3"/>
    <w:rsid w:val="00951F81"/>
    <w:rPr>
      <w:rFonts w:eastAsia="PMingLiU"/>
      <w:b/>
      <w:kern w:val="28"/>
      <w:sz w:val="24"/>
      <w:szCs w:val="22"/>
      <w:lang w:val="et-EE" w:eastAsia="en-US"/>
    </w:rPr>
  </w:style>
  <w:style w:type="character" w:customStyle="1" w:styleId="Heading4Char">
    <w:name w:val="Heading 4 Char"/>
    <w:link w:val="Heading4"/>
    <w:rsid w:val="00951F81"/>
    <w:rPr>
      <w:rFonts w:eastAsia="PMingLiU"/>
      <w:b/>
      <w:noProof/>
      <w:sz w:val="22"/>
      <w:szCs w:val="22"/>
      <w:lang w:val="et-EE" w:eastAsia="en-US"/>
    </w:rPr>
  </w:style>
  <w:style w:type="character" w:customStyle="1" w:styleId="Heading5Char">
    <w:name w:val="Heading 5 Char"/>
    <w:link w:val="Heading5"/>
    <w:rsid w:val="00951F81"/>
    <w:rPr>
      <w:rFonts w:eastAsia="PMingLiU"/>
      <w:noProof/>
      <w:sz w:val="22"/>
      <w:szCs w:val="22"/>
      <w:lang w:val="et-EE" w:eastAsia="en-US"/>
    </w:rPr>
  </w:style>
  <w:style w:type="character" w:customStyle="1" w:styleId="Heading6Char">
    <w:name w:val="Heading 6 Char"/>
    <w:link w:val="Heading6"/>
    <w:rsid w:val="00951F81"/>
    <w:rPr>
      <w:rFonts w:eastAsia="PMingLiU"/>
      <w:i/>
      <w:sz w:val="22"/>
      <w:szCs w:val="22"/>
      <w:lang w:val="et-EE" w:eastAsia="en-US"/>
    </w:rPr>
  </w:style>
  <w:style w:type="character" w:customStyle="1" w:styleId="Heading7Char">
    <w:name w:val="Heading 7 Char"/>
    <w:link w:val="Heading7"/>
    <w:rsid w:val="00951F81"/>
    <w:rPr>
      <w:rFonts w:eastAsia="PMingLiU"/>
      <w:i/>
      <w:sz w:val="22"/>
      <w:szCs w:val="22"/>
      <w:lang w:val="et-EE" w:eastAsia="en-US"/>
    </w:rPr>
  </w:style>
  <w:style w:type="character" w:customStyle="1" w:styleId="Heading8Char">
    <w:name w:val="Heading 8 Char"/>
    <w:link w:val="Heading8"/>
    <w:rsid w:val="00951F81"/>
    <w:rPr>
      <w:rFonts w:eastAsia="PMingLiU"/>
      <w:b/>
      <w:i/>
      <w:sz w:val="22"/>
      <w:szCs w:val="22"/>
      <w:lang w:val="et-EE" w:eastAsia="en-US"/>
    </w:rPr>
  </w:style>
  <w:style w:type="character" w:customStyle="1" w:styleId="Heading9Char">
    <w:name w:val="Heading 9 Char"/>
    <w:link w:val="Heading9"/>
    <w:rsid w:val="00951F81"/>
    <w:rPr>
      <w:rFonts w:eastAsia="PMingLiU"/>
      <w:b/>
      <w:i/>
      <w:sz w:val="22"/>
      <w:szCs w:val="22"/>
      <w:lang w:val="et-EE" w:eastAsia="en-US"/>
    </w:rPr>
  </w:style>
  <w:style w:type="character" w:customStyle="1" w:styleId="HeaderChar">
    <w:name w:val="Header Char"/>
    <w:link w:val="Header"/>
    <w:rsid w:val="00951F81"/>
    <w:rPr>
      <w:rFonts w:ascii="Helvetica" w:eastAsia="PMingLiU" w:hAnsi="Helvetica"/>
      <w:szCs w:val="22"/>
      <w:lang w:val="et-EE" w:eastAsia="en-US"/>
    </w:rPr>
  </w:style>
  <w:style w:type="character" w:customStyle="1" w:styleId="FooterChar">
    <w:name w:val="Footer Char"/>
    <w:link w:val="Footer"/>
    <w:rsid w:val="00951F81"/>
    <w:rPr>
      <w:rFonts w:eastAsia="PMingLiU"/>
      <w:sz w:val="22"/>
      <w:szCs w:val="22"/>
      <w:lang w:val="et-EE" w:eastAsia="en-US"/>
    </w:rPr>
  </w:style>
  <w:style w:type="character" w:customStyle="1" w:styleId="BodyTextIndentChar">
    <w:name w:val="Body Text Indent Char"/>
    <w:link w:val="BodyTextIndent"/>
    <w:rsid w:val="00951F81"/>
    <w:rPr>
      <w:rFonts w:eastAsia="PMingLiU"/>
      <w:sz w:val="22"/>
      <w:szCs w:val="22"/>
      <w:lang w:val="et-EE" w:eastAsia="en-GB"/>
    </w:rPr>
  </w:style>
  <w:style w:type="character" w:customStyle="1" w:styleId="BodyText3Char">
    <w:name w:val="Body Text 3 Char"/>
    <w:link w:val="BodyText3"/>
    <w:rsid w:val="00951F81"/>
    <w:rPr>
      <w:rFonts w:eastAsia="PMingLiU"/>
      <w:color w:val="0000FF"/>
      <w:sz w:val="22"/>
      <w:szCs w:val="22"/>
      <w:lang w:val="et-EE" w:eastAsia="en-GB"/>
    </w:rPr>
  </w:style>
  <w:style w:type="character" w:customStyle="1" w:styleId="BodyTextIndent2Char">
    <w:name w:val="Body Text Indent 2 Char"/>
    <w:link w:val="BodyTextIndent2"/>
    <w:rsid w:val="00951F81"/>
    <w:rPr>
      <w:rFonts w:eastAsia="PMingLiU"/>
      <w:b/>
      <w:bCs/>
      <w:color w:val="0000FF"/>
      <w:sz w:val="22"/>
      <w:szCs w:val="22"/>
      <w:lang w:val="et-EE" w:eastAsia="en-US"/>
    </w:rPr>
  </w:style>
  <w:style w:type="character" w:customStyle="1" w:styleId="BodyTextChar">
    <w:name w:val="Body Text Char"/>
    <w:link w:val="BodyText"/>
    <w:rsid w:val="00951F81"/>
    <w:rPr>
      <w:rFonts w:eastAsia="PMingLiU"/>
      <w:i/>
      <w:color w:val="008000"/>
      <w:sz w:val="22"/>
      <w:szCs w:val="22"/>
      <w:lang w:val="et-EE" w:eastAsia="en-US"/>
    </w:rPr>
  </w:style>
  <w:style w:type="character" w:customStyle="1" w:styleId="BodyText2Char">
    <w:name w:val="Body Text 2 Char"/>
    <w:link w:val="BodyText2"/>
    <w:rsid w:val="00951F81"/>
    <w:rPr>
      <w:rFonts w:eastAsia="PMingLiU"/>
      <w:b/>
      <w:bCs/>
      <w:color w:val="0000FF"/>
      <w:sz w:val="22"/>
      <w:szCs w:val="22"/>
      <w:u w:val="single"/>
      <w:lang w:val="et-EE" w:eastAsia="en-US"/>
    </w:rPr>
  </w:style>
  <w:style w:type="character" w:customStyle="1" w:styleId="DocumentMapChar">
    <w:name w:val="Document Map Char"/>
    <w:link w:val="DocumentMap"/>
    <w:semiHidden/>
    <w:rsid w:val="00951F81"/>
    <w:rPr>
      <w:rFonts w:ascii="Tahoma" w:eastAsia="PMingLiU" w:hAnsi="Tahoma" w:cs="Tahoma"/>
      <w:sz w:val="22"/>
      <w:szCs w:val="22"/>
      <w:shd w:val="clear" w:color="auto" w:fill="000080"/>
      <w:lang w:val="et-EE" w:eastAsia="en-US"/>
    </w:rPr>
  </w:style>
  <w:style w:type="character" w:customStyle="1" w:styleId="BodyTextIndent3Char">
    <w:name w:val="Body Text Indent 3 Char"/>
    <w:link w:val="BodyTextIndent3"/>
    <w:rsid w:val="00951F81"/>
    <w:rPr>
      <w:rFonts w:eastAsia="PMingLiU"/>
      <w:sz w:val="22"/>
      <w:szCs w:val="21"/>
      <w:lang w:val="et-EE" w:eastAsia="en-US"/>
    </w:rPr>
  </w:style>
  <w:style w:type="character" w:customStyle="1" w:styleId="BalloonTextChar">
    <w:name w:val="Balloon Text Char"/>
    <w:link w:val="BalloonText"/>
    <w:semiHidden/>
    <w:rsid w:val="00951F81"/>
    <w:rPr>
      <w:rFonts w:ascii="Tahoma" w:eastAsia="PMingLiU" w:hAnsi="Tahoma" w:cs="Tahoma"/>
      <w:sz w:val="16"/>
      <w:szCs w:val="16"/>
      <w:lang w:val="et-EE" w:eastAsia="en-US"/>
    </w:rPr>
  </w:style>
  <w:style w:type="paragraph" w:customStyle="1" w:styleId="Ballongtext10">
    <w:name w:val="Ballongtext1_0"/>
    <w:basedOn w:val="Normal"/>
    <w:semiHidden/>
    <w:rsid w:val="00951F81"/>
    <w:rPr>
      <w:rFonts w:ascii="Tahoma" w:hAnsi="Tahoma" w:cs="Tahoma"/>
      <w:sz w:val="16"/>
      <w:szCs w:val="16"/>
    </w:rPr>
  </w:style>
  <w:style w:type="paragraph" w:customStyle="1" w:styleId="Kommentarsmne10">
    <w:name w:val="Kommentarsämne1_0"/>
    <w:basedOn w:val="CommentText"/>
    <w:next w:val="CommentText"/>
    <w:semiHidden/>
    <w:rsid w:val="00951F81"/>
    <w:rPr>
      <w:b/>
      <w:bCs/>
    </w:rPr>
  </w:style>
  <w:style w:type="paragraph" w:customStyle="1" w:styleId="Liststycke1">
    <w:name w:val="Liststycke1"/>
    <w:basedOn w:val="Normal"/>
    <w:qFormat/>
    <w:rsid w:val="00951F81"/>
    <w:pPr>
      <w:ind w:left="1304"/>
    </w:pPr>
  </w:style>
  <w:style w:type="character" w:customStyle="1" w:styleId="DateChar">
    <w:name w:val="Date Char"/>
    <w:link w:val="Date"/>
    <w:rsid w:val="00951F81"/>
    <w:rPr>
      <w:rFonts w:eastAsia="PMingLiU"/>
      <w:sz w:val="22"/>
      <w:szCs w:val="22"/>
      <w:lang w:val="et-EE" w:eastAsia="en-US"/>
    </w:rPr>
  </w:style>
  <w:style w:type="character" w:customStyle="1" w:styleId="CommentSubjectChar">
    <w:name w:val="Comment Subject Char"/>
    <w:link w:val="CommentSubject"/>
    <w:semiHidden/>
    <w:rsid w:val="00951F81"/>
    <w:rPr>
      <w:rFonts w:eastAsia="PMingLiU"/>
      <w:b/>
      <w:bCs/>
      <w:szCs w:val="22"/>
      <w:lang w:val="et-EE" w:eastAsia="en-US"/>
    </w:rPr>
  </w:style>
  <w:style w:type="paragraph" w:styleId="Title">
    <w:name w:val="Title"/>
    <w:basedOn w:val="Normal"/>
    <w:next w:val="Normal"/>
    <w:link w:val="TitleChar"/>
    <w:qFormat/>
    <w:rsid w:val="001F27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27C0"/>
    <w:rPr>
      <w:rFonts w:ascii="Calibri Light" w:eastAsia="PMingLiU" w:hAnsi="Calibri Light" w:cs="Times New Roman"/>
      <w:b/>
      <w:bCs/>
      <w:kern w:val="28"/>
      <w:sz w:val="32"/>
      <w:szCs w:val="32"/>
      <w:lang w:val="et-EE" w:eastAsia="en-US"/>
    </w:rPr>
  </w:style>
  <w:style w:type="character" w:styleId="LineNumber">
    <w:name w:val="line number"/>
    <w:basedOn w:val="DefaultParagraphFont"/>
    <w:rsid w:val="00FF498C"/>
  </w:style>
  <w:style w:type="character" w:styleId="UnresolvedMention">
    <w:name w:val="Unresolved Mention"/>
    <w:basedOn w:val="DefaultParagraphFont"/>
    <w:uiPriority w:val="99"/>
    <w:semiHidden/>
    <w:unhideWhenUsed/>
    <w:rsid w:val="00B24F64"/>
    <w:rPr>
      <w:color w:val="605E5C"/>
      <w:shd w:val="clear" w:color="auto" w:fill="E1DFDD"/>
    </w:rPr>
  </w:style>
  <w:style w:type="table" w:customStyle="1" w:styleId="TableGrid0">
    <w:name w:val="TableGrid"/>
    <w:rsid w:val="00C57766"/>
    <w:rPr>
      <w:rFonts w:asciiTheme="minorHAnsi" w:eastAsiaTheme="minorEastAsia" w:hAnsiTheme="minorHAnsi" w:cstheme="minorBidi"/>
      <w:kern w:val="2"/>
      <w:sz w:val="22"/>
      <w:szCs w:val="22"/>
      <w:lang w:val="de-DE" w:eastAsia="de-DE"/>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ema.europa.eu" TargetMode="Externa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ema.europa.eu/en/medicines/human/epar/kefdensis" TargetMode="External"/><Relationship Id="rId17" Type="http://schemas.openxmlformats.org/officeDocument/2006/relationships/hyperlink" Target="https://www.ema.europa.eu/documents/template-form/qrd-appendix-v-adverse-drug-reaction-reporting-details_en.docx" TargetMode="External"/><Relationship Id="rId25" Type="http://schemas.openxmlformats.org/officeDocument/2006/relationships/image" Target="media/image8.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image" Target="media/image3.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ma.europa.eu"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documents/template-form/qrd-appendix-v-adverse-drug-reaction-reporting-details_en.docx"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theme" Target="theme/theme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EMADOC-1700519818-2967112</_dlc_DocId>
    <_dlc_DocIdUrl xmlns="a034c160-bfb7-45f5-8632-2eb7e0508071">
      <Url>https://euema.sharepoint.com/sites/CRM/_layouts/15/DocIdRedir.aspx?ID=EMADOC-1700519818-2967112</Url>
      <Description>EMADOC-1700519818-2967112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BA655E9-09A0-418A-8615-1498D6F629A6}">
  <ds:schemaRefs>
    <ds:schemaRef ds:uri="http://schemas.openxmlformats.org/officeDocument/2006/bibliography"/>
  </ds:schemaRefs>
</ds:datastoreItem>
</file>

<file path=customXml/itemProps3.xml><?xml version="1.0" encoding="utf-8"?>
<ds:datastoreItem xmlns:ds="http://schemas.openxmlformats.org/officeDocument/2006/customXml" ds:itemID="{C5201739-8EBD-48B7-A805-594A3DF9322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3C9EA92-D1B1-4FFE-AC56-70EB6F6E9AB6}"/>
</file>

<file path=customXml/itemProps5.xml><?xml version="1.0" encoding="utf-8"?>
<ds:datastoreItem xmlns:ds="http://schemas.openxmlformats.org/officeDocument/2006/customXml" ds:itemID="{AF61CF8E-67C4-406E-84E2-A1CE7BD73951}">
  <ds:schemaRefs>
    <ds:schemaRef ds:uri="http://schemas.microsoft.com/sharepoint/v3/contenttype/forms"/>
  </ds:schemaRefs>
</ds:datastoreItem>
</file>

<file path=customXml/itemProps6.xml><?xml version="1.0" encoding="utf-8"?>
<ds:datastoreItem xmlns:ds="http://schemas.openxmlformats.org/officeDocument/2006/customXml" ds:itemID="{3728B9C8-1562-4B01-80F9-EB7D705FBE97}"/>
</file>

<file path=docProps/app.xml><?xml version="1.0" encoding="utf-8"?>
<Properties xmlns="http://schemas.openxmlformats.org/officeDocument/2006/extended-properties" xmlns:vt="http://schemas.openxmlformats.org/officeDocument/2006/docPropsVTypes">
  <Template>Normal.dotm</Template>
  <TotalTime>0</TotalTime>
  <Pages>3</Pages>
  <Words>8243</Words>
  <Characters>59764</Characters>
  <Application>Microsoft Office Word</Application>
  <DocSecurity>0</DocSecurity>
  <Lines>1927</Lines>
  <Paragraphs>883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67124</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Kefdensis: EPAR - Product information - tracked changes</dc:title>
  <dc:subject>EPAR</dc:subject>
  <dc:creator>CHMP</dc:creator>
  <cp:keywords>Kefdensis: INN-denosumab</cp:keywords>
  <dc:description/>
  <cp:lastModifiedBy/>
  <cp:revision>1</cp:revision>
  <dcterms:created xsi:type="dcterms:W3CDTF">2026-02-17T15:04:00Z</dcterms:created>
  <dcterms:modified xsi:type="dcterms:W3CDTF">2026-02-17T15:04:00Z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NewReviewCycle">
    <vt:lpwstr/>
  </property>
  <property fmtid="{D5CDD505-2E9C-101B-9397-08002B2CF9AE}" pid="4" name="_dlc_DocIdItemGuid">
    <vt:lpwstr>1fb236c6-2005-42b0-afb7-5a8725509bb5</vt:lpwstr>
  </property>
</Properties>
</file>