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7F" w:rsidRDefault="0069147F">
      <w:pPr>
        <w:pStyle w:val="NormalAgency"/>
        <w:rPr>
          <w:rFonts w:ascii="Times New Roman" w:hAnsi="Times New Roman" w:cs="Times New Roman"/>
          <w:sz w:val="22"/>
          <w:szCs w:val="22"/>
        </w:rPr>
      </w:pPr>
      <w:bookmarkStart w:id="0" w:name="_GoBack"/>
      <w:bookmarkEnd w:id="0"/>
    </w:p>
    <w:p w:rsidR="0069147F" w:rsidRDefault="0069147F">
      <w:pPr>
        <w:pStyle w:val="NormalAgency"/>
        <w:rPr>
          <w:rFonts w:ascii="Times New Roman" w:hAnsi="Times New Roman" w:cs="Times New Roman"/>
          <w:sz w:val="22"/>
          <w:szCs w:val="22"/>
        </w:rPr>
      </w:pPr>
    </w:p>
    <w:p w:rsidR="0069147F" w:rsidRDefault="0069147F">
      <w:pPr>
        <w:pStyle w:val="NormalAgency"/>
        <w:rPr>
          <w:rFonts w:ascii="Times New Roman" w:hAnsi="Times New Roman" w:cs="Times New Roman"/>
          <w:sz w:val="22"/>
          <w:szCs w:val="22"/>
        </w:rPr>
      </w:pPr>
    </w:p>
    <w:p w:rsidR="0069147F" w:rsidRDefault="0069147F">
      <w:pPr>
        <w:pStyle w:val="NormalAgency"/>
        <w:rPr>
          <w:rFonts w:ascii="Times New Roman" w:hAnsi="Times New Roman" w:cs="Times New Roman"/>
          <w:sz w:val="22"/>
          <w:szCs w:val="22"/>
        </w:rPr>
      </w:pPr>
    </w:p>
    <w:p w:rsidR="0069147F" w:rsidRDefault="0069147F">
      <w:pPr>
        <w:pStyle w:val="NormalAgency"/>
        <w:rPr>
          <w:rFonts w:ascii="Times New Roman" w:hAnsi="Times New Roman" w:cs="Times New Roman"/>
          <w:sz w:val="22"/>
          <w:szCs w:val="22"/>
        </w:rPr>
      </w:pPr>
    </w:p>
    <w:p w:rsidR="0069147F" w:rsidRDefault="0069147F">
      <w:pPr>
        <w:pStyle w:val="NormalAgency"/>
        <w:rPr>
          <w:rFonts w:ascii="Times New Roman" w:hAnsi="Times New Roman" w:cs="Times New Roman"/>
          <w:sz w:val="22"/>
          <w:szCs w:val="22"/>
        </w:rPr>
      </w:pPr>
    </w:p>
    <w:p w:rsidR="0069147F" w:rsidRDefault="0069147F">
      <w:pPr>
        <w:pStyle w:val="NormalAgency"/>
        <w:rPr>
          <w:rFonts w:ascii="Times New Roman" w:hAnsi="Times New Roman" w:cs="Times New Roman"/>
          <w:sz w:val="22"/>
          <w:szCs w:val="22"/>
        </w:rPr>
      </w:pPr>
    </w:p>
    <w:p w:rsidR="0069147F" w:rsidRDefault="0069147F">
      <w:pPr>
        <w:pStyle w:val="NormalAgency"/>
        <w:rPr>
          <w:rFonts w:ascii="Times New Roman" w:hAnsi="Times New Roman" w:cs="Times New Roman"/>
          <w:sz w:val="22"/>
          <w:szCs w:val="22"/>
        </w:rPr>
      </w:pPr>
    </w:p>
    <w:p w:rsidR="0069147F" w:rsidRDefault="0069147F">
      <w:pPr>
        <w:pStyle w:val="NormalAgency"/>
        <w:rPr>
          <w:rFonts w:ascii="Times New Roman" w:hAnsi="Times New Roman" w:cs="Times New Roman"/>
          <w:sz w:val="22"/>
          <w:szCs w:val="22"/>
        </w:rPr>
      </w:pPr>
    </w:p>
    <w:p w:rsidR="0069147F" w:rsidRDefault="0069147F">
      <w:pPr>
        <w:pStyle w:val="NormalAgency"/>
        <w:rPr>
          <w:rFonts w:ascii="Times New Roman" w:hAnsi="Times New Roman" w:cs="Times New Roman"/>
          <w:sz w:val="22"/>
          <w:szCs w:val="22"/>
        </w:rPr>
      </w:pPr>
    </w:p>
    <w:p w:rsidR="0069147F" w:rsidRDefault="0069147F">
      <w:pPr>
        <w:pStyle w:val="NormalAgency"/>
        <w:rPr>
          <w:rFonts w:ascii="Times New Roman" w:hAnsi="Times New Roman" w:cs="Times New Roman"/>
          <w:sz w:val="22"/>
          <w:szCs w:val="22"/>
        </w:rPr>
      </w:pPr>
    </w:p>
    <w:p w:rsidR="0069147F" w:rsidRDefault="0069147F">
      <w:pPr>
        <w:pStyle w:val="NormalAgency"/>
        <w:rPr>
          <w:rFonts w:ascii="Times New Roman" w:hAnsi="Times New Roman" w:cs="Times New Roman"/>
          <w:sz w:val="22"/>
          <w:szCs w:val="22"/>
        </w:rPr>
      </w:pPr>
    </w:p>
    <w:p w:rsidR="0069147F" w:rsidRDefault="0069147F">
      <w:pPr>
        <w:pStyle w:val="NormalAgency"/>
        <w:rPr>
          <w:rFonts w:ascii="Times New Roman" w:hAnsi="Times New Roman" w:cs="Times New Roman"/>
          <w:sz w:val="22"/>
          <w:szCs w:val="22"/>
        </w:rPr>
      </w:pPr>
    </w:p>
    <w:p w:rsidR="0069147F" w:rsidRDefault="0069147F">
      <w:pPr>
        <w:pStyle w:val="NormalAgency"/>
        <w:rPr>
          <w:rFonts w:ascii="Times New Roman" w:hAnsi="Times New Roman" w:cs="Times New Roman"/>
          <w:sz w:val="22"/>
          <w:szCs w:val="22"/>
        </w:rPr>
      </w:pPr>
    </w:p>
    <w:p w:rsidR="0069147F" w:rsidRDefault="0069147F">
      <w:pPr>
        <w:pStyle w:val="NormalAgency"/>
        <w:rPr>
          <w:rFonts w:ascii="Times New Roman" w:hAnsi="Times New Roman" w:cs="Times New Roman"/>
          <w:sz w:val="22"/>
          <w:szCs w:val="22"/>
        </w:rPr>
      </w:pPr>
    </w:p>
    <w:p w:rsidR="0069147F" w:rsidRDefault="0069147F">
      <w:pPr>
        <w:pStyle w:val="NormalAgency"/>
        <w:rPr>
          <w:rFonts w:ascii="Times New Roman" w:hAnsi="Times New Roman" w:cs="Times New Roman"/>
          <w:sz w:val="22"/>
          <w:szCs w:val="22"/>
        </w:rPr>
      </w:pPr>
    </w:p>
    <w:p w:rsidR="0069147F" w:rsidRDefault="0069147F">
      <w:pPr>
        <w:pStyle w:val="NormalAgency"/>
        <w:rPr>
          <w:rFonts w:ascii="Times New Roman" w:hAnsi="Times New Roman" w:cs="Times New Roman"/>
          <w:sz w:val="22"/>
          <w:szCs w:val="22"/>
        </w:rPr>
      </w:pPr>
    </w:p>
    <w:p w:rsidR="0069147F" w:rsidRDefault="0069147F">
      <w:pPr>
        <w:pStyle w:val="NormalAgency"/>
        <w:rPr>
          <w:rFonts w:ascii="Times New Roman" w:hAnsi="Times New Roman" w:cs="Times New Roman"/>
          <w:sz w:val="22"/>
          <w:szCs w:val="22"/>
        </w:rPr>
      </w:pPr>
    </w:p>
    <w:p w:rsidR="0069147F" w:rsidRDefault="0069147F">
      <w:pPr>
        <w:pStyle w:val="NormalAgency"/>
        <w:rPr>
          <w:rFonts w:ascii="Times New Roman" w:hAnsi="Times New Roman" w:cs="Times New Roman"/>
          <w:sz w:val="22"/>
          <w:szCs w:val="22"/>
        </w:rPr>
      </w:pPr>
    </w:p>
    <w:p w:rsidR="0069147F" w:rsidRDefault="0069147F">
      <w:pPr>
        <w:pStyle w:val="NormalAgency"/>
        <w:rPr>
          <w:rFonts w:ascii="Times New Roman" w:hAnsi="Times New Roman" w:cs="Times New Roman"/>
          <w:sz w:val="22"/>
          <w:szCs w:val="22"/>
        </w:rPr>
      </w:pPr>
    </w:p>
    <w:p w:rsidR="0069147F" w:rsidRDefault="0069147F">
      <w:pPr>
        <w:pStyle w:val="NormalAgency"/>
        <w:rPr>
          <w:rFonts w:ascii="Times New Roman" w:hAnsi="Times New Roman" w:cs="Times New Roman"/>
          <w:sz w:val="22"/>
          <w:szCs w:val="22"/>
        </w:rPr>
      </w:pPr>
    </w:p>
    <w:p w:rsidR="0069147F" w:rsidRDefault="0069147F">
      <w:pPr>
        <w:pStyle w:val="NormalAgency"/>
        <w:rPr>
          <w:rFonts w:ascii="Times New Roman" w:hAnsi="Times New Roman" w:cs="Times New Roman"/>
          <w:sz w:val="22"/>
          <w:szCs w:val="22"/>
        </w:rPr>
      </w:pPr>
    </w:p>
    <w:p w:rsidR="0069147F" w:rsidRDefault="0069147F">
      <w:pPr>
        <w:pStyle w:val="NormalAgency"/>
        <w:rPr>
          <w:rFonts w:ascii="Times New Roman" w:hAnsi="Times New Roman" w:cs="Times New Roman"/>
          <w:sz w:val="22"/>
          <w:szCs w:val="22"/>
        </w:rPr>
      </w:pPr>
    </w:p>
    <w:p w:rsidR="0069147F" w:rsidRDefault="0069147F">
      <w:pPr>
        <w:pStyle w:val="No-numheading3Agency"/>
        <w:jc w:val="center"/>
        <w:rPr>
          <w:rFonts w:ascii="Times New Roman" w:hAnsi="Times New Roman" w:cs="Times New Roman"/>
          <w:bCs w:val="0"/>
        </w:rPr>
      </w:pPr>
      <w:r>
        <w:rPr>
          <w:rFonts w:ascii="Times New Roman" w:hAnsi="Times New Roman" w:cs="Times New Roman"/>
          <w:bCs w:val="0"/>
          <w:noProof/>
        </w:rPr>
        <w:t>&lt;IV LISA</w:t>
      </w:r>
    </w:p>
    <w:p w:rsidR="0069147F" w:rsidRDefault="0069147F">
      <w:pPr>
        <w:pStyle w:val="No-numheading3Agency"/>
        <w:jc w:val="center"/>
        <w:rPr>
          <w:rFonts w:ascii="Times New Roman" w:hAnsi="Times New Roman" w:cs="Times New Roman"/>
          <w:bCs w:val="0"/>
        </w:rPr>
      </w:pPr>
      <w:r>
        <w:rPr>
          <w:rFonts w:ascii="Times New Roman" w:hAnsi="Times New Roman" w:cs="Times New Roman"/>
          <w:bCs w:val="0"/>
          <w:noProof/>
        </w:rPr>
        <w:t>EUROOPA RAVIMIAMETI ESITATUD JÄRELDUSED &lt;SARNASUSE JA ERANDI&gt; &lt;JA&gt; &lt;ÜHE AASTA PIKKUSE &lt;MÜÜGIKAITSE&gt; &lt;ANDMETE AINUÕIGUSE PERIOODI&gt; TAOTLUSE&gt; KOHTA</w:t>
      </w:r>
    </w:p>
    <w:p w:rsidR="0069147F" w:rsidRDefault="0069147F">
      <w:pPr>
        <w:pStyle w:val="NormalAgency"/>
        <w:rPr>
          <w:rFonts w:ascii="Times New Roman" w:hAnsi="Times New Roman" w:cs="Times New Roman"/>
          <w:sz w:val="22"/>
          <w:szCs w:val="22"/>
        </w:rPr>
      </w:pPr>
    </w:p>
    <w:p w:rsidR="0069147F" w:rsidRDefault="0069147F">
      <w:pPr>
        <w:pStyle w:val="NormalAgency"/>
        <w:rPr>
          <w:rFonts w:ascii="Times New Roman" w:hAnsi="Times New Roman" w:cs="Times New Roman"/>
          <w:sz w:val="22"/>
          <w:szCs w:val="22"/>
        </w:rPr>
      </w:pPr>
      <w:r>
        <w:rPr>
          <w:rFonts w:ascii="Times New Roman" w:hAnsi="Times New Roman" w:cs="Times New Roman"/>
          <w:sz w:val="22"/>
          <w:szCs w:val="22"/>
        </w:rPr>
        <w:t xml:space="preserve"> </w:t>
      </w:r>
    </w:p>
    <w:p w:rsidR="0069147F" w:rsidRDefault="0069147F">
      <w:pPr>
        <w:pStyle w:val="NormalAgency"/>
        <w:rPr>
          <w:rFonts w:ascii="Times New Roman" w:hAnsi="Times New Roman" w:cs="Times New Roman"/>
          <w:sz w:val="22"/>
          <w:szCs w:val="22"/>
        </w:rPr>
      </w:pPr>
    </w:p>
    <w:p w:rsidR="0069147F" w:rsidRDefault="0069147F">
      <w:pPr>
        <w:pStyle w:val="No-numheading3Agency"/>
        <w:rPr>
          <w:rFonts w:ascii="Times New Roman" w:hAnsi="Times New Roman" w:cs="Times New Roman"/>
          <w:bCs w:val="0"/>
        </w:rPr>
      </w:pPr>
      <w:r>
        <w:rPr>
          <w:rFonts w:ascii="Times New Roman" w:hAnsi="Times New Roman" w:cs="Times New Roman"/>
          <w:bCs w:val="0"/>
        </w:rPr>
        <w:br w:type="page"/>
      </w:r>
      <w:r>
        <w:rPr>
          <w:rFonts w:ascii="Times New Roman" w:hAnsi="Times New Roman" w:cs="Times New Roman"/>
          <w:bCs w:val="0"/>
          <w:noProof/>
        </w:rPr>
        <w:lastRenderedPageBreak/>
        <w:t>Euroopa Ravimiameti järeldused:</w:t>
      </w:r>
    </w:p>
    <w:p w:rsidR="0069147F" w:rsidRDefault="0069147F">
      <w:pPr>
        <w:pStyle w:val="DraftingNotesAgency"/>
        <w:rPr>
          <w:rFonts w:ascii="Times New Roman" w:hAnsi="Times New Roman"/>
          <w:szCs w:val="22"/>
        </w:rPr>
      </w:pPr>
      <w:r>
        <w:rPr>
          <w:rFonts w:ascii="Times New Roman" w:hAnsi="Times New Roman"/>
          <w:noProof/>
          <w:szCs w:val="22"/>
        </w:rPr>
        <w:t>[In case of similarity and an accepted derogation, please select the statement(s) as provided below.]</w:t>
      </w:r>
    </w:p>
    <w:p w:rsidR="0069147F" w:rsidRDefault="0069147F">
      <w:pPr>
        <w:pStyle w:val="BodytextAgency"/>
        <w:numPr>
          <w:ilvl w:val="0"/>
          <w:numId w:val="32"/>
        </w:numPr>
        <w:rPr>
          <w:rFonts w:ascii="Times New Roman" w:hAnsi="Times New Roman" w:cs="Times New Roman"/>
          <w:b/>
          <w:sz w:val="22"/>
          <w:szCs w:val="22"/>
        </w:rPr>
      </w:pPr>
      <w:r>
        <w:rPr>
          <w:rFonts w:ascii="Times New Roman" w:hAnsi="Times New Roman" w:cs="Times New Roman"/>
          <w:b/>
          <w:noProof/>
          <w:sz w:val="22"/>
          <w:szCs w:val="22"/>
        </w:rPr>
        <w:t>&lt;Sarnasus&gt;</w:t>
      </w:r>
      <w:r>
        <w:rPr>
          <w:rFonts w:ascii="Times New Roman" w:hAnsi="Times New Roman" w:cs="Times New Roman"/>
          <w:b/>
          <w:sz w:val="22"/>
          <w:szCs w:val="22"/>
        </w:rPr>
        <w:t xml:space="preserve"> </w:t>
      </w:r>
    </w:p>
    <w:p w:rsidR="0069147F" w:rsidRDefault="0069147F">
      <w:pPr>
        <w:pStyle w:val="BodytextAgency"/>
        <w:rPr>
          <w:rFonts w:ascii="Times New Roman" w:hAnsi="Times New Roman" w:cs="Times New Roman"/>
          <w:sz w:val="22"/>
          <w:szCs w:val="22"/>
        </w:rPr>
      </w:pPr>
      <w:r>
        <w:rPr>
          <w:rFonts w:ascii="Times New Roman" w:hAnsi="Times New Roman" w:cs="Times New Roman"/>
          <w:sz w:val="22"/>
          <w:szCs w:val="22"/>
          <w:lang w:val="et-EE"/>
        </w:rPr>
        <w:t>&lt;Inimravimite komitee on arvamusel, et &lt;ravimpreparaadi nimetus&gt; on komisjoni määruse (EÜ) nr 847/2000 artikli 3 mõistes sarnane müügiloa saanud harvikravimi(te)ga, nagu on kirjeldatud Euroopa avalikus hindamisaruandes.</w:t>
      </w:r>
      <w:r>
        <w:rPr>
          <w:rFonts w:ascii="Times New Roman" w:hAnsi="Times New Roman" w:cs="Times New Roman"/>
          <w:noProof/>
          <w:sz w:val="22"/>
          <w:szCs w:val="22"/>
        </w:rPr>
        <w:t>&gt;</w:t>
      </w:r>
    </w:p>
    <w:p w:rsidR="0069147F" w:rsidRDefault="0069147F">
      <w:pPr>
        <w:pStyle w:val="BodytextAgency"/>
        <w:numPr>
          <w:ilvl w:val="0"/>
          <w:numId w:val="32"/>
        </w:numPr>
        <w:rPr>
          <w:rFonts w:ascii="Times New Roman" w:hAnsi="Times New Roman" w:cs="Times New Roman"/>
          <w:b/>
          <w:sz w:val="22"/>
          <w:szCs w:val="22"/>
        </w:rPr>
      </w:pPr>
      <w:r>
        <w:rPr>
          <w:rFonts w:ascii="Times New Roman" w:hAnsi="Times New Roman" w:cs="Times New Roman"/>
          <w:b/>
          <w:noProof/>
          <w:sz w:val="22"/>
          <w:szCs w:val="22"/>
        </w:rPr>
        <w:t>&lt;Erand&gt;</w:t>
      </w:r>
    </w:p>
    <w:p w:rsidR="0069147F" w:rsidRDefault="0069147F">
      <w:pPr>
        <w:pStyle w:val="BodytextAgency"/>
        <w:rPr>
          <w:rFonts w:ascii="Times New Roman" w:hAnsi="Times New Roman" w:cs="Times New Roman"/>
          <w:sz w:val="22"/>
          <w:szCs w:val="22"/>
        </w:rPr>
      </w:pPr>
      <w:r>
        <w:rPr>
          <w:rFonts w:ascii="Times New Roman" w:hAnsi="Times New Roman" w:cs="Times New Roman"/>
          <w:noProof/>
          <w:sz w:val="22"/>
          <w:szCs w:val="22"/>
        </w:rPr>
        <w:t>&lt;Inimravimite komitee on arvamusel, et määruse (EÜ) nr 141/2000 artikli 8 &lt;ning komisjoni määruse (EÜ) nr 847/2000 artikli 3&gt;</w:t>
      </w:r>
      <w:r>
        <w:rPr>
          <w:rStyle w:val="DraftingNotesAgencyChar"/>
          <w:rFonts w:ascii="Times New Roman" w:hAnsi="Times New Roman" w:cs="Times New Roman"/>
          <w:noProof/>
          <w:sz w:val="22"/>
          <w:szCs w:val="22"/>
          <w:lang w:eastAsia="en-US"/>
        </w:rPr>
        <w:t>[only for the superiority derogation]</w:t>
      </w:r>
      <w:r>
        <w:rPr>
          <w:rFonts w:ascii="Times New Roman" w:hAnsi="Times New Roman" w:cs="Times New Roman"/>
          <w:noProof/>
          <w:sz w:val="22"/>
          <w:szCs w:val="22"/>
        </w:rPr>
        <w:t xml:space="preserve"> kohaselt kehtib järgmine (kehtivad järgmised) sama määruse artikli 8 lõikes 3 sätestatud erand(id), nagu on kirjeldatud Euroopa avalikus hindamisaruandes:</w:t>
      </w:r>
    </w:p>
    <w:p w:rsidR="0069147F" w:rsidRDefault="0069147F">
      <w:pPr>
        <w:pStyle w:val="BodytextAgency"/>
        <w:rPr>
          <w:rFonts w:ascii="Times New Roman" w:hAnsi="Times New Roman" w:cs="Times New Roman"/>
          <w:sz w:val="22"/>
          <w:szCs w:val="22"/>
        </w:rPr>
      </w:pPr>
      <w:r>
        <w:rPr>
          <w:rFonts w:ascii="Times New Roman" w:hAnsi="Times New Roman" w:cs="Times New Roman"/>
          <w:noProof/>
          <w:sz w:val="22"/>
          <w:szCs w:val="22"/>
        </w:rPr>
        <w:t>&lt;&lt;müügiloa saanud harvikravimi&gt; müügiloa hoidja ei suuda tarnida ravimit piisavas koguses&gt; &lt;ja&gt;</w:t>
      </w:r>
      <w:r>
        <w:rPr>
          <w:rFonts w:ascii="Times New Roman" w:hAnsi="Times New Roman" w:cs="Times New Roman"/>
          <w:sz w:val="22"/>
          <w:szCs w:val="22"/>
        </w:rPr>
        <w:t xml:space="preserve"> </w:t>
      </w:r>
    </w:p>
    <w:p w:rsidR="0069147F" w:rsidRDefault="0069147F">
      <w:pPr>
        <w:pStyle w:val="BodytextAgency"/>
        <w:rPr>
          <w:rFonts w:ascii="Times New Roman" w:hAnsi="Times New Roman" w:cs="Times New Roman"/>
          <w:sz w:val="22"/>
          <w:szCs w:val="22"/>
        </w:rPr>
      </w:pPr>
      <w:r>
        <w:rPr>
          <w:rFonts w:ascii="Times New Roman" w:hAnsi="Times New Roman" w:cs="Times New Roman"/>
          <w:sz w:val="22"/>
          <w:szCs w:val="22"/>
          <w:lang w:val="et-EE"/>
        </w:rPr>
        <w:t>&lt;taotleja suutis taotluses tõestada, et ravim, kuigi &lt;müügiloa saanud harvikravimiga&gt; sarnane, on samal näidustusel ohutum, efektiivsem või muul viisil kliiniliselt parem (komisjoni määruse (EÜ) nr 847/2000 artiklis 3 esitatud määratluse järgi)&gt;</w:t>
      </w:r>
      <w:r>
        <w:rPr>
          <w:rFonts w:ascii="Times New Roman" w:hAnsi="Times New Roman" w:cs="Times New Roman"/>
          <w:noProof/>
          <w:sz w:val="22"/>
          <w:szCs w:val="22"/>
        </w:rPr>
        <w:t xml:space="preserve"> </w:t>
      </w:r>
      <w:r>
        <w:rPr>
          <w:rFonts w:ascii="Times New Roman" w:hAnsi="Times New Roman" w:cs="Times New Roman"/>
          <w:sz w:val="22"/>
          <w:szCs w:val="22"/>
          <w:lang w:val="et-EE"/>
        </w:rPr>
        <w:t>&lt;ja&gt;</w:t>
      </w:r>
    </w:p>
    <w:p w:rsidR="0069147F" w:rsidRDefault="0069147F">
      <w:pPr>
        <w:pStyle w:val="BodytextAgency"/>
        <w:rPr>
          <w:rFonts w:ascii="Times New Roman" w:hAnsi="Times New Roman" w:cs="Times New Roman"/>
          <w:sz w:val="22"/>
          <w:szCs w:val="22"/>
        </w:rPr>
      </w:pPr>
      <w:r>
        <w:rPr>
          <w:rFonts w:ascii="Times New Roman" w:hAnsi="Times New Roman" w:cs="Times New Roman"/>
          <w:noProof/>
          <w:sz w:val="22"/>
          <w:szCs w:val="22"/>
        </w:rPr>
        <w:t>&lt;&lt;müügiloa saanud harvikravimi&gt; müügiloa hoidja on taotlejale andnud oma nõusoleku.&gt;</w:t>
      </w:r>
    </w:p>
    <w:p w:rsidR="0069147F" w:rsidRDefault="0069147F">
      <w:pPr>
        <w:pStyle w:val="BodytextAgency"/>
        <w:numPr>
          <w:ilvl w:val="0"/>
          <w:numId w:val="32"/>
        </w:numPr>
        <w:rPr>
          <w:rFonts w:ascii="Times New Roman" w:hAnsi="Times New Roman" w:cs="Times New Roman"/>
          <w:b/>
          <w:sz w:val="22"/>
          <w:szCs w:val="22"/>
        </w:rPr>
      </w:pPr>
      <w:r>
        <w:rPr>
          <w:rFonts w:ascii="Times New Roman" w:hAnsi="Times New Roman" w:cs="Times New Roman"/>
          <w:b/>
          <w:noProof/>
          <w:sz w:val="22"/>
          <w:szCs w:val="22"/>
        </w:rPr>
        <w:t>&lt;Ühe aasta pikkune &lt;müügikaitse&gt; &lt;andmete ainuõiguse periood&gt;&gt;</w:t>
      </w:r>
    </w:p>
    <w:p w:rsidR="0069147F" w:rsidRDefault="0069147F">
      <w:pPr>
        <w:pStyle w:val="DraftingNotesAgency"/>
        <w:rPr>
          <w:rFonts w:ascii="Times New Roman" w:hAnsi="Times New Roman"/>
          <w:szCs w:val="22"/>
        </w:rPr>
      </w:pPr>
      <w:r>
        <w:rPr>
          <w:rFonts w:ascii="Times New Roman" w:hAnsi="Times New Roman"/>
          <w:noProof/>
          <w:szCs w:val="22"/>
        </w:rPr>
        <w:t>[Where one-year marketing protection/data exclusivity is accepted, please select the statement(s) as provided below, otherwise provide scientific conclusions and grounds.]</w:t>
      </w:r>
    </w:p>
    <w:p w:rsidR="0069147F" w:rsidRDefault="0069147F">
      <w:pPr>
        <w:pStyle w:val="BodytextAgency"/>
        <w:rPr>
          <w:rFonts w:ascii="Times New Roman" w:hAnsi="Times New Roman" w:cs="Times New Roman"/>
          <w:sz w:val="22"/>
          <w:szCs w:val="22"/>
        </w:rPr>
      </w:pPr>
      <w:r>
        <w:rPr>
          <w:rStyle w:val="DraftingNotesAgencyChar"/>
          <w:rFonts w:ascii="Times New Roman" w:hAnsi="Times New Roman" w:cs="Times New Roman"/>
          <w:noProof/>
          <w:sz w:val="22"/>
          <w:szCs w:val="22"/>
          <w:lang w:eastAsia="en-US"/>
        </w:rPr>
        <w:t>[For Art 14(11)]</w:t>
      </w:r>
      <w:r>
        <w:rPr>
          <w:rFonts w:ascii="Times New Roman" w:hAnsi="Times New Roman" w:cs="Times New Roman"/>
          <w:noProof/>
          <w:sz w:val="22"/>
          <w:szCs w:val="22"/>
        </w:rPr>
        <w:t>&lt;Inimravimite komitee vaatas määruse (EÜ) nr 726/2004 artikli 14 lõike 11 sätteid arvesse võttes läbi müügiloa hoidja esitatud andmed ning leiab, et uus näidustus lisab olulist kliinilist kasulikkust võrreldes olemasoleva raviga, nagu on kirjeldatud Euroopa avalikus hindamisaruandes.</w:t>
      </w:r>
      <w:r>
        <w:rPr>
          <w:rFonts w:ascii="Times New Roman" w:hAnsi="Times New Roman" w:cs="Times New Roman"/>
          <w:sz w:val="22"/>
          <w:szCs w:val="22"/>
        </w:rPr>
        <w:t>&gt;</w:t>
      </w:r>
    </w:p>
    <w:p w:rsidR="0069147F" w:rsidRDefault="0069147F">
      <w:pPr>
        <w:pStyle w:val="BodytextAgency"/>
        <w:rPr>
          <w:rFonts w:ascii="Times New Roman" w:hAnsi="Times New Roman" w:cs="Times New Roman"/>
          <w:sz w:val="22"/>
          <w:szCs w:val="22"/>
        </w:rPr>
      </w:pPr>
      <w:r>
        <w:rPr>
          <w:rStyle w:val="DraftingNotesAgencyChar"/>
          <w:rFonts w:ascii="Times New Roman" w:hAnsi="Times New Roman" w:cs="Times New Roman"/>
          <w:noProof/>
          <w:sz w:val="22"/>
          <w:szCs w:val="22"/>
          <w:lang w:eastAsia="en-US"/>
        </w:rPr>
        <w:t>[Art 10(5)]</w:t>
      </w:r>
      <w:r>
        <w:rPr>
          <w:rFonts w:ascii="Times New Roman" w:hAnsi="Times New Roman" w:cs="Times New Roman"/>
          <w:b/>
          <w:i/>
          <w:noProof/>
          <w:color w:val="339966"/>
          <w:kern w:val="32"/>
          <w:sz w:val="22"/>
          <w:szCs w:val="22"/>
        </w:rPr>
        <w:t xml:space="preserve"> </w:t>
      </w:r>
      <w:r>
        <w:rPr>
          <w:rFonts w:ascii="Times New Roman" w:hAnsi="Times New Roman" w:cs="Times New Roman"/>
          <w:noProof/>
          <w:kern w:val="32"/>
          <w:sz w:val="22"/>
          <w:szCs w:val="22"/>
        </w:rPr>
        <w:t>&lt;</w:t>
      </w:r>
      <w:r>
        <w:rPr>
          <w:rFonts w:ascii="Times New Roman" w:hAnsi="Times New Roman" w:cs="Times New Roman"/>
          <w:noProof/>
          <w:sz w:val="22"/>
          <w:szCs w:val="22"/>
        </w:rPr>
        <w:t>Inimravimite komitee vaatas direktiivi 2001/83/EÜ artikli 10 lõike 5 sätteid arvesse võttes läbi müügiloa hoidja esitatud andmed ning leiab, et &lt;uue näidustuse &lt;prekliinilised uuringud&gt; &lt;ja&gt; &lt;kliinilised uuringud&gt; olid olulised, nagu on kirjeldatud Euroopa avalikus hindamisaruandes.</w:t>
      </w:r>
      <w:r>
        <w:rPr>
          <w:rFonts w:ascii="Times New Roman" w:hAnsi="Times New Roman" w:cs="Times New Roman"/>
          <w:sz w:val="22"/>
          <w:szCs w:val="22"/>
        </w:rPr>
        <w:t>&gt;&gt;</w:t>
      </w:r>
    </w:p>
    <w:p w:rsidR="0069147F" w:rsidRDefault="0069147F">
      <w:pPr>
        <w:pStyle w:val="BodytextAgency"/>
        <w:rPr>
          <w:rFonts w:ascii="Times New Roman" w:hAnsi="Times New Roman" w:cs="Times New Roman"/>
          <w:sz w:val="22"/>
          <w:szCs w:val="22"/>
        </w:rPr>
      </w:pPr>
      <w:r>
        <w:rPr>
          <w:rStyle w:val="DraftingNotesAgencyChar"/>
          <w:rFonts w:ascii="Times New Roman" w:hAnsi="Times New Roman" w:cs="Times New Roman"/>
          <w:noProof/>
          <w:sz w:val="22"/>
          <w:szCs w:val="22"/>
          <w:lang w:eastAsia="en-US"/>
        </w:rPr>
        <w:t>[Art 74(a)- legal status switch]</w:t>
      </w:r>
      <w:r>
        <w:rPr>
          <w:rFonts w:ascii="Times New Roman" w:hAnsi="Times New Roman" w:cs="Times New Roman"/>
          <w:noProof/>
          <w:sz w:val="22"/>
          <w:szCs w:val="22"/>
        </w:rPr>
        <w:t>&lt;Inimravimite komitee vaatas direktiivi 2001/83/EÜ artikli 74a sätteid arvesse võttes läbi müügiloa hoidja esitatud andmed ning leiab, et ravimi {nimetus} „käsimüügiravimina˝ liigitamise toetuseks esitati olulisi andmeid, nagu on kirjeldatud Euroopa avalikus hindamisaruandes.&gt;</w:t>
      </w:r>
      <w:r>
        <w:rPr>
          <w:rFonts w:ascii="Times New Roman" w:hAnsi="Times New Roman" w:cs="Times New Roman"/>
          <w:sz w:val="22"/>
          <w:szCs w:val="22"/>
          <w:lang w:val="et-EE"/>
        </w:rPr>
        <w:t xml:space="preserve"> </w:t>
      </w:r>
    </w:p>
    <w:p w:rsidR="0069147F" w:rsidRDefault="0069147F">
      <w:pPr>
        <w:pStyle w:val="NormalAgency"/>
        <w:rPr>
          <w:rFonts w:ascii="Times New Roman" w:hAnsi="Times New Roman" w:cs="Times New Roman"/>
          <w:sz w:val="22"/>
          <w:szCs w:val="22"/>
        </w:rPr>
      </w:pPr>
    </w:p>
    <w:sectPr w:rsidR="0069147F">
      <w:headerReference w:type="even" r:id="rId7"/>
      <w:headerReference w:type="default" r:id="rId8"/>
      <w:footerReference w:type="even" r:id="rId9"/>
      <w:footerReference w:type="default" r:id="rId10"/>
      <w:headerReference w:type="first" r:id="rId11"/>
      <w:footerReference w:type="first" r:id="rId12"/>
      <w:pgSz w:w="11907" w:h="16839" w:code="9"/>
      <w:pgMar w:top="1417" w:right="1247" w:bottom="1417" w:left="1247" w:header="284" w:footer="6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CEB" w:rsidRDefault="00D06CEB">
      <w:pPr>
        <w:rPr>
          <w:rFonts w:cs="Times New Roman"/>
          <w:szCs w:val="24"/>
        </w:rPr>
      </w:pPr>
      <w:r>
        <w:rPr>
          <w:rFonts w:cs="Times New Roman"/>
          <w:szCs w:val="24"/>
        </w:rPr>
        <w:separator/>
      </w:r>
    </w:p>
  </w:endnote>
  <w:endnote w:type="continuationSeparator" w:id="0">
    <w:p w:rsidR="00D06CEB" w:rsidRDefault="00D06CEB">
      <w:pPr>
        <w:rPr>
          <w:rFonts w:cs="Times New Roman"/>
          <w:szCs w:val="24"/>
        </w:rPr>
      </w:pPr>
      <w:r>
        <w:rPr>
          <w:rFonts w:cs="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47F" w:rsidRDefault="006914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47F" w:rsidRDefault="0069147F">
    <w:pPr>
      <w:pStyle w:val="Footer"/>
      <w:jc w:val="center"/>
    </w:pPr>
    <w:r>
      <w:rPr>
        <w:noProof w:val="0"/>
      </w:rPr>
      <w:fldChar w:fldCharType="begin"/>
    </w:r>
    <w:r>
      <w:instrText xml:space="preserve"> PAGE   \* MERGEFORMAT </w:instrText>
    </w:r>
    <w:r>
      <w:rPr>
        <w:noProof w:val="0"/>
      </w:rPr>
      <w:fldChar w:fldCharType="separate"/>
    </w:r>
    <w:r w:rsidR="005F50E9">
      <w:t>1</w:t>
    </w:r>
    <w:r>
      <w:fldChar w:fldCharType="end"/>
    </w:r>
  </w:p>
  <w:p w:rsidR="0069147F" w:rsidRDefault="0069147F">
    <w:pPr>
      <w:pStyle w:val="FooterAgency"/>
      <w:rPr>
        <w:rFonts w:cs="Times New Roman"/>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47F" w:rsidRDefault="0069147F">
    <w:pPr>
      <w:pStyle w:val="Footer"/>
      <w:jc w:val="center"/>
      <w:rPr>
        <w:rFonts w:cs="Times New Roman"/>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CEB" w:rsidRDefault="00D06CEB">
      <w:pPr>
        <w:rPr>
          <w:rFonts w:cs="Times New Roman"/>
          <w:szCs w:val="24"/>
        </w:rPr>
      </w:pPr>
      <w:r>
        <w:rPr>
          <w:rFonts w:cs="Times New Roman"/>
          <w:szCs w:val="24"/>
        </w:rPr>
        <w:separator/>
      </w:r>
    </w:p>
  </w:footnote>
  <w:footnote w:type="continuationSeparator" w:id="0">
    <w:p w:rsidR="00D06CEB" w:rsidRDefault="00D06CEB">
      <w:pPr>
        <w:rPr>
          <w:rFonts w:cs="Times New Roman"/>
          <w:szCs w:val="24"/>
        </w:rPr>
      </w:pPr>
      <w:r>
        <w:rPr>
          <w:rFonts w:cs="Times New Roman"/>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47F" w:rsidRDefault="006914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47F" w:rsidRDefault="006914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47F" w:rsidRDefault="006914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pPr>
      <w:rPr>
        <w:rFonts w:cs="Times New Roman" w:hint="default"/>
      </w:rPr>
    </w:lvl>
    <w:lvl w:ilvl="3">
      <w:start w:val="1"/>
      <w:numFmt w:val="none"/>
      <w:lvlText w:val=""/>
      <w:lvlJc w:val="left"/>
      <w:pPr>
        <w:tabs>
          <w:tab w:val="num" w:pos="720"/>
        </w:tabs>
        <w:ind w:left="720"/>
      </w:pPr>
      <w:rPr>
        <w:rFonts w:cs="Times New Roman" w:hint="default"/>
      </w:rPr>
    </w:lvl>
    <w:lvl w:ilvl="4">
      <w:start w:val="1"/>
      <w:numFmt w:val="none"/>
      <w:lvlText w:val=""/>
      <w:lvlJc w:val="left"/>
      <w:pPr>
        <w:tabs>
          <w:tab w:val="num" w:pos="720"/>
        </w:tabs>
        <w:ind w:left="720"/>
      </w:pPr>
      <w:rPr>
        <w:rFonts w:cs="Times New Roman" w:hint="default"/>
      </w:rPr>
    </w:lvl>
    <w:lvl w:ilvl="5">
      <w:start w:val="1"/>
      <w:numFmt w:val="none"/>
      <w:lvlText w:val=""/>
      <w:lvlJc w:val="left"/>
      <w:pPr>
        <w:tabs>
          <w:tab w:val="num" w:pos="720"/>
        </w:tabs>
        <w:ind w:left="720"/>
      </w:pPr>
      <w:rPr>
        <w:rFonts w:cs="Times New Roman" w:hint="default"/>
      </w:rPr>
    </w:lvl>
    <w:lvl w:ilvl="6">
      <w:start w:val="1"/>
      <w:numFmt w:val="none"/>
      <w:lvlText w:val=""/>
      <w:lvlJc w:val="left"/>
      <w:pPr>
        <w:tabs>
          <w:tab w:val="num" w:pos="720"/>
        </w:tabs>
        <w:ind w:left="720"/>
      </w:pPr>
      <w:rPr>
        <w:rFonts w:cs="Times New Roman" w:hint="default"/>
      </w:rPr>
    </w:lvl>
    <w:lvl w:ilvl="7">
      <w:start w:val="1"/>
      <w:numFmt w:val="none"/>
      <w:lvlText w:val=""/>
      <w:lvlJc w:val="left"/>
      <w:pPr>
        <w:tabs>
          <w:tab w:val="num" w:pos="720"/>
        </w:tabs>
        <w:ind w:left="720"/>
      </w:pPr>
      <w:rPr>
        <w:rFonts w:cs="Times New Roman" w:hint="default"/>
      </w:rPr>
    </w:lvl>
    <w:lvl w:ilvl="8">
      <w:start w:val="1"/>
      <w:numFmt w:val="none"/>
      <w:lvlText w:val=""/>
      <w:lvlJc w:val="left"/>
      <w:pPr>
        <w:tabs>
          <w:tab w:val="num" w:pos="720"/>
        </w:tabs>
        <w:ind w:left="720"/>
      </w:pPr>
      <w:rPr>
        <w:rFonts w:cs="Times New Roman" w:hint="default"/>
      </w:rPr>
    </w:lvl>
  </w:abstractNum>
  <w:abstractNum w:abstractNumId="2">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127BC8"/>
    <w:multiLevelType w:val="multilevel"/>
    <w:tmpl w:val="A66AC686"/>
    <w:lvl w:ilvl="0">
      <w:start w:val="1"/>
      <w:numFmt w:val="decimal"/>
      <w:suff w:val="space"/>
      <w:lvlText w:val="Table %1. "/>
      <w:lvlJc w:val="left"/>
      <w:rPr>
        <w:rFonts w:ascii="Verdana" w:hAnsi="Verdana" w:cs="Times New Roman" w:hint="default"/>
        <w:b/>
        <w:i w:val="0"/>
        <w:sz w:val="18"/>
        <w:szCs w:val="18"/>
      </w:rPr>
    </w:lvl>
    <w:lvl w:ilvl="1">
      <w:start w:val="1"/>
      <w:numFmt w:val="decimalZero"/>
      <w:lvlText w:val="%1Section .%2"/>
      <w:lvlJc w:val="left"/>
      <w:pPr>
        <w:tabs>
          <w:tab w:val="num" w:pos="108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
    <w:nsid w:val="0E7A0AF4"/>
    <w:multiLevelType w:val="multilevel"/>
    <w:tmpl w:val="14DA7716"/>
    <w:lvl w:ilvl="0">
      <w:start w:val="1"/>
      <w:numFmt w:val="decimal"/>
      <w:suff w:val="space"/>
      <w:lvlText w:val="Figure %1. "/>
      <w:lvlJc w:val="left"/>
      <w:pPr>
        <w:ind w:left="432" w:hanging="432"/>
      </w:pPr>
      <w:rPr>
        <w:rFonts w:ascii="Verdana" w:hAnsi="Verdana" w:cs="Times New Roman" w:hint="default"/>
        <w:b/>
        <w:i w:val="0"/>
        <w:color w:val="auto"/>
        <w:sz w:val="18"/>
        <w:szCs w:val="18"/>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cs="Times New Roman" w:hint="default"/>
        <w:b w:val="0"/>
        <w:i w:val="0"/>
        <w:caps w:val="0"/>
        <w:strike w:val="0"/>
        <w:dstrike w:val="0"/>
        <w:outline w:val="0"/>
        <w:shadow w:val="0"/>
        <w:emboss w:val="0"/>
        <w:imprint w:val="0"/>
        <w:vanish w:val="0"/>
        <w:color w:val="auto"/>
        <w:sz w:val="18"/>
        <w:szCs w:val="18"/>
        <w:u w:val="none"/>
        <w:vertAlign w:val="baseline"/>
      </w:rPr>
    </w:lvl>
    <w:lvl w:ilvl="1">
      <w:start w:val="1"/>
      <w:numFmt w:val="decimal"/>
      <w:lvlText w:val="%1.%2."/>
      <w:lvlJc w:val="left"/>
      <w:pPr>
        <w:tabs>
          <w:tab w:val="num" w:pos="964"/>
        </w:tabs>
        <w:ind w:left="964" w:hanging="604"/>
      </w:pPr>
      <w:rPr>
        <w:rFonts w:ascii="Verdana" w:hAnsi="Verdana" w:cs="Times New Roman" w:hint="default"/>
        <w:b w:val="0"/>
        <w:i w:val="0"/>
        <w:caps w:val="0"/>
        <w:strike w:val="0"/>
        <w:dstrike w:val="0"/>
        <w:outline w:val="0"/>
        <w:shadow w:val="0"/>
        <w:emboss w:val="0"/>
        <w:imprint w:val="0"/>
        <w:vanish w:val="0"/>
        <w:color w:val="auto"/>
        <w:sz w:val="18"/>
        <w:szCs w:val="18"/>
        <w:u w:val="none"/>
        <w:vertAlign w:val="baseline"/>
      </w:rPr>
    </w:lvl>
    <w:lvl w:ilvl="2">
      <w:start w:val="1"/>
      <w:numFmt w:val="none"/>
      <w:lvlText w:val=""/>
      <w:lvlJc w:val="left"/>
      <w:pPr>
        <w:tabs>
          <w:tab w:val="num" w:pos="964"/>
        </w:tabs>
        <w:ind w:left="964" w:hanging="607"/>
      </w:pPr>
      <w:rPr>
        <w:rFonts w:cs="Times New Roman" w:hint="default"/>
      </w:rPr>
    </w:lvl>
    <w:lvl w:ilvl="3">
      <w:start w:val="1"/>
      <w:numFmt w:val="none"/>
      <w:lvlText w:val=""/>
      <w:lvlJc w:val="left"/>
      <w:pPr>
        <w:tabs>
          <w:tab w:val="num" w:pos="964"/>
        </w:tabs>
        <w:ind w:left="964" w:hanging="607"/>
      </w:pPr>
      <w:rPr>
        <w:rFonts w:cs="Times New Roman" w:hint="default"/>
      </w:rPr>
    </w:lvl>
    <w:lvl w:ilvl="4">
      <w:start w:val="1"/>
      <w:numFmt w:val="none"/>
      <w:lvlText w:val=""/>
      <w:lvlJc w:val="left"/>
      <w:pPr>
        <w:tabs>
          <w:tab w:val="num" w:pos="964"/>
        </w:tabs>
        <w:ind w:left="964" w:hanging="607"/>
      </w:pPr>
      <w:rPr>
        <w:rFonts w:cs="Times New Roman" w:hint="default"/>
      </w:rPr>
    </w:lvl>
    <w:lvl w:ilvl="5">
      <w:start w:val="1"/>
      <w:numFmt w:val="none"/>
      <w:lvlText w:val=""/>
      <w:lvlJc w:val="left"/>
      <w:pPr>
        <w:tabs>
          <w:tab w:val="num" w:pos="964"/>
        </w:tabs>
        <w:ind w:left="964" w:hanging="607"/>
      </w:pPr>
      <w:rPr>
        <w:rFonts w:cs="Times New Roman" w:hint="default"/>
      </w:rPr>
    </w:lvl>
    <w:lvl w:ilvl="6">
      <w:start w:val="1"/>
      <w:numFmt w:val="none"/>
      <w:lvlText w:val="%7"/>
      <w:lvlJc w:val="left"/>
      <w:pPr>
        <w:tabs>
          <w:tab w:val="num" w:pos="964"/>
        </w:tabs>
        <w:ind w:left="964" w:hanging="607"/>
      </w:pPr>
      <w:rPr>
        <w:rFonts w:cs="Times New Roman" w:hint="default"/>
      </w:rPr>
    </w:lvl>
    <w:lvl w:ilvl="7">
      <w:start w:val="1"/>
      <w:numFmt w:val="none"/>
      <w:lvlText w:val=""/>
      <w:lvlJc w:val="left"/>
      <w:pPr>
        <w:tabs>
          <w:tab w:val="num" w:pos="964"/>
        </w:tabs>
        <w:ind w:left="964" w:hanging="607"/>
      </w:pPr>
      <w:rPr>
        <w:rFonts w:cs="Times New Roman" w:hint="default"/>
      </w:rPr>
    </w:lvl>
    <w:lvl w:ilvl="8">
      <w:start w:val="1"/>
      <w:numFmt w:val="none"/>
      <w:lvlText w:val=""/>
      <w:lvlJc w:val="left"/>
      <w:pPr>
        <w:tabs>
          <w:tab w:val="num" w:pos="964"/>
        </w:tabs>
        <w:ind w:left="964" w:hanging="607"/>
      </w:pPr>
      <w:rPr>
        <w:rFonts w:cs="Times New Roman" w:hint="default"/>
      </w:rPr>
    </w:lvl>
  </w:abstractNum>
  <w:abstractNum w:abstractNumId="6">
    <w:nsid w:val="2CA60FFC"/>
    <w:multiLevelType w:val="multilevel"/>
    <w:tmpl w:val="E79A857A"/>
    <w:lvl w:ilvl="0">
      <w:start w:val="1"/>
      <w:numFmt w:val="bullet"/>
      <w:lvlText w:val=""/>
      <w:lvlJc w:val="left"/>
      <w:pPr>
        <w:tabs>
          <w:tab w:val="num" w:pos="720"/>
        </w:tabs>
        <w:ind w:left="720" w:hanging="360"/>
      </w:pPr>
      <w:rPr>
        <w:rFonts w:ascii="Symbol" w:hAnsi="Symbol" w:hint="default"/>
        <w:color w:val="003399"/>
        <w:sz w:val="18"/>
      </w:rPr>
    </w:lvl>
    <w:lvl w:ilvl="1">
      <w:start w:val="1"/>
      <w:numFmt w:val="bullet"/>
      <w:lvlText w:val=""/>
      <w:lvlJc w:val="left"/>
      <w:pPr>
        <w:tabs>
          <w:tab w:val="num" w:pos="1080"/>
        </w:tabs>
        <w:ind w:left="1080" w:hanging="363"/>
      </w:pPr>
      <w:rPr>
        <w:rFonts w:ascii="Symbol" w:hAnsi="Symbol" w:hint="default"/>
        <w:color w:val="003399"/>
      </w:rPr>
    </w:lvl>
    <w:lvl w:ilvl="2">
      <w:start w:val="1"/>
      <w:numFmt w:val="none"/>
      <w:lvlText w:val=""/>
      <w:lvlJc w:val="left"/>
      <w:pPr>
        <w:tabs>
          <w:tab w:val="num" w:pos="1080"/>
        </w:tabs>
        <w:ind w:left="1080"/>
      </w:pPr>
      <w:rPr>
        <w:rFonts w:cs="Times New Roman" w:hint="default"/>
      </w:rPr>
    </w:lvl>
    <w:lvl w:ilvl="3">
      <w:start w:val="1"/>
      <w:numFmt w:val="none"/>
      <w:lvlText w:val=""/>
      <w:lvlJc w:val="left"/>
      <w:pPr>
        <w:tabs>
          <w:tab w:val="num" w:pos="1080"/>
        </w:tabs>
        <w:ind w:left="1080"/>
      </w:pPr>
      <w:rPr>
        <w:rFonts w:cs="Times New Roman" w:hint="default"/>
      </w:rPr>
    </w:lvl>
    <w:lvl w:ilvl="4">
      <w:start w:val="1"/>
      <w:numFmt w:val="none"/>
      <w:lvlText w:val=""/>
      <w:lvlJc w:val="left"/>
      <w:pPr>
        <w:tabs>
          <w:tab w:val="num" w:pos="1080"/>
        </w:tabs>
        <w:ind w:left="1080"/>
      </w:pPr>
      <w:rPr>
        <w:rFonts w:cs="Times New Roman" w:hint="default"/>
      </w:rPr>
    </w:lvl>
    <w:lvl w:ilvl="5">
      <w:start w:val="1"/>
      <w:numFmt w:val="none"/>
      <w:lvlText w:val=""/>
      <w:lvlJc w:val="left"/>
      <w:pPr>
        <w:tabs>
          <w:tab w:val="num" w:pos="1080"/>
        </w:tabs>
        <w:ind w:left="1080"/>
      </w:pPr>
      <w:rPr>
        <w:rFonts w:cs="Times New Roman" w:hint="default"/>
      </w:rPr>
    </w:lvl>
    <w:lvl w:ilvl="6">
      <w:start w:val="1"/>
      <w:numFmt w:val="none"/>
      <w:lvlText w:val=""/>
      <w:lvlJc w:val="left"/>
      <w:pPr>
        <w:tabs>
          <w:tab w:val="num" w:pos="1080"/>
        </w:tabs>
        <w:ind w:left="1080"/>
      </w:pPr>
      <w:rPr>
        <w:rFonts w:cs="Times New Roman" w:hint="default"/>
      </w:rPr>
    </w:lvl>
    <w:lvl w:ilvl="7">
      <w:start w:val="1"/>
      <w:numFmt w:val="none"/>
      <w:lvlText w:val=""/>
      <w:lvlJc w:val="left"/>
      <w:pPr>
        <w:tabs>
          <w:tab w:val="num" w:pos="1080"/>
        </w:tabs>
        <w:ind w:left="1080"/>
      </w:pPr>
      <w:rPr>
        <w:rFonts w:cs="Times New Roman" w:hint="default"/>
      </w:rPr>
    </w:lvl>
    <w:lvl w:ilvl="8">
      <w:start w:val="1"/>
      <w:numFmt w:val="none"/>
      <w:lvlText w:val=""/>
      <w:lvlJc w:val="left"/>
      <w:pPr>
        <w:tabs>
          <w:tab w:val="num" w:pos="1080"/>
        </w:tabs>
        <w:ind w:left="1080"/>
      </w:pPr>
      <w:rPr>
        <w:rFonts w:cs="Times New Roman" w:hint="default"/>
      </w:rPr>
    </w:lvl>
  </w:abstractNum>
  <w:abstractNum w:abstractNumId="7">
    <w:nsid w:val="3BBC5C0D"/>
    <w:multiLevelType w:val="multilevel"/>
    <w:tmpl w:val="9138A390"/>
    <w:lvl w:ilvl="0">
      <w:start w:val="1"/>
      <w:numFmt w:val="bullet"/>
      <w:lvlText w:val="-"/>
      <w:lvlJc w:val="left"/>
      <w:pPr>
        <w:tabs>
          <w:tab w:val="num" w:pos="360"/>
        </w:tabs>
        <w:ind w:left="360" w:hanging="360"/>
      </w:pPr>
      <w:rPr>
        <w:rFonts w:ascii="Vrinda" w:hAnsi="Vrinda"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pPr>
      <w:rPr>
        <w:rFonts w:cs="Times New Roman" w:hint="default"/>
      </w:rPr>
    </w:lvl>
    <w:lvl w:ilvl="3">
      <w:start w:val="1"/>
      <w:numFmt w:val="none"/>
      <w:lvlText w:val=""/>
      <w:lvlJc w:val="left"/>
      <w:pPr>
        <w:tabs>
          <w:tab w:val="num" w:pos="720"/>
        </w:tabs>
        <w:ind w:left="720"/>
      </w:pPr>
      <w:rPr>
        <w:rFonts w:cs="Times New Roman" w:hint="default"/>
      </w:rPr>
    </w:lvl>
    <w:lvl w:ilvl="4">
      <w:start w:val="1"/>
      <w:numFmt w:val="none"/>
      <w:lvlText w:val=""/>
      <w:lvlJc w:val="left"/>
      <w:pPr>
        <w:tabs>
          <w:tab w:val="num" w:pos="720"/>
        </w:tabs>
        <w:ind w:left="720"/>
      </w:pPr>
      <w:rPr>
        <w:rFonts w:cs="Times New Roman" w:hint="default"/>
      </w:rPr>
    </w:lvl>
    <w:lvl w:ilvl="5">
      <w:start w:val="1"/>
      <w:numFmt w:val="none"/>
      <w:lvlText w:val=""/>
      <w:lvlJc w:val="left"/>
      <w:pPr>
        <w:tabs>
          <w:tab w:val="num" w:pos="720"/>
        </w:tabs>
        <w:ind w:left="720"/>
      </w:pPr>
      <w:rPr>
        <w:rFonts w:cs="Times New Roman" w:hint="default"/>
      </w:rPr>
    </w:lvl>
    <w:lvl w:ilvl="6">
      <w:start w:val="1"/>
      <w:numFmt w:val="none"/>
      <w:lvlText w:val=""/>
      <w:lvlJc w:val="left"/>
      <w:pPr>
        <w:tabs>
          <w:tab w:val="num" w:pos="720"/>
        </w:tabs>
        <w:ind w:left="720"/>
      </w:pPr>
      <w:rPr>
        <w:rFonts w:cs="Times New Roman" w:hint="default"/>
      </w:rPr>
    </w:lvl>
    <w:lvl w:ilvl="7">
      <w:start w:val="1"/>
      <w:numFmt w:val="none"/>
      <w:lvlText w:val=""/>
      <w:lvlJc w:val="left"/>
      <w:pPr>
        <w:tabs>
          <w:tab w:val="num" w:pos="720"/>
        </w:tabs>
        <w:ind w:left="720"/>
      </w:pPr>
      <w:rPr>
        <w:rFonts w:cs="Times New Roman" w:hint="default"/>
      </w:rPr>
    </w:lvl>
    <w:lvl w:ilvl="8">
      <w:start w:val="1"/>
      <w:numFmt w:val="none"/>
      <w:lvlText w:val=""/>
      <w:lvlJc w:val="left"/>
      <w:pPr>
        <w:tabs>
          <w:tab w:val="num" w:pos="720"/>
        </w:tabs>
        <w:ind w:left="720"/>
      </w:pPr>
      <w:rPr>
        <w:rFonts w:cs="Times New Roman" w:hint="default"/>
      </w:rPr>
    </w:lvl>
  </w:abstractNum>
  <w:abstractNum w:abstractNumId="8">
    <w:nsid w:val="4A9622BD"/>
    <w:multiLevelType w:val="hybridMultilevel"/>
    <w:tmpl w:val="DDACC5CC"/>
    <w:lvl w:ilvl="0">
      <w:start w:val="1"/>
      <w:numFmt w:val="upp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51E21733"/>
    <w:multiLevelType w:val="multilevel"/>
    <w:tmpl w:val="A94C57BE"/>
    <w:lvl w:ilvl="0">
      <w:start w:val="1"/>
      <w:numFmt w:val="decimal"/>
      <w:suff w:val="space"/>
      <w:lvlText w:val="%1. "/>
      <w:lvlJc w:val="left"/>
      <w:rPr>
        <w:rFonts w:cs="Times New Roman" w:hint="default"/>
      </w:rPr>
    </w:lvl>
    <w:lvl w:ilvl="1">
      <w:start w:val="1"/>
      <w:numFmt w:val="decimal"/>
      <w:suff w:val="space"/>
      <w:lvlText w:val="%1.%2. "/>
      <w:lvlJc w:val="left"/>
      <w:rPr>
        <w:rFonts w:cs="Times New Roman" w:hint="default"/>
      </w:rPr>
    </w:lvl>
    <w:lvl w:ilvl="2">
      <w:start w:val="1"/>
      <w:numFmt w:val="decimal"/>
      <w:suff w:val="space"/>
      <w:lvlText w:val="%1.%2.%3. "/>
      <w:lvlJc w:val="left"/>
      <w:rPr>
        <w:rFonts w:cs="Times New Roman" w:hint="default"/>
      </w:rPr>
    </w:lvl>
    <w:lvl w:ilvl="3">
      <w:start w:val="1"/>
      <w:numFmt w:val="decimal"/>
      <w:suff w:val="space"/>
      <w:lvlText w:val="%1.%2.%3.%4. "/>
      <w:lvlJc w:val="left"/>
      <w:rPr>
        <w:rFonts w:cs="Times New Roman" w:hint="default"/>
      </w:rPr>
    </w:lvl>
    <w:lvl w:ilvl="4">
      <w:start w:val="1"/>
      <w:numFmt w:val="decimal"/>
      <w:suff w:val="space"/>
      <w:lvlText w:val="%1.%2.%3.%4.%5. "/>
      <w:lvlJc w:val="left"/>
      <w:rPr>
        <w:rFonts w:cs="Times New Roman" w:hint="default"/>
      </w:rPr>
    </w:lvl>
    <w:lvl w:ilvl="5">
      <w:start w:val="1"/>
      <w:numFmt w:val="decimal"/>
      <w:suff w:val="space"/>
      <w:lvlText w:val="%1.%2.%3.%4.%5.%6. "/>
      <w:lvlJc w:val="left"/>
      <w:rPr>
        <w:rFonts w:cs="Times New Roman" w:hint="default"/>
      </w:rPr>
    </w:lvl>
    <w:lvl w:ilvl="6">
      <w:start w:val="1"/>
      <w:numFmt w:val="decimal"/>
      <w:suff w:val="space"/>
      <w:lvlText w:val="%1.%2.%3.%4.%5.%6.%7. "/>
      <w:lvlJc w:val="left"/>
      <w:rPr>
        <w:rFonts w:cs="Times New Roman" w:hint="default"/>
      </w:rPr>
    </w:lvl>
    <w:lvl w:ilvl="7">
      <w:start w:val="1"/>
      <w:numFmt w:val="decimal"/>
      <w:suff w:val="space"/>
      <w:lvlText w:val="%1.%2.%3.%4.%5.%6.%7.%8. "/>
      <w:lvlJc w:val="left"/>
      <w:rPr>
        <w:rFonts w:cs="Times New Roman" w:hint="default"/>
      </w:rPr>
    </w:lvl>
    <w:lvl w:ilvl="8">
      <w:start w:val="1"/>
      <w:numFmt w:val="decimal"/>
      <w:suff w:val="space"/>
      <w:lvlText w:val="%1.%2.%3.%4.%5.%6.%7.%8.%9. "/>
      <w:lvlJc w:val="left"/>
      <w:rPr>
        <w:rFonts w:cs="Times New Roman" w:hint="default"/>
      </w:rPr>
    </w:lvl>
  </w:abstractNum>
  <w:abstractNum w:abstractNumId="10">
    <w:nsid w:val="54494098"/>
    <w:multiLevelType w:val="hybridMultilevel"/>
    <w:tmpl w:val="0DFA8738"/>
    <w:lvl w:ilvl="0">
      <w:start w:val="4"/>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62D83757"/>
    <w:multiLevelType w:val="multilevel"/>
    <w:tmpl w:val="A02E932A"/>
    <w:numStyleLink w:val="BulletsAgency"/>
  </w:abstractNum>
  <w:abstractNum w:abstractNumId="12">
    <w:nsid w:val="65CF04A8"/>
    <w:multiLevelType w:val="multilevel"/>
    <w:tmpl w:val="9138A390"/>
    <w:lvl w:ilvl="0">
      <w:start w:val="1"/>
      <w:numFmt w:val="bullet"/>
      <w:lvlText w:val="-"/>
      <w:lvlJc w:val="left"/>
      <w:pPr>
        <w:tabs>
          <w:tab w:val="num" w:pos="360"/>
        </w:tabs>
        <w:ind w:left="360" w:hanging="360"/>
      </w:pPr>
      <w:rPr>
        <w:rFonts w:ascii="Vrinda" w:hAnsi="Vrinda"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pPr>
      <w:rPr>
        <w:rFonts w:cs="Times New Roman" w:hint="default"/>
      </w:rPr>
    </w:lvl>
    <w:lvl w:ilvl="3">
      <w:start w:val="1"/>
      <w:numFmt w:val="none"/>
      <w:lvlText w:val=""/>
      <w:lvlJc w:val="left"/>
      <w:pPr>
        <w:tabs>
          <w:tab w:val="num" w:pos="720"/>
        </w:tabs>
        <w:ind w:left="720"/>
      </w:pPr>
      <w:rPr>
        <w:rFonts w:cs="Times New Roman" w:hint="default"/>
      </w:rPr>
    </w:lvl>
    <w:lvl w:ilvl="4">
      <w:start w:val="1"/>
      <w:numFmt w:val="none"/>
      <w:lvlText w:val=""/>
      <w:lvlJc w:val="left"/>
      <w:pPr>
        <w:tabs>
          <w:tab w:val="num" w:pos="720"/>
        </w:tabs>
        <w:ind w:left="720"/>
      </w:pPr>
      <w:rPr>
        <w:rFonts w:cs="Times New Roman" w:hint="default"/>
      </w:rPr>
    </w:lvl>
    <w:lvl w:ilvl="5">
      <w:start w:val="1"/>
      <w:numFmt w:val="none"/>
      <w:lvlText w:val=""/>
      <w:lvlJc w:val="left"/>
      <w:pPr>
        <w:tabs>
          <w:tab w:val="num" w:pos="720"/>
        </w:tabs>
        <w:ind w:left="720"/>
      </w:pPr>
      <w:rPr>
        <w:rFonts w:cs="Times New Roman" w:hint="default"/>
      </w:rPr>
    </w:lvl>
    <w:lvl w:ilvl="6">
      <w:start w:val="1"/>
      <w:numFmt w:val="none"/>
      <w:lvlText w:val=""/>
      <w:lvlJc w:val="left"/>
      <w:pPr>
        <w:tabs>
          <w:tab w:val="num" w:pos="720"/>
        </w:tabs>
        <w:ind w:left="720"/>
      </w:pPr>
      <w:rPr>
        <w:rFonts w:cs="Times New Roman" w:hint="default"/>
      </w:rPr>
    </w:lvl>
    <w:lvl w:ilvl="7">
      <w:start w:val="1"/>
      <w:numFmt w:val="none"/>
      <w:lvlText w:val=""/>
      <w:lvlJc w:val="left"/>
      <w:pPr>
        <w:tabs>
          <w:tab w:val="num" w:pos="720"/>
        </w:tabs>
        <w:ind w:left="720"/>
      </w:pPr>
      <w:rPr>
        <w:rFonts w:cs="Times New Roman" w:hint="default"/>
      </w:rPr>
    </w:lvl>
    <w:lvl w:ilvl="8">
      <w:start w:val="1"/>
      <w:numFmt w:val="none"/>
      <w:lvlText w:val=""/>
      <w:lvlJc w:val="left"/>
      <w:pPr>
        <w:tabs>
          <w:tab w:val="num" w:pos="720"/>
        </w:tabs>
        <w:ind w:left="720"/>
      </w:pPr>
      <w:rPr>
        <w:rFonts w:cs="Times New Roman" w:hint="default"/>
      </w:rPr>
    </w:lvl>
  </w:abstractNum>
  <w:abstractNum w:abstractNumId="13">
    <w:nsid w:val="69E95A54"/>
    <w:multiLevelType w:val="hybridMultilevel"/>
    <w:tmpl w:val="93BE8EFA"/>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6B317676"/>
    <w:multiLevelType w:val="multilevel"/>
    <w:tmpl w:val="A02E932A"/>
    <w:numStyleLink w:val="BulletsAgency"/>
  </w:abstractNum>
  <w:abstractNum w:abstractNumId="15">
    <w:nsid w:val="772B6FE1"/>
    <w:multiLevelType w:val="multilevel"/>
    <w:tmpl w:val="7614763A"/>
    <w:numStyleLink w:val="NumberlistAgency"/>
  </w:abstractNum>
  <w:num w:numId="1">
    <w:abstractNumId w:val="0"/>
    <w:lvlOverride w:ilvl="0">
      <w:lvl w:ilvl="0">
        <w:start w:val="1"/>
        <w:numFmt w:val="bullet"/>
        <w:lvlText w:val=""/>
        <w:lvlJc w:val="left"/>
        <w:pPr>
          <w:ind w:left="360" w:hanging="360"/>
        </w:pPr>
        <w:rPr>
          <w:rFonts w:ascii="Symbol" w:hAnsi="Symbol" w:hint="default"/>
        </w:rPr>
      </w:lvl>
    </w:lvlOverride>
  </w:num>
  <w:num w:numId="2">
    <w:abstractNumId w:val="10"/>
  </w:num>
  <w:num w:numId="3">
    <w:abstractNumId w:val="2"/>
  </w:num>
  <w:num w:numId="4">
    <w:abstractNumId w:val="1"/>
  </w:num>
  <w:num w:numId="5">
    <w:abstractNumId w:val="4"/>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5"/>
  </w:num>
  <w:num w:numId="16">
    <w:abstractNumId w:val="3"/>
  </w:num>
  <w:num w:numId="17">
    <w:abstractNumId w:val="1"/>
  </w:num>
  <w:num w:numId="18">
    <w:abstractNumId w:val="4"/>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5"/>
  </w:num>
  <w:num w:numId="29">
    <w:abstractNumId w:val="3"/>
  </w:num>
  <w:num w:numId="30">
    <w:abstractNumId w:val="14"/>
  </w:num>
  <w:num w:numId="31">
    <w:abstractNumId w:val="11"/>
  </w:num>
  <w:num w:numId="32">
    <w:abstractNumId w:val="13"/>
  </w:num>
  <w:num w:numId="33">
    <w:abstractNumId w:val="12"/>
  </w:num>
  <w:num w:numId="34">
    <w:abstractNumId w:val="15"/>
  </w:num>
  <w:num w:numId="35">
    <w:abstractNumId w:val="8"/>
  </w:num>
  <w:num w:numId="36">
    <w:abstractNumId w:val="7"/>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0"/>
  <w:displayHorizontalDrawingGridEvery w:val="2"/>
  <w:doNotShadeFormData/>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3D8"/>
    <w:rsid w:val="003677D0"/>
    <w:rsid w:val="005F50E9"/>
    <w:rsid w:val="00614461"/>
    <w:rsid w:val="0069147F"/>
    <w:rsid w:val="007772E9"/>
    <w:rsid w:val="0081769D"/>
    <w:rsid w:val="00D06CEB"/>
    <w:rsid w:val="00E677B0"/>
    <w:rsid w:val="00E83FDA"/>
    <w:rsid w:val="00F513D8"/>
    <w:rsid w:val="00FD50B3"/>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cs="Verdana"/>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noProof/>
      <w:sz w:val="16"/>
      <w:szCs w:val="20"/>
      <w:lang w:val="en-US"/>
    </w:rPr>
  </w:style>
  <w:style w:type="character" w:customStyle="1" w:styleId="FooterChar">
    <w:name w:val="Footer Char"/>
    <w:link w:val="Footer"/>
    <w:uiPriority w:val="99"/>
    <w:locked/>
    <w:rPr>
      <w:rFonts w:ascii="Verdana" w:hAnsi="Verdana" w:cs="Verdana"/>
      <w:snapToGrid w:val="0"/>
      <w:sz w:val="18"/>
      <w:szCs w:val="18"/>
      <w:lang w:val="en-GB" w:eastAsia="x-none"/>
    </w:rPr>
  </w:style>
  <w:style w:type="paragraph" w:customStyle="1" w:styleId="FooterAgency">
    <w:name w:val="Footer (Agency)"/>
    <w:basedOn w:val="Normal"/>
    <w:rPr>
      <w:color w:val="6D6F71"/>
      <w:sz w:val="14"/>
      <w:szCs w:val="14"/>
    </w:rPr>
  </w:style>
  <w:style w:type="paragraph" w:customStyle="1" w:styleId="PagenumberAgency">
    <w:name w:val="Page number (Agency)"/>
    <w:basedOn w:val="Normal"/>
    <w:next w:val="Normal"/>
    <w:pPr>
      <w:tabs>
        <w:tab w:val="right" w:pos="9781"/>
      </w:tabs>
      <w:jc w:val="right"/>
    </w:pPr>
    <w:rPr>
      <w:noProof/>
      <w:color w:val="6D6F71"/>
      <w:sz w:val="14"/>
      <w:szCs w:val="14"/>
      <w:lang w:val="en-US"/>
    </w:rPr>
  </w:style>
  <w:style w:type="paragraph" w:customStyle="1" w:styleId="BodytextAgency">
    <w:name w:val="Body text (Agency)"/>
    <w:basedOn w:val="Normal"/>
    <w:pPr>
      <w:spacing w:after="140" w:line="280" w:lineRule="atLeast"/>
    </w:pPr>
  </w:style>
  <w:style w:type="paragraph" w:customStyle="1" w:styleId="DraftingNotesAgency">
    <w:name w:val="Drafting Notes (Agency)"/>
    <w:basedOn w:val="Normal"/>
    <w:next w:val="BodytextAgency"/>
    <w:pPr>
      <w:spacing w:after="140" w:line="280" w:lineRule="atLeast"/>
    </w:pPr>
    <w:rPr>
      <w:rFonts w:ascii="Courier New" w:hAnsi="Courier New" w:cs="Times New Roman"/>
      <w:i/>
      <w:color w:val="339966"/>
      <w:sz w:val="22"/>
    </w:rPr>
  </w:style>
  <w:style w:type="paragraph" w:customStyle="1" w:styleId="No-numheading3Agency">
    <w:name w:val="No-num heading 3 (Agency)"/>
    <w:pPr>
      <w:keepNext/>
      <w:spacing w:before="280" w:after="220"/>
      <w:outlineLvl w:val="2"/>
    </w:pPr>
    <w:rPr>
      <w:rFonts w:ascii="Verdana" w:hAnsi="Verdana" w:cs="Arial"/>
      <w:b/>
      <w:bCs/>
      <w:kern w:val="32"/>
      <w:sz w:val="22"/>
      <w:szCs w:val="22"/>
      <w:lang w:eastAsia="en-US"/>
    </w:rPr>
  </w:style>
  <w:style w:type="paragraph" w:customStyle="1" w:styleId="NormalAgency">
    <w:name w:val="Normal (Agency)"/>
    <w:rPr>
      <w:rFonts w:ascii="Verdana" w:hAnsi="Verdana" w:cs="Verdana"/>
      <w:sz w:val="18"/>
      <w:szCs w:val="18"/>
      <w:lang w:eastAsia="en-US"/>
    </w:rPr>
  </w:style>
  <w:style w:type="character" w:customStyle="1" w:styleId="DraftingNotesAgencyChar">
    <w:name w:val="Drafting Notes (Agency) Char"/>
    <w:locked/>
    <w:rPr>
      <w:rFonts w:ascii="Courier New" w:hAnsi="Courier New"/>
      <w:i/>
      <w:color w:val="339966"/>
      <w:sz w:val="18"/>
      <w:lang w:val="en-GB" w:eastAsia="x-none"/>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numbering" w:customStyle="1" w:styleId="BulletsAgency">
    <w:name w:val="Bullets (Agency)"/>
    <w:pPr>
      <w:numPr>
        <w:numId w:val="4"/>
      </w:numPr>
    </w:pPr>
  </w:style>
  <w:style w:type="numbering" w:customStyle="1" w:styleId="NumberlistAgency">
    <w:name w:val="Number list (Agency)"/>
    <w:pPr>
      <w:numPr>
        <w:numId w:val="15"/>
      </w:numPr>
    </w:p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rFonts w:ascii="Verdana" w:hAnsi="Verdana" w:cs="Verdan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squezg\AppData\Local\Microsoft\Windows\Temporary%20Internet%20Files\Content.MSO\5A34D71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5A34D71D.DOT</Template>
  <TotalTime>1</TotalTime>
  <Pages>2</Pages>
  <Words>378</Words>
  <Characters>2079</Characters>
  <Application>Microsoft Office Word</Application>
  <DocSecurity>0</DocSecurity>
  <Lines>94</Lines>
  <Paragraphs>53</Paragraphs>
  <ScaleCrop>false</ScaleCrop>
  <HeadingPairs>
    <vt:vector size="2" baseType="variant">
      <vt:variant>
        <vt:lpstr>Title</vt:lpstr>
      </vt:variant>
      <vt:variant>
        <vt:i4>1</vt:i4>
      </vt:variant>
    </vt:vector>
  </HeadingPairs>
  <TitlesOfParts>
    <vt:vector size="1" baseType="lpstr">
      <vt:lpstr>HannexIVstandardet</vt:lpstr>
    </vt:vector>
  </TitlesOfParts>
  <Company>Translation Centre</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HannexIVstandardet</dc:title>
  <dc:creator>European Medicines Agency</dc:creator>
  <cp:lastModifiedBy>Akhtar Tia</cp:lastModifiedBy>
  <cp:revision>2</cp:revision>
  <cp:lastPrinted>1601-01-01T00:00:00Z</cp:lastPrinted>
  <dcterms:created xsi:type="dcterms:W3CDTF">2019-09-19T14:23:00Z</dcterms:created>
  <dcterms:modified xsi:type="dcterms:W3CDTF">2019-09-19T14:23:00Z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Templates and Form</vt:lpwstr>
  </property>
  <property fmtid="{D5CDD505-2E9C-101B-9397-08002B2CF9AE}" pid="4" name="DM_Creation_Date">
    <vt:lpwstr>12/10/2018 14:13:51</vt:lpwstr>
  </property>
  <property fmtid="{D5CDD505-2E9C-101B-9397-08002B2CF9AE}" pid="5" name="DM_Creator_Name">
    <vt:lpwstr>Akhtar Timea</vt:lpwstr>
  </property>
  <property fmtid="{D5CDD505-2E9C-101B-9397-08002B2CF9AE}" pid="6" name="DM_DocRefId">
    <vt:lpwstr>EMA/713546/2018</vt:lpwstr>
  </property>
  <property fmtid="{D5CDD505-2E9C-101B-9397-08002B2CF9AE}" pid="7" name="DM_emea_doc_ref_id">
    <vt:lpwstr>EMA/713546/2018</vt:lpwstr>
  </property>
  <property fmtid="{D5CDD505-2E9C-101B-9397-08002B2CF9AE}" pid="8" name="DM_Keywords">
    <vt:lpwstr/>
  </property>
  <property fmtid="{D5CDD505-2E9C-101B-9397-08002B2CF9AE}" pid="9" name="DM_Language">
    <vt:lpwstr/>
  </property>
  <property fmtid="{D5CDD505-2E9C-101B-9397-08002B2CF9AE}" pid="10" name="DM_Modifer_Name">
    <vt:lpwstr>Akhtar Timea</vt:lpwstr>
  </property>
  <property fmtid="{D5CDD505-2E9C-101B-9397-08002B2CF9AE}" pid="11" name="DM_Modified_Date">
    <vt:lpwstr>12/10/2018 14:13:51</vt:lpwstr>
  </property>
  <property fmtid="{D5CDD505-2E9C-101B-9397-08002B2CF9AE}" pid="12" name="DM_Modifier_Name">
    <vt:lpwstr>Akhtar Timea</vt:lpwstr>
  </property>
  <property fmtid="{D5CDD505-2E9C-101B-9397-08002B2CF9AE}" pid="13" name="DM_Modify_Date">
    <vt:lpwstr>12/10/2018 14:13:51</vt:lpwstr>
  </property>
  <property fmtid="{D5CDD505-2E9C-101B-9397-08002B2CF9AE}" pid="14" name="DM_Name">
    <vt:lpwstr>HannexIVstandardet</vt:lpwstr>
  </property>
  <property fmtid="{D5CDD505-2E9C-101B-9397-08002B2CF9AE}" pid="15" name="DM_Path">
    <vt:lpwstr>/02b. Administration of Scientific Meeting/WPs SAGs DGs and other WGs/CxMP - QRD/3. Other activities/01. Product Reviews/05. AD HOC linguistic reviews/17 Annex IV revision 10-2016/3. Final translations for publication/Standard</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1.0,CURRENT</vt:lpwstr>
  </property>
  <property fmtid="{D5CDD505-2E9C-101B-9397-08002B2CF9AE}" pid="21" name="EMEADocClassifcationCode">
    <vt:lpwstr> </vt:lpwstr>
  </property>
  <property fmtid="{D5CDD505-2E9C-101B-9397-08002B2CF9AE}" pid="22" name="EMEADocClassificationText">
    <vt:lpwstr> </vt:lpwstr>
  </property>
  <property fmtid="{D5CDD505-2E9C-101B-9397-08002B2CF9AE}" pid="23" name="EMEADocDate">
    <vt:lpwstr> </vt:lpwstr>
  </property>
  <property fmtid="{D5CDD505-2E9C-101B-9397-08002B2CF9AE}" pid="24" name="EMEADocDateDay">
    <vt:lpwstr> </vt:lpwstr>
  </property>
  <property fmtid="{D5CDD505-2E9C-101B-9397-08002B2CF9AE}" pid="25" name="EMEADocDateMonth">
    <vt:lpwstr> </vt:lpwstr>
  </property>
  <property fmtid="{D5CDD505-2E9C-101B-9397-08002B2CF9AE}" pid="26" name="EMEADocDateYear">
    <vt:lpwstr> </vt:lpwstr>
  </property>
  <property fmtid="{D5CDD505-2E9C-101B-9397-08002B2CF9AE}" pid="27" name="EMEADocExtCatTitle">
    <vt:lpwstr> </vt:lpwstr>
  </property>
  <property fmtid="{D5CDD505-2E9C-101B-9397-08002B2CF9AE}" pid="28" name="EMEADocLanguage">
    <vt:lpwstr> </vt:lpwstr>
  </property>
  <property fmtid="{D5CDD505-2E9C-101B-9397-08002B2CF9AE}" pid="29" name="EMEADocRefFull">
    <vt:lpwstr>EMEA/xxxx/xx/EN</vt:lpwstr>
  </property>
  <property fmtid="{D5CDD505-2E9C-101B-9397-08002B2CF9AE}" pid="30" name="EMEADocRefNum">
    <vt:lpwstr> </vt:lpwstr>
  </property>
  <property fmtid="{D5CDD505-2E9C-101B-9397-08002B2CF9AE}" pid="31" name="EMEADocRefPartFreeText">
    <vt:lpwstr> </vt:lpwstr>
  </property>
  <property fmtid="{D5CDD505-2E9C-101B-9397-08002B2CF9AE}" pid="32" name="EMEADocRefRoot">
    <vt:lpwstr> </vt:lpwstr>
  </property>
  <property fmtid="{D5CDD505-2E9C-101B-9397-08002B2CF9AE}" pid="33" name="EMEADocRefYear">
    <vt:lpwstr> </vt:lpwstr>
  </property>
  <property fmtid="{D5CDD505-2E9C-101B-9397-08002B2CF9AE}" pid="34" name="EMEADocStatus">
    <vt:lpwstr> </vt:lpwstr>
  </property>
  <property fmtid="{D5CDD505-2E9C-101B-9397-08002B2CF9AE}" pid="35" name="EMEADocTitle">
    <vt:lpwstr> </vt:lpwstr>
  </property>
  <property fmtid="{D5CDD505-2E9C-101B-9397-08002B2CF9AE}" pid="36" name="EMEADocTypeCode">
    <vt:lpwstr> </vt:lpwstr>
  </property>
  <property fmtid="{D5CDD505-2E9C-101B-9397-08002B2CF9AE}" pid="37" name="EMEADocVersion">
    <vt:lpwstr> </vt:lpwstr>
  </property>
  <property fmtid="{D5CDD505-2E9C-101B-9397-08002B2CF9AE}" pid="38" name="EMEDDocRefPart0">
    <vt:lpwstr> </vt:lpwstr>
  </property>
  <property fmtid="{D5CDD505-2E9C-101B-9397-08002B2CF9AE}" pid="39" name="EMEDDocRefPart1">
    <vt:lpwstr> </vt:lpwstr>
  </property>
  <property fmtid="{D5CDD505-2E9C-101B-9397-08002B2CF9AE}" pid="40" name="EMEDDocRefPart2">
    <vt:lpwstr> </vt:lpwstr>
  </property>
  <property fmtid="{D5CDD505-2E9C-101B-9397-08002B2CF9AE}" pid="41" name="EMEDDocRefPart3">
    <vt:lpwstr> </vt:lpwstr>
  </property>
</Properties>
</file>